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4F080" w14:textId="77777777" w:rsidR="006F3719" w:rsidRDefault="006F3719" w:rsidP="006F3719">
      <w:pPr>
        <w:jc w:val="center"/>
        <w:rPr>
          <w:sz w:val="40"/>
          <w:szCs w:val="40"/>
        </w:rPr>
      </w:pPr>
    </w:p>
    <w:p w14:paraId="7F1E727F" w14:textId="6FE51CE3" w:rsidR="006F3719" w:rsidRDefault="00B01FBF" w:rsidP="00DD7A1A">
      <w:pPr>
        <w:jc w:val="center"/>
      </w:pPr>
      <w:r>
        <w:rPr>
          <w:sz w:val="40"/>
          <w:szCs w:val="40"/>
        </w:rPr>
        <w:t>Management of</w:t>
      </w:r>
      <w:r w:rsidR="00DD7A1A">
        <w:rPr>
          <w:sz w:val="40"/>
          <w:szCs w:val="40"/>
        </w:rPr>
        <w:t xml:space="preserve"> Incorrect Entries</w:t>
      </w:r>
      <w:r>
        <w:rPr>
          <w:sz w:val="40"/>
          <w:szCs w:val="40"/>
        </w:rPr>
        <w:t xml:space="preserve"> in Electronic Patient Records</w:t>
      </w:r>
    </w:p>
    <w:p w14:paraId="4E1B7F87" w14:textId="77777777" w:rsidR="006F3719" w:rsidRDefault="006F3719" w:rsidP="006F3719"/>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461"/>
      </w:tblGrid>
      <w:tr w:rsidR="0084474D" w14:paraId="527CFCE0" w14:textId="77777777" w:rsidTr="00DD7A1A">
        <w:tc>
          <w:tcPr>
            <w:tcW w:w="3539" w:type="dxa"/>
          </w:tcPr>
          <w:p w14:paraId="0FF82E98" w14:textId="77777777" w:rsidR="0084474D" w:rsidRDefault="0084474D" w:rsidP="0084474D">
            <w:pPr>
              <w:spacing w:before="40" w:after="40"/>
            </w:pPr>
            <w:r>
              <w:t>Version number :</w:t>
            </w:r>
          </w:p>
        </w:tc>
        <w:tc>
          <w:tcPr>
            <w:tcW w:w="5461" w:type="dxa"/>
          </w:tcPr>
          <w:p w14:paraId="3F203ACF" w14:textId="09899D96" w:rsidR="0084474D" w:rsidRDefault="00743C7F" w:rsidP="0084474D">
            <w:pPr>
              <w:spacing w:before="40" w:after="40"/>
            </w:pPr>
            <w:r>
              <w:t>0.3</w:t>
            </w:r>
            <w:r w:rsidR="006011EC">
              <w:t xml:space="preserve"> </w:t>
            </w:r>
          </w:p>
        </w:tc>
      </w:tr>
      <w:tr w:rsidR="0084474D" w14:paraId="3B4540D5" w14:textId="77777777" w:rsidTr="00DD7A1A">
        <w:tc>
          <w:tcPr>
            <w:tcW w:w="3539" w:type="dxa"/>
          </w:tcPr>
          <w:p w14:paraId="1FFE09E0" w14:textId="77777777" w:rsidR="0084474D" w:rsidRDefault="0084474D" w:rsidP="0084474D">
            <w:pPr>
              <w:spacing w:before="40" w:after="40"/>
            </w:pPr>
            <w:r>
              <w:t xml:space="preserve">Consultation Groups </w:t>
            </w:r>
          </w:p>
        </w:tc>
        <w:tc>
          <w:tcPr>
            <w:tcW w:w="5461" w:type="dxa"/>
          </w:tcPr>
          <w:p w14:paraId="6FCD8A73" w14:textId="70443513" w:rsidR="0084474D" w:rsidRDefault="00CD3335" w:rsidP="0084474D">
            <w:pPr>
              <w:spacing w:before="40" w:after="40"/>
            </w:pPr>
            <w:r>
              <w:t>Information Governance, Chief Clinica</w:t>
            </w:r>
            <w:r w:rsidR="00DD7A1A">
              <w:t>l Information Officers, Digital, Chief Medical Officer</w:t>
            </w:r>
          </w:p>
        </w:tc>
      </w:tr>
      <w:tr w:rsidR="0084474D" w14:paraId="436C1E8F" w14:textId="77777777" w:rsidTr="00DD7A1A">
        <w:tc>
          <w:tcPr>
            <w:tcW w:w="3539" w:type="dxa"/>
          </w:tcPr>
          <w:p w14:paraId="6AD50A50" w14:textId="77777777" w:rsidR="0084474D" w:rsidRDefault="0084474D" w:rsidP="0084474D">
            <w:pPr>
              <w:spacing w:before="40" w:after="40"/>
            </w:pPr>
            <w:r>
              <w:t>Approved by (Sponsor Group)</w:t>
            </w:r>
          </w:p>
        </w:tc>
        <w:tc>
          <w:tcPr>
            <w:tcW w:w="5461" w:type="dxa"/>
          </w:tcPr>
          <w:p w14:paraId="09F97E3A" w14:textId="686901C3" w:rsidR="0084474D" w:rsidRDefault="00DD7A1A" w:rsidP="0084474D">
            <w:pPr>
              <w:spacing w:before="40" w:after="40"/>
            </w:pPr>
            <w:r>
              <w:t>Information Governance Steering Group</w:t>
            </w:r>
          </w:p>
        </w:tc>
      </w:tr>
      <w:tr w:rsidR="0084474D" w14:paraId="3A394FE4" w14:textId="77777777" w:rsidTr="00DD7A1A">
        <w:tc>
          <w:tcPr>
            <w:tcW w:w="3539" w:type="dxa"/>
          </w:tcPr>
          <w:p w14:paraId="25DD233A" w14:textId="77777777" w:rsidR="0084474D" w:rsidRDefault="0084474D" w:rsidP="0084474D">
            <w:pPr>
              <w:spacing w:before="40" w:after="40"/>
            </w:pPr>
            <w:r>
              <w:t>Ratified by:</w:t>
            </w:r>
          </w:p>
        </w:tc>
        <w:tc>
          <w:tcPr>
            <w:tcW w:w="5461" w:type="dxa"/>
          </w:tcPr>
          <w:p w14:paraId="2F9D224A" w14:textId="2F6BE40D" w:rsidR="0084474D" w:rsidRDefault="006011EC" w:rsidP="0084474D">
            <w:pPr>
              <w:spacing w:before="40" w:after="40"/>
            </w:pPr>
            <w:r>
              <w:t>Quality Committee</w:t>
            </w:r>
          </w:p>
        </w:tc>
      </w:tr>
      <w:tr w:rsidR="0084474D" w14:paraId="61B8D734" w14:textId="77777777" w:rsidTr="00DD7A1A">
        <w:tc>
          <w:tcPr>
            <w:tcW w:w="3539" w:type="dxa"/>
          </w:tcPr>
          <w:p w14:paraId="43BAC3F5" w14:textId="77777777" w:rsidR="0084474D" w:rsidRDefault="0084474D" w:rsidP="0084474D">
            <w:pPr>
              <w:spacing w:before="40" w:after="40"/>
            </w:pPr>
            <w:r>
              <w:t>Date ratified:</w:t>
            </w:r>
          </w:p>
        </w:tc>
        <w:tc>
          <w:tcPr>
            <w:tcW w:w="5461" w:type="dxa"/>
          </w:tcPr>
          <w:p w14:paraId="6EFC5795" w14:textId="29E3840E" w:rsidR="0084474D" w:rsidRDefault="006011EC" w:rsidP="0084474D">
            <w:pPr>
              <w:spacing w:before="40" w:after="40"/>
            </w:pPr>
            <w:r>
              <w:t>24</w:t>
            </w:r>
            <w:r w:rsidRPr="006011EC">
              <w:rPr>
                <w:vertAlign w:val="superscript"/>
              </w:rPr>
              <w:t>th</w:t>
            </w:r>
            <w:r>
              <w:t xml:space="preserve"> April 2024</w:t>
            </w:r>
          </w:p>
        </w:tc>
      </w:tr>
      <w:tr w:rsidR="0084474D" w14:paraId="411CD8DC" w14:textId="77777777" w:rsidTr="00DD7A1A">
        <w:tc>
          <w:tcPr>
            <w:tcW w:w="3539" w:type="dxa"/>
          </w:tcPr>
          <w:p w14:paraId="0B24CB46" w14:textId="77777777" w:rsidR="0084474D" w:rsidRDefault="0084474D" w:rsidP="0084474D">
            <w:pPr>
              <w:spacing w:before="40" w:after="40"/>
            </w:pPr>
            <w:r>
              <w:t>Name of originator/author:</w:t>
            </w:r>
          </w:p>
        </w:tc>
        <w:tc>
          <w:tcPr>
            <w:tcW w:w="5461" w:type="dxa"/>
          </w:tcPr>
          <w:p w14:paraId="1D96E6B1" w14:textId="01CB800B" w:rsidR="0084474D" w:rsidRDefault="00DD7A1A" w:rsidP="00DD7A1A">
            <w:pPr>
              <w:spacing w:before="40" w:after="40"/>
              <w:jc w:val="left"/>
            </w:pPr>
            <w:r>
              <w:t>Clinical Systems Development Lead</w:t>
            </w:r>
          </w:p>
        </w:tc>
      </w:tr>
      <w:tr w:rsidR="0084474D" w14:paraId="04CD08B9" w14:textId="77777777" w:rsidTr="00DD7A1A">
        <w:tc>
          <w:tcPr>
            <w:tcW w:w="3539" w:type="dxa"/>
          </w:tcPr>
          <w:p w14:paraId="0AB8517B" w14:textId="77777777" w:rsidR="0084474D" w:rsidRDefault="0084474D" w:rsidP="0084474D">
            <w:pPr>
              <w:spacing w:before="40" w:after="40"/>
            </w:pPr>
            <w:r>
              <w:t>Executive Director lead :</w:t>
            </w:r>
          </w:p>
        </w:tc>
        <w:tc>
          <w:tcPr>
            <w:tcW w:w="5461" w:type="dxa"/>
          </w:tcPr>
          <w:p w14:paraId="5C1AA231" w14:textId="0B0FC67B" w:rsidR="0084474D" w:rsidRDefault="00DD7A1A" w:rsidP="0084474D">
            <w:pPr>
              <w:spacing w:before="40" w:after="40"/>
            </w:pPr>
            <w:r>
              <w:t>Chief Medical Officer</w:t>
            </w:r>
          </w:p>
        </w:tc>
      </w:tr>
      <w:tr w:rsidR="0084474D" w14:paraId="66D25DE5" w14:textId="77777777" w:rsidTr="00DD7A1A">
        <w:tc>
          <w:tcPr>
            <w:tcW w:w="3539" w:type="dxa"/>
          </w:tcPr>
          <w:p w14:paraId="48D4494B" w14:textId="77777777" w:rsidR="0084474D" w:rsidRDefault="0084474D" w:rsidP="0084474D">
            <w:pPr>
              <w:spacing w:before="40" w:after="40"/>
            </w:pPr>
            <w:r>
              <w:t>Implementation Date :</w:t>
            </w:r>
          </w:p>
        </w:tc>
        <w:tc>
          <w:tcPr>
            <w:tcW w:w="5461" w:type="dxa"/>
          </w:tcPr>
          <w:p w14:paraId="130CA2E8" w14:textId="34E2A91D" w:rsidR="0084474D" w:rsidRDefault="006011EC" w:rsidP="0084474D">
            <w:pPr>
              <w:spacing w:before="40" w:after="40"/>
            </w:pPr>
            <w:r>
              <w:t>April 2024</w:t>
            </w:r>
          </w:p>
        </w:tc>
      </w:tr>
      <w:tr w:rsidR="0084474D" w14:paraId="3959253D" w14:textId="77777777" w:rsidTr="00DD7A1A">
        <w:tc>
          <w:tcPr>
            <w:tcW w:w="3539" w:type="dxa"/>
          </w:tcPr>
          <w:p w14:paraId="2F68FC33" w14:textId="77777777" w:rsidR="0084474D" w:rsidRDefault="0084474D" w:rsidP="0084474D">
            <w:pPr>
              <w:spacing w:before="40" w:after="40"/>
            </w:pPr>
            <w:r>
              <w:t xml:space="preserve">Last Review Date </w:t>
            </w:r>
          </w:p>
        </w:tc>
        <w:tc>
          <w:tcPr>
            <w:tcW w:w="5461" w:type="dxa"/>
          </w:tcPr>
          <w:p w14:paraId="699FFA7B" w14:textId="13260CE2" w:rsidR="0084474D" w:rsidRDefault="006011EC" w:rsidP="0084474D">
            <w:pPr>
              <w:spacing w:before="40" w:after="40"/>
            </w:pPr>
            <w:r w:rsidRPr="006011EC">
              <w:t>April 2024</w:t>
            </w:r>
          </w:p>
        </w:tc>
      </w:tr>
      <w:tr w:rsidR="0084474D" w14:paraId="0DB63D37" w14:textId="77777777" w:rsidTr="00DD7A1A">
        <w:tc>
          <w:tcPr>
            <w:tcW w:w="3539" w:type="dxa"/>
          </w:tcPr>
          <w:p w14:paraId="2BF665DC" w14:textId="77777777" w:rsidR="0084474D" w:rsidRDefault="0084474D" w:rsidP="0084474D">
            <w:pPr>
              <w:spacing w:before="40" w:after="40"/>
            </w:pPr>
            <w:r>
              <w:t>Next Review date:</w:t>
            </w:r>
          </w:p>
        </w:tc>
        <w:tc>
          <w:tcPr>
            <w:tcW w:w="5461" w:type="dxa"/>
          </w:tcPr>
          <w:p w14:paraId="26AE7474" w14:textId="6E87A828" w:rsidR="0084474D" w:rsidRDefault="006011EC" w:rsidP="0084474D">
            <w:pPr>
              <w:spacing w:before="40" w:after="40"/>
            </w:pPr>
            <w:r w:rsidRPr="006011EC">
              <w:t>A</w:t>
            </w:r>
            <w:r>
              <w:t>pril 2027</w:t>
            </w:r>
          </w:p>
        </w:tc>
      </w:tr>
    </w:tbl>
    <w:p w14:paraId="23572DDD" w14:textId="77777777" w:rsidR="006F3719" w:rsidRDefault="006F3719" w:rsidP="006F3719"/>
    <w:p w14:paraId="62874AAE" w14:textId="77777777" w:rsidR="006F3719" w:rsidRDefault="006F3719" w:rsidP="006F3719"/>
    <w:tbl>
      <w:tblPr>
        <w:tblStyle w:val="TableGrid"/>
        <w:tblW w:w="0" w:type="auto"/>
        <w:tblLook w:val="04A0" w:firstRow="1" w:lastRow="0" w:firstColumn="1" w:lastColumn="0" w:noHBand="0" w:noVBand="1"/>
      </w:tblPr>
      <w:tblGrid>
        <w:gridCol w:w="3539"/>
        <w:gridCol w:w="5477"/>
      </w:tblGrid>
      <w:tr w:rsidR="002408E9" w14:paraId="3BEFDFDD" w14:textId="77777777" w:rsidTr="00DD7A1A">
        <w:tc>
          <w:tcPr>
            <w:tcW w:w="3539" w:type="dxa"/>
          </w:tcPr>
          <w:p w14:paraId="7B48D56A" w14:textId="77777777" w:rsidR="002408E9" w:rsidRDefault="0084474D" w:rsidP="006F3719">
            <w:r>
              <w:t xml:space="preserve">Services </w:t>
            </w:r>
          </w:p>
        </w:tc>
        <w:tc>
          <w:tcPr>
            <w:tcW w:w="5477" w:type="dxa"/>
          </w:tcPr>
          <w:p w14:paraId="34304C67" w14:textId="164F16F1" w:rsidR="002408E9" w:rsidRDefault="00DD7A1A" w:rsidP="006F3719">
            <w:r>
              <w:t>All patient-facing services using EPR</w:t>
            </w:r>
          </w:p>
        </w:tc>
      </w:tr>
      <w:tr w:rsidR="002408E9" w14:paraId="0CE7B75E" w14:textId="77777777" w:rsidTr="00DD7A1A">
        <w:tc>
          <w:tcPr>
            <w:tcW w:w="3539" w:type="dxa"/>
          </w:tcPr>
          <w:p w14:paraId="7C6BEFF5" w14:textId="4B905A77" w:rsidR="002408E9" w:rsidRDefault="006011EC" w:rsidP="006F3719">
            <w:r>
              <w:t>Trust wide</w:t>
            </w:r>
          </w:p>
        </w:tc>
        <w:tc>
          <w:tcPr>
            <w:tcW w:w="5477" w:type="dxa"/>
          </w:tcPr>
          <w:p w14:paraId="53E17F91" w14:textId="02A2AB61" w:rsidR="002408E9" w:rsidRDefault="00DD7A1A" w:rsidP="006F3719">
            <w:r>
              <w:t>Awareness</w:t>
            </w:r>
          </w:p>
        </w:tc>
      </w:tr>
      <w:tr w:rsidR="002408E9" w14:paraId="094650C7" w14:textId="77777777" w:rsidTr="00DD7A1A">
        <w:tc>
          <w:tcPr>
            <w:tcW w:w="3539" w:type="dxa"/>
          </w:tcPr>
          <w:p w14:paraId="307254E3" w14:textId="77777777" w:rsidR="002408E9" w:rsidRDefault="0084474D" w:rsidP="006F3719">
            <w:r>
              <w:t xml:space="preserve">Mental Health and LD </w:t>
            </w:r>
          </w:p>
        </w:tc>
        <w:tc>
          <w:tcPr>
            <w:tcW w:w="5477" w:type="dxa"/>
          </w:tcPr>
          <w:p w14:paraId="2D2F43BC" w14:textId="6304C59B" w:rsidR="002408E9" w:rsidRDefault="00DD7A1A" w:rsidP="006F3719">
            <w:r>
              <w:t>Awareness and Compliance</w:t>
            </w:r>
          </w:p>
        </w:tc>
      </w:tr>
      <w:tr w:rsidR="002408E9" w14:paraId="44F9B3D4" w14:textId="77777777" w:rsidTr="00DD7A1A">
        <w:tc>
          <w:tcPr>
            <w:tcW w:w="3539" w:type="dxa"/>
          </w:tcPr>
          <w:p w14:paraId="69958EB9" w14:textId="77777777" w:rsidR="002408E9" w:rsidRDefault="0084474D" w:rsidP="0084474D">
            <w:r>
              <w:t xml:space="preserve">Community Health Services </w:t>
            </w:r>
          </w:p>
        </w:tc>
        <w:tc>
          <w:tcPr>
            <w:tcW w:w="5477" w:type="dxa"/>
          </w:tcPr>
          <w:p w14:paraId="29914466" w14:textId="7EFB6F92" w:rsidR="002408E9" w:rsidRDefault="00DD7A1A" w:rsidP="006F3719">
            <w:r>
              <w:t>Awareness and Compliance</w:t>
            </w:r>
          </w:p>
        </w:tc>
      </w:tr>
    </w:tbl>
    <w:p w14:paraId="3A749D63" w14:textId="77777777" w:rsidR="006F3719" w:rsidRDefault="006F3719" w:rsidP="006F3719">
      <w:pPr>
        <w:sectPr w:rsidR="006F3719" w:rsidSect="00266359">
          <w:footerReference w:type="even" r:id="rId11"/>
          <w:footerReference w:type="default" r:id="rId12"/>
          <w:headerReference w:type="first" r:id="rId13"/>
          <w:footerReference w:type="first" r:id="rId14"/>
          <w:pgSz w:w="11906" w:h="16838" w:code="9"/>
          <w:pgMar w:top="1440" w:right="1440" w:bottom="1440" w:left="1440" w:header="706" w:footer="706" w:gutter="0"/>
          <w:cols w:space="708"/>
          <w:titlePg/>
          <w:docGrid w:linePitch="360"/>
        </w:sectPr>
      </w:pPr>
    </w:p>
    <w:p w14:paraId="26C6C2D9" w14:textId="77777777" w:rsidR="006F3719" w:rsidRPr="00EB76F2" w:rsidRDefault="006F3719" w:rsidP="006F3719">
      <w:pPr>
        <w:jc w:val="center"/>
        <w:rPr>
          <w:sz w:val="28"/>
          <w:szCs w:val="28"/>
        </w:rPr>
      </w:pPr>
      <w:bookmarkStart w:id="0" w:name="OLE_LINK3"/>
      <w:bookmarkStart w:id="1" w:name="OLE_LINK4"/>
      <w:r>
        <w:rPr>
          <w:sz w:val="28"/>
          <w:szCs w:val="28"/>
        </w:rPr>
        <w:lastRenderedPageBreak/>
        <w:t>Version Control Summary</w:t>
      </w:r>
    </w:p>
    <w:p w14:paraId="322DB72E" w14:textId="77777777" w:rsidR="006F3719" w:rsidRDefault="006F3719" w:rsidP="006F3719">
      <w:pPr>
        <w:rPr>
          <w:b/>
          <w:sz w:val="28"/>
          <w:szCs w:val="28"/>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701"/>
        <w:gridCol w:w="2126"/>
        <w:gridCol w:w="1417"/>
        <w:gridCol w:w="2784"/>
      </w:tblGrid>
      <w:tr w:rsidR="006F3719" w:rsidRPr="00C84CA8" w14:paraId="0A796C02" w14:textId="77777777" w:rsidTr="00BE0469">
        <w:tc>
          <w:tcPr>
            <w:tcW w:w="1277" w:type="dxa"/>
          </w:tcPr>
          <w:p w14:paraId="1ED929F8" w14:textId="77777777" w:rsidR="006F3719" w:rsidRPr="00C84CA8" w:rsidRDefault="006F3719" w:rsidP="00BE0469">
            <w:pPr>
              <w:spacing w:before="0" w:after="0"/>
              <w:rPr>
                <w:b/>
              </w:rPr>
            </w:pPr>
            <w:r w:rsidRPr="00C84CA8">
              <w:rPr>
                <w:b/>
              </w:rPr>
              <w:t>Version</w:t>
            </w:r>
          </w:p>
        </w:tc>
        <w:tc>
          <w:tcPr>
            <w:tcW w:w="1701" w:type="dxa"/>
          </w:tcPr>
          <w:p w14:paraId="0C2BC2CC" w14:textId="77777777" w:rsidR="006F3719" w:rsidRPr="00C84CA8" w:rsidRDefault="006F3719" w:rsidP="00BE0469">
            <w:pPr>
              <w:spacing w:before="0" w:after="0"/>
              <w:rPr>
                <w:b/>
              </w:rPr>
            </w:pPr>
            <w:r w:rsidRPr="00C84CA8">
              <w:rPr>
                <w:b/>
              </w:rPr>
              <w:t>Date</w:t>
            </w:r>
          </w:p>
        </w:tc>
        <w:tc>
          <w:tcPr>
            <w:tcW w:w="2126" w:type="dxa"/>
          </w:tcPr>
          <w:p w14:paraId="05DCCC54" w14:textId="77777777" w:rsidR="006F3719" w:rsidRPr="00C84CA8" w:rsidRDefault="006F3719" w:rsidP="00BE0469">
            <w:pPr>
              <w:spacing w:before="0" w:after="0"/>
              <w:rPr>
                <w:b/>
              </w:rPr>
            </w:pPr>
            <w:r w:rsidRPr="00C84CA8">
              <w:rPr>
                <w:b/>
              </w:rPr>
              <w:t>Author</w:t>
            </w:r>
          </w:p>
        </w:tc>
        <w:tc>
          <w:tcPr>
            <w:tcW w:w="1417" w:type="dxa"/>
          </w:tcPr>
          <w:p w14:paraId="0297592F" w14:textId="77777777" w:rsidR="006F3719" w:rsidRPr="00C84CA8" w:rsidRDefault="006F3719" w:rsidP="00BE0469">
            <w:pPr>
              <w:spacing w:before="0" w:after="0"/>
              <w:rPr>
                <w:b/>
              </w:rPr>
            </w:pPr>
            <w:r w:rsidRPr="00C84CA8">
              <w:rPr>
                <w:b/>
              </w:rPr>
              <w:t>Status</w:t>
            </w:r>
          </w:p>
        </w:tc>
        <w:tc>
          <w:tcPr>
            <w:tcW w:w="2784" w:type="dxa"/>
          </w:tcPr>
          <w:p w14:paraId="03450910" w14:textId="77777777" w:rsidR="006F3719" w:rsidRPr="00C84CA8" w:rsidRDefault="006F3719" w:rsidP="00BE0469">
            <w:pPr>
              <w:spacing w:before="0" w:after="0"/>
              <w:rPr>
                <w:b/>
              </w:rPr>
            </w:pPr>
            <w:r w:rsidRPr="00C84CA8">
              <w:rPr>
                <w:b/>
              </w:rPr>
              <w:t>Comment</w:t>
            </w:r>
          </w:p>
        </w:tc>
      </w:tr>
      <w:tr w:rsidR="006F3719" w14:paraId="52DC2BA6" w14:textId="77777777" w:rsidTr="00BE0469">
        <w:tc>
          <w:tcPr>
            <w:tcW w:w="1277" w:type="dxa"/>
          </w:tcPr>
          <w:p w14:paraId="6F312DE2" w14:textId="77777777" w:rsidR="006F3719" w:rsidRDefault="009E7408" w:rsidP="00C96291">
            <w:r>
              <w:t>0.1</w:t>
            </w:r>
          </w:p>
        </w:tc>
        <w:tc>
          <w:tcPr>
            <w:tcW w:w="1701" w:type="dxa"/>
          </w:tcPr>
          <w:p w14:paraId="4CBA3347" w14:textId="77777777" w:rsidR="006F3719" w:rsidRDefault="009E7408" w:rsidP="00C96291">
            <w:r>
              <w:t>01/11/2023</w:t>
            </w:r>
          </w:p>
        </w:tc>
        <w:tc>
          <w:tcPr>
            <w:tcW w:w="2126" w:type="dxa"/>
          </w:tcPr>
          <w:p w14:paraId="1E4DFC18" w14:textId="77777777" w:rsidR="006F3719" w:rsidRDefault="009E7408" w:rsidP="00C96291">
            <w:r>
              <w:t>Anne Crozier</w:t>
            </w:r>
          </w:p>
        </w:tc>
        <w:tc>
          <w:tcPr>
            <w:tcW w:w="1417" w:type="dxa"/>
          </w:tcPr>
          <w:p w14:paraId="30CCDB45" w14:textId="77777777" w:rsidR="006F3719" w:rsidRDefault="009E7408" w:rsidP="00C96291">
            <w:r>
              <w:t>Draft</w:t>
            </w:r>
          </w:p>
        </w:tc>
        <w:tc>
          <w:tcPr>
            <w:tcW w:w="2784" w:type="dxa"/>
          </w:tcPr>
          <w:p w14:paraId="3E04A289" w14:textId="77777777" w:rsidR="006F3719" w:rsidRDefault="009E7408" w:rsidP="00C96291">
            <w:r>
              <w:t>For Circulation</w:t>
            </w:r>
          </w:p>
        </w:tc>
      </w:tr>
      <w:tr w:rsidR="00F23DE5" w14:paraId="167DEF48" w14:textId="77777777" w:rsidTr="00BE0469">
        <w:tc>
          <w:tcPr>
            <w:tcW w:w="1277" w:type="dxa"/>
          </w:tcPr>
          <w:p w14:paraId="31803593" w14:textId="03E01CAA" w:rsidR="00F23DE5" w:rsidRDefault="00F23DE5" w:rsidP="00C96291">
            <w:r>
              <w:t>0.2</w:t>
            </w:r>
          </w:p>
        </w:tc>
        <w:tc>
          <w:tcPr>
            <w:tcW w:w="1701" w:type="dxa"/>
          </w:tcPr>
          <w:p w14:paraId="1E940FF6" w14:textId="090FCCA5" w:rsidR="00F23DE5" w:rsidRDefault="00F23DE5" w:rsidP="00C96291">
            <w:r>
              <w:t>17/04/2024</w:t>
            </w:r>
          </w:p>
        </w:tc>
        <w:tc>
          <w:tcPr>
            <w:tcW w:w="2126" w:type="dxa"/>
          </w:tcPr>
          <w:p w14:paraId="313515C1" w14:textId="1530C5B0" w:rsidR="00F23DE5" w:rsidRDefault="00F23DE5" w:rsidP="00C96291">
            <w:r>
              <w:t>David Pearson</w:t>
            </w:r>
          </w:p>
        </w:tc>
        <w:tc>
          <w:tcPr>
            <w:tcW w:w="1417" w:type="dxa"/>
          </w:tcPr>
          <w:p w14:paraId="5C90483B" w14:textId="3F0AF5CA" w:rsidR="00F23DE5" w:rsidRDefault="00F23DE5" w:rsidP="00C96291">
            <w:r>
              <w:t>Draft</w:t>
            </w:r>
          </w:p>
        </w:tc>
        <w:tc>
          <w:tcPr>
            <w:tcW w:w="2784" w:type="dxa"/>
          </w:tcPr>
          <w:p w14:paraId="262FE557" w14:textId="45A1A3DD" w:rsidR="00F23DE5" w:rsidRDefault="00F23DE5" w:rsidP="001B7E99">
            <w:r>
              <w:t>Minor change to “</w:t>
            </w:r>
            <w:proofErr w:type="spellStart"/>
            <w:r w:rsidRPr="00F23DE5">
              <w:t>RiO</w:t>
            </w:r>
            <w:proofErr w:type="spellEnd"/>
            <w:r w:rsidRPr="00F23DE5">
              <w:t xml:space="preserve"> Procedure – Removal by the original author</w:t>
            </w:r>
            <w:r>
              <w:t xml:space="preserve">” section to amend process </w:t>
            </w:r>
            <w:r w:rsidR="001B7E99">
              <w:t>if</w:t>
            </w:r>
            <w:r>
              <w:t xml:space="preserve"> note has been validated</w:t>
            </w:r>
          </w:p>
        </w:tc>
      </w:tr>
      <w:tr w:rsidR="00F10A13" w14:paraId="0D4B6C83" w14:textId="77777777" w:rsidTr="00BE0469">
        <w:tc>
          <w:tcPr>
            <w:tcW w:w="1277" w:type="dxa"/>
          </w:tcPr>
          <w:p w14:paraId="6B42BB11" w14:textId="5EA05778" w:rsidR="00F10A13" w:rsidRDefault="00F10A13" w:rsidP="00C96291">
            <w:r>
              <w:t>0.3</w:t>
            </w:r>
          </w:p>
        </w:tc>
        <w:tc>
          <w:tcPr>
            <w:tcW w:w="1701" w:type="dxa"/>
          </w:tcPr>
          <w:p w14:paraId="7A0F7B13" w14:textId="5835C80A" w:rsidR="00F10A13" w:rsidRDefault="00F10A13" w:rsidP="00C96291">
            <w:r>
              <w:t>18/04/2024</w:t>
            </w:r>
          </w:p>
        </w:tc>
        <w:tc>
          <w:tcPr>
            <w:tcW w:w="2126" w:type="dxa"/>
          </w:tcPr>
          <w:p w14:paraId="3EF18A81" w14:textId="6BD93734" w:rsidR="00F10A13" w:rsidRDefault="00F10A13" w:rsidP="00C96291">
            <w:r>
              <w:t>David Pearson</w:t>
            </w:r>
          </w:p>
        </w:tc>
        <w:tc>
          <w:tcPr>
            <w:tcW w:w="1417" w:type="dxa"/>
          </w:tcPr>
          <w:p w14:paraId="535B416B" w14:textId="7FEF30FD" w:rsidR="00F10A13" w:rsidRDefault="00F10A13" w:rsidP="00C96291">
            <w:r>
              <w:t>Draft</w:t>
            </w:r>
          </w:p>
        </w:tc>
        <w:tc>
          <w:tcPr>
            <w:tcW w:w="2784" w:type="dxa"/>
          </w:tcPr>
          <w:p w14:paraId="6EE97571" w14:textId="5228B673" w:rsidR="00F10A13" w:rsidRDefault="00F10A13" w:rsidP="00F10A13">
            <w:r>
              <w:t>Minor change to “</w:t>
            </w:r>
            <w:proofErr w:type="spellStart"/>
            <w:r w:rsidRPr="00F10A13">
              <w:t>RiO</w:t>
            </w:r>
            <w:proofErr w:type="spellEnd"/>
            <w:r w:rsidRPr="00F10A13">
              <w:t xml:space="preserve"> Procedure – Strike-through by the original author</w:t>
            </w:r>
            <w:r>
              <w:t>” section to make it clear that it refers to bullet point 3</w:t>
            </w:r>
          </w:p>
        </w:tc>
      </w:tr>
      <w:bookmarkEnd w:id="0"/>
      <w:bookmarkEnd w:id="1"/>
    </w:tbl>
    <w:p w14:paraId="63835CE3" w14:textId="77777777" w:rsidR="006F3719" w:rsidRDefault="006F3719" w:rsidP="006F3719">
      <w:pPr>
        <w:rPr>
          <w:b/>
          <w:sz w:val="28"/>
          <w:szCs w:val="28"/>
        </w:rPr>
      </w:pPr>
    </w:p>
    <w:p w14:paraId="418F6BA6" w14:textId="77777777" w:rsidR="006F3719" w:rsidRDefault="006F3719" w:rsidP="006F3719">
      <w:pPr>
        <w:rPr>
          <w:b/>
          <w:sz w:val="28"/>
          <w:szCs w:val="28"/>
        </w:rPr>
      </w:pPr>
      <w:r>
        <w:rPr>
          <w:b/>
          <w:sz w:val="28"/>
          <w:szCs w:val="28"/>
        </w:rPr>
        <w:br w:type="page"/>
      </w:r>
    </w:p>
    <w:p w14:paraId="36218A75" w14:textId="77777777" w:rsidR="006F3719" w:rsidRPr="00EB76F2" w:rsidRDefault="006F3719" w:rsidP="006F3719">
      <w:pPr>
        <w:jc w:val="center"/>
        <w:rPr>
          <w:sz w:val="28"/>
          <w:szCs w:val="28"/>
        </w:rPr>
      </w:pPr>
      <w:r w:rsidRPr="00EB76F2">
        <w:rPr>
          <w:sz w:val="28"/>
          <w:szCs w:val="28"/>
        </w:rPr>
        <w:lastRenderedPageBreak/>
        <w:t>Contents</w:t>
      </w:r>
    </w:p>
    <w:tbl>
      <w:tblPr>
        <w:tblW w:w="9104" w:type="dxa"/>
        <w:jc w:val="center"/>
        <w:tblLayout w:type="fixed"/>
        <w:tblLook w:val="01E0" w:firstRow="1" w:lastRow="1" w:firstColumn="1" w:lastColumn="1" w:noHBand="0" w:noVBand="0"/>
      </w:tblPr>
      <w:tblGrid>
        <w:gridCol w:w="1368"/>
        <w:gridCol w:w="6749"/>
        <w:gridCol w:w="987"/>
      </w:tblGrid>
      <w:tr w:rsidR="006F3719" w:rsidRPr="00C84CA8" w14:paraId="138BB995" w14:textId="77777777" w:rsidTr="00AE564A">
        <w:trPr>
          <w:tblHeader/>
          <w:jc w:val="center"/>
        </w:trPr>
        <w:tc>
          <w:tcPr>
            <w:tcW w:w="8117" w:type="dxa"/>
            <w:gridSpan w:val="2"/>
            <w:vAlign w:val="center"/>
          </w:tcPr>
          <w:p w14:paraId="3FC98B76" w14:textId="77777777" w:rsidR="006F3719" w:rsidRPr="00C84CA8" w:rsidRDefault="006F3719" w:rsidP="00C96291">
            <w:pPr>
              <w:rPr>
                <w:b/>
              </w:rPr>
            </w:pPr>
            <w:r w:rsidRPr="00C84CA8">
              <w:rPr>
                <w:b/>
              </w:rPr>
              <w:t>Paragraph</w:t>
            </w:r>
          </w:p>
        </w:tc>
        <w:tc>
          <w:tcPr>
            <w:tcW w:w="987" w:type="dxa"/>
            <w:vAlign w:val="center"/>
          </w:tcPr>
          <w:p w14:paraId="31F8095B" w14:textId="77777777" w:rsidR="006F3719" w:rsidRPr="00C84CA8" w:rsidRDefault="006F3719" w:rsidP="00C96291">
            <w:pPr>
              <w:jc w:val="center"/>
              <w:rPr>
                <w:b/>
              </w:rPr>
            </w:pPr>
            <w:r w:rsidRPr="00C84CA8">
              <w:rPr>
                <w:b/>
              </w:rPr>
              <w:t>Page</w:t>
            </w:r>
          </w:p>
        </w:tc>
      </w:tr>
      <w:tr w:rsidR="006F3719" w:rsidRPr="00C84CA8" w14:paraId="6804A853" w14:textId="77777777" w:rsidTr="00AE564A">
        <w:trPr>
          <w:jc w:val="center"/>
        </w:trPr>
        <w:tc>
          <w:tcPr>
            <w:tcW w:w="1368" w:type="dxa"/>
            <w:vAlign w:val="center"/>
          </w:tcPr>
          <w:p w14:paraId="725B5494" w14:textId="77777777" w:rsidR="006F3719" w:rsidRDefault="006F3719" w:rsidP="00C96291">
            <w:pPr>
              <w:spacing w:before="80" w:after="80"/>
              <w:jc w:val="center"/>
            </w:pPr>
          </w:p>
          <w:p w14:paraId="34C8AE99" w14:textId="77777777" w:rsidR="006F3719" w:rsidRDefault="006F3719" w:rsidP="00C96291">
            <w:pPr>
              <w:spacing w:before="80" w:after="80"/>
              <w:jc w:val="center"/>
            </w:pPr>
          </w:p>
          <w:p w14:paraId="11DEEEBD" w14:textId="77777777" w:rsidR="006F3719" w:rsidRPr="0003298D" w:rsidRDefault="006F3719" w:rsidP="00C96291">
            <w:pPr>
              <w:spacing w:before="80" w:after="80"/>
              <w:jc w:val="center"/>
            </w:pPr>
            <w:r w:rsidRPr="0003298D">
              <w:t>1</w:t>
            </w:r>
          </w:p>
        </w:tc>
        <w:tc>
          <w:tcPr>
            <w:tcW w:w="6749" w:type="dxa"/>
            <w:vAlign w:val="center"/>
          </w:tcPr>
          <w:p w14:paraId="30798341" w14:textId="77777777" w:rsidR="006F3719" w:rsidRDefault="006F3719" w:rsidP="00C96291">
            <w:pPr>
              <w:spacing w:before="80" w:after="80"/>
            </w:pPr>
            <w:r>
              <w:t xml:space="preserve">Executive summary </w:t>
            </w:r>
          </w:p>
          <w:p w14:paraId="40AD301A" w14:textId="77777777" w:rsidR="006F3719" w:rsidRDefault="006F3719" w:rsidP="00C96291">
            <w:pPr>
              <w:spacing w:before="80" w:after="80"/>
            </w:pPr>
          </w:p>
          <w:p w14:paraId="4F1B26F7" w14:textId="77777777" w:rsidR="006F3719" w:rsidRPr="0003298D" w:rsidRDefault="006F3719" w:rsidP="00C96291">
            <w:pPr>
              <w:spacing w:before="80" w:after="80"/>
            </w:pPr>
            <w:r w:rsidRPr="0003298D">
              <w:t>Introduction</w:t>
            </w:r>
          </w:p>
        </w:tc>
        <w:tc>
          <w:tcPr>
            <w:tcW w:w="987" w:type="dxa"/>
            <w:vAlign w:val="center"/>
          </w:tcPr>
          <w:p w14:paraId="487E6C49" w14:textId="77777777" w:rsidR="006F3719" w:rsidRDefault="006F3719" w:rsidP="00C96291">
            <w:pPr>
              <w:spacing w:before="80" w:after="80"/>
              <w:jc w:val="center"/>
            </w:pPr>
          </w:p>
          <w:p w14:paraId="2DC1A1FF" w14:textId="77777777" w:rsidR="00AE564A" w:rsidRDefault="00AE564A" w:rsidP="00C96291">
            <w:pPr>
              <w:spacing w:before="80" w:after="80"/>
              <w:jc w:val="center"/>
            </w:pPr>
          </w:p>
          <w:p w14:paraId="5FB2C38C" w14:textId="500A10A6" w:rsidR="00AE564A" w:rsidRPr="000955F7" w:rsidRDefault="00AE564A" w:rsidP="00C96291">
            <w:pPr>
              <w:spacing w:before="80" w:after="80"/>
              <w:jc w:val="center"/>
            </w:pPr>
            <w:r>
              <w:t>4</w:t>
            </w:r>
          </w:p>
        </w:tc>
      </w:tr>
      <w:tr w:rsidR="006F3719" w:rsidRPr="00C84CA8" w14:paraId="5FC06318" w14:textId="77777777" w:rsidTr="00AE564A">
        <w:trPr>
          <w:jc w:val="center"/>
        </w:trPr>
        <w:tc>
          <w:tcPr>
            <w:tcW w:w="1368" w:type="dxa"/>
            <w:vAlign w:val="center"/>
          </w:tcPr>
          <w:p w14:paraId="04769AEF" w14:textId="0F268D4C" w:rsidR="006F3719" w:rsidRPr="0003298D" w:rsidRDefault="00786597" w:rsidP="00C96291">
            <w:pPr>
              <w:spacing w:before="80" w:after="80"/>
              <w:jc w:val="center"/>
            </w:pPr>
            <w:r>
              <w:t>2</w:t>
            </w:r>
          </w:p>
        </w:tc>
        <w:tc>
          <w:tcPr>
            <w:tcW w:w="6749" w:type="dxa"/>
            <w:vAlign w:val="center"/>
          </w:tcPr>
          <w:p w14:paraId="552275C6" w14:textId="77777777" w:rsidR="006F3719" w:rsidRPr="0003298D" w:rsidRDefault="006F3719" w:rsidP="00C96291">
            <w:pPr>
              <w:spacing w:before="80" w:after="80"/>
            </w:pPr>
            <w:r>
              <w:t>Duties</w:t>
            </w:r>
            <w:r w:rsidR="0084474D">
              <w:t xml:space="preserve"> and Responsibilities </w:t>
            </w:r>
          </w:p>
        </w:tc>
        <w:tc>
          <w:tcPr>
            <w:tcW w:w="987" w:type="dxa"/>
            <w:vAlign w:val="center"/>
          </w:tcPr>
          <w:p w14:paraId="260D1A8D" w14:textId="259F54F8" w:rsidR="006F3719" w:rsidRPr="000955F7" w:rsidRDefault="00AE564A" w:rsidP="00C96291">
            <w:pPr>
              <w:spacing w:before="80" w:after="80"/>
              <w:jc w:val="center"/>
            </w:pPr>
            <w:r>
              <w:t>4</w:t>
            </w:r>
          </w:p>
        </w:tc>
      </w:tr>
      <w:tr w:rsidR="006F3719" w:rsidRPr="00C84CA8" w14:paraId="70BEE4C2" w14:textId="77777777" w:rsidTr="00AE564A">
        <w:trPr>
          <w:jc w:val="center"/>
        </w:trPr>
        <w:tc>
          <w:tcPr>
            <w:tcW w:w="1368" w:type="dxa"/>
            <w:vAlign w:val="center"/>
          </w:tcPr>
          <w:p w14:paraId="72A681AF" w14:textId="33E906E4" w:rsidR="006F3719" w:rsidRPr="0003298D" w:rsidRDefault="00786597" w:rsidP="00C96291">
            <w:pPr>
              <w:spacing w:before="80" w:after="80"/>
              <w:jc w:val="center"/>
            </w:pPr>
            <w:r>
              <w:t>3</w:t>
            </w:r>
          </w:p>
        </w:tc>
        <w:tc>
          <w:tcPr>
            <w:tcW w:w="6749" w:type="dxa"/>
            <w:vAlign w:val="center"/>
          </w:tcPr>
          <w:p w14:paraId="78C9FAFA" w14:textId="6CD669AB" w:rsidR="006F3719" w:rsidRPr="0057735B" w:rsidRDefault="006E7409" w:rsidP="00C96291">
            <w:pPr>
              <w:spacing w:before="80" w:after="80"/>
            </w:pPr>
            <w:r>
              <w:t>Principles &amp; Procedure</w:t>
            </w:r>
          </w:p>
        </w:tc>
        <w:tc>
          <w:tcPr>
            <w:tcW w:w="987" w:type="dxa"/>
            <w:vAlign w:val="center"/>
          </w:tcPr>
          <w:p w14:paraId="77AE31F1" w14:textId="23614383" w:rsidR="006F3719" w:rsidRPr="000955F7" w:rsidRDefault="00AE564A" w:rsidP="00C96291">
            <w:pPr>
              <w:spacing w:before="80" w:after="80"/>
              <w:jc w:val="center"/>
            </w:pPr>
            <w:r>
              <w:t>5</w:t>
            </w:r>
          </w:p>
        </w:tc>
      </w:tr>
      <w:tr w:rsidR="006D6E97" w:rsidRPr="00C84CA8" w14:paraId="2C9509D7" w14:textId="77777777" w:rsidTr="00AE564A">
        <w:trPr>
          <w:jc w:val="center"/>
        </w:trPr>
        <w:tc>
          <w:tcPr>
            <w:tcW w:w="1368" w:type="dxa"/>
            <w:vAlign w:val="center"/>
          </w:tcPr>
          <w:p w14:paraId="665ACA34" w14:textId="5BEAC240" w:rsidR="006D6E97" w:rsidRDefault="00786597" w:rsidP="00C96291">
            <w:pPr>
              <w:spacing w:before="80" w:after="80"/>
              <w:jc w:val="center"/>
            </w:pPr>
            <w:r>
              <w:t>4</w:t>
            </w:r>
          </w:p>
        </w:tc>
        <w:tc>
          <w:tcPr>
            <w:tcW w:w="6749" w:type="dxa"/>
            <w:vAlign w:val="center"/>
          </w:tcPr>
          <w:p w14:paraId="440C241A" w14:textId="77777777" w:rsidR="006D6E97" w:rsidRDefault="006D6E97" w:rsidP="00C96291">
            <w:pPr>
              <w:spacing w:before="80" w:after="80"/>
            </w:pPr>
            <w:r>
              <w:t>Monitoring</w:t>
            </w:r>
          </w:p>
        </w:tc>
        <w:tc>
          <w:tcPr>
            <w:tcW w:w="987" w:type="dxa"/>
            <w:vAlign w:val="center"/>
          </w:tcPr>
          <w:p w14:paraId="20D1D2E9" w14:textId="0132509A" w:rsidR="006D6E97" w:rsidRPr="000955F7" w:rsidRDefault="00AE564A" w:rsidP="00C96291">
            <w:pPr>
              <w:spacing w:before="80" w:after="80"/>
              <w:jc w:val="center"/>
            </w:pPr>
            <w:r>
              <w:t>7</w:t>
            </w:r>
          </w:p>
        </w:tc>
      </w:tr>
      <w:tr w:rsidR="006F3719" w:rsidRPr="00C84CA8" w14:paraId="1167BCEE" w14:textId="77777777" w:rsidTr="00AE564A">
        <w:trPr>
          <w:jc w:val="center"/>
        </w:trPr>
        <w:tc>
          <w:tcPr>
            <w:tcW w:w="1368" w:type="dxa"/>
            <w:vAlign w:val="center"/>
          </w:tcPr>
          <w:p w14:paraId="6CA744BC" w14:textId="34956FE3" w:rsidR="006F3719" w:rsidRDefault="00786597" w:rsidP="00C96291">
            <w:pPr>
              <w:spacing w:before="80" w:after="80"/>
              <w:jc w:val="center"/>
            </w:pPr>
            <w:r>
              <w:t>5</w:t>
            </w:r>
          </w:p>
        </w:tc>
        <w:tc>
          <w:tcPr>
            <w:tcW w:w="6749" w:type="dxa"/>
            <w:vAlign w:val="center"/>
          </w:tcPr>
          <w:p w14:paraId="6804D303" w14:textId="77777777" w:rsidR="006F3719" w:rsidRPr="00DB0A67" w:rsidRDefault="006F3719" w:rsidP="00C96291">
            <w:pPr>
              <w:spacing w:before="80" w:after="80"/>
            </w:pPr>
            <w:r>
              <w:t>References</w:t>
            </w:r>
          </w:p>
        </w:tc>
        <w:tc>
          <w:tcPr>
            <w:tcW w:w="987" w:type="dxa"/>
            <w:vAlign w:val="center"/>
          </w:tcPr>
          <w:p w14:paraId="1C1FF787" w14:textId="4921B76F" w:rsidR="006F3719" w:rsidRPr="00B7156A" w:rsidRDefault="00886A8D" w:rsidP="00C96291">
            <w:pPr>
              <w:spacing w:before="80" w:after="80"/>
              <w:jc w:val="center"/>
            </w:pPr>
            <w:r>
              <w:t>8</w:t>
            </w:r>
            <w:bookmarkStart w:id="2" w:name="_GoBack"/>
            <w:bookmarkEnd w:id="2"/>
          </w:p>
        </w:tc>
      </w:tr>
    </w:tbl>
    <w:p w14:paraId="47FDC69B" w14:textId="704070E4" w:rsidR="006F3719" w:rsidRPr="0010773A" w:rsidRDefault="009E7408" w:rsidP="0010773A">
      <w:r>
        <w:br w:type="page"/>
      </w:r>
      <w:r w:rsidRPr="0010773A">
        <w:rPr>
          <w:b/>
        </w:rPr>
        <w:t>Executive Summary</w:t>
      </w:r>
    </w:p>
    <w:p w14:paraId="243B670A" w14:textId="7EDF05C3" w:rsidR="003718AF" w:rsidRDefault="00AB3A25" w:rsidP="006F3719">
      <w:r>
        <w:t xml:space="preserve">This </w:t>
      </w:r>
      <w:r w:rsidR="00DD7A1A">
        <w:t>policy</w:t>
      </w:r>
      <w:r w:rsidR="009E7408">
        <w:t xml:space="preserve"> describe</w:t>
      </w:r>
      <w:r w:rsidR="00ED408F">
        <w:t>s</w:t>
      </w:r>
      <w:r w:rsidR="009E7408">
        <w:t xml:space="preserve"> </w:t>
      </w:r>
      <w:r w:rsidR="00DF4A89">
        <w:t xml:space="preserve">the </w:t>
      </w:r>
      <w:r w:rsidR="00EE0ADC">
        <w:t xml:space="preserve">controls in place to safely, </w:t>
      </w:r>
      <w:r w:rsidR="00DF4A89">
        <w:t>effectively</w:t>
      </w:r>
      <w:r w:rsidR="00EE0ADC">
        <w:t xml:space="preserve"> and consistently</w:t>
      </w:r>
      <w:r w:rsidR="00DF4A89">
        <w:t xml:space="preserve"> manage </w:t>
      </w:r>
      <w:r w:rsidR="003B6581">
        <w:t xml:space="preserve">incorrect entries into clinical and care records on East London NHS Foundation Trust </w:t>
      </w:r>
      <w:r w:rsidR="00ED408F">
        <w:t xml:space="preserve">(hereafter referred to as ELFT) </w:t>
      </w:r>
      <w:r w:rsidR="003B6581">
        <w:t>Electronic Patient Record systems.</w:t>
      </w:r>
      <w:r w:rsidR="00ED408F">
        <w:t xml:space="preserve"> </w:t>
      </w:r>
    </w:p>
    <w:p w14:paraId="2A04AEE6" w14:textId="658A63F6" w:rsidR="0010773A" w:rsidRDefault="00ED408F" w:rsidP="006F3719">
      <w:r>
        <w:t xml:space="preserve">As a provider of National Health Services, ELFT </w:t>
      </w:r>
      <w:r w:rsidR="00EE0ADC">
        <w:t xml:space="preserve">and its employees have a legal duty and professional responsibility </w:t>
      </w:r>
      <w:r w:rsidR="00DF2BD3">
        <w:t xml:space="preserve">to ensure that all personal-identifiable information is processed fairly, lawfully, and as transparently as possible. </w:t>
      </w:r>
      <w:r w:rsidR="00C01F38">
        <w:t>Part of</w:t>
      </w:r>
      <w:r w:rsidR="003718AF">
        <w:t xml:space="preserve"> that</w:t>
      </w:r>
      <w:r w:rsidR="00C01F38">
        <w:t xml:space="preserve"> fair and lawful processing is ensuring that health and care records are accurate and kept up to date</w:t>
      </w:r>
      <w:r w:rsidR="003718AF">
        <w:t>, and part of that transparency is ensuring that inaccuracies are identified</w:t>
      </w:r>
      <w:r w:rsidR="00A26278">
        <w:t xml:space="preserve"> and</w:t>
      </w:r>
      <w:r w:rsidR="003718AF">
        <w:t xml:space="preserve"> corrected, with</w:t>
      </w:r>
      <w:r w:rsidR="00A26278">
        <w:t xml:space="preserve"> full visibility of the correction where appropriate. This policy sets out to define this appropriateness, providing a tool for decision-making regarding </w:t>
      </w:r>
      <w:r w:rsidR="006136CD">
        <w:t xml:space="preserve">the correction of </w:t>
      </w:r>
      <w:r w:rsidR="00A26278">
        <w:t>health and care rec</w:t>
      </w:r>
      <w:r w:rsidR="00786597">
        <w:t>ords, and details the steps that should be subsequently followed.</w:t>
      </w:r>
    </w:p>
    <w:p w14:paraId="33EE1983" w14:textId="77777777" w:rsidR="0010773A" w:rsidRDefault="0010773A" w:rsidP="006F3719"/>
    <w:p w14:paraId="626B061B" w14:textId="1647CAB6" w:rsidR="0010773A" w:rsidRPr="0010773A" w:rsidRDefault="0010773A" w:rsidP="0010773A">
      <w:pPr>
        <w:pStyle w:val="ListParagraph"/>
        <w:numPr>
          <w:ilvl w:val="0"/>
          <w:numId w:val="2"/>
        </w:numPr>
        <w:rPr>
          <w:b/>
        </w:rPr>
      </w:pPr>
      <w:r w:rsidRPr="0010773A">
        <w:rPr>
          <w:b/>
        </w:rPr>
        <w:t>Introduction</w:t>
      </w:r>
    </w:p>
    <w:p w14:paraId="5258C294" w14:textId="119C924D" w:rsidR="00786597" w:rsidRDefault="00C60A69" w:rsidP="00786597">
      <w:r>
        <w:t>T</w:t>
      </w:r>
      <w:r w:rsidR="00AB3A25">
        <w:t xml:space="preserve">his </w:t>
      </w:r>
      <w:r w:rsidR="00DD7A1A">
        <w:t>policy</w:t>
      </w:r>
      <w:r>
        <w:t xml:space="preserve"> </w:t>
      </w:r>
      <w:r w:rsidR="00AB3A25">
        <w:t xml:space="preserve">is intended as an extension to, and </w:t>
      </w:r>
      <w:r>
        <w:t xml:space="preserve">should be read in conjunction with ELFT Clinical Record Keeping Policy. </w:t>
      </w:r>
      <w:r w:rsidR="00AB3A25">
        <w:t>It covers</w:t>
      </w:r>
      <w:r w:rsidR="00786597">
        <w:t xml:space="preserve"> specifically the adequate correction of inaccuracies in records contained within</w:t>
      </w:r>
      <w:r w:rsidR="00AB3A25">
        <w:t xml:space="preserve"> ELFT’s main Electronic Patient Record keeping systems, namely </w:t>
      </w:r>
      <w:proofErr w:type="spellStart"/>
      <w:r w:rsidR="00AB3A25">
        <w:t>RiO</w:t>
      </w:r>
      <w:proofErr w:type="spellEnd"/>
      <w:r w:rsidR="00AB3A25">
        <w:t xml:space="preserve">, EMIS, and </w:t>
      </w:r>
      <w:proofErr w:type="spellStart"/>
      <w:r w:rsidR="00AB3A25">
        <w:t>SystmOne</w:t>
      </w:r>
      <w:proofErr w:type="spellEnd"/>
      <w:r w:rsidR="00786597">
        <w:t xml:space="preserve"> only, although the principles it is based on are</w:t>
      </w:r>
      <w:r w:rsidR="00DD7A1A">
        <w:t xml:space="preserve"> system agnostic. This policy</w:t>
      </w:r>
      <w:r w:rsidR="00786597">
        <w:t xml:space="preserve"> should be referred &amp; adhered to when an inaccuracy in an electronic patient record has been identified. </w:t>
      </w:r>
    </w:p>
    <w:p w14:paraId="684EEF5C" w14:textId="77777777" w:rsidR="00786597" w:rsidRDefault="00786597" w:rsidP="00786597"/>
    <w:p w14:paraId="0CCC430F" w14:textId="3647668F" w:rsidR="00786597" w:rsidRDefault="00786597" w:rsidP="00786597">
      <w:pPr>
        <w:pStyle w:val="ListParagraph"/>
        <w:numPr>
          <w:ilvl w:val="0"/>
          <w:numId w:val="2"/>
        </w:numPr>
        <w:rPr>
          <w:b/>
        </w:rPr>
      </w:pPr>
      <w:r w:rsidRPr="00786597">
        <w:rPr>
          <w:b/>
        </w:rPr>
        <w:t>Duties and Responsibilities</w:t>
      </w:r>
    </w:p>
    <w:p w14:paraId="6C36447A" w14:textId="3AE5E894" w:rsidR="00786597" w:rsidRDefault="00786597" w:rsidP="00786597">
      <w:r w:rsidRPr="00786597">
        <w:t>Appropriate records management is the responsibility of all staff within ELFT</w:t>
      </w:r>
      <w:r w:rsidR="005E32DB">
        <w:t>, and all staff should ensure that they understand their duties regarding this</w:t>
      </w:r>
      <w:r w:rsidRPr="00786597">
        <w:t xml:space="preserve">. </w:t>
      </w:r>
      <w:r w:rsidR="005E32DB">
        <w:t xml:space="preserve">This </w:t>
      </w:r>
      <w:r w:rsidR="00DD7A1A">
        <w:t>policy</w:t>
      </w:r>
      <w:r w:rsidR="005E32DB">
        <w:t xml:space="preserve"> relates only to electronic health records of service-users and therefore the following staff/bodies have specific</w:t>
      </w:r>
      <w:r w:rsidR="0067554E">
        <w:t xml:space="preserve"> additional</w:t>
      </w:r>
      <w:r w:rsidR="005E32DB">
        <w:t xml:space="preserve"> duties.</w:t>
      </w:r>
    </w:p>
    <w:p w14:paraId="043AB85B" w14:textId="24961D28" w:rsidR="005E32DB" w:rsidRPr="0046290E" w:rsidRDefault="005E32DB" w:rsidP="0046290E">
      <w:pPr>
        <w:pStyle w:val="ListParagraph"/>
        <w:numPr>
          <w:ilvl w:val="0"/>
          <w:numId w:val="3"/>
        </w:numPr>
        <w:rPr>
          <w:b/>
        </w:rPr>
      </w:pPr>
      <w:r w:rsidRPr="0046290E">
        <w:rPr>
          <w:b/>
        </w:rPr>
        <w:t>Information Governance Steering Group</w:t>
      </w:r>
    </w:p>
    <w:p w14:paraId="6194CCAE" w14:textId="0DAB763F" w:rsidR="005E32DB" w:rsidRDefault="005E32DB" w:rsidP="00786597">
      <w:r>
        <w:t xml:space="preserve">This body holds overall responsibility for this </w:t>
      </w:r>
      <w:r w:rsidR="00DD7A1A">
        <w:t xml:space="preserve">policy </w:t>
      </w:r>
      <w:r>
        <w:t>and</w:t>
      </w:r>
      <w:r w:rsidR="0046290E">
        <w:t xml:space="preserve"> all</w:t>
      </w:r>
      <w:r>
        <w:t xml:space="preserve"> records management </w:t>
      </w:r>
      <w:r w:rsidR="0046290E">
        <w:t>related policy and procedures. They will ratify this p</w:t>
      </w:r>
      <w:r w:rsidR="00DD7A1A">
        <w:t>olicy</w:t>
      </w:r>
      <w:r w:rsidR="0046290E">
        <w:t xml:space="preserve"> and ensure that it is reviewed and updated every 3 years, or as soon after published changes to relevant legislation or guidance</w:t>
      </w:r>
      <w:r w:rsidR="00070C58">
        <w:t xml:space="preserve"> as possible</w:t>
      </w:r>
      <w:r w:rsidR="0046290E">
        <w:t>.</w:t>
      </w:r>
    </w:p>
    <w:p w14:paraId="05D6A77E" w14:textId="0E635787" w:rsidR="00786597" w:rsidRPr="0046290E" w:rsidRDefault="00786597" w:rsidP="0046290E">
      <w:pPr>
        <w:pStyle w:val="ListParagraph"/>
        <w:numPr>
          <w:ilvl w:val="0"/>
          <w:numId w:val="3"/>
        </w:numPr>
        <w:rPr>
          <w:b/>
        </w:rPr>
      </w:pPr>
      <w:r w:rsidRPr="0046290E">
        <w:rPr>
          <w:b/>
        </w:rPr>
        <w:t>Health and Care Professionals</w:t>
      </w:r>
    </w:p>
    <w:p w14:paraId="779D8473" w14:textId="10EB39E3" w:rsidR="0046290E" w:rsidRDefault="0046290E" w:rsidP="00786597">
      <w:r w:rsidRPr="0046290E">
        <w:t>Health &amp; Care Professionals</w:t>
      </w:r>
      <w:r>
        <w:t xml:space="preserve"> are responsible for adherence to the steps contained within this </w:t>
      </w:r>
      <w:r w:rsidR="00DD7A1A">
        <w:t xml:space="preserve">policy </w:t>
      </w:r>
      <w:r>
        <w:t>and the Clinical Record Keeping Policy.</w:t>
      </w:r>
      <w:r w:rsidR="00FD2B61">
        <w:t xml:space="preserve"> Where a mistake has been made the person who made the inaccurate entry is responsible for </w:t>
      </w:r>
      <w:r w:rsidR="00272F1F">
        <w:t>its</w:t>
      </w:r>
      <w:r w:rsidR="00FD2B61">
        <w:t xml:space="preserve"> rectification and for making a judgement on which course of action to follow as per this p</w:t>
      </w:r>
      <w:r w:rsidR="00DD7A1A">
        <w:t>olicy</w:t>
      </w:r>
      <w:r w:rsidR="00FD2B61">
        <w:t>.</w:t>
      </w:r>
    </w:p>
    <w:p w14:paraId="256FECB4" w14:textId="531C5480" w:rsidR="0067554E" w:rsidRPr="0067554E" w:rsidRDefault="0067554E" w:rsidP="0067554E">
      <w:pPr>
        <w:pStyle w:val="ListParagraph"/>
        <w:numPr>
          <w:ilvl w:val="0"/>
          <w:numId w:val="3"/>
        </w:numPr>
        <w:rPr>
          <w:b/>
        </w:rPr>
      </w:pPr>
      <w:r w:rsidRPr="0067554E">
        <w:rPr>
          <w:b/>
        </w:rPr>
        <w:t xml:space="preserve">All </w:t>
      </w:r>
      <w:r>
        <w:rPr>
          <w:b/>
        </w:rPr>
        <w:t>users of Clinical S</w:t>
      </w:r>
      <w:r w:rsidRPr="0067554E">
        <w:rPr>
          <w:b/>
        </w:rPr>
        <w:t>ystems</w:t>
      </w:r>
    </w:p>
    <w:p w14:paraId="18C0DCAB" w14:textId="03B786D0" w:rsidR="00FD2B61" w:rsidRDefault="0067554E" w:rsidP="0067554E">
      <w:r>
        <w:t xml:space="preserve">Any user of any of our clinical systems can identify an inaccuracy within an electronic patient record. They </w:t>
      </w:r>
      <w:r w:rsidR="00FD2B61">
        <w:t>have a responsibility to raise</w:t>
      </w:r>
      <w:r>
        <w:t xml:space="preserve"> this to the professional who</w:t>
      </w:r>
      <w:r w:rsidR="00FD2B61">
        <w:t xml:space="preserve"> made the entry into the record as an initial step. If that person is no longer in the role, then they should raise it with the relevant service manager.</w:t>
      </w:r>
    </w:p>
    <w:p w14:paraId="32BB9894" w14:textId="2B6596C8" w:rsidR="00272F1F" w:rsidRDefault="00272F1F" w:rsidP="0067554E"/>
    <w:p w14:paraId="73563E0F" w14:textId="77777777" w:rsidR="00272F1F" w:rsidRPr="0046290E" w:rsidRDefault="00272F1F" w:rsidP="0067554E"/>
    <w:p w14:paraId="220A65AC" w14:textId="1F6A6EAC" w:rsidR="00786597" w:rsidRPr="0046290E" w:rsidRDefault="00786597" w:rsidP="0046290E">
      <w:pPr>
        <w:pStyle w:val="ListParagraph"/>
        <w:numPr>
          <w:ilvl w:val="0"/>
          <w:numId w:val="3"/>
        </w:numPr>
        <w:rPr>
          <w:b/>
        </w:rPr>
      </w:pPr>
      <w:r w:rsidRPr="0046290E">
        <w:rPr>
          <w:b/>
        </w:rPr>
        <w:t>Clinical Systems Services</w:t>
      </w:r>
    </w:p>
    <w:p w14:paraId="11BB8DFE" w14:textId="48C808FB" w:rsidR="005E32DB" w:rsidRDefault="005E32DB" w:rsidP="00786597">
      <w:r>
        <w:t xml:space="preserve">Clinical Systems Services are responsible for </w:t>
      </w:r>
      <w:r w:rsidR="00FB543F">
        <w:t>advising Health &amp; Care Professionals on the technical aspects of clinical system usage in adhering to the steps laid out in this p</w:t>
      </w:r>
      <w:r w:rsidR="00DD7A1A">
        <w:t>olicy</w:t>
      </w:r>
      <w:r w:rsidR="00FB543F">
        <w:t>.</w:t>
      </w:r>
      <w:r w:rsidR="0067554E">
        <w:t xml:space="preserve"> They are also responsible for running any system related audits as necessary.</w:t>
      </w:r>
      <w:r w:rsidR="00EF7CCA">
        <w:t xml:space="preserve"> They will be able to support services with removal where the original author is no longer in post.</w:t>
      </w:r>
    </w:p>
    <w:p w14:paraId="4994268A" w14:textId="3D75C2AD" w:rsidR="005E32DB" w:rsidRDefault="001F20CC" w:rsidP="00FB543F">
      <w:pPr>
        <w:pStyle w:val="ListParagraph"/>
        <w:numPr>
          <w:ilvl w:val="0"/>
          <w:numId w:val="3"/>
        </w:numPr>
        <w:rPr>
          <w:b/>
        </w:rPr>
      </w:pPr>
      <w:proofErr w:type="spellStart"/>
      <w:r>
        <w:rPr>
          <w:b/>
        </w:rPr>
        <w:t>Caldi</w:t>
      </w:r>
      <w:r w:rsidR="00FB543F" w:rsidRPr="00FB543F">
        <w:rPr>
          <w:b/>
        </w:rPr>
        <w:t>cott</w:t>
      </w:r>
      <w:proofErr w:type="spellEnd"/>
      <w:r w:rsidR="005E32DB" w:rsidRPr="00FB543F">
        <w:rPr>
          <w:b/>
        </w:rPr>
        <w:t xml:space="preserve"> Guardian</w:t>
      </w:r>
    </w:p>
    <w:p w14:paraId="69BA41CF" w14:textId="608EB8A1" w:rsidR="000512F5" w:rsidRPr="000512F5" w:rsidRDefault="00070C58" w:rsidP="000512F5">
      <w:pPr>
        <w:rPr>
          <w:b/>
        </w:rPr>
      </w:pPr>
      <w:r>
        <w:t xml:space="preserve">The </w:t>
      </w:r>
      <w:proofErr w:type="spellStart"/>
      <w:r>
        <w:t>Caldicott</w:t>
      </w:r>
      <w:proofErr w:type="spellEnd"/>
      <w:r>
        <w:t xml:space="preserve"> Guardian is ultimately responsible for making the decision on the appropriate course of action to take regarding the removal of inaccurate information from electronic patient records on a case by case basis.</w:t>
      </w:r>
    </w:p>
    <w:p w14:paraId="092CD54B" w14:textId="1BEE0442" w:rsidR="00EE0ADC" w:rsidRDefault="0010773A" w:rsidP="006F3719">
      <w:r>
        <w:t xml:space="preserve">In 2022, NHS England published guidance approved by the Health and Care Information Governance Panel, the Information Commissioners Office, and the National Data Guardian, on amending patient and service-user records. The guidance covers how staff should amend records, </w:t>
      </w:r>
      <w:r w:rsidR="00DF2BD3">
        <w:t>as well as</w:t>
      </w:r>
      <w:r>
        <w:t xml:space="preserve"> how patients and service-users can request changes to their records.</w:t>
      </w:r>
      <w:r w:rsidR="00DF2BD3">
        <w:t xml:space="preserve"> </w:t>
      </w:r>
    </w:p>
    <w:p w14:paraId="27BE5AC3" w14:textId="6547960D" w:rsidR="00EE0ADC" w:rsidRDefault="00EE0ADC" w:rsidP="006F3719"/>
    <w:p w14:paraId="48E9E7D9" w14:textId="4E0122FD" w:rsidR="00F63C79" w:rsidRDefault="006E7409" w:rsidP="00F63C79">
      <w:pPr>
        <w:pStyle w:val="ListParagraph"/>
        <w:numPr>
          <w:ilvl w:val="0"/>
          <w:numId w:val="2"/>
        </w:numPr>
        <w:rPr>
          <w:b/>
        </w:rPr>
      </w:pPr>
      <w:r w:rsidRPr="006E7409">
        <w:rPr>
          <w:b/>
        </w:rPr>
        <w:t>Principles and Procedures</w:t>
      </w:r>
    </w:p>
    <w:p w14:paraId="1CA82339" w14:textId="77777777" w:rsidR="00F63C79" w:rsidRPr="00F63C79" w:rsidRDefault="00F63C79" w:rsidP="00F63C79">
      <w:pPr>
        <w:pStyle w:val="ListParagraph"/>
        <w:rPr>
          <w:b/>
        </w:rPr>
      </w:pPr>
    </w:p>
    <w:p w14:paraId="55BB3CD5" w14:textId="77777777" w:rsidR="00F63C79" w:rsidRDefault="00F63C79" w:rsidP="006E7409">
      <w:pPr>
        <w:pStyle w:val="ListParagraph"/>
        <w:numPr>
          <w:ilvl w:val="0"/>
          <w:numId w:val="3"/>
        </w:numPr>
        <w:rPr>
          <w:b/>
        </w:rPr>
      </w:pPr>
      <w:r w:rsidRPr="00F63C79">
        <w:rPr>
          <w:b/>
        </w:rPr>
        <w:t>Principles</w:t>
      </w:r>
    </w:p>
    <w:p w14:paraId="1BAF83DF" w14:textId="64F340B9" w:rsidR="00F63C79" w:rsidRDefault="00F63C79" w:rsidP="003920C7">
      <w:pPr>
        <w:jc w:val="left"/>
      </w:pPr>
      <w:r w:rsidRPr="00F63C79">
        <w:t xml:space="preserve">Where a request for removal has been received (either from another user or from the subject themselves) for an entry that is factually accurate, </w:t>
      </w:r>
      <w:r>
        <w:t xml:space="preserve">it </w:t>
      </w:r>
      <w:r w:rsidRPr="00F63C79">
        <w:t>should not be removed.</w:t>
      </w:r>
    </w:p>
    <w:p w14:paraId="64F073BF" w14:textId="1BA4BADC" w:rsidR="00F63C79" w:rsidRDefault="00F63C79" w:rsidP="003920C7">
      <w:pPr>
        <w:jc w:val="left"/>
      </w:pPr>
      <w:r>
        <w:t>Where a request for removal has been received (either from another user or from the subject themselves) for an entry which was factually accurate at the time it was entered but has since changed, it should not be removed.</w:t>
      </w:r>
    </w:p>
    <w:p w14:paraId="3BCB61FD" w14:textId="11124BD1" w:rsidR="00F63C79" w:rsidRDefault="00F63C79" w:rsidP="003920C7">
      <w:pPr>
        <w:jc w:val="left"/>
      </w:pPr>
      <w:r>
        <w:t xml:space="preserve">All mistakes and inaccuracies should be </w:t>
      </w:r>
      <w:r w:rsidR="00ED2162">
        <w:t>corrected immediately, or as close to the time of original entry as possible</w:t>
      </w:r>
    </w:p>
    <w:p w14:paraId="05F346BA" w14:textId="5FA867FA" w:rsidR="00CA582F" w:rsidRDefault="00CA582F" w:rsidP="003920C7">
      <w:pPr>
        <w:jc w:val="left"/>
      </w:pPr>
      <w:r>
        <w:t xml:space="preserve">In all circumstances, original entries are retained intact with their metadata within the clinical systems and are available to view </w:t>
      </w:r>
      <w:r w:rsidR="00DA75BD">
        <w:t>on the electronic patient record with the correct access rights</w:t>
      </w:r>
    </w:p>
    <w:p w14:paraId="2F5309CE" w14:textId="7E2647C0" w:rsidR="002F6958" w:rsidRDefault="002F6958" w:rsidP="003920C7">
      <w:pPr>
        <w:jc w:val="left"/>
      </w:pPr>
      <w:r>
        <w:t>Corrections should be made by the original author as far as possible, where this is not possible a call should be logged to the clinical systems support team who will be able to take this action</w:t>
      </w:r>
    </w:p>
    <w:p w14:paraId="1D9B92E7" w14:textId="5896977E" w:rsidR="00B01FBF" w:rsidRDefault="00B01FBF" w:rsidP="003920C7">
      <w:pPr>
        <w:jc w:val="left"/>
      </w:pPr>
      <w:r>
        <w:t>Where an incorrect entry has been identified by another service (such as the Information Rights team when processing a SAR) they should notify the relevant clinical team who are then responsible for taking appropriate action to correct the data</w:t>
      </w:r>
    </w:p>
    <w:p w14:paraId="1D1520F4" w14:textId="5D530423" w:rsidR="00DA75BD" w:rsidRDefault="00DA75BD" w:rsidP="003920C7">
      <w:pPr>
        <w:jc w:val="left"/>
      </w:pPr>
      <w:r>
        <w:t xml:space="preserve">Corrections should never be made </w:t>
      </w:r>
      <w:r w:rsidR="00B01FBF">
        <w:t>to avoid disclosure as part</w:t>
      </w:r>
      <w:r>
        <w:t xml:space="preserve"> of a Subject Access Request as this contravenes </w:t>
      </w:r>
      <w:r w:rsidR="003920C7">
        <w:t>the Data Protection Act 2018</w:t>
      </w:r>
    </w:p>
    <w:p w14:paraId="330E4AFE" w14:textId="2E08EF08" w:rsidR="002F6958" w:rsidRDefault="002F6958" w:rsidP="00AB5D2C">
      <w:r>
        <w:t xml:space="preserve">For the purposes of this </w:t>
      </w:r>
      <w:r w:rsidR="00DD7A1A">
        <w:t>policy</w:t>
      </w:r>
      <w:r>
        <w:t xml:space="preserve"> inaccurate information is categorised in to risk levels as follows:-</w:t>
      </w:r>
    </w:p>
    <w:tbl>
      <w:tblPr>
        <w:tblStyle w:val="TableGrid"/>
        <w:tblW w:w="0" w:type="auto"/>
        <w:tblInd w:w="-5" w:type="dxa"/>
        <w:tblLook w:val="04A0" w:firstRow="1" w:lastRow="0" w:firstColumn="1" w:lastColumn="0" w:noHBand="0" w:noVBand="1"/>
      </w:tblPr>
      <w:tblGrid>
        <w:gridCol w:w="4678"/>
        <w:gridCol w:w="1780"/>
        <w:gridCol w:w="2563"/>
      </w:tblGrid>
      <w:tr w:rsidR="00B87080" w14:paraId="11E4769A" w14:textId="057A2B34" w:rsidTr="00F71B7E">
        <w:trPr>
          <w:trHeight w:val="295"/>
        </w:trPr>
        <w:tc>
          <w:tcPr>
            <w:tcW w:w="4678" w:type="dxa"/>
          </w:tcPr>
          <w:p w14:paraId="6D29A51D" w14:textId="290CDF48" w:rsidR="00B87080" w:rsidRPr="00F71B7E" w:rsidRDefault="00B87080" w:rsidP="00B87080">
            <w:pPr>
              <w:spacing w:before="0"/>
              <w:rPr>
                <w:b/>
              </w:rPr>
            </w:pPr>
            <w:r w:rsidRPr="00F71B7E">
              <w:rPr>
                <w:b/>
              </w:rPr>
              <w:t>Circumstance</w:t>
            </w:r>
          </w:p>
        </w:tc>
        <w:tc>
          <w:tcPr>
            <w:tcW w:w="1780" w:type="dxa"/>
          </w:tcPr>
          <w:p w14:paraId="71B04218" w14:textId="5F1E2370" w:rsidR="00B87080" w:rsidRPr="00F71B7E" w:rsidRDefault="00B87080" w:rsidP="00B87080">
            <w:pPr>
              <w:spacing w:before="0"/>
              <w:rPr>
                <w:b/>
              </w:rPr>
            </w:pPr>
            <w:r w:rsidRPr="00F71B7E">
              <w:rPr>
                <w:b/>
              </w:rPr>
              <w:t>Risk Category</w:t>
            </w:r>
          </w:p>
        </w:tc>
        <w:tc>
          <w:tcPr>
            <w:tcW w:w="2563" w:type="dxa"/>
          </w:tcPr>
          <w:p w14:paraId="3AD82D54" w14:textId="6427F07E" w:rsidR="00B87080" w:rsidRPr="00F71B7E" w:rsidRDefault="00B87080" w:rsidP="00B87080">
            <w:pPr>
              <w:spacing w:before="0"/>
              <w:rPr>
                <w:b/>
              </w:rPr>
            </w:pPr>
            <w:r w:rsidRPr="00F71B7E">
              <w:rPr>
                <w:b/>
              </w:rPr>
              <w:t>Appropriate mitigation</w:t>
            </w:r>
          </w:p>
        </w:tc>
      </w:tr>
      <w:tr w:rsidR="00B87080" w14:paraId="7A887774" w14:textId="124FB547" w:rsidTr="00F71B7E">
        <w:tc>
          <w:tcPr>
            <w:tcW w:w="4678" w:type="dxa"/>
          </w:tcPr>
          <w:p w14:paraId="04A6AA5F" w14:textId="7012F676" w:rsidR="00B87080" w:rsidRDefault="00B87080" w:rsidP="00F71B7E">
            <w:pPr>
              <w:spacing w:before="0"/>
              <w:jc w:val="left"/>
            </w:pPr>
            <w:r>
              <w:t>Incorrect information relating to the same patient</w:t>
            </w:r>
          </w:p>
        </w:tc>
        <w:tc>
          <w:tcPr>
            <w:tcW w:w="1780" w:type="dxa"/>
          </w:tcPr>
          <w:p w14:paraId="08E2A960" w14:textId="5FF3BF86" w:rsidR="00B87080" w:rsidRDefault="00B87080" w:rsidP="00B87080">
            <w:pPr>
              <w:spacing w:before="0"/>
            </w:pPr>
            <w:r>
              <w:t>Low</w:t>
            </w:r>
          </w:p>
        </w:tc>
        <w:tc>
          <w:tcPr>
            <w:tcW w:w="2563" w:type="dxa"/>
          </w:tcPr>
          <w:p w14:paraId="16EA1C65" w14:textId="5B8A6028" w:rsidR="00B87080" w:rsidRDefault="00B87080" w:rsidP="00B87080">
            <w:pPr>
              <w:spacing w:before="0"/>
            </w:pPr>
            <w:r>
              <w:t>Strike-through</w:t>
            </w:r>
          </w:p>
        </w:tc>
      </w:tr>
      <w:tr w:rsidR="00B87080" w14:paraId="3314268B" w14:textId="77777777" w:rsidTr="00F71B7E">
        <w:tc>
          <w:tcPr>
            <w:tcW w:w="4678" w:type="dxa"/>
          </w:tcPr>
          <w:p w14:paraId="6E1FF2D7" w14:textId="3875B8FD" w:rsidR="00B87080" w:rsidRDefault="00B87080" w:rsidP="00F71B7E">
            <w:pPr>
              <w:spacing w:before="0"/>
              <w:jc w:val="left"/>
            </w:pPr>
            <w:r>
              <w:t>Incorrect information relating to another patient but not identifiable</w:t>
            </w:r>
          </w:p>
        </w:tc>
        <w:tc>
          <w:tcPr>
            <w:tcW w:w="1780" w:type="dxa"/>
          </w:tcPr>
          <w:p w14:paraId="5AB40A7B" w14:textId="78ABAA5A" w:rsidR="00B87080" w:rsidRDefault="00B87080" w:rsidP="00B87080">
            <w:pPr>
              <w:spacing w:before="0"/>
            </w:pPr>
            <w:r>
              <w:t>Low</w:t>
            </w:r>
          </w:p>
        </w:tc>
        <w:tc>
          <w:tcPr>
            <w:tcW w:w="2563" w:type="dxa"/>
          </w:tcPr>
          <w:p w14:paraId="4802EB92" w14:textId="37C34732" w:rsidR="00B87080" w:rsidRDefault="00B87080" w:rsidP="00B87080">
            <w:pPr>
              <w:spacing w:before="0"/>
            </w:pPr>
            <w:r>
              <w:t>Strike-through</w:t>
            </w:r>
          </w:p>
        </w:tc>
      </w:tr>
      <w:tr w:rsidR="00B87080" w14:paraId="03A29804" w14:textId="77777777" w:rsidTr="00F71B7E">
        <w:tc>
          <w:tcPr>
            <w:tcW w:w="4678" w:type="dxa"/>
          </w:tcPr>
          <w:p w14:paraId="6BE86695" w14:textId="41F62AC3" w:rsidR="00B87080" w:rsidRDefault="00B87080" w:rsidP="00F71B7E">
            <w:pPr>
              <w:spacing w:before="0"/>
              <w:jc w:val="left"/>
            </w:pPr>
            <w:r>
              <w:t>Incorrect information relating to another patient which is identifiable</w:t>
            </w:r>
          </w:p>
        </w:tc>
        <w:tc>
          <w:tcPr>
            <w:tcW w:w="1780" w:type="dxa"/>
          </w:tcPr>
          <w:p w14:paraId="4DB46148" w14:textId="2737D228" w:rsidR="00B87080" w:rsidRDefault="00B87080" w:rsidP="00B87080">
            <w:pPr>
              <w:spacing w:before="0"/>
            </w:pPr>
            <w:r>
              <w:t>Medium</w:t>
            </w:r>
          </w:p>
        </w:tc>
        <w:tc>
          <w:tcPr>
            <w:tcW w:w="2563" w:type="dxa"/>
          </w:tcPr>
          <w:p w14:paraId="1C04EA70" w14:textId="4BCE1AF7" w:rsidR="00B87080" w:rsidRDefault="00B0767E" w:rsidP="00B87080">
            <w:pPr>
              <w:spacing w:before="0"/>
              <w:jc w:val="left"/>
            </w:pPr>
            <w:r>
              <w:t>Removal</w:t>
            </w:r>
          </w:p>
        </w:tc>
      </w:tr>
      <w:tr w:rsidR="00082FF0" w14:paraId="68C14FBB" w14:textId="77777777" w:rsidTr="00F71B7E">
        <w:tc>
          <w:tcPr>
            <w:tcW w:w="4678" w:type="dxa"/>
          </w:tcPr>
          <w:p w14:paraId="5C158CC4" w14:textId="4BC71F4B" w:rsidR="00082FF0" w:rsidRDefault="00082FF0" w:rsidP="00B87080">
            <w:pPr>
              <w:spacing w:before="0"/>
            </w:pPr>
            <w:r>
              <w:t xml:space="preserve">Incorrect and particularly sensitive information </w:t>
            </w:r>
            <w:r w:rsidRPr="00082FF0">
              <w:rPr>
                <w:i/>
                <w:sz w:val="16"/>
                <w:szCs w:val="16"/>
              </w:rPr>
              <w:t>e.g. incorrect diagnoses, addresses relating to estranged family members</w:t>
            </w:r>
          </w:p>
        </w:tc>
        <w:tc>
          <w:tcPr>
            <w:tcW w:w="1780" w:type="dxa"/>
          </w:tcPr>
          <w:p w14:paraId="41C61E7C" w14:textId="2143B114" w:rsidR="00082FF0" w:rsidRDefault="00082FF0" w:rsidP="00B87080">
            <w:pPr>
              <w:spacing w:before="0"/>
            </w:pPr>
            <w:r>
              <w:t>High</w:t>
            </w:r>
          </w:p>
        </w:tc>
        <w:tc>
          <w:tcPr>
            <w:tcW w:w="2563" w:type="dxa"/>
          </w:tcPr>
          <w:p w14:paraId="688C485F" w14:textId="4A9CAAD6" w:rsidR="00082FF0" w:rsidRDefault="00B0767E" w:rsidP="00B87080">
            <w:pPr>
              <w:spacing w:before="0"/>
              <w:jc w:val="left"/>
            </w:pPr>
            <w:r>
              <w:t>Removal</w:t>
            </w:r>
          </w:p>
        </w:tc>
      </w:tr>
    </w:tbl>
    <w:p w14:paraId="79EA7007" w14:textId="23C1DF52" w:rsidR="002F6958" w:rsidRDefault="00B0767E" w:rsidP="003E39E8">
      <w:r>
        <w:t xml:space="preserve">If you are in any doubt about what action to take in a specific case please contact the </w:t>
      </w:r>
      <w:proofErr w:type="spellStart"/>
      <w:r>
        <w:t>Caldicott</w:t>
      </w:r>
      <w:proofErr w:type="spellEnd"/>
      <w:r>
        <w:t xml:space="preserve"> Guardian for advice.</w:t>
      </w:r>
    </w:p>
    <w:p w14:paraId="653FEFA2" w14:textId="77777777" w:rsidR="00082FF0" w:rsidRDefault="00082FF0" w:rsidP="00F63C79">
      <w:pPr>
        <w:ind w:left="360"/>
      </w:pPr>
    </w:p>
    <w:p w14:paraId="672609BB" w14:textId="1D7CDEC6" w:rsidR="00ED2162" w:rsidRDefault="00082FF0" w:rsidP="00ED2162">
      <w:pPr>
        <w:pStyle w:val="ListParagraph"/>
        <w:numPr>
          <w:ilvl w:val="0"/>
          <w:numId w:val="3"/>
        </w:numPr>
        <w:rPr>
          <w:b/>
        </w:rPr>
      </w:pPr>
      <w:r w:rsidRPr="00082FF0">
        <w:rPr>
          <w:b/>
        </w:rPr>
        <w:t>Procedures</w:t>
      </w:r>
    </w:p>
    <w:p w14:paraId="5A7B1F2E" w14:textId="35E53685" w:rsidR="00F71B7E" w:rsidRPr="00F71B7E" w:rsidRDefault="00F71B7E" w:rsidP="00F71B7E">
      <w:proofErr w:type="spellStart"/>
      <w:r w:rsidRPr="00F71B7E">
        <w:t>RiO</w:t>
      </w:r>
      <w:proofErr w:type="spellEnd"/>
      <w:r w:rsidRPr="00F71B7E">
        <w:t xml:space="preserve"> includes the concept of a ‘validated’ and ‘unvalidated’ entry. Only validated progress notes can be struck-through.</w:t>
      </w:r>
    </w:p>
    <w:p w14:paraId="10C958C4" w14:textId="6BD1E43F" w:rsidR="00082FF0" w:rsidRDefault="00082FF0" w:rsidP="00082FF0">
      <w:pPr>
        <w:rPr>
          <w:b/>
        </w:rPr>
      </w:pPr>
      <w:proofErr w:type="spellStart"/>
      <w:r w:rsidRPr="00082FF0">
        <w:rPr>
          <w:b/>
        </w:rPr>
        <w:t>RiO</w:t>
      </w:r>
      <w:proofErr w:type="spellEnd"/>
      <w:r w:rsidRPr="00082FF0">
        <w:rPr>
          <w:b/>
        </w:rPr>
        <w:t xml:space="preserve"> Procedure</w:t>
      </w:r>
      <w:r>
        <w:rPr>
          <w:b/>
        </w:rPr>
        <w:t xml:space="preserve"> – Strike-through</w:t>
      </w:r>
      <w:r w:rsidR="00F71B7E">
        <w:rPr>
          <w:b/>
        </w:rPr>
        <w:t xml:space="preserve"> by the original author</w:t>
      </w:r>
    </w:p>
    <w:p w14:paraId="42A20F4E" w14:textId="53E81CE9" w:rsidR="00082FF0" w:rsidRDefault="00EF7CCA" w:rsidP="00EF7CCA">
      <w:pPr>
        <w:pStyle w:val="ListParagraph"/>
        <w:numPr>
          <w:ilvl w:val="0"/>
          <w:numId w:val="6"/>
        </w:numPr>
      </w:pPr>
      <w:r w:rsidRPr="00EF7CCA">
        <w:t>Navigate to the entry on the Progress Notes</w:t>
      </w:r>
    </w:p>
    <w:p w14:paraId="0AA9E9BE" w14:textId="6D0310FC" w:rsidR="00045FFA" w:rsidRDefault="00045FFA" w:rsidP="00045FFA">
      <w:pPr>
        <w:pStyle w:val="ListParagraph"/>
        <w:numPr>
          <w:ilvl w:val="0"/>
          <w:numId w:val="6"/>
        </w:numPr>
      </w:pPr>
      <w:r>
        <w:t>If the note is validated continue with the steps below, if not please follow the guidance under ‘Removal by the original author’ below, from</w:t>
      </w:r>
      <w:r w:rsidR="00F10A13">
        <w:t xml:space="preserve"> bullet</w:t>
      </w:r>
      <w:r>
        <w:t xml:space="preserve"> point 3. </w:t>
      </w:r>
    </w:p>
    <w:p w14:paraId="35BD6658" w14:textId="665B8F87" w:rsidR="00EF7CCA" w:rsidRPr="00EF7CCA" w:rsidRDefault="00EF7CCA" w:rsidP="00A97253">
      <w:pPr>
        <w:pStyle w:val="ListParagraph"/>
        <w:numPr>
          <w:ilvl w:val="0"/>
          <w:numId w:val="6"/>
        </w:numPr>
      </w:pPr>
      <w:r w:rsidRPr="00EF7CCA">
        <w:t>Click on Amend, and tick the Entered in Error Check-Box</w:t>
      </w:r>
    </w:p>
    <w:p w14:paraId="3D30A55C" w14:textId="35F98EE5" w:rsidR="00EF7CCA" w:rsidRDefault="00EF7CCA" w:rsidP="00EF7CCA">
      <w:pPr>
        <w:pStyle w:val="ListParagraph"/>
        <w:numPr>
          <w:ilvl w:val="0"/>
          <w:numId w:val="6"/>
        </w:numPr>
      </w:pPr>
      <w:r w:rsidRPr="00EF7CCA">
        <w:t>Save your changes</w:t>
      </w:r>
    </w:p>
    <w:p w14:paraId="4B65D1E2" w14:textId="418DB551" w:rsidR="00154251" w:rsidRPr="00154251" w:rsidRDefault="00F71B7E" w:rsidP="00154251">
      <w:pPr>
        <w:rPr>
          <w:b/>
        </w:rPr>
      </w:pPr>
      <w:proofErr w:type="spellStart"/>
      <w:r w:rsidRPr="00B5428A">
        <w:rPr>
          <w:b/>
        </w:rPr>
        <w:t>RiO</w:t>
      </w:r>
      <w:proofErr w:type="spellEnd"/>
      <w:r w:rsidRPr="00B5428A">
        <w:rPr>
          <w:b/>
        </w:rPr>
        <w:t xml:space="preserve"> Procedure – Strike-through by another clinician (as original author unavailable)</w:t>
      </w:r>
    </w:p>
    <w:p w14:paraId="75C29337" w14:textId="34A7D86D" w:rsidR="00F71B7E" w:rsidRDefault="00154251" w:rsidP="00F71B7E">
      <w:pPr>
        <w:pStyle w:val="ListParagraph"/>
        <w:numPr>
          <w:ilvl w:val="0"/>
          <w:numId w:val="11"/>
        </w:numPr>
      </w:pPr>
      <w:r>
        <w:t xml:space="preserve">If the note is validated </w:t>
      </w:r>
      <w:r w:rsidR="00F71B7E">
        <w:t>Log a support request using the IT Service Desk Portal link on your desktop (</w:t>
      </w:r>
      <w:hyperlink r:id="rId15" w:history="1">
        <w:r w:rsidR="00F71B7E" w:rsidRPr="0087262D">
          <w:rPr>
            <w:rStyle w:val="Hyperlink"/>
          </w:rPr>
          <w:t>https://eastlondon.service-now.com/sp</w:t>
        </w:r>
      </w:hyperlink>
      <w:r w:rsidR="00F71B7E">
        <w:t xml:space="preserve">) requesting that the progress note be made </w:t>
      </w:r>
      <w:r w:rsidR="00B5428A">
        <w:t>unvalidated</w:t>
      </w:r>
    </w:p>
    <w:p w14:paraId="2B846262" w14:textId="2F16333C" w:rsidR="00B5428A" w:rsidRDefault="00B5428A" w:rsidP="00F71B7E">
      <w:pPr>
        <w:pStyle w:val="ListParagraph"/>
        <w:numPr>
          <w:ilvl w:val="0"/>
          <w:numId w:val="11"/>
        </w:numPr>
      </w:pPr>
      <w:r>
        <w:t>On receipt of completion of your request</w:t>
      </w:r>
      <w:r w:rsidR="00154251">
        <w:t xml:space="preserve"> or if the note is unvalidated</w:t>
      </w:r>
      <w:r>
        <w:t>, navigate to the entry on the Progress Notes</w:t>
      </w:r>
    </w:p>
    <w:p w14:paraId="1C0D2B75" w14:textId="66401262" w:rsidR="00B5428A" w:rsidRDefault="00B5428A" w:rsidP="00F71B7E">
      <w:pPr>
        <w:pStyle w:val="ListParagraph"/>
        <w:numPr>
          <w:ilvl w:val="0"/>
          <w:numId w:val="11"/>
        </w:numPr>
      </w:pPr>
      <w:r>
        <w:t>Change the author to yourself and save your changes</w:t>
      </w:r>
    </w:p>
    <w:p w14:paraId="430E1670" w14:textId="5F7B5D7C" w:rsidR="00B5428A" w:rsidRDefault="00B5428A" w:rsidP="00F71B7E">
      <w:pPr>
        <w:pStyle w:val="ListParagraph"/>
        <w:numPr>
          <w:ilvl w:val="0"/>
          <w:numId w:val="11"/>
        </w:numPr>
      </w:pPr>
      <w:r>
        <w:t>Validate the note and save your changes</w:t>
      </w:r>
    </w:p>
    <w:p w14:paraId="1ABE3857" w14:textId="083E687B" w:rsidR="00B5428A" w:rsidRPr="00EF7CCA" w:rsidRDefault="00B5428A" w:rsidP="00F71B7E">
      <w:pPr>
        <w:pStyle w:val="ListParagraph"/>
        <w:numPr>
          <w:ilvl w:val="0"/>
          <w:numId w:val="11"/>
        </w:numPr>
      </w:pPr>
      <w:r>
        <w:t>Click on Amend, and tick the Entered in Error Check-Box</w:t>
      </w:r>
    </w:p>
    <w:p w14:paraId="4525BE7B" w14:textId="44EB41AD" w:rsidR="00082FF0" w:rsidRDefault="00082FF0" w:rsidP="00082FF0">
      <w:pPr>
        <w:rPr>
          <w:b/>
        </w:rPr>
      </w:pPr>
      <w:proofErr w:type="spellStart"/>
      <w:r>
        <w:rPr>
          <w:b/>
        </w:rPr>
        <w:t>RiO</w:t>
      </w:r>
      <w:proofErr w:type="spellEnd"/>
      <w:r>
        <w:rPr>
          <w:b/>
        </w:rPr>
        <w:t xml:space="preserve"> Procedure – </w:t>
      </w:r>
      <w:r w:rsidR="00B0767E">
        <w:rPr>
          <w:b/>
        </w:rPr>
        <w:t>Removal</w:t>
      </w:r>
      <w:r w:rsidR="00B5428A">
        <w:rPr>
          <w:b/>
        </w:rPr>
        <w:t xml:space="preserve"> by the original author</w:t>
      </w:r>
    </w:p>
    <w:p w14:paraId="7C5910CD" w14:textId="77777777" w:rsidR="00F23DE5" w:rsidRPr="00F23DE5" w:rsidRDefault="00F23DE5" w:rsidP="00F23DE5">
      <w:pPr>
        <w:pStyle w:val="ListParagraph"/>
        <w:numPr>
          <w:ilvl w:val="0"/>
          <w:numId w:val="11"/>
        </w:numPr>
      </w:pPr>
      <w:r w:rsidRPr="00F23DE5">
        <w:t>Navigate to the entry on the Progress Notes</w:t>
      </w:r>
    </w:p>
    <w:p w14:paraId="7FE67E7B" w14:textId="11E5D8D6" w:rsidR="00F23DE5" w:rsidRPr="00F23DE5" w:rsidRDefault="00F23DE5" w:rsidP="00F23DE5">
      <w:pPr>
        <w:pStyle w:val="ListParagraph"/>
        <w:numPr>
          <w:ilvl w:val="0"/>
          <w:numId w:val="11"/>
        </w:numPr>
      </w:pPr>
      <w:r w:rsidRPr="00F23DE5">
        <w:t xml:space="preserve">If the note is validated Log a support request using the IT Service Desk Portal link on your desktop </w:t>
      </w:r>
      <w:r>
        <w:t>(</w:t>
      </w:r>
      <w:hyperlink r:id="rId16" w:history="1">
        <w:r w:rsidRPr="0087262D">
          <w:rPr>
            <w:rStyle w:val="Hyperlink"/>
          </w:rPr>
          <w:t>https://eastlondon.service-now.com/sp</w:t>
        </w:r>
      </w:hyperlink>
      <w:r>
        <w:t xml:space="preserve">) </w:t>
      </w:r>
      <w:r w:rsidRPr="00F23DE5">
        <w:t xml:space="preserve"> requesting that the progress note be made </w:t>
      </w:r>
      <w:proofErr w:type="spellStart"/>
      <w:r w:rsidRPr="00F23DE5">
        <w:t>unvalidated</w:t>
      </w:r>
      <w:proofErr w:type="spellEnd"/>
    </w:p>
    <w:p w14:paraId="488F382F" w14:textId="77777777" w:rsidR="00F23DE5" w:rsidRPr="00F23DE5" w:rsidRDefault="00F23DE5" w:rsidP="00F23DE5">
      <w:pPr>
        <w:pStyle w:val="ListParagraph"/>
        <w:numPr>
          <w:ilvl w:val="0"/>
          <w:numId w:val="11"/>
        </w:numPr>
      </w:pPr>
      <w:r w:rsidRPr="00F23DE5">
        <w:t xml:space="preserve">On receipt of completion of your request or if the note is </w:t>
      </w:r>
      <w:proofErr w:type="spellStart"/>
      <w:r w:rsidRPr="00F23DE5">
        <w:t>unvalidated</w:t>
      </w:r>
      <w:proofErr w:type="spellEnd"/>
      <w:r w:rsidRPr="00F23DE5">
        <w:t>, navigate to the entry on the Progress Notes</w:t>
      </w:r>
    </w:p>
    <w:p w14:paraId="396B3486" w14:textId="77777777" w:rsidR="00F23DE5" w:rsidRPr="00F23DE5" w:rsidRDefault="00F23DE5" w:rsidP="00F23DE5">
      <w:pPr>
        <w:pStyle w:val="ListParagraph"/>
        <w:numPr>
          <w:ilvl w:val="0"/>
          <w:numId w:val="11"/>
        </w:numPr>
      </w:pPr>
      <w:r w:rsidRPr="00F23DE5">
        <w:t>Remove the original text, replace the text with ‘this entry has been removed as it was entered in error’</w:t>
      </w:r>
    </w:p>
    <w:p w14:paraId="60CABD2A" w14:textId="77777777" w:rsidR="00F23DE5" w:rsidRPr="00F23DE5" w:rsidRDefault="00F23DE5" w:rsidP="00F23DE5">
      <w:pPr>
        <w:pStyle w:val="ListParagraph"/>
        <w:numPr>
          <w:ilvl w:val="0"/>
          <w:numId w:val="11"/>
        </w:numPr>
      </w:pPr>
      <w:r w:rsidRPr="00F23DE5">
        <w:t>Save your changes</w:t>
      </w:r>
    </w:p>
    <w:p w14:paraId="1CC79B3E" w14:textId="536946E6" w:rsidR="00154251" w:rsidRPr="00154251" w:rsidRDefault="00154251" w:rsidP="00154251">
      <w:pPr>
        <w:rPr>
          <w:b/>
        </w:rPr>
      </w:pPr>
      <w:proofErr w:type="spellStart"/>
      <w:r w:rsidRPr="00154251">
        <w:rPr>
          <w:b/>
        </w:rPr>
        <w:t>RiO</w:t>
      </w:r>
      <w:proofErr w:type="spellEnd"/>
      <w:r w:rsidRPr="00154251">
        <w:rPr>
          <w:b/>
        </w:rPr>
        <w:t xml:space="preserve"> Procedure – Removal by another clinician (as original author unavailable)</w:t>
      </w:r>
    </w:p>
    <w:p w14:paraId="08D1CE4F" w14:textId="79EA3966" w:rsidR="00154251" w:rsidRDefault="00336D19" w:rsidP="00154251">
      <w:pPr>
        <w:pStyle w:val="ListParagraph"/>
        <w:numPr>
          <w:ilvl w:val="0"/>
          <w:numId w:val="12"/>
        </w:numPr>
      </w:pPr>
      <w:r>
        <w:t xml:space="preserve">If the note is validated </w:t>
      </w:r>
      <w:r w:rsidR="00154251">
        <w:t>Log a support request using the IT Service Desk Portal link on your desktop (</w:t>
      </w:r>
      <w:hyperlink r:id="rId17" w:history="1">
        <w:r w:rsidR="00154251" w:rsidRPr="0087262D">
          <w:rPr>
            <w:rStyle w:val="Hyperlink"/>
          </w:rPr>
          <w:t>https://eastlondon.service-now.com/sp</w:t>
        </w:r>
      </w:hyperlink>
      <w:r w:rsidR="00154251">
        <w:t>) requesting that the progress note be made un</w:t>
      </w:r>
      <w:r>
        <w:t>validated</w:t>
      </w:r>
    </w:p>
    <w:p w14:paraId="29A9097F" w14:textId="446F7808" w:rsidR="00336D19" w:rsidRDefault="00336D19" w:rsidP="00336D19">
      <w:pPr>
        <w:pStyle w:val="ListParagraph"/>
        <w:numPr>
          <w:ilvl w:val="0"/>
          <w:numId w:val="12"/>
        </w:numPr>
      </w:pPr>
      <w:r>
        <w:t>On receipt of completion of your request or if the note is unvalidated, navigate to the entry on the Progress Notes</w:t>
      </w:r>
    </w:p>
    <w:p w14:paraId="1B413A5D" w14:textId="6194E05A" w:rsidR="00336D19" w:rsidRDefault="00336D19" w:rsidP="00336D19">
      <w:pPr>
        <w:pStyle w:val="ListParagraph"/>
        <w:numPr>
          <w:ilvl w:val="0"/>
          <w:numId w:val="12"/>
        </w:numPr>
      </w:pPr>
      <w:r w:rsidRPr="00B0767E">
        <w:t>Amend the entry</w:t>
      </w:r>
      <w:r>
        <w:t xml:space="preserve"> and change the author to yourself,</w:t>
      </w:r>
      <w:r w:rsidRPr="00B0767E">
        <w:t xml:space="preserve"> remove the original text, replace the text with ‘this entry has been remo</w:t>
      </w:r>
      <w:r>
        <w:t>ved as it was entered in error’</w:t>
      </w:r>
    </w:p>
    <w:p w14:paraId="068BD751" w14:textId="64DF2C3B" w:rsidR="00336D19" w:rsidRPr="00B0767E" w:rsidRDefault="00336D19" w:rsidP="00336D19">
      <w:pPr>
        <w:pStyle w:val="ListParagraph"/>
        <w:numPr>
          <w:ilvl w:val="0"/>
          <w:numId w:val="12"/>
        </w:numPr>
      </w:pPr>
      <w:r>
        <w:t>Save your changes</w:t>
      </w:r>
    </w:p>
    <w:p w14:paraId="4457700E" w14:textId="5FDB5D98" w:rsidR="00DF6D54" w:rsidRDefault="00DF6D54" w:rsidP="00082FF0">
      <w:pPr>
        <w:rPr>
          <w:b/>
        </w:rPr>
      </w:pPr>
      <w:r>
        <w:rPr>
          <w:b/>
        </w:rPr>
        <w:t>SystmOne Procedure – Strikethrough</w:t>
      </w:r>
    </w:p>
    <w:p w14:paraId="7DA27AFD" w14:textId="6401DF83" w:rsidR="00EF7CCA" w:rsidRPr="00EF7CCA" w:rsidRDefault="00EF7CCA" w:rsidP="00EF7CCA">
      <w:pPr>
        <w:pStyle w:val="ListParagraph"/>
        <w:numPr>
          <w:ilvl w:val="0"/>
          <w:numId w:val="5"/>
        </w:numPr>
        <w:rPr>
          <w:b/>
        </w:rPr>
      </w:pPr>
      <w:r>
        <w:t>Navigate to the entry on the Journal</w:t>
      </w:r>
    </w:p>
    <w:p w14:paraId="36E89AAD" w14:textId="69779609" w:rsidR="00EF7CCA" w:rsidRPr="00EF7CCA" w:rsidRDefault="00EF7CCA" w:rsidP="00EF7CCA">
      <w:pPr>
        <w:pStyle w:val="ListParagraph"/>
        <w:numPr>
          <w:ilvl w:val="0"/>
          <w:numId w:val="5"/>
        </w:numPr>
        <w:rPr>
          <w:b/>
        </w:rPr>
      </w:pPr>
      <w:r>
        <w:t>Right-click and select ‘Mark in Error’</w:t>
      </w:r>
    </w:p>
    <w:p w14:paraId="298F44DD" w14:textId="0DB5CFC5" w:rsidR="00DF6D54" w:rsidRPr="00EF7CCA" w:rsidRDefault="00EF7CCA" w:rsidP="00082FF0">
      <w:pPr>
        <w:pStyle w:val="ListParagraph"/>
        <w:numPr>
          <w:ilvl w:val="0"/>
          <w:numId w:val="5"/>
        </w:numPr>
        <w:rPr>
          <w:b/>
        </w:rPr>
      </w:pPr>
      <w:r>
        <w:t>Save your changes</w:t>
      </w:r>
    </w:p>
    <w:p w14:paraId="2174A8C2" w14:textId="66B997AF" w:rsidR="00DF6D54" w:rsidRDefault="00DF6D54" w:rsidP="00EF7CCA">
      <w:pPr>
        <w:tabs>
          <w:tab w:val="left" w:pos="1134"/>
        </w:tabs>
        <w:rPr>
          <w:b/>
        </w:rPr>
      </w:pPr>
      <w:r>
        <w:rPr>
          <w:b/>
        </w:rPr>
        <w:t xml:space="preserve">SystmOne Procedure </w:t>
      </w:r>
      <w:r w:rsidR="00EF7CCA">
        <w:rPr>
          <w:b/>
        </w:rPr>
        <w:t>–</w:t>
      </w:r>
      <w:r>
        <w:rPr>
          <w:b/>
        </w:rPr>
        <w:t xml:space="preserve"> Removal</w:t>
      </w:r>
    </w:p>
    <w:p w14:paraId="684A3094" w14:textId="50D96331" w:rsidR="00EF7CCA" w:rsidRPr="00A56833" w:rsidRDefault="00EF7CCA" w:rsidP="00EF7CCA">
      <w:pPr>
        <w:pStyle w:val="ListParagraph"/>
        <w:numPr>
          <w:ilvl w:val="0"/>
          <w:numId w:val="7"/>
        </w:numPr>
        <w:tabs>
          <w:tab w:val="left" w:pos="1134"/>
        </w:tabs>
      </w:pPr>
      <w:r w:rsidRPr="00A56833">
        <w:t>Navigate to the entry on the Journal</w:t>
      </w:r>
    </w:p>
    <w:p w14:paraId="3EBF2AF7" w14:textId="581221A6" w:rsidR="00EF7CCA" w:rsidRPr="00A56833" w:rsidRDefault="00EF7CCA" w:rsidP="00EF7CCA">
      <w:pPr>
        <w:pStyle w:val="ListParagraph"/>
        <w:numPr>
          <w:ilvl w:val="0"/>
          <w:numId w:val="7"/>
        </w:numPr>
        <w:tabs>
          <w:tab w:val="left" w:pos="1134"/>
        </w:tabs>
      </w:pPr>
      <w:r w:rsidRPr="00A56833">
        <w:t>Right-click and select ‘Mark in Error’</w:t>
      </w:r>
    </w:p>
    <w:p w14:paraId="4AA1C262" w14:textId="4C2C39D9" w:rsidR="00EF7CCA" w:rsidRPr="00A56833" w:rsidRDefault="00EF7CCA" w:rsidP="00EF7CCA">
      <w:pPr>
        <w:pStyle w:val="ListParagraph"/>
        <w:numPr>
          <w:ilvl w:val="0"/>
          <w:numId w:val="7"/>
        </w:numPr>
        <w:tabs>
          <w:tab w:val="left" w:pos="1134"/>
        </w:tabs>
      </w:pPr>
      <w:r w:rsidRPr="00A56833">
        <w:t>Save your changes</w:t>
      </w:r>
    </w:p>
    <w:p w14:paraId="57B410E6" w14:textId="236B1586" w:rsidR="00EF7CCA" w:rsidRPr="00A56833" w:rsidRDefault="00EF7CCA" w:rsidP="00EF7CCA">
      <w:pPr>
        <w:pStyle w:val="ListParagraph"/>
        <w:numPr>
          <w:ilvl w:val="0"/>
          <w:numId w:val="7"/>
        </w:numPr>
        <w:tabs>
          <w:tab w:val="left" w:pos="1134"/>
        </w:tabs>
      </w:pPr>
      <w:r w:rsidRPr="00A56833">
        <w:t>Navigate to the entry in the Deleted Items Node on the Administrative Tree</w:t>
      </w:r>
      <w:r w:rsidR="00A56833">
        <w:t>*</w:t>
      </w:r>
    </w:p>
    <w:p w14:paraId="32DA62B0" w14:textId="41E560D2" w:rsidR="00EF7CCA" w:rsidRPr="00A56833" w:rsidRDefault="00A56833" w:rsidP="00EF7CCA">
      <w:pPr>
        <w:pStyle w:val="ListParagraph"/>
        <w:numPr>
          <w:ilvl w:val="0"/>
          <w:numId w:val="7"/>
        </w:numPr>
        <w:tabs>
          <w:tab w:val="left" w:pos="1134"/>
        </w:tabs>
      </w:pPr>
      <w:r w:rsidRPr="00A56833">
        <w:t xml:space="preserve">Right-Click and select Remove </w:t>
      </w:r>
      <w:r w:rsidR="00803B81">
        <w:t>From Patient Record</w:t>
      </w:r>
    </w:p>
    <w:p w14:paraId="21140266" w14:textId="1101E679" w:rsidR="00A56833" w:rsidRDefault="00A56833" w:rsidP="00A56833">
      <w:pPr>
        <w:tabs>
          <w:tab w:val="left" w:pos="1134"/>
        </w:tabs>
        <w:rPr>
          <w:i/>
        </w:rPr>
      </w:pPr>
      <w:r w:rsidRPr="00A56833">
        <w:rPr>
          <w:i/>
        </w:rPr>
        <w:t xml:space="preserve">This will send a Task to the Unit’s </w:t>
      </w:r>
      <w:proofErr w:type="spellStart"/>
      <w:r w:rsidRPr="00A56833">
        <w:rPr>
          <w:i/>
        </w:rPr>
        <w:t>Caldicott</w:t>
      </w:r>
      <w:proofErr w:type="spellEnd"/>
      <w:r w:rsidRPr="00A56833">
        <w:rPr>
          <w:i/>
        </w:rPr>
        <w:t xml:space="preserve"> Guardian who will review the case and either Accept or Reject your request. Acceptance will remove the entry, Rejection will leave the item marked in error on the record. You will receive a task detailing the decision and the rationale within SystmOne.</w:t>
      </w:r>
    </w:p>
    <w:p w14:paraId="10F35D5E" w14:textId="792839D9" w:rsidR="00A56833" w:rsidRDefault="00A56833" w:rsidP="00A56833">
      <w:pPr>
        <w:tabs>
          <w:tab w:val="left" w:pos="1134"/>
        </w:tabs>
        <w:rPr>
          <w:i/>
        </w:rPr>
      </w:pPr>
      <w:r>
        <w:rPr>
          <w:i/>
        </w:rPr>
        <w:t>*Not all staff have access to the Deleted Items Node. Please check with your service manager.</w:t>
      </w:r>
    </w:p>
    <w:p w14:paraId="7C124CA0" w14:textId="5342372B" w:rsidR="00803B81" w:rsidRDefault="00A56833" w:rsidP="00A56833">
      <w:pPr>
        <w:tabs>
          <w:tab w:val="left" w:pos="1134"/>
        </w:tabs>
        <w:rPr>
          <w:b/>
        </w:rPr>
      </w:pPr>
      <w:r>
        <w:rPr>
          <w:b/>
        </w:rPr>
        <w:t>EMIS</w:t>
      </w:r>
      <w:r w:rsidR="00803B81">
        <w:rPr>
          <w:b/>
        </w:rPr>
        <w:t xml:space="preserve"> Procedure – Removal</w:t>
      </w:r>
    </w:p>
    <w:p w14:paraId="3B9102ED" w14:textId="689AAE00" w:rsidR="00803B81" w:rsidRPr="00803B81" w:rsidRDefault="00803B81" w:rsidP="00A56833">
      <w:pPr>
        <w:tabs>
          <w:tab w:val="left" w:pos="1134"/>
        </w:tabs>
      </w:pPr>
      <w:r w:rsidRPr="00803B81">
        <w:t xml:space="preserve">EMIS Does not provide functionality </w:t>
      </w:r>
      <w:r w:rsidR="003E4236">
        <w:t>allowing for the distinction of a strike-through and a removal</w:t>
      </w:r>
      <w:r w:rsidRPr="00803B81">
        <w:t>, therefore in this system all cases must be treated as follows</w:t>
      </w:r>
      <w:r>
        <w:t>:-</w:t>
      </w:r>
    </w:p>
    <w:p w14:paraId="437E5054" w14:textId="39277E0D" w:rsidR="00A56833" w:rsidRPr="00803B81" w:rsidRDefault="00A56833" w:rsidP="00A56833">
      <w:pPr>
        <w:pStyle w:val="ListParagraph"/>
        <w:numPr>
          <w:ilvl w:val="0"/>
          <w:numId w:val="9"/>
        </w:numPr>
        <w:tabs>
          <w:tab w:val="left" w:pos="1134"/>
        </w:tabs>
      </w:pPr>
      <w:r w:rsidRPr="00803B81">
        <w:t>Navigate to the entry in the Consultations Screen within the Care Record</w:t>
      </w:r>
    </w:p>
    <w:p w14:paraId="6AE2A3BB" w14:textId="49DF0085" w:rsidR="00A56833" w:rsidRPr="00803B81" w:rsidRDefault="00A56833" w:rsidP="00A56833">
      <w:pPr>
        <w:pStyle w:val="ListParagraph"/>
        <w:numPr>
          <w:ilvl w:val="0"/>
          <w:numId w:val="9"/>
        </w:numPr>
        <w:tabs>
          <w:tab w:val="left" w:pos="1134"/>
        </w:tabs>
      </w:pPr>
      <w:r w:rsidRPr="00803B81">
        <w:t>Right-Click and select ‘Delete Consultation’</w:t>
      </w:r>
    </w:p>
    <w:p w14:paraId="7796370C" w14:textId="30F648C0" w:rsidR="00803B81" w:rsidRPr="00803B81" w:rsidRDefault="00A56833" w:rsidP="00803B81">
      <w:pPr>
        <w:pStyle w:val="ListParagraph"/>
        <w:numPr>
          <w:ilvl w:val="0"/>
          <w:numId w:val="9"/>
        </w:numPr>
        <w:tabs>
          <w:tab w:val="left" w:pos="1134"/>
        </w:tabs>
        <w:jc w:val="left"/>
      </w:pPr>
      <w:r w:rsidRPr="00803B81">
        <w:t>Select a Reason for Deletion from the drop-down list provided, and click on Delete*</w:t>
      </w:r>
    </w:p>
    <w:p w14:paraId="18A66B29" w14:textId="5D997D29" w:rsidR="00A56833" w:rsidRDefault="00A56833" w:rsidP="00A56833">
      <w:pPr>
        <w:tabs>
          <w:tab w:val="left" w:pos="1134"/>
        </w:tabs>
        <w:rPr>
          <w:i/>
        </w:rPr>
      </w:pPr>
      <w:r w:rsidRPr="00803B81">
        <w:rPr>
          <w:i/>
        </w:rPr>
        <w:t>*</w:t>
      </w:r>
      <w:r w:rsidR="00803B81" w:rsidRPr="00803B81">
        <w:rPr>
          <w:i/>
        </w:rPr>
        <w:t xml:space="preserve">Note that to view a deleted item, you must click on </w:t>
      </w:r>
      <w:r w:rsidR="00803B81">
        <w:rPr>
          <w:i/>
        </w:rPr>
        <w:t>‘</w:t>
      </w:r>
      <w:r w:rsidR="00803B81" w:rsidRPr="00803B81">
        <w:rPr>
          <w:i/>
        </w:rPr>
        <w:t>View Deleted</w:t>
      </w:r>
      <w:r w:rsidR="00803B81">
        <w:rPr>
          <w:i/>
        </w:rPr>
        <w:t>’</w:t>
      </w:r>
      <w:r w:rsidR="00803B81" w:rsidRPr="00803B81">
        <w:rPr>
          <w:i/>
        </w:rPr>
        <w:t xml:space="preserve"> on the Consultation Screen. </w:t>
      </w:r>
      <w:r w:rsidRPr="00803B81">
        <w:rPr>
          <w:i/>
        </w:rPr>
        <w:t xml:space="preserve"> </w:t>
      </w:r>
    </w:p>
    <w:p w14:paraId="724F67E1" w14:textId="4C5D57AF" w:rsidR="003E39E8" w:rsidRDefault="003E39E8" w:rsidP="00A56833">
      <w:pPr>
        <w:tabs>
          <w:tab w:val="left" w:pos="1134"/>
        </w:tabs>
        <w:rPr>
          <w:i/>
        </w:rPr>
      </w:pPr>
    </w:p>
    <w:p w14:paraId="61933B29" w14:textId="0E4C5708" w:rsidR="00B4099E" w:rsidRPr="003E39E8" w:rsidRDefault="00B4099E" w:rsidP="00B4099E">
      <w:pPr>
        <w:pStyle w:val="ListParagraph"/>
        <w:numPr>
          <w:ilvl w:val="0"/>
          <w:numId w:val="2"/>
        </w:numPr>
        <w:tabs>
          <w:tab w:val="left" w:pos="1134"/>
        </w:tabs>
        <w:rPr>
          <w:b/>
          <w:i/>
        </w:rPr>
      </w:pPr>
      <w:r w:rsidRPr="00B4099E">
        <w:rPr>
          <w:b/>
        </w:rPr>
        <w:t>Monitoring</w:t>
      </w:r>
    </w:p>
    <w:p w14:paraId="21B376BF" w14:textId="15BB3903" w:rsidR="003E39E8" w:rsidRDefault="00C61C25" w:rsidP="00AE564A">
      <w:pPr>
        <w:tabs>
          <w:tab w:val="left" w:pos="1134"/>
        </w:tabs>
      </w:pPr>
      <w:r>
        <w:t xml:space="preserve">Adherence to </w:t>
      </w:r>
      <w:r w:rsidR="00DD7A1A">
        <w:t>this policy</w:t>
      </w:r>
      <w:r>
        <w:t xml:space="preserve"> will be monitored as part of established record audit procedures including Supervision and annual audits. </w:t>
      </w:r>
    </w:p>
    <w:p w14:paraId="26E91A61" w14:textId="6F77C6D0" w:rsidR="00C61C25" w:rsidRDefault="00C61C25" w:rsidP="00AE564A">
      <w:pPr>
        <w:tabs>
          <w:tab w:val="left" w:pos="1134"/>
        </w:tabs>
      </w:pPr>
      <w:r>
        <w:t xml:space="preserve">Issues relating to poor record keeping standards must be managed through established professional conduct processes and procedures. </w:t>
      </w:r>
    </w:p>
    <w:p w14:paraId="45C67C31" w14:textId="77777777" w:rsidR="00003194" w:rsidRDefault="00C61C25" w:rsidP="00AE564A">
      <w:pPr>
        <w:tabs>
          <w:tab w:val="left" w:pos="1134"/>
        </w:tabs>
      </w:pPr>
      <w:r>
        <w:t xml:space="preserve">All cases of inaccurate information being entered into </w:t>
      </w:r>
      <w:r w:rsidR="00046167">
        <w:t>e</w:t>
      </w:r>
      <w:r w:rsidR="008F2C28">
        <w:t xml:space="preserve">lectronic patient records, </w:t>
      </w:r>
      <w:r w:rsidR="00003194">
        <w:t xml:space="preserve">must be raised as incidents on ELFT’s incident management system (such as </w:t>
      </w:r>
      <w:proofErr w:type="spellStart"/>
      <w:r w:rsidR="00003194">
        <w:t>Datix</w:t>
      </w:r>
      <w:proofErr w:type="spellEnd"/>
      <w:r w:rsidR="00003194">
        <w:t xml:space="preserve">, InPhase). </w:t>
      </w:r>
    </w:p>
    <w:p w14:paraId="61130130" w14:textId="2149C390" w:rsidR="00C61C25" w:rsidRDefault="00003194" w:rsidP="00AE564A">
      <w:pPr>
        <w:tabs>
          <w:tab w:val="left" w:pos="1134"/>
        </w:tabs>
      </w:pPr>
      <w:r>
        <w:t>Prevalence of incidents will be reviewed at the Information Governance Steering Group, where additional actions may be taken such as provision of additional training or additional supervision.</w:t>
      </w:r>
    </w:p>
    <w:p w14:paraId="25E01D71" w14:textId="70823446" w:rsidR="002F1A74" w:rsidRDefault="002F1A74" w:rsidP="003E39E8">
      <w:pPr>
        <w:tabs>
          <w:tab w:val="left" w:pos="1134"/>
        </w:tabs>
        <w:ind w:left="360"/>
      </w:pPr>
    </w:p>
    <w:p w14:paraId="4E1C592A" w14:textId="472C42D2" w:rsidR="00272F1F" w:rsidRDefault="00272F1F" w:rsidP="003E39E8">
      <w:pPr>
        <w:tabs>
          <w:tab w:val="left" w:pos="1134"/>
        </w:tabs>
        <w:ind w:left="360"/>
      </w:pPr>
    </w:p>
    <w:p w14:paraId="080C4D41" w14:textId="17AC58B3" w:rsidR="00272F1F" w:rsidRDefault="00272F1F" w:rsidP="003E39E8">
      <w:pPr>
        <w:tabs>
          <w:tab w:val="left" w:pos="1134"/>
        </w:tabs>
        <w:ind w:left="360"/>
      </w:pPr>
    </w:p>
    <w:p w14:paraId="49D39116" w14:textId="481F8E04" w:rsidR="00272F1F" w:rsidRDefault="00272F1F" w:rsidP="003E39E8">
      <w:pPr>
        <w:tabs>
          <w:tab w:val="left" w:pos="1134"/>
        </w:tabs>
        <w:ind w:left="360"/>
      </w:pPr>
    </w:p>
    <w:p w14:paraId="7D981C8C" w14:textId="77777777" w:rsidR="00272F1F" w:rsidRDefault="00272F1F" w:rsidP="003E39E8">
      <w:pPr>
        <w:tabs>
          <w:tab w:val="left" w:pos="1134"/>
        </w:tabs>
        <w:ind w:left="360"/>
      </w:pPr>
    </w:p>
    <w:p w14:paraId="692EF1DC" w14:textId="1A1D7BCE" w:rsidR="00003194" w:rsidRDefault="00003194" w:rsidP="00003194">
      <w:pPr>
        <w:pStyle w:val="ListParagraph"/>
        <w:numPr>
          <w:ilvl w:val="0"/>
          <w:numId w:val="2"/>
        </w:numPr>
        <w:tabs>
          <w:tab w:val="left" w:pos="1134"/>
        </w:tabs>
        <w:rPr>
          <w:b/>
        </w:rPr>
      </w:pPr>
      <w:r w:rsidRPr="00003194">
        <w:rPr>
          <w:b/>
        </w:rPr>
        <w:t>References</w:t>
      </w:r>
    </w:p>
    <w:p w14:paraId="782347E7" w14:textId="246EF777" w:rsidR="00003194" w:rsidRDefault="002F1A74" w:rsidP="002F1A74">
      <w:pPr>
        <w:tabs>
          <w:tab w:val="left" w:pos="1134"/>
        </w:tabs>
        <w:spacing w:before="0" w:after="0"/>
      </w:pPr>
      <w:r>
        <w:t>NHS England – Transformation Directorate; Amending patient and Service-User Records</w:t>
      </w:r>
    </w:p>
    <w:p w14:paraId="275932F4" w14:textId="77777777" w:rsidR="002F1A74" w:rsidRDefault="00886A8D" w:rsidP="002F1A74">
      <w:pPr>
        <w:tabs>
          <w:tab w:val="left" w:pos="1134"/>
        </w:tabs>
        <w:spacing w:after="0"/>
      </w:pPr>
      <w:hyperlink r:id="rId18" w:history="1">
        <w:r w:rsidR="002F1A74" w:rsidRPr="002F1A74">
          <w:rPr>
            <w:rStyle w:val="Hyperlink"/>
          </w:rPr>
          <w:t>https://transform.england.nhs.uk/information-governance/guidance/amending-patient-and-service-user-records/</w:t>
        </w:r>
      </w:hyperlink>
    </w:p>
    <w:p w14:paraId="75594E65" w14:textId="52B2905D" w:rsidR="002F1A74" w:rsidRDefault="002F1A74" w:rsidP="002F1A74">
      <w:pPr>
        <w:tabs>
          <w:tab w:val="left" w:pos="1134"/>
        </w:tabs>
        <w:spacing w:after="0"/>
      </w:pPr>
      <w:r w:rsidRPr="002F1A74">
        <w:t>NHS England – Transformation Directorate; Records Management Code of Practice</w:t>
      </w:r>
    </w:p>
    <w:p w14:paraId="291988E1" w14:textId="01C19AC7" w:rsidR="002F1A74" w:rsidRDefault="00886A8D" w:rsidP="002F1A74">
      <w:pPr>
        <w:tabs>
          <w:tab w:val="left" w:pos="1134"/>
        </w:tabs>
      </w:pPr>
      <w:hyperlink r:id="rId19" w:history="1">
        <w:r w:rsidR="002F1A74" w:rsidRPr="00BB13FA">
          <w:rPr>
            <w:rStyle w:val="Hyperlink"/>
          </w:rPr>
          <w:t>https://transform.england.nhs.uk/information-governance/guidance/records-management-code/</w:t>
        </w:r>
      </w:hyperlink>
    </w:p>
    <w:p w14:paraId="13D99821" w14:textId="77777777" w:rsidR="002F1A74" w:rsidRDefault="002F1A74" w:rsidP="002F1A74">
      <w:pPr>
        <w:tabs>
          <w:tab w:val="left" w:pos="1134"/>
        </w:tabs>
      </w:pPr>
      <w:r>
        <w:t>Nursing &amp; Midwifery Council: guidance on the Code for professional standards of practice and behaviour for nurses, midwives and nursing associates</w:t>
      </w:r>
    </w:p>
    <w:p w14:paraId="5663F103" w14:textId="58121FA5" w:rsidR="002F1A74" w:rsidRDefault="00886A8D" w:rsidP="002F1A74">
      <w:pPr>
        <w:tabs>
          <w:tab w:val="left" w:pos="1134"/>
        </w:tabs>
      </w:pPr>
      <w:hyperlink r:id="rId20" w:history="1">
        <w:r w:rsidR="002F1A74" w:rsidRPr="00BB13FA">
          <w:rPr>
            <w:rStyle w:val="Hyperlink"/>
          </w:rPr>
          <w:t>https://www.nmc.org.uk/standards/code/</w:t>
        </w:r>
      </w:hyperlink>
    </w:p>
    <w:p w14:paraId="23380C5A" w14:textId="47FE6B2A" w:rsidR="002F1A74" w:rsidRDefault="002F1A74" w:rsidP="002F1A74">
      <w:pPr>
        <w:tabs>
          <w:tab w:val="left" w:pos="1134"/>
        </w:tabs>
      </w:pPr>
      <w:r>
        <w:t>General Medical Council: good medical practice for keeping records</w:t>
      </w:r>
    </w:p>
    <w:p w14:paraId="06620DC4" w14:textId="377C1B13" w:rsidR="00AE564A" w:rsidRDefault="00886A8D" w:rsidP="002F1A74">
      <w:pPr>
        <w:tabs>
          <w:tab w:val="left" w:pos="1134"/>
        </w:tabs>
      </w:pPr>
      <w:hyperlink r:id="rId21" w:anchor="paragraph-19" w:history="1">
        <w:r w:rsidR="00AE564A" w:rsidRPr="00BB13FA">
          <w:rPr>
            <w:rStyle w:val="Hyperlink"/>
          </w:rPr>
          <w:t>https://www.gmc-uk.org/ethical-guidance/ethical-guidance-for-doctors/good-medical-practice/domain-1---knowledge-skills-and-performance?#paragraph-19</w:t>
        </w:r>
      </w:hyperlink>
    </w:p>
    <w:p w14:paraId="383EA01A" w14:textId="6364C385" w:rsidR="002F1A74" w:rsidRDefault="002F1A74" w:rsidP="002F1A74">
      <w:pPr>
        <w:tabs>
          <w:tab w:val="left" w:pos="1134"/>
        </w:tabs>
      </w:pPr>
      <w:r>
        <w:t>Health &amp; Care Professions Council: guidance on record keeping</w:t>
      </w:r>
    </w:p>
    <w:p w14:paraId="2BADB496" w14:textId="1C24D552" w:rsidR="00AE564A" w:rsidRDefault="00886A8D" w:rsidP="002F1A74">
      <w:pPr>
        <w:tabs>
          <w:tab w:val="left" w:pos="1134"/>
        </w:tabs>
      </w:pPr>
      <w:hyperlink r:id="rId22" w:history="1">
        <w:r w:rsidR="00AE564A" w:rsidRPr="00BB13FA">
          <w:rPr>
            <w:rStyle w:val="Hyperlink"/>
          </w:rPr>
          <w:t>https://www.hcpc-uk.org/standards/meeting-our-standards/record-keeping/</w:t>
        </w:r>
      </w:hyperlink>
    </w:p>
    <w:p w14:paraId="0B496B24" w14:textId="3343B4F9" w:rsidR="002F1A74" w:rsidRPr="002F1A74" w:rsidRDefault="002F1A74" w:rsidP="002F1A74">
      <w:pPr>
        <w:tabs>
          <w:tab w:val="left" w:pos="1134"/>
        </w:tabs>
      </w:pPr>
    </w:p>
    <w:sectPr w:rsidR="002F1A74" w:rsidRPr="002F1A74" w:rsidSect="00662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91B6B" w14:textId="77777777" w:rsidR="009D1A0E" w:rsidRDefault="009D1A0E" w:rsidP="006F3719">
      <w:pPr>
        <w:spacing w:before="0" w:after="0"/>
      </w:pPr>
      <w:r>
        <w:separator/>
      </w:r>
    </w:p>
  </w:endnote>
  <w:endnote w:type="continuationSeparator" w:id="0">
    <w:p w14:paraId="1A8C46BB" w14:textId="77777777" w:rsidR="009D1A0E" w:rsidRDefault="009D1A0E" w:rsidP="006F3719">
      <w:pPr>
        <w:spacing w:before="0" w:after="0"/>
      </w:pPr>
      <w:r>
        <w:continuationSeparator/>
      </w:r>
    </w:p>
  </w:endnote>
  <w:endnote w:type="continuationNotice" w:id="1">
    <w:p w14:paraId="3124C481" w14:textId="77777777" w:rsidR="00ED408F" w:rsidRDefault="00ED408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410FC" w14:textId="77777777" w:rsidR="00217D8A" w:rsidRDefault="0075297B" w:rsidP="00266359">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end"/>
    </w:r>
  </w:p>
  <w:p w14:paraId="162C69A4" w14:textId="77777777" w:rsidR="00217D8A" w:rsidRDefault="00886A8D" w:rsidP="001C3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D813" w14:textId="6BDE1F89" w:rsidR="00217D8A" w:rsidRDefault="0075297B" w:rsidP="001C3088">
    <w:pPr>
      <w:pStyle w:val="Footer"/>
      <w:framePr w:wrap="around" w:vAnchor="text" w:hAnchor="margin" w:xAlign="center"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886A8D">
      <w:rPr>
        <w:rStyle w:val="PageNumber"/>
        <w:noProof/>
      </w:rPr>
      <w:t>3</w:t>
    </w:r>
    <w:r>
      <w:rPr>
        <w:rStyle w:val="PageNumber"/>
      </w:rPr>
      <w:fldChar w:fldCharType="end"/>
    </w:r>
  </w:p>
  <w:p w14:paraId="22320C66" w14:textId="77777777" w:rsidR="00217D8A" w:rsidRDefault="00886A8D" w:rsidP="001C3088">
    <w:pPr>
      <w:pStyle w:val="Footer"/>
      <w:tabs>
        <w:tab w:val="clear" w:pos="4153"/>
        <w:tab w:val="clear" w:pos="830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6ED5F" w14:textId="431E3D78" w:rsidR="00217D8A" w:rsidRDefault="0075297B" w:rsidP="001C3088">
    <w:pPr>
      <w:pStyle w:val="Footer"/>
      <w:framePr w:wrap="around" w:vAnchor="text" w:hAnchor="margin" w:xAlign="right" w:y="1"/>
      <w:rPr>
        <w:rStyle w:val="PageNumber"/>
      </w:rPr>
    </w:pPr>
    <w:r>
      <w:rPr>
        <w:rStyle w:val="PageNumber"/>
      </w:rPr>
      <w:fldChar w:fldCharType="begin"/>
    </w:r>
    <w:r w:rsidR="006F3719">
      <w:rPr>
        <w:rStyle w:val="PageNumber"/>
      </w:rPr>
      <w:instrText xml:space="preserve">PAGE  </w:instrText>
    </w:r>
    <w:r>
      <w:rPr>
        <w:rStyle w:val="PageNumber"/>
      </w:rPr>
      <w:fldChar w:fldCharType="separate"/>
    </w:r>
    <w:r w:rsidR="009A0316">
      <w:rPr>
        <w:rStyle w:val="PageNumber"/>
        <w:noProof/>
      </w:rPr>
      <w:t>1</w:t>
    </w:r>
    <w:r>
      <w:rPr>
        <w:rStyle w:val="PageNumber"/>
      </w:rPr>
      <w:fldChar w:fldCharType="end"/>
    </w:r>
  </w:p>
  <w:p w14:paraId="1E8D35CC" w14:textId="77777777" w:rsidR="00217D8A" w:rsidRDefault="00886A8D" w:rsidP="001C3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F812E" w14:textId="77777777" w:rsidR="009D1A0E" w:rsidRDefault="009D1A0E" w:rsidP="006F3719">
      <w:pPr>
        <w:spacing w:before="0" w:after="0"/>
      </w:pPr>
      <w:r>
        <w:separator/>
      </w:r>
    </w:p>
  </w:footnote>
  <w:footnote w:type="continuationSeparator" w:id="0">
    <w:p w14:paraId="103EE05D" w14:textId="77777777" w:rsidR="009D1A0E" w:rsidRDefault="009D1A0E" w:rsidP="006F3719">
      <w:pPr>
        <w:spacing w:before="0" w:after="0"/>
      </w:pPr>
      <w:r>
        <w:continuationSeparator/>
      </w:r>
    </w:p>
  </w:footnote>
  <w:footnote w:type="continuationNotice" w:id="1">
    <w:p w14:paraId="7FA37C9E" w14:textId="77777777" w:rsidR="00ED408F" w:rsidRDefault="00ED408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2DC55" w14:textId="77777777" w:rsidR="006F3719" w:rsidRDefault="00742373" w:rsidP="00742373">
    <w:pPr>
      <w:pStyle w:val="Header"/>
      <w:tabs>
        <w:tab w:val="clear" w:pos="4513"/>
        <w:tab w:val="clear" w:pos="9026"/>
        <w:tab w:val="left" w:pos="6420"/>
      </w:tabs>
    </w:pPr>
    <w:r>
      <w:tab/>
    </w:r>
    <w:r>
      <w:rPr>
        <w:noProof/>
      </w:rPr>
      <w:drawing>
        <wp:anchor distT="0" distB="0" distL="114300" distR="114300" simplePos="0" relativeHeight="251658240" behindDoc="0" locked="0" layoutInCell="1" allowOverlap="1" wp14:anchorId="16BE69CC" wp14:editId="21ED86E9">
          <wp:simplePos x="0" y="0"/>
          <wp:positionH relativeFrom="column">
            <wp:posOffset>4076700</wp:posOffset>
          </wp:positionH>
          <wp:positionV relativeFrom="paragraph">
            <wp:posOffset>2540</wp:posOffset>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64DD"/>
    <w:multiLevelType w:val="hybridMultilevel"/>
    <w:tmpl w:val="93E40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B71EAB"/>
    <w:multiLevelType w:val="hybridMultilevel"/>
    <w:tmpl w:val="75409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D2C3D"/>
    <w:multiLevelType w:val="hybridMultilevel"/>
    <w:tmpl w:val="1FB23FE4"/>
    <w:lvl w:ilvl="0" w:tplc="6D445C3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867A5"/>
    <w:multiLevelType w:val="hybridMultilevel"/>
    <w:tmpl w:val="F4865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A97786"/>
    <w:multiLevelType w:val="hybridMultilevel"/>
    <w:tmpl w:val="8CA2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E91897"/>
    <w:multiLevelType w:val="hybridMultilevel"/>
    <w:tmpl w:val="FF10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C12CF"/>
    <w:multiLevelType w:val="hybridMultilevel"/>
    <w:tmpl w:val="9A4C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A3AF6"/>
    <w:multiLevelType w:val="hybridMultilevel"/>
    <w:tmpl w:val="3F0C2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7829AA"/>
    <w:multiLevelType w:val="hybridMultilevel"/>
    <w:tmpl w:val="3CA2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D76FC"/>
    <w:multiLevelType w:val="hybridMultilevel"/>
    <w:tmpl w:val="D714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133AA7"/>
    <w:multiLevelType w:val="hybridMultilevel"/>
    <w:tmpl w:val="D4CE79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FA6557E"/>
    <w:multiLevelType w:val="hybridMultilevel"/>
    <w:tmpl w:val="031E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1"/>
  </w:num>
  <w:num w:numId="6">
    <w:abstractNumId w:val="5"/>
  </w:num>
  <w:num w:numId="7">
    <w:abstractNumId w:val="1"/>
  </w:num>
  <w:num w:numId="8">
    <w:abstractNumId w:val="10"/>
  </w:num>
  <w:num w:numId="9">
    <w:abstractNumId w:val="8"/>
  </w:num>
  <w:num w:numId="10">
    <w:abstractNumId w:val="0"/>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719"/>
    <w:rsid w:val="00003194"/>
    <w:rsid w:val="00045FFA"/>
    <w:rsid w:val="00046167"/>
    <w:rsid w:val="000512F5"/>
    <w:rsid w:val="00070C58"/>
    <w:rsid w:val="00082FF0"/>
    <w:rsid w:val="000A4F93"/>
    <w:rsid w:val="000C7001"/>
    <w:rsid w:val="0010773A"/>
    <w:rsid w:val="00121F13"/>
    <w:rsid w:val="00154251"/>
    <w:rsid w:val="00181F69"/>
    <w:rsid w:val="001B7E99"/>
    <w:rsid w:val="001D6BA1"/>
    <w:rsid w:val="001F20CC"/>
    <w:rsid w:val="002408E9"/>
    <w:rsid w:val="00272F1F"/>
    <w:rsid w:val="002F068F"/>
    <w:rsid w:val="002F1A74"/>
    <w:rsid w:val="002F6958"/>
    <w:rsid w:val="00336D19"/>
    <w:rsid w:val="003718AF"/>
    <w:rsid w:val="003920C7"/>
    <w:rsid w:val="003B6429"/>
    <w:rsid w:val="003B6581"/>
    <w:rsid w:val="003C4408"/>
    <w:rsid w:val="003E39E8"/>
    <w:rsid w:val="003E4236"/>
    <w:rsid w:val="0046290E"/>
    <w:rsid w:val="004B587E"/>
    <w:rsid w:val="00531E6A"/>
    <w:rsid w:val="005E32DB"/>
    <w:rsid w:val="006011EC"/>
    <w:rsid w:val="006136CD"/>
    <w:rsid w:val="00662EA3"/>
    <w:rsid w:val="006671B8"/>
    <w:rsid w:val="0067554E"/>
    <w:rsid w:val="006C5E11"/>
    <w:rsid w:val="006D6E97"/>
    <w:rsid w:val="006E7409"/>
    <w:rsid w:val="006F3719"/>
    <w:rsid w:val="006F59B0"/>
    <w:rsid w:val="00742373"/>
    <w:rsid w:val="00743C7F"/>
    <w:rsid w:val="0075297B"/>
    <w:rsid w:val="007600AB"/>
    <w:rsid w:val="00786597"/>
    <w:rsid w:val="00803B81"/>
    <w:rsid w:val="0084474D"/>
    <w:rsid w:val="00886A8D"/>
    <w:rsid w:val="008F2C28"/>
    <w:rsid w:val="00965693"/>
    <w:rsid w:val="009A0316"/>
    <w:rsid w:val="009D1A0E"/>
    <w:rsid w:val="009E5BA6"/>
    <w:rsid w:val="009E7408"/>
    <w:rsid w:val="009F448E"/>
    <w:rsid w:val="00A11E2D"/>
    <w:rsid w:val="00A145CB"/>
    <w:rsid w:val="00A26278"/>
    <w:rsid w:val="00A41DAA"/>
    <w:rsid w:val="00A56833"/>
    <w:rsid w:val="00A97253"/>
    <w:rsid w:val="00AB3A25"/>
    <w:rsid w:val="00AB5D2C"/>
    <w:rsid w:val="00AE564A"/>
    <w:rsid w:val="00B01FBF"/>
    <w:rsid w:val="00B0767E"/>
    <w:rsid w:val="00B4099E"/>
    <w:rsid w:val="00B5428A"/>
    <w:rsid w:val="00B87080"/>
    <w:rsid w:val="00BE0469"/>
    <w:rsid w:val="00C01F38"/>
    <w:rsid w:val="00C43AED"/>
    <w:rsid w:val="00C60A69"/>
    <w:rsid w:val="00C61C25"/>
    <w:rsid w:val="00CA582F"/>
    <w:rsid w:val="00CD3335"/>
    <w:rsid w:val="00CF2550"/>
    <w:rsid w:val="00DA75BD"/>
    <w:rsid w:val="00DD7A1A"/>
    <w:rsid w:val="00DF2BD3"/>
    <w:rsid w:val="00DF4A89"/>
    <w:rsid w:val="00DF6D54"/>
    <w:rsid w:val="00E64D34"/>
    <w:rsid w:val="00ED2162"/>
    <w:rsid w:val="00ED408F"/>
    <w:rsid w:val="00EE0ADC"/>
    <w:rsid w:val="00EF7CCA"/>
    <w:rsid w:val="00F10A13"/>
    <w:rsid w:val="00F23DE5"/>
    <w:rsid w:val="00F63C79"/>
    <w:rsid w:val="00F71B7E"/>
    <w:rsid w:val="00FB543F"/>
    <w:rsid w:val="00FD2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8D05552"/>
  <w15:docId w15:val="{AB6EADB6-CCAD-4BCC-AC92-311CC474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19"/>
    <w:pPr>
      <w:spacing w:before="200" w:line="240" w:lineRule="auto"/>
      <w:jc w:val="both"/>
    </w:pPr>
    <w:rPr>
      <w:rFonts w:ascii="Arial" w:eastAsia="Times New Roman" w:hAnsi="Arial" w:cs="Times New Roman"/>
      <w:szCs w:val="24"/>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F3719"/>
    <w:pPr>
      <w:tabs>
        <w:tab w:val="center" w:pos="4153"/>
        <w:tab w:val="right" w:pos="8306"/>
      </w:tabs>
    </w:pPr>
  </w:style>
  <w:style w:type="character" w:customStyle="1" w:styleId="FooterChar">
    <w:name w:val="Footer Char"/>
    <w:basedOn w:val="DefaultParagraphFont"/>
    <w:link w:val="Footer"/>
    <w:rsid w:val="006F3719"/>
    <w:rPr>
      <w:rFonts w:ascii="Arial" w:eastAsia="Times New Roman" w:hAnsi="Arial" w:cs="Times New Roman"/>
      <w:szCs w:val="24"/>
      <w:lang w:eastAsia="en-GB"/>
    </w:rPr>
  </w:style>
  <w:style w:type="character" w:styleId="PageNumber">
    <w:name w:val="page number"/>
    <w:basedOn w:val="DefaultParagraphFont"/>
    <w:rsid w:val="006F3719"/>
    <w:rPr>
      <w:rFonts w:ascii="Arial" w:hAnsi="Arial"/>
      <w:sz w:val="18"/>
    </w:rPr>
  </w:style>
  <w:style w:type="paragraph" w:styleId="Header">
    <w:name w:val="header"/>
    <w:basedOn w:val="Normal"/>
    <w:link w:val="HeaderChar"/>
    <w:uiPriority w:val="99"/>
    <w:unhideWhenUsed/>
    <w:rsid w:val="006F3719"/>
    <w:pPr>
      <w:tabs>
        <w:tab w:val="center" w:pos="4513"/>
        <w:tab w:val="right" w:pos="9026"/>
      </w:tabs>
      <w:spacing w:before="0" w:after="0"/>
    </w:pPr>
  </w:style>
  <w:style w:type="character" w:customStyle="1" w:styleId="HeaderChar">
    <w:name w:val="Header Char"/>
    <w:basedOn w:val="DefaultParagraphFont"/>
    <w:link w:val="Header"/>
    <w:uiPriority w:val="99"/>
    <w:rsid w:val="006F3719"/>
    <w:rPr>
      <w:rFonts w:ascii="Arial" w:eastAsia="Times New Roman" w:hAnsi="Arial" w:cs="Times New Roman"/>
      <w:szCs w:val="24"/>
      <w:lang w:eastAsia="en-GB"/>
    </w:rPr>
  </w:style>
  <w:style w:type="paragraph" w:styleId="BalloonText">
    <w:name w:val="Balloon Text"/>
    <w:basedOn w:val="Normal"/>
    <w:link w:val="BalloonTextChar"/>
    <w:uiPriority w:val="99"/>
    <w:semiHidden/>
    <w:unhideWhenUsed/>
    <w:rsid w:val="002408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8E9"/>
    <w:rPr>
      <w:rFonts w:ascii="Tahoma" w:eastAsia="Times New Roman" w:hAnsi="Tahoma" w:cs="Tahoma"/>
      <w:sz w:val="16"/>
      <w:szCs w:val="16"/>
      <w:lang w:eastAsia="en-GB"/>
    </w:rPr>
  </w:style>
  <w:style w:type="table" w:styleId="TableGrid">
    <w:name w:val="Table Grid"/>
    <w:basedOn w:val="TableNormal"/>
    <w:uiPriority w:val="59"/>
    <w:rsid w:val="00240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773A"/>
    <w:pPr>
      <w:ind w:left="720"/>
      <w:contextualSpacing/>
    </w:pPr>
  </w:style>
  <w:style w:type="character" w:styleId="Hyperlink">
    <w:name w:val="Hyperlink"/>
    <w:basedOn w:val="DefaultParagraphFont"/>
    <w:uiPriority w:val="99"/>
    <w:unhideWhenUsed/>
    <w:rsid w:val="002F1A74"/>
    <w:rPr>
      <w:color w:val="0000FF" w:themeColor="hyperlink"/>
      <w:u w:val="single"/>
    </w:rPr>
  </w:style>
  <w:style w:type="character" w:styleId="FollowedHyperlink">
    <w:name w:val="FollowedHyperlink"/>
    <w:basedOn w:val="DefaultParagraphFont"/>
    <w:uiPriority w:val="99"/>
    <w:semiHidden/>
    <w:unhideWhenUsed/>
    <w:rsid w:val="00AE5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8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transform.england.nhs.uk/information-governance/guidance/amending-patient-and-service-user-records/" TargetMode="External"/><Relationship Id="rId3" Type="http://schemas.openxmlformats.org/officeDocument/2006/relationships/customXml" Target="../customXml/item3.xml"/><Relationship Id="rId21" Type="http://schemas.openxmlformats.org/officeDocument/2006/relationships/hyperlink" Target="https://www.gmc-uk.org/ethical-guidance/ethical-guidance-for-doctors/good-medical-practice/domain-1---knowledge-skills-and-performance?" TargetMode="Externa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s://eastlondon.service-now.com/sp" TargetMode="External"/><Relationship Id="rId2" Type="http://schemas.openxmlformats.org/officeDocument/2006/relationships/customXml" Target="../customXml/item2.xml"/><Relationship Id="rId16" Type="http://schemas.openxmlformats.org/officeDocument/2006/relationships/hyperlink" Target="https://eastlondon.service-now.com/sp" TargetMode="External"/><Relationship Id="rId20" Type="http://schemas.openxmlformats.org/officeDocument/2006/relationships/hyperlink" Target="https://www.nmc.org.uk/standards/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astlondon.service-now.com/sp"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ransform.england.nhs.uk/information-governance/guidance/records-management-co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s://www.hcpc-uk.org/standards/meeting-our-standards/record-keep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1B7F49E3C5E14DB7DD05B9A823C2D4" ma:contentTypeVersion="14" ma:contentTypeDescription="Create a new document." ma:contentTypeScope="" ma:versionID="0750d43e487f1ce6283f5b3c87d02b53">
  <xsd:schema xmlns:xsd="http://www.w3.org/2001/XMLSchema" xmlns:xs="http://www.w3.org/2001/XMLSchema" xmlns:p="http://schemas.microsoft.com/office/2006/metadata/properties" xmlns:ns1="http://schemas.microsoft.com/sharepoint/v3" xmlns:ns3="12316cf6-3503-41db-9f41-3329192c5273" xmlns:ns4="6f33d53c-42b2-41e1-965c-1eea63fca48d" targetNamespace="http://schemas.microsoft.com/office/2006/metadata/properties" ma:root="true" ma:fieldsID="194e9846696586d5f421a53f4400e9fb" ns1:_="" ns3:_="" ns4:_="">
    <xsd:import namespace="http://schemas.microsoft.com/sharepoint/v3"/>
    <xsd:import namespace="12316cf6-3503-41db-9f41-3329192c5273"/>
    <xsd:import namespace="6f33d53c-42b2-41e1-965c-1eea63fca48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1:_ip_UnifiedCompliancePolicyProperties" minOccurs="0"/>
                <xsd:element ref="ns1:_ip_UnifiedCompliancePolicyUIAction"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316cf6-3503-41db-9f41-3329192c52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3" nillable="true" ma:displayName="_activity" ma:hidden="true" ma:internalName="_activity">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33d53c-42b2-41e1-965c-1eea63fca48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12316cf6-3503-41db-9f41-3329192c527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D847F-17A0-4EBB-9B49-063BC3E78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316cf6-3503-41db-9f41-3329192c5273"/>
    <ds:schemaRef ds:uri="6f33d53c-42b2-41e1-965c-1eea63fca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CB8333-AE73-4F26-BCC8-1A493E84A840}">
  <ds:schemaRefs>
    <ds:schemaRef ds:uri="http://schemas.microsoft.com/sharepoint/v3/contenttype/forms"/>
  </ds:schemaRefs>
</ds:datastoreItem>
</file>

<file path=customXml/itemProps3.xml><?xml version="1.0" encoding="utf-8"?>
<ds:datastoreItem xmlns:ds="http://schemas.openxmlformats.org/officeDocument/2006/customXml" ds:itemID="{5EBDFEC5-FFBA-4E48-9038-4F9C541D962F}">
  <ds:schemaRefs>
    <ds:schemaRef ds:uri="http://schemas.openxmlformats.org/package/2006/metadata/core-properties"/>
    <ds:schemaRef ds:uri="12316cf6-3503-41db-9f41-3329192c5273"/>
    <ds:schemaRef ds:uri="http://schemas.microsoft.com/office/2006/documentManagement/types"/>
    <ds:schemaRef ds:uri="http://schemas.microsoft.com/office/2006/metadata/properties"/>
    <ds:schemaRef ds:uri="6f33d53c-42b2-41e1-965c-1eea63fca48d"/>
    <ds:schemaRef ds:uri="http://purl.org/dc/elements/1.1/"/>
    <ds:schemaRef ds:uri="http://schemas.microsoft.com/sharepoint/v3"/>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829E0E8-A2CE-4BFE-A029-3E3861A0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1896</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ELCMHT</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fitzgeraldm</dc:creator>
  <cp:lastModifiedBy>Khatun Rashida</cp:lastModifiedBy>
  <cp:revision>4</cp:revision>
  <cp:lastPrinted>2024-04-24T13:52:00Z</cp:lastPrinted>
  <dcterms:created xsi:type="dcterms:W3CDTF">2024-04-24T13:52:00Z</dcterms:created>
  <dcterms:modified xsi:type="dcterms:W3CDTF">2024-04-24T13:53:00Z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0x010100E61B7F49E3C5E14DB7DD05B9A823C2D4</vt:lpwstr>
  </property>
</Properties>
</file>