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1561"/>
        <w:gridCol w:w="1197"/>
        <w:gridCol w:w="3862"/>
        <w:gridCol w:w="1448"/>
        <w:gridCol w:w="1153"/>
        <w:gridCol w:w="1059"/>
        <w:gridCol w:w="2835"/>
      </w:tblGrid>
      <w:tr w:rsidR="00C77793" w:rsidTr="00C77793">
        <w:trPr>
          <w:trHeight w:val="435"/>
        </w:trPr>
        <w:tc>
          <w:tcPr>
            <w:tcW w:w="14152" w:type="dxa"/>
            <w:gridSpan w:val="8"/>
            <w:tcBorders>
              <w:top w:val="single" w:sz="4" w:space="0" w:color="ED7D31"/>
              <w:left w:val="double" w:sz="6" w:space="0" w:color="C65911"/>
              <w:bottom w:val="nil"/>
              <w:right w:val="double" w:sz="6" w:space="0" w:color="C6591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9741E9">
              <w:rPr>
                <w:rFonts w:ascii="Arial" w:hAnsi="Arial" w:cs="Arial"/>
                <w:b/>
                <w:bCs/>
                <w:color w:val="767171" w:themeColor="background2" w:themeShade="80"/>
                <w:sz w:val="32"/>
                <w:szCs w:val="32"/>
              </w:rPr>
              <w:t>Service's Improvement Tracker</w:t>
            </w:r>
          </w:p>
        </w:tc>
      </w:tr>
      <w:tr w:rsidR="00C77793" w:rsidTr="00C77793">
        <w:trPr>
          <w:trHeight w:val="948"/>
        </w:trPr>
        <w:tc>
          <w:tcPr>
            <w:tcW w:w="1037" w:type="dxa"/>
            <w:tcBorders>
              <w:top w:val="single" w:sz="4" w:space="0" w:color="FFC000"/>
              <w:left w:val="double" w:sz="6" w:space="0" w:color="C65911"/>
              <w:bottom w:val="nil"/>
              <w:right w:val="single" w:sz="4" w:space="0" w:color="808080" w:themeColor="background1" w:themeShade="80"/>
            </w:tcBorders>
            <w:shd w:val="clear" w:color="FFC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7793" w:rsidRPr="009741E9" w:rsidRDefault="00C77793" w:rsidP="00C77793">
            <w:pPr>
              <w:jc w:val="center"/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</w:pPr>
            <w:r w:rsidRPr="009741E9">
              <w:rPr>
                <w:rFonts w:ascii="Arial" w:hAnsi="Arial" w:cs="Arial"/>
                <w:b/>
                <w:bCs/>
                <w:color w:val="595959"/>
              </w:rPr>
              <w:t>Date raised</w:t>
            </w:r>
          </w:p>
        </w:tc>
        <w:tc>
          <w:tcPr>
            <w:tcW w:w="1561" w:type="dxa"/>
            <w:tcBorders>
              <w:top w:val="single" w:sz="4" w:space="0" w:color="FFC00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FFC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7793" w:rsidRPr="009741E9" w:rsidRDefault="00C77793" w:rsidP="00C77793">
            <w:pPr>
              <w:jc w:val="center"/>
              <w:rPr>
                <w:rFonts w:ascii="Arial" w:hAnsi="Arial" w:cs="Arial"/>
                <w:b/>
                <w:bCs/>
                <w:color w:val="595959"/>
              </w:rPr>
            </w:pPr>
            <w:r w:rsidRPr="009741E9">
              <w:rPr>
                <w:rFonts w:ascii="Arial" w:hAnsi="Arial" w:cs="Arial"/>
                <w:b/>
                <w:bCs/>
                <w:color w:val="595959"/>
              </w:rPr>
              <w:t>Framework Category</w:t>
            </w:r>
          </w:p>
        </w:tc>
        <w:tc>
          <w:tcPr>
            <w:tcW w:w="1197" w:type="dxa"/>
            <w:tcBorders>
              <w:top w:val="single" w:sz="4" w:space="0" w:color="FFC00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FFC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7793" w:rsidRPr="009741E9" w:rsidRDefault="00C77793" w:rsidP="00C77793">
            <w:pPr>
              <w:jc w:val="center"/>
              <w:rPr>
                <w:rFonts w:ascii="Arial" w:hAnsi="Arial" w:cs="Arial"/>
                <w:b/>
                <w:bCs/>
                <w:color w:val="595959"/>
              </w:rPr>
            </w:pPr>
            <w:r w:rsidRPr="009741E9">
              <w:rPr>
                <w:rFonts w:ascii="Arial" w:hAnsi="Arial" w:cs="Arial"/>
                <w:b/>
                <w:bCs/>
                <w:color w:val="595959"/>
              </w:rPr>
              <w:t xml:space="preserve">Standard </w:t>
            </w:r>
            <w:proofErr w:type="spellStart"/>
            <w:r w:rsidRPr="009741E9">
              <w:rPr>
                <w:rFonts w:ascii="Arial" w:hAnsi="Arial" w:cs="Arial"/>
                <w:b/>
                <w:bCs/>
                <w:color w:val="595959"/>
              </w:rPr>
              <w:t>N</w:t>
            </w:r>
            <w:r w:rsidRPr="009741E9">
              <w:rPr>
                <w:rFonts w:ascii="Arial" w:hAnsi="Arial" w:cs="Arial"/>
                <w:b/>
                <w:bCs/>
                <w:color w:val="595959"/>
              </w:rPr>
              <w:t>r</w:t>
            </w:r>
            <w:proofErr w:type="spellEnd"/>
          </w:p>
        </w:tc>
        <w:tc>
          <w:tcPr>
            <w:tcW w:w="3862" w:type="dxa"/>
            <w:tcBorders>
              <w:top w:val="single" w:sz="4" w:space="0" w:color="FFC00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FFC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7793" w:rsidRPr="009741E9" w:rsidRDefault="00C77793" w:rsidP="00C77793">
            <w:pPr>
              <w:jc w:val="center"/>
              <w:rPr>
                <w:rFonts w:ascii="Arial" w:hAnsi="Arial" w:cs="Arial"/>
                <w:b/>
                <w:bCs/>
                <w:color w:val="595959"/>
              </w:rPr>
            </w:pPr>
            <w:r w:rsidRPr="009741E9">
              <w:rPr>
                <w:rFonts w:ascii="Arial" w:hAnsi="Arial" w:cs="Arial"/>
                <w:b/>
                <w:bCs/>
                <w:color w:val="595959"/>
              </w:rPr>
              <w:t>What requires improvement</w:t>
            </w:r>
          </w:p>
        </w:tc>
        <w:tc>
          <w:tcPr>
            <w:tcW w:w="1448" w:type="dxa"/>
            <w:tcBorders>
              <w:top w:val="single" w:sz="4" w:space="0" w:color="FFC00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FFC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7793" w:rsidRPr="009741E9" w:rsidRDefault="00C77793" w:rsidP="00C77793">
            <w:pPr>
              <w:jc w:val="center"/>
              <w:rPr>
                <w:rFonts w:ascii="Arial" w:hAnsi="Arial" w:cs="Arial"/>
                <w:b/>
                <w:bCs/>
                <w:color w:val="595959"/>
              </w:rPr>
            </w:pPr>
            <w:r w:rsidRPr="009741E9">
              <w:rPr>
                <w:rFonts w:ascii="Arial" w:hAnsi="Arial" w:cs="Arial"/>
                <w:b/>
                <w:bCs/>
                <w:color w:val="595959"/>
              </w:rPr>
              <w:t>Action</w:t>
            </w:r>
          </w:p>
        </w:tc>
        <w:tc>
          <w:tcPr>
            <w:tcW w:w="1153" w:type="dxa"/>
            <w:tcBorders>
              <w:top w:val="single" w:sz="4" w:space="0" w:color="FFC00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FFC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7793" w:rsidRPr="009741E9" w:rsidRDefault="00C77793" w:rsidP="00C77793">
            <w:pPr>
              <w:jc w:val="center"/>
              <w:rPr>
                <w:rFonts w:ascii="Arial" w:hAnsi="Arial" w:cs="Arial"/>
                <w:b/>
                <w:bCs/>
                <w:color w:val="595959"/>
              </w:rPr>
            </w:pPr>
            <w:r w:rsidRPr="009741E9">
              <w:rPr>
                <w:rFonts w:ascii="Arial" w:hAnsi="Arial" w:cs="Arial"/>
                <w:b/>
                <w:bCs/>
                <w:color w:val="595959"/>
              </w:rPr>
              <w:t>Owner</w:t>
            </w:r>
          </w:p>
        </w:tc>
        <w:tc>
          <w:tcPr>
            <w:tcW w:w="1059" w:type="dxa"/>
            <w:tcBorders>
              <w:top w:val="single" w:sz="4" w:space="0" w:color="FFC00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FFC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7793" w:rsidRPr="009741E9" w:rsidRDefault="00C77793" w:rsidP="00C77793">
            <w:pPr>
              <w:jc w:val="center"/>
              <w:rPr>
                <w:rFonts w:ascii="Arial" w:hAnsi="Arial" w:cs="Arial"/>
                <w:b/>
                <w:bCs/>
                <w:color w:val="595959"/>
              </w:rPr>
            </w:pPr>
            <w:r w:rsidRPr="009741E9">
              <w:rPr>
                <w:rFonts w:ascii="Arial" w:hAnsi="Arial" w:cs="Arial"/>
                <w:b/>
                <w:bCs/>
                <w:color w:val="595959"/>
              </w:rPr>
              <w:t>By when</w:t>
            </w:r>
          </w:p>
        </w:tc>
        <w:tc>
          <w:tcPr>
            <w:tcW w:w="2835" w:type="dxa"/>
            <w:tcBorders>
              <w:top w:val="single" w:sz="4" w:space="0" w:color="FFC000"/>
              <w:left w:val="single" w:sz="4" w:space="0" w:color="808080" w:themeColor="background1" w:themeShade="80"/>
              <w:bottom w:val="nil"/>
              <w:right w:val="double" w:sz="6" w:space="0" w:color="C65911"/>
            </w:tcBorders>
            <w:shd w:val="clear" w:color="FFC000" w:fill="FFC0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77793" w:rsidRPr="009741E9" w:rsidRDefault="00C77793">
            <w:pPr>
              <w:spacing w:after="240"/>
              <w:rPr>
                <w:rFonts w:ascii="Arial" w:hAnsi="Arial" w:cs="Arial"/>
                <w:b/>
                <w:bCs/>
                <w:color w:val="595959"/>
              </w:rPr>
            </w:pPr>
            <w:r w:rsidRPr="009741E9">
              <w:rPr>
                <w:rFonts w:ascii="Arial" w:hAnsi="Arial" w:cs="Arial"/>
                <w:b/>
                <w:bCs/>
                <w:color w:val="595959"/>
              </w:rPr>
              <w:t>Status</w:t>
            </w:r>
            <w:bookmarkStart w:id="0" w:name="_GoBack"/>
            <w:bookmarkEnd w:id="0"/>
            <w:r w:rsidRPr="009741E9">
              <w:rPr>
                <w:rFonts w:ascii="Arial" w:hAnsi="Arial" w:cs="Arial"/>
                <w:b/>
                <w:bCs/>
                <w:color w:val="595959"/>
              </w:rPr>
              <w:br/>
            </w:r>
            <w:r w:rsidRPr="009741E9">
              <w:rPr>
                <w:rFonts w:ascii="Arial" w:hAnsi="Arial" w:cs="Arial"/>
                <w:b/>
                <w:bCs/>
                <w:color w:val="595959"/>
                <w:sz w:val="20"/>
              </w:rPr>
              <w:t>Not started/Started</w:t>
            </w:r>
            <w:r w:rsidRPr="009741E9">
              <w:rPr>
                <w:rFonts w:ascii="Arial" w:hAnsi="Arial" w:cs="Arial"/>
                <w:b/>
                <w:bCs/>
                <w:color w:val="595959"/>
                <w:sz w:val="20"/>
              </w:rPr>
              <w:br/>
              <w:t>Completed</w:t>
            </w:r>
          </w:p>
        </w:tc>
      </w:tr>
      <w:tr w:rsidR="00C77793" w:rsidTr="00C77793">
        <w:trPr>
          <w:trHeight w:val="852"/>
        </w:trPr>
        <w:tc>
          <w:tcPr>
            <w:tcW w:w="0" w:type="auto"/>
            <w:tcBorders>
              <w:top w:val="single" w:sz="4" w:space="0" w:color="ED7D31"/>
              <w:left w:val="single" w:sz="4" w:space="0" w:color="ED7D31"/>
              <w:bottom w:val="nil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single" w:sz="4" w:space="0" w:color="ED7D31"/>
              <w:left w:val="single" w:sz="4" w:space="0" w:color="ED7D31"/>
              <w:bottom w:val="nil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62" w:type="dxa"/>
            <w:tcBorders>
              <w:top w:val="single" w:sz="4" w:space="0" w:color="ED7D31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single" w:sz="4" w:space="0" w:color="ED7D31"/>
              <w:left w:val="single" w:sz="4" w:space="0" w:color="ED7D31"/>
              <w:bottom w:val="nil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ED7D31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single" w:sz="4" w:space="0" w:color="ED7D31"/>
              <w:left w:val="single" w:sz="4" w:space="0" w:color="ED7D31"/>
              <w:bottom w:val="nil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7793" w:rsidTr="00C77793">
        <w:trPr>
          <w:trHeight w:val="852"/>
        </w:trPr>
        <w:tc>
          <w:tcPr>
            <w:tcW w:w="0" w:type="auto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62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7793" w:rsidTr="00C77793">
        <w:trPr>
          <w:trHeight w:val="819"/>
        </w:trPr>
        <w:tc>
          <w:tcPr>
            <w:tcW w:w="0" w:type="auto"/>
            <w:tcBorders>
              <w:top w:val="single" w:sz="4" w:space="0" w:color="FFC000"/>
              <w:left w:val="single" w:sz="4" w:space="0" w:color="ED7D31"/>
              <w:bottom w:val="nil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FFC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FFC000"/>
              <w:left w:val="single" w:sz="4" w:space="0" w:color="ED7D31"/>
              <w:bottom w:val="nil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62" w:type="dxa"/>
            <w:tcBorders>
              <w:top w:val="single" w:sz="4" w:space="0" w:color="FFC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FFC000"/>
              <w:left w:val="single" w:sz="4" w:space="0" w:color="ED7D31"/>
              <w:bottom w:val="nil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FFC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FFC000"/>
              <w:left w:val="single" w:sz="4" w:space="0" w:color="ED7D31"/>
              <w:bottom w:val="nil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FFC000"/>
              <w:left w:val="nil"/>
              <w:bottom w:val="nil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7793" w:rsidTr="00C77793">
        <w:trPr>
          <w:trHeight w:val="852"/>
        </w:trPr>
        <w:tc>
          <w:tcPr>
            <w:tcW w:w="0" w:type="auto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62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7793" w:rsidTr="00C77793">
        <w:trPr>
          <w:trHeight w:val="852"/>
        </w:trPr>
        <w:tc>
          <w:tcPr>
            <w:tcW w:w="0" w:type="auto"/>
            <w:tcBorders>
              <w:top w:val="single" w:sz="4" w:space="0" w:color="FFC000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FFC000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single" w:sz="4" w:space="0" w:color="FFC000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62" w:type="dxa"/>
            <w:tcBorders>
              <w:top w:val="single" w:sz="4" w:space="0" w:color="FFC000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single" w:sz="4" w:space="0" w:color="FFC000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FFC000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single" w:sz="4" w:space="0" w:color="FFC000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FFC000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7793" w:rsidTr="00C77793">
        <w:trPr>
          <w:trHeight w:val="852"/>
        </w:trPr>
        <w:tc>
          <w:tcPr>
            <w:tcW w:w="0" w:type="auto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62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7793" w:rsidTr="00C77793">
        <w:trPr>
          <w:trHeight w:val="852"/>
        </w:trPr>
        <w:tc>
          <w:tcPr>
            <w:tcW w:w="0" w:type="auto"/>
            <w:tcBorders>
              <w:top w:val="single" w:sz="4" w:space="0" w:color="FFC000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FFC000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single" w:sz="4" w:space="0" w:color="FFC000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62" w:type="dxa"/>
            <w:tcBorders>
              <w:top w:val="single" w:sz="4" w:space="0" w:color="FFC000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single" w:sz="4" w:space="0" w:color="FFC000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single" w:sz="4" w:space="0" w:color="FFC000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single" w:sz="4" w:space="0" w:color="FFC000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FFC000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7793" w:rsidRDefault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7793" w:rsidTr="00C77793">
        <w:trPr>
          <w:trHeight w:val="852"/>
        </w:trPr>
        <w:tc>
          <w:tcPr>
            <w:tcW w:w="14152" w:type="dxa"/>
            <w:gridSpan w:val="8"/>
            <w:tcBorders>
              <w:top w:val="single" w:sz="4" w:space="0" w:color="ED7D31"/>
              <w:left w:val="single" w:sz="4" w:space="0" w:color="ED7D31"/>
              <w:bottom w:val="double" w:sz="6" w:space="0" w:color="C65911"/>
              <w:right w:val="double" w:sz="6" w:space="0" w:color="C6591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77793" w:rsidRDefault="00C77793" w:rsidP="00C77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Teams are encouraged to use this tracker to set a plan for the improvements that have been recommended by the Accreditation Committee. These should inform service’s or directorate’s </w:t>
            </w:r>
            <w:r>
              <w:rPr>
                <w:rFonts w:ascii="Calibri" w:hAnsi="Calibri" w:cs="Calibri"/>
                <w:color w:val="000000"/>
              </w:rPr>
              <w:t xml:space="preserve">annual </w:t>
            </w:r>
            <w:r>
              <w:rPr>
                <w:rFonts w:ascii="Calibri" w:hAnsi="Calibri" w:cs="Calibri"/>
                <w:color w:val="000000"/>
              </w:rPr>
              <w:t xml:space="preserve">quality plans, and consequently, quality improvement projects and other improvement related work.  For further information please contact your local Quality Improvement Sponsors or Coaches available on  </w:t>
            </w:r>
            <w:hyperlink r:id="rId4" w:history="1">
              <w:r w:rsidRPr="00B932B3">
                <w:rPr>
                  <w:rStyle w:val="Hyperlink"/>
                  <w:rFonts w:ascii="Calibri" w:hAnsi="Calibri" w:cs="Calibri"/>
                </w:rPr>
                <w:t>https://qi.elft.nhs.uk/help-support/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AE26D0" w:rsidRDefault="00AE26D0" w:rsidP="009741E9"/>
    <w:sectPr w:rsidR="00AE26D0" w:rsidSect="00C777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93"/>
    <w:rsid w:val="009741E9"/>
    <w:rsid w:val="00AE26D0"/>
    <w:rsid w:val="00C7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59E0"/>
  <w15:chartTrackingRefBased/>
  <w15:docId w15:val="{D22EFA1A-2CEE-48FF-BC00-5398EB95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7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i.elft.nhs.uk/help-sup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Shaygan Simona</dc:creator>
  <cp:keywords/>
  <dc:description/>
  <cp:lastModifiedBy>Shaygan Simona</cp:lastModifiedBy>
  <cp:revision>2</cp:revision>
  <dcterms:created xsi:type="dcterms:W3CDTF">2019-03-07T17:23:00Z</dcterms:created>
  <dcterms:modified xsi:type="dcterms:W3CDTF">2019-03-07T17:27:00Z</dcterms:modified>
</cp:coreProperties>
</file>