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38" w:rsidRPr="00900A94" w:rsidRDefault="00AB34AF" w:rsidP="00492F38">
      <w:pPr>
        <w:spacing w:after="0" w:line="240" w:lineRule="auto"/>
        <w:jc w:val="center"/>
        <w:rPr>
          <w:rFonts w:ascii="Arial" w:hAnsi="Arial" w:cs="Arial"/>
        </w:rPr>
      </w:pPr>
      <w:r w:rsidRPr="00900A94">
        <w:rPr>
          <w:rFonts w:ascii="Arial" w:hAnsi="Arial" w:cs="Arial"/>
          <w:b/>
          <w:bCs/>
        </w:rPr>
        <w:t>Medical Devices Standard Operating procedure</w:t>
      </w:r>
    </w:p>
    <w:tbl>
      <w:tblPr>
        <w:tblStyle w:val="TableGrid"/>
        <w:tblW w:w="9923" w:type="dxa"/>
        <w:tblInd w:w="-459" w:type="dxa"/>
        <w:tblLook w:val="04A0" w:firstRow="1" w:lastRow="0" w:firstColumn="1" w:lastColumn="0" w:noHBand="0" w:noVBand="1"/>
      </w:tblPr>
      <w:tblGrid>
        <w:gridCol w:w="4253"/>
        <w:gridCol w:w="5670"/>
      </w:tblGrid>
      <w:tr w:rsidR="00E971CC" w:rsidRPr="00900A94" w:rsidTr="00A22440">
        <w:tc>
          <w:tcPr>
            <w:tcW w:w="4253" w:type="dxa"/>
            <w:shd w:val="clear" w:color="auto" w:fill="F2F2F2" w:themeFill="background1" w:themeFillShade="F2"/>
          </w:tcPr>
          <w:p w:rsidR="00492F38" w:rsidRPr="00900A94" w:rsidRDefault="00492F38" w:rsidP="00492F38">
            <w:pPr>
              <w:rPr>
                <w:rFonts w:ascii="Arial" w:hAnsi="Arial" w:cs="Arial"/>
                <w:b/>
                <w:sz w:val="22"/>
                <w:szCs w:val="22"/>
              </w:rPr>
            </w:pPr>
            <w:r w:rsidRPr="00900A94">
              <w:rPr>
                <w:rFonts w:ascii="Arial" w:hAnsi="Arial" w:cs="Arial"/>
                <w:b/>
                <w:sz w:val="22"/>
                <w:szCs w:val="22"/>
              </w:rPr>
              <w:t>Title</w:t>
            </w:r>
          </w:p>
        </w:tc>
        <w:tc>
          <w:tcPr>
            <w:tcW w:w="5670" w:type="dxa"/>
            <w:shd w:val="clear" w:color="auto" w:fill="F2F2F2" w:themeFill="background1" w:themeFillShade="F2"/>
          </w:tcPr>
          <w:p w:rsidR="00492F38" w:rsidRPr="00900A94" w:rsidRDefault="00AB34AF" w:rsidP="00492F38">
            <w:pPr>
              <w:rPr>
                <w:rFonts w:ascii="Arial" w:hAnsi="Arial" w:cs="Arial"/>
                <w:sz w:val="22"/>
                <w:szCs w:val="22"/>
              </w:rPr>
            </w:pPr>
            <w:r w:rsidRPr="00900A94">
              <w:rPr>
                <w:rFonts w:ascii="Arial" w:hAnsi="Arial" w:cs="Arial"/>
                <w:sz w:val="22"/>
                <w:szCs w:val="22"/>
              </w:rPr>
              <w:t>SOP</w:t>
            </w:r>
          </w:p>
        </w:tc>
      </w:tr>
      <w:tr w:rsidR="00E971CC" w:rsidRPr="00900A94" w:rsidTr="00A22440">
        <w:tc>
          <w:tcPr>
            <w:tcW w:w="4253" w:type="dxa"/>
          </w:tcPr>
          <w:p w:rsidR="00492F38" w:rsidRPr="00900A94" w:rsidRDefault="00492F38" w:rsidP="00492F38">
            <w:pPr>
              <w:rPr>
                <w:rFonts w:ascii="Arial" w:hAnsi="Arial" w:cs="Arial"/>
                <w:b/>
                <w:sz w:val="22"/>
                <w:szCs w:val="22"/>
              </w:rPr>
            </w:pPr>
            <w:r w:rsidRPr="00900A94">
              <w:rPr>
                <w:rFonts w:ascii="Arial" w:hAnsi="Arial" w:cs="Arial"/>
                <w:b/>
                <w:sz w:val="22"/>
                <w:szCs w:val="22"/>
              </w:rPr>
              <w:t>Author</w:t>
            </w:r>
          </w:p>
        </w:tc>
        <w:tc>
          <w:tcPr>
            <w:tcW w:w="5670" w:type="dxa"/>
          </w:tcPr>
          <w:p w:rsidR="00492F38" w:rsidRPr="00900A94" w:rsidRDefault="00AB34AF" w:rsidP="00492F38">
            <w:pPr>
              <w:rPr>
                <w:rFonts w:ascii="Arial" w:hAnsi="Arial" w:cs="Arial"/>
                <w:sz w:val="22"/>
                <w:szCs w:val="22"/>
              </w:rPr>
            </w:pPr>
            <w:proofErr w:type="spellStart"/>
            <w:r w:rsidRPr="00900A94">
              <w:rPr>
                <w:rFonts w:ascii="Arial" w:hAnsi="Arial" w:cs="Arial"/>
                <w:sz w:val="22"/>
                <w:szCs w:val="22"/>
              </w:rPr>
              <w:t>Elly</w:t>
            </w:r>
            <w:proofErr w:type="spellEnd"/>
            <w:r w:rsidRPr="00900A94">
              <w:rPr>
                <w:rFonts w:ascii="Arial" w:hAnsi="Arial" w:cs="Arial"/>
                <w:sz w:val="22"/>
                <w:szCs w:val="22"/>
              </w:rPr>
              <w:t xml:space="preserve"> Danga</w:t>
            </w:r>
          </w:p>
        </w:tc>
      </w:tr>
      <w:tr w:rsidR="00E971CC" w:rsidRPr="00900A94" w:rsidTr="00A22440">
        <w:tc>
          <w:tcPr>
            <w:tcW w:w="4253" w:type="dxa"/>
          </w:tcPr>
          <w:p w:rsidR="00492F38" w:rsidRPr="00900A94" w:rsidRDefault="00492F38" w:rsidP="00492F38">
            <w:pPr>
              <w:rPr>
                <w:rFonts w:ascii="Arial" w:hAnsi="Arial" w:cs="Arial"/>
                <w:b/>
                <w:sz w:val="22"/>
                <w:szCs w:val="22"/>
              </w:rPr>
            </w:pPr>
            <w:r w:rsidRPr="00900A94">
              <w:rPr>
                <w:rFonts w:ascii="Arial" w:hAnsi="Arial" w:cs="Arial"/>
                <w:b/>
                <w:sz w:val="22"/>
                <w:szCs w:val="22"/>
              </w:rPr>
              <w:t>Accountable Executive Director</w:t>
            </w:r>
          </w:p>
        </w:tc>
        <w:tc>
          <w:tcPr>
            <w:tcW w:w="5670" w:type="dxa"/>
          </w:tcPr>
          <w:p w:rsidR="00492F38" w:rsidRPr="00900A94" w:rsidRDefault="00EA2D2C" w:rsidP="00492F38">
            <w:pPr>
              <w:rPr>
                <w:rFonts w:ascii="Arial" w:hAnsi="Arial" w:cs="Arial"/>
                <w:sz w:val="22"/>
                <w:szCs w:val="22"/>
              </w:rPr>
            </w:pPr>
            <w:r w:rsidRPr="00900A94">
              <w:rPr>
                <w:rFonts w:ascii="Arial" w:hAnsi="Arial" w:cs="Arial"/>
                <w:sz w:val="22"/>
                <w:szCs w:val="22"/>
              </w:rPr>
              <w:t xml:space="preserve">Lorraine </w:t>
            </w:r>
            <w:proofErr w:type="spellStart"/>
            <w:r w:rsidRPr="00900A94">
              <w:rPr>
                <w:rFonts w:ascii="Arial" w:hAnsi="Arial" w:cs="Arial"/>
                <w:sz w:val="22"/>
                <w:szCs w:val="22"/>
              </w:rPr>
              <w:t>Sunduza</w:t>
            </w:r>
            <w:proofErr w:type="spellEnd"/>
            <w:r w:rsidRPr="00900A94">
              <w:rPr>
                <w:rFonts w:ascii="Arial" w:hAnsi="Arial" w:cs="Arial"/>
                <w:sz w:val="22"/>
                <w:szCs w:val="22"/>
              </w:rPr>
              <w:t xml:space="preserve"> </w:t>
            </w:r>
          </w:p>
        </w:tc>
      </w:tr>
    </w:tbl>
    <w:p w:rsidR="00492F38" w:rsidRPr="00900A94" w:rsidRDefault="00492F38" w:rsidP="00492F38">
      <w:pPr>
        <w:spacing w:after="0" w:line="240" w:lineRule="auto"/>
        <w:rPr>
          <w:rFonts w:ascii="Arial" w:hAnsi="Arial" w:cs="Arial"/>
        </w:rPr>
      </w:pPr>
    </w:p>
    <w:p w:rsidR="00492F38" w:rsidRPr="00900A94" w:rsidRDefault="00152BDA" w:rsidP="00492F38">
      <w:pPr>
        <w:spacing w:after="0" w:line="240" w:lineRule="auto"/>
        <w:ind w:left="-567" w:right="-625"/>
        <w:rPr>
          <w:rFonts w:ascii="Arial" w:hAnsi="Arial" w:cs="Arial"/>
          <w:b/>
        </w:rPr>
      </w:pPr>
      <w:proofErr w:type="gramStart"/>
      <w:r>
        <w:rPr>
          <w:rFonts w:ascii="Arial" w:hAnsi="Arial" w:cs="Arial"/>
          <w:b/>
        </w:rPr>
        <w:t xml:space="preserve">Purpose </w:t>
      </w:r>
      <w:r w:rsidR="00492F38" w:rsidRPr="00900A94">
        <w:rPr>
          <w:rFonts w:ascii="Arial" w:hAnsi="Arial" w:cs="Arial"/>
          <w:b/>
        </w:rPr>
        <w:t>:</w:t>
      </w:r>
      <w:proofErr w:type="gramEnd"/>
    </w:p>
    <w:tbl>
      <w:tblPr>
        <w:tblStyle w:val="TableGrid"/>
        <w:tblW w:w="9923" w:type="dxa"/>
        <w:tblInd w:w="-459" w:type="dxa"/>
        <w:tblLook w:val="04A0" w:firstRow="1" w:lastRow="0" w:firstColumn="1" w:lastColumn="0" w:noHBand="0" w:noVBand="1"/>
      </w:tblPr>
      <w:tblGrid>
        <w:gridCol w:w="9923"/>
      </w:tblGrid>
      <w:tr w:rsidR="00E971CC" w:rsidRPr="00900A94" w:rsidTr="009E297B">
        <w:trPr>
          <w:trHeight w:val="848"/>
        </w:trPr>
        <w:tc>
          <w:tcPr>
            <w:tcW w:w="9923" w:type="dxa"/>
            <w:shd w:val="clear" w:color="auto" w:fill="auto"/>
          </w:tcPr>
          <w:p w:rsidR="00492F38" w:rsidRPr="00900A94" w:rsidRDefault="000A21E1" w:rsidP="00211A78">
            <w:pPr>
              <w:autoSpaceDE w:val="0"/>
              <w:autoSpaceDN w:val="0"/>
              <w:adjustRightInd w:val="0"/>
              <w:jc w:val="both"/>
              <w:rPr>
                <w:rFonts w:ascii="Arial" w:hAnsi="Arial" w:cs="Arial"/>
                <w:sz w:val="22"/>
                <w:szCs w:val="22"/>
              </w:rPr>
            </w:pPr>
            <w:r w:rsidRPr="00900A94">
              <w:rPr>
                <w:rFonts w:ascii="Arial" w:hAnsi="Arial" w:cs="Arial"/>
                <w:sz w:val="22"/>
                <w:szCs w:val="22"/>
              </w:rPr>
              <w:t xml:space="preserve"> </w:t>
            </w:r>
            <w:r w:rsidR="009F3660" w:rsidRPr="00900A94">
              <w:rPr>
                <w:rFonts w:ascii="Arial" w:hAnsi="Arial" w:cs="Arial"/>
                <w:sz w:val="22"/>
                <w:szCs w:val="22"/>
              </w:rPr>
              <w:t>This SOP has been produced for all those who are responsible for the management of single-use and reusable medical devices when the devices are no longer required This</w:t>
            </w:r>
            <w:r w:rsidR="00AB34AF" w:rsidRPr="00900A94">
              <w:rPr>
                <w:rFonts w:ascii="Arial" w:hAnsi="Arial" w:cs="Arial"/>
                <w:sz w:val="22"/>
                <w:szCs w:val="22"/>
              </w:rPr>
              <w:t xml:space="preserve"> is to ensure all medical devices are replaced as/when required and used devices are disposed of in line with waste regulations. Disposal must comply with relevant Health and Safety legislation, European Union Directives and WEEE legislation</w:t>
            </w:r>
            <w:r w:rsidR="00CD4E31" w:rsidRPr="00900A94">
              <w:rPr>
                <w:rFonts w:ascii="Arial" w:hAnsi="Arial" w:cs="Arial"/>
                <w:sz w:val="22"/>
                <w:szCs w:val="22"/>
              </w:rPr>
              <w:t>. Medical devices must always be decontaminated before reuse, relocation, sale, donation or disposal.</w:t>
            </w:r>
          </w:p>
        </w:tc>
      </w:tr>
    </w:tbl>
    <w:p w:rsidR="00492F38" w:rsidRPr="00900A94" w:rsidRDefault="00492F38" w:rsidP="00492F38">
      <w:pPr>
        <w:shd w:val="clear" w:color="auto" w:fill="FFFFFF" w:themeFill="background1"/>
        <w:spacing w:after="0" w:line="240" w:lineRule="auto"/>
        <w:ind w:left="-567" w:right="-625"/>
        <w:rPr>
          <w:rFonts w:ascii="Arial" w:hAnsi="Arial" w:cs="Arial"/>
        </w:rPr>
      </w:pPr>
    </w:p>
    <w:p w:rsidR="00492F38" w:rsidRPr="00900A94" w:rsidRDefault="00492F38" w:rsidP="009E297B">
      <w:pPr>
        <w:spacing w:after="0" w:line="240" w:lineRule="auto"/>
        <w:rPr>
          <w:rFonts w:ascii="Arial" w:hAnsi="Arial" w:cs="Arial"/>
          <w:b/>
        </w:rPr>
      </w:pPr>
    </w:p>
    <w:p w:rsidR="00CA5DD2" w:rsidRPr="00900A94" w:rsidRDefault="00CA5DD2" w:rsidP="00B20858">
      <w:pPr>
        <w:spacing w:after="0" w:line="240" w:lineRule="auto"/>
        <w:rPr>
          <w:rFonts w:ascii="Arial" w:hAnsi="Arial" w:cs="Arial"/>
          <w:b/>
        </w:rPr>
      </w:pPr>
    </w:p>
    <w:p w:rsidR="001C6A16" w:rsidRPr="00900A94" w:rsidRDefault="001C6A16" w:rsidP="00492F38">
      <w:pPr>
        <w:spacing w:after="0" w:line="240" w:lineRule="auto"/>
        <w:ind w:left="-567"/>
        <w:rPr>
          <w:rFonts w:ascii="Arial" w:hAnsi="Arial" w:cs="Arial"/>
          <w:b/>
        </w:rPr>
      </w:pPr>
    </w:p>
    <w:p w:rsidR="002C4AB0" w:rsidRPr="00900A94" w:rsidRDefault="00AB34AF" w:rsidP="00AB34AF">
      <w:pPr>
        <w:rPr>
          <w:rFonts w:ascii="Arial" w:hAnsi="Arial" w:cs="Arial"/>
        </w:rPr>
      </w:pPr>
      <w:r w:rsidRPr="00900A94">
        <w:rPr>
          <w:rFonts w:ascii="Arial" w:hAnsi="Arial" w:cs="Arial"/>
          <w:b/>
        </w:rPr>
        <w:t>Who does the procedure apply to</w:t>
      </w:r>
      <w:r w:rsidR="009F3660" w:rsidRPr="00900A94">
        <w:rPr>
          <w:rFonts w:ascii="Arial" w:hAnsi="Arial" w:cs="Arial"/>
        </w:rPr>
        <w:t>?</w:t>
      </w:r>
      <w:bookmarkStart w:id="0" w:name="_GoBack"/>
      <w:bookmarkEnd w:id="0"/>
    </w:p>
    <w:p w:rsidR="002C4AB0" w:rsidRPr="00900A94" w:rsidRDefault="00AB34AF" w:rsidP="00AB34AF">
      <w:pPr>
        <w:rPr>
          <w:rFonts w:ascii="Arial" w:hAnsi="Arial" w:cs="Arial"/>
        </w:rPr>
      </w:pPr>
      <w:r w:rsidRPr="00900A94">
        <w:rPr>
          <w:rFonts w:ascii="Arial" w:hAnsi="Arial" w:cs="Arial"/>
        </w:rPr>
        <w:t xml:space="preserve"> Authorised Staff of diagnostic and therapeutic equipment</w:t>
      </w:r>
    </w:p>
    <w:p w:rsidR="005C4AFB" w:rsidRPr="00900A94" w:rsidRDefault="00AB34AF" w:rsidP="00AB34AF">
      <w:pPr>
        <w:rPr>
          <w:rFonts w:ascii="Arial" w:hAnsi="Arial" w:cs="Arial"/>
        </w:rPr>
      </w:pPr>
      <w:r w:rsidRPr="00900A94">
        <w:rPr>
          <w:rFonts w:ascii="Arial" w:hAnsi="Arial" w:cs="Arial"/>
        </w:rPr>
        <w:t xml:space="preserve"> Ward/Department Managers </w:t>
      </w:r>
    </w:p>
    <w:p w:rsidR="005C4AFB" w:rsidRPr="00900A94" w:rsidRDefault="00AB34AF" w:rsidP="00AB34AF">
      <w:pPr>
        <w:rPr>
          <w:rFonts w:ascii="Arial" w:hAnsi="Arial" w:cs="Arial"/>
          <w:b/>
        </w:rPr>
      </w:pPr>
      <w:r w:rsidRPr="00900A94">
        <w:rPr>
          <w:rFonts w:ascii="Arial" w:hAnsi="Arial" w:cs="Arial"/>
          <w:b/>
        </w:rPr>
        <w:t xml:space="preserve">When should the procedure be applied? </w:t>
      </w:r>
    </w:p>
    <w:p w:rsidR="005C4AFB" w:rsidRPr="00900A94" w:rsidRDefault="00AB34AF" w:rsidP="00900A94">
      <w:pPr>
        <w:pStyle w:val="ListParagraph"/>
        <w:numPr>
          <w:ilvl w:val="0"/>
          <w:numId w:val="9"/>
        </w:numPr>
        <w:rPr>
          <w:rFonts w:ascii="Arial" w:hAnsi="Arial" w:cs="Arial"/>
        </w:rPr>
      </w:pPr>
      <w:r w:rsidRPr="00900A94">
        <w:rPr>
          <w:rFonts w:ascii="Arial" w:hAnsi="Arial" w:cs="Arial"/>
        </w:rPr>
        <w:t xml:space="preserve">When a medical device requires replacing: it has passed its life expectancy or spare parts are unavailable </w:t>
      </w:r>
    </w:p>
    <w:p w:rsidR="005C4AFB" w:rsidRPr="00900A94" w:rsidRDefault="00AB34AF" w:rsidP="00900A94">
      <w:pPr>
        <w:pStyle w:val="ListParagraph"/>
        <w:numPr>
          <w:ilvl w:val="0"/>
          <w:numId w:val="9"/>
        </w:numPr>
        <w:rPr>
          <w:rFonts w:ascii="Arial" w:hAnsi="Arial" w:cs="Arial"/>
        </w:rPr>
      </w:pPr>
      <w:r w:rsidRPr="00900A94">
        <w:rPr>
          <w:rFonts w:ascii="Arial" w:hAnsi="Arial" w:cs="Arial"/>
        </w:rPr>
        <w:t xml:space="preserve">When a medical device is condemned </w:t>
      </w:r>
    </w:p>
    <w:p w:rsidR="005C4AFB" w:rsidRPr="00900A94" w:rsidRDefault="00AB34AF" w:rsidP="00900A94">
      <w:pPr>
        <w:pStyle w:val="ListParagraph"/>
        <w:numPr>
          <w:ilvl w:val="0"/>
          <w:numId w:val="9"/>
        </w:numPr>
        <w:rPr>
          <w:rFonts w:ascii="Arial" w:hAnsi="Arial" w:cs="Arial"/>
        </w:rPr>
      </w:pPr>
      <w:r w:rsidRPr="00900A94">
        <w:rPr>
          <w:rFonts w:ascii="Arial" w:hAnsi="Arial" w:cs="Arial"/>
        </w:rPr>
        <w:t>When a medical device needs to be disposed of</w:t>
      </w:r>
    </w:p>
    <w:p w:rsidR="007D079D" w:rsidRPr="00900A94" w:rsidRDefault="00AB34AF" w:rsidP="00AB34AF">
      <w:pPr>
        <w:rPr>
          <w:rFonts w:ascii="Arial" w:hAnsi="Arial" w:cs="Arial"/>
        </w:rPr>
      </w:pPr>
      <w:r w:rsidRPr="00900A94">
        <w:rPr>
          <w:rFonts w:ascii="Arial" w:hAnsi="Arial" w:cs="Arial"/>
        </w:rPr>
        <w:t xml:space="preserve">How to carry out this procedure </w:t>
      </w:r>
    </w:p>
    <w:p w:rsidR="007D079D" w:rsidRPr="00900A94" w:rsidRDefault="00AB34AF" w:rsidP="00AB34AF">
      <w:pPr>
        <w:rPr>
          <w:rFonts w:ascii="Arial" w:hAnsi="Arial" w:cs="Arial"/>
          <w:b/>
        </w:rPr>
      </w:pPr>
      <w:r w:rsidRPr="00900A94">
        <w:rPr>
          <w:rFonts w:ascii="Arial" w:hAnsi="Arial" w:cs="Arial"/>
          <w:b/>
        </w:rPr>
        <w:t xml:space="preserve">Notification </w:t>
      </w:r>
    </w:p>
    <w:p w:rsidR="005C4AFB" w:rsidRPr="00900A94" w:rsidRDefault="00AB34AF" w:rsidP="00AB34AF">
      <w:pPr>
        <w:rPr>
          <w:rFonts w:ascii="Arial" w:hAnsi="Arial" w:cs="Arial"/>
        </w:rPr>
      </w:pPr>
      <w:r w:rsidRPr="00900A94">
        <w:rPr>
          <w:rFonts w:ascii="Arial" w:hAnsi="Arial" w:cs="Arial"/>
        </w:rPr>
        <w:t xml:space="preserve">When a medical device has passed its life expectancy or unavailability of spare </w:t>
      </w:r>
      <w:r w:rsidR="005C4AFB" w:rsidRPr="00900A94">
        <w:rPr>
          <w:rFonts w:ascii="Arial" w:hAnsi="Arial" w:cs="Arial"/>
        </w:rPr>
        <w:t>parts but is still usable</w:t>
      </w:r>
      <w:r w:rsidR="009A03A5" w:rsidRPr="00900A94">
        <w:rPr>
          <w:rFonts w:ascii="Arial" w:hAnsi="Arial" w:cs="Arial"/>
        </w:rPr>
        <w:t>, the</w:t>
      </w:r>
      <w:r w:rsidR="005C4AFB" w:rsidRPr="00900A94">
        <w:rPr>
          <w:rFonts w:ascii="Arial" w:hAnsi="Arial" w:cs="Arial"/>
        </w:rPr>
        <w:t xml:space="preserve"> contracted </w:t>
      </w:r>
      <w:r w:rsidR="009A03A5" w:rsidRPr="00900A94">
        <w:rPr>
          <w:rFonts w:ascii="Arial" w:hAnsi="Arial" w:cs="Arial"/>
        </w:rPr>
        <w:t xml:space="preserve">engineer </w:t>
      </w:r>
      <w:r w:rsidRPr="00900A94">
        <w:rPr>
          <w:rFonts w:ascii="Arial" w:hAnsi="Arial" w:cs="Arial"/>
        </w:rPr>
        <w:t>will issue the user with a Notification Form.</w:t>
      </w:r>
    </w:p>
    <w:p w:rsidR="005C4AFB" w:rsidRPr="00900A94" w:rsidRDefault="00AB34AF" w:rsidP="00AB34AF">
      <w:pPr>
        <w:rPr>
          <w:rFonts w:ascii="Arial" w:hAnsi="Arial" w:cs="Arial"/>
        </w:rPr>
      </w:pPr>
      <w:r w:rsidRPr="00900A94">
        <w:rPr>
          <w:rFonts w:ascii="Arial" w:hAnsi="Arial" w:cs="Arial"/>
        </w:rPr>
        <w:t>This is to inform</w:t>
      </w:r>
      <w:r w:rsidR="005C4AFB" w:rsidRPr="00900A94">
        <w:rPr>
          <w:rFonts w:ascii="Arial" w:hAnsi="Arial" w:cs="Arial"/>
        </w:rPr>
        <w:t xml:space="preserve"> the user that the device will need replacement and if the contracted company is able to replace this device they shall replace it, where the contracted company is not able to replace the devices this shall be </w:t>
      </w:r>
      <w:r w:rsidR="009A03A5" w:rsidRPr="00900A94">
        <w:rPr>
          <w:rFonts w:ascii="Arial" w:hAnsi="Arial" w:cs="Arial"/>
        </w:rPr>
        <w:t>raised with the Medical Device L</w:t>
      </w:r>
      <w:r w:rsidR="005C4AFB" w:rsidRPr="00900A94">
        <w:rPr>
          <w:rFonts w:ascii="Arial" w:hAnsi="Arial" w:cs="Arial"/>
        </w:rPr>
        <w:t>ead.</w:t>
      </w:r>
    </w:p>
    <w:p w:rsidR="007D079D" w:rsidRPr="00900A94" w:rsidRDefault="00AB34AF" w:rsidP="00AB34AF">
      <w:pPr>
        <w:rPr>
          <w:rFonts w:ascii="Arial" w:hAnsi="Arial" w:cs="Arial"/>
        </w:rPr>
      </w:pPr>
      <w:r w:rsidRPr="00900A94">
        <w:rPr>
          <w:rFonts w:ascii="Arial" w:hAnsi="Arial" w:cs="Arial"/>
        </w:rPr>
        <w:t>This device can still be used until the stated date.</w:t>
      </w:r>
    </w:p>
    <w:p w:rsidR="00900A94" w:rsidRPr="00900A94" w:rsidRDefault="00900A94" w:rsidP="00AB34AF">
      <w:pPr>
        <w:rPr>
          <w:rFonts w:ascii="Arial" w:hAnsi="Arial" w:cs="Arial"/>
        </w:rPr>
      </w:pPr>
    </w:p>
    <w:p w:rsidR="007D079D" w:rsidRPr="00900A94" w:rsidRDefault="007D079D" w:rsidP="00AB34AF">
      <w:pPr>
        <w:rPr>
          <w:rFonts w:ascii="Arial" w:hAnsi="Arial" w:cs="Arial"/>
        </w:rPr>
      </w:pPr>
      <w:r w:rsidRPr="00900A94">
        <w:rPr>
          <w:rFonts w:ascii="Arial" w:hAnsi="Arial" w:cs="Arial"/>
          <w:b/>
        </w:rPr>
        <w:t>Condemnation</w:t>
      </w:r>
      <w:r w:rsidRPr="00900A94">
        <w:rPr>
          <w:rFonts w:ascii="Arial" w:hAnsi="Arial" w:cs="Arial"/>
        </w:rPr>
        <w:t xml:space="preserve"> </w:t>
      </w:r>
    </w:p>
    <w:p w:rsidR="007D079D" w:rsidRPr="00900A94" w:rsidRDefault="007D079D" w:rsidP="00AB34AF">
      <w:pPr>
        <w:rPr>
          <w:rFonts w:ascii="Arial" w:hAnsi="Arial" w:cs="Arial"/>
        </w:rPr>
      </w:pPr>
      <w:r w:rsidRPr="00900A94">
        <w:rPr>
          <w:rFonts w:ascii="Arial" w:hAnsi="Arial" w:cs="Arial"/>
        </w:rPr>
        <w:t>When a medical device is pe</w:t>
      </w:r>
      <w:r w:rsidR="00DD25B7" w:rsidRPr="00900A94">
        <w:rPr>
          <w:rFonts w:ascii="Arial" w:hAnsi="Arial" w:cs="Arial"/>
        </w:rPr>
        <w:t>rmanently removed from use, servicing engineer will</w:t>
      </w:r>
      <w:r w:rsidRPr="00900A94">
        <w:rPr>
          <w:rFonts w:ascii="Arial" w:hAnsi="Arial" w:cs="Arial"/>
        </w:rPr>
        <w:t xml:space="preserve"> issue the user with a Condemnation </w:t>
      </w:r>
      <w:r w:rsidR="00DD25B7" w:rsidRPr="00900A94">
        <w:rPr>
          <w:rFonts w:ascii="Arial" w:hAnsi="Arial" w:cs="Arial"/>
        </w:rPr>
        <w:t>Certificate and the user shall forward the certificate to the Medical Device Lead who will arrange for removal</w:t>
      </w:r>
      <w:r w:rsidRPr="00900A94">
        <w:rPr>
          <w:rFonts w:ascii="Arial" w:hAnsi="Arial" w:cs="Arial"/>
        </w:rPr>
        <w:t xml:space="preserve">. The Condemnation Certificate will </w:t>
      </w:r>
      <w:r w:rsidR="000C43C1" w:rsidRPr="00900A94">
        <w:rPr>
          <w:rFonts w:ascii="Arial" w:hAnsi="Arial" w:cs="Arial"/>
        </w:rPr>
        <w:t>be signed by the condemning engineer</w:t>
      </w:r>
      <w:r w:rsidRPr="00900A94">
        <w:rPr>
          <w:rFonts w:ascii="Arial" w:hAnsi="Arial" w:cs="Arial"/>
        </w:rPr>
        <w:t xml:space="preserve"> an</w:t>
      </w:r>
      <w:r w:rsidR="000C43C1" w:rsidRPr="00900A94">
        <w:rPr>
          <w:rFonts w:ascii="Arial" w:hAnsi="Arial" w:cs="Arial"/>
        </w:rPr>
        <w:t>d countersigned by service manager or</w:t>
      </w:r>
      <w:r w:rsidRPr="00900A94">
        <w:rPr>
          <w:rFonts w:ascii="Arial" w:hAnsi="Arial" w:cs="Arial"/>
        </w:rPr>
        <w:t xml:space="preserve"> Clinic</w:t>
      </w:r>
      <w:r w:rsidR="000C43C1" w:rsidRPr="00900A94">
        <w:rPr>
          <w:rFonts w:ascii="Arial" w:hAnsi="Arial" w:cs="Arial"/>
        </w:rPr>
        <w:t xml:space="preserve">al Lead for that service </w:t>
      </w:r>
      <w:r w:rsidRPr="00900A94">
        <w:rPr>
          <w:rFonts w:ascii="Arial" w:hAnsi="Arial" w:cs="Arial"/>
        </w:rPr>
        <w:lastRenderedPageBreak/>
        <w:t xml:space="preserve">when the device has been physically removed from service. A Condemnation Certificate will be issued for one of the following criteria: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worn out beyond economic repair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damaged beyond economic repair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unreliable through service history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clinically or technically obsolete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spare parts no longer available when a repair is required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 xml:space="preserve">unable to be cleaned effectively prior to disinfection and/or sterilisation </w:t>
      </w:r>
    </w:p>
    <w:p w:rsidR="007D079D" w:rsidRPr="00900A94" w:rsidRDefault="007D079D" w:rsidP="00900A94">
      <w:pPr>
        <w:pStyle w:val="ListParagraph"/>
        <w:numPr>
          <w:ilvl w:val="0"/>
          <w:numId w:val="10"/>
        </w:numPr>
        <w:rPr>
          <w:rFonts w:ascii="Arial" w:hAnsi="Arial" w:cs="Arial"/>
        </w:rPr>
      </w:pPr>
      <w:r w:rsidRPr="00900A94">
        <w:rPr>
          <w:rFonts w:ascii="Arial" w:hAnsi="Arial" w:cs="Arial"/>
        </w:rPr>
        <w:t>a device identified in accordance with MPCE local procedure</w:t>
      </w:r>
    </w:p>
    <w:p w:rsidR="007D079D" w:rsidRPr="00900A94" w:rsidRDefault="007D079D" w:rsidP="00AB34AF">
      <w:pPr>
        <w:rPr>
          <w:rFonts w:ascii="Arial" w:hAnsi="Arial" w:cs="Arial"/>
        </w:rPr>
      </w:pPr>
      <w:r w:rsidRPr="00900A94">
        <w:rPr>
          <w:rFonts w:ascii="Arial" w:hAnsi="Arial" w:cs="Arial"/>
        </w:rPr>
        <w:t xml:space="preserve"> Once a Condemnation Certificate has been issued under no circumstances must the device be brought back into </w:t>
      </w:r>
      <w:r w:rsidR="009A03A5" w:rsidRPr="00900A94">
        <w:rPr>
          <w:rFonts w:ascii="Arial" w:hAnsi="Arial" w:cs="Arial"/>
        </w:rPr>
        <w:t>service?</w:t>
      </w:r>
      <w:r w:rsidRPr="00900A94">
        <w:rPr>
          <w:rFonts w:ascii="Arial" w:hAnsi="Arial" w:cs="Arial"/>
        </w:rPr>
        <w:t xml:space="preserve"> </w:t>
      </w:r>
    </w:p>
    <w:p w:rsidR="007D079D" w:rsidRPr="00900A94" w:rsidRDefault="007D079D" w:rsidP="00AB34AF">
      <w:pPr>
        <w:rPr>
          <w:rFonts w:ascii="Arial" w:hAnsi="Arial" w:cs="Arial"/>
          <w:b/>
        </w:rPr>
      </w:pPr>
      <w:r w:rsidRPr="00900A94">
        <w:rPr>
          <w:rFonts w:ascii="Arial" w:hAnsi="Arial" w:cs="Arial"/>
          <w:b/>
        </w:rPr>
        <w:t xml:space="preserve">Disposal </w:t>
      </w:r>
    </w:p>
    <w:p w:rsidR="007D079D" w:rsidRPr="00900A94" w:rsidRDefault="007D079D" w:rsidP="00AB34AF">
      <w:pPr>
        <w:rPr>
          <w:rFonts w:ascii="Arial" w:hAnsi="Arial" w:cs="Arial"/>
        </w:rPr>
      </w:pPr>
      <w:r w:rsidRPr="00900A94">
        <w:rPr>
          <w:rFonts w:ascii="Arial" w:hAnsi="Arial" w:cs="Arial"/>
        </w:rPr>
        <w:t>Disposal of medical devi</w:t>
      </w:r>
      <w:r w:rsidR="006E11AD" w:rsidRPr="00900A94">
        <w:rPr>
          <w:rFonts w:ascii="Arial" w:hAnsi="Arial" w:cs="Arial"/>
        </w:rPr>
        <w:t xml:space="preserve">ces can be arranged through </w:t>
      </w:r>
      <w:proofErr w:type="spellStart"/>
      <w:r w:rsidR="001F7895" w:rsidRPr="00900A94">
        <w:rPr>
          <w:rFonts w:ascii="Arial" w:hAnsi="Arial" w:cs="Arial"/>
        </w:rPr>
        <w:t>Hilditch</w:t>
      </w:r>
      <w:proofErr w:type="spellEnd"/>
      <w:r w:rsidR="001F7895" w:rsidRPr="00900A94">
        <w:rPr>
          <w:rFonts w:ascii="Arial" w:hAnsi="Arial" w:cs="Arial"/>
        </w:rPr>
        <w:t xml:space="preserve"> Group</w:t>
      </w:r>
      <w:r w:rsidR="009A03A5" w:rsidRPr="00900A94">
        <w:rPr>
          <w:rFonts w:ascii="Arial" w:hAnsi="Arial" w:cs="Arial"/>
        </w:rPr>
        <w:t xml:space="preserve"> in</w:t>
      </w:r>
      <w:r w:rsidRPr="00900A94">
        <w:rPr>
          <w:rFonts w:ascii="Arial" w:hAnsi="Arial" w:cs="Arial"/>
        </w:rPr>
        <w:t xml:space="preserve"> line with the guidance of MHRA Managing Medical Devices </w:t>
      </w:r>
      <w:r w:rsidR="001F7895" w:rsidRPr="00900A94">
        <w:rPr>
          <w:rFonts w:ascii="Arial" w:hAnsi="Arial" w:cs="Arial"/>
        </w:rPr>
        <w:t>2014</w:t>
      </w:r>
      <w:r w:rsidR="009A03A5" w:rsidRPr="00900A94">
        <w:rPr>
          <w:rFonts w:ascii="Arial" w:hAnsi="Arial" w:cs="Arial"/>
        </w:rPr>
        <w:t>. The service shall email the medical device lead and inform them about devices to be disposed. They should include the condemnation certificate. Medical device lead shall arrange for the disposal of the condemned devices.</w:t>
      </w:r>
      <w:r w:rsidR="000C43C1" w:rsidRPr="00900A94">
        <w:rPr>
          <w:rFonts w:ascii="Arial" w:hAnsi="Arial" w:cs="Arial"/>
        </w:rPr>
        <w:t xml:space="preserve"> For medical devices </w:t>
      </w:r>
      <w:r w:rsidR="006E11AD" w:rsidRPr="00900A94">
        <w:rPr>
          <w:rFonts w:ascii="Arial" w:hAnsi="Arial" w:cs="Arial"/>
        </w:rPr>
        <w:t xml:space="preserve">with patient identifiable information managers should </w:t>
      </w:r>
      <w:r w:rsidRPr="00900A94">
        <w:rPr>
          <w:rFonts w:ascii="Arial" w:hAnsi="Arial" w:cs="Arial"/>
        </w:rPr>
        <w:t xml:space="preserve">ensure that all patient identifiable data is securely and correctly removed/deleted from the equipment prior to disposal. The Trust has a duty to maintain the security and confidentiality of patient information. </w:t>
      </w:r>
    </w:p>
    <w:p w:rsidR="007D079D" w:rsidRPr="00900A94" w:rsidRDefault="007D079D" w:rsidP="00AB34AF">
      <w:pPr>
        <w:rPr>
          <w:rFonts w:ascii="Arial" w:hAnsi="Arial" w:cs="Arial"/>
        </w:rPr>
      </w:pPr>
      <w:r w:rsidRPr="00900A94">
        <w:rPr>
          <w:rFonts w:ascii="Arial" w:hAnsi="Arial" w:cs="Arial"/>
        </w:rPr>
        <w:t xml:space="preserve">Devices will be either transferred to a Trust approved auctioneer or waste disposal agent in compliance with all national and legal requirements (WEEE regulations) for safe environmental disposal of the device(s). </w:t>
      </w:r>
    </w:p>
    <w:p w:rsidR="009F0053" w:rsidRPr="00900A94" w:rsidRDefault="009F0053" w:rsidP="00AB34AF">
      <w:pPr>
        <w:rPr>
          <w:rFonts w:ascii="Arial" w:hAnsi="Arial" w:cs="Arial"/>
        </w:rPr>
      </w:pPr>
      <w:r w:rsidRPr="00900A94">
        <w:rPr>
          <w:rFonts w:ascii="Arial" w:hAnsi="Arial" w:cs="Arial"/>
        </w:rPr>
        <w:t>Condemned devices should be disinfected and packed per infection control protocol</w:t>
      </w:r>
    </w:p>
    <w:p w:rsidR="007D079D" w:rsidRPr="00900A94" w:rsidRDefault="006E11AD" w:rsidP="00AB34AF">
      <w:pPr>
        <w:rPr>
          <w:rFonts w:ascii="Arial" w:hAnsi="Arial" w:cs="Arial"/>
        </w:rPr>
      </w:pPr>
      <w:r w:rsidRPr="00900A94">
        <w:rPr>
          <w:rFonts w:ascii="Arial" w:hAnsi="Arial" w:cs="Arial"/>
        </w:rPr>
        <w:t>Staff should</w:t>
      </w:r>
      <w:r w:rsidR="007D079D" w:rsidRPr="00900A94">
        <w:rPr>
          <w:rFonts w:ascii="Arial" w:hAnsi="Arial" w:cs="Arial"/>
        </w:rPr>
        <w:t xml:space="preserve"> remove all Trust identifiable labels attached to the medical devices before they are removed from Trust premises for disposal or sale through an approved auctioneer. </w:t>
      </w:r>
    </w:p>
    <w:p w:rsidR="007D079D" w:rsidRPr="00900A94" w:rsidRDefault="007D079D" w:rsidP="00AB34AF">
      <w:pPr>
        <w:rPr>
          <w:rFonts w:ascii="Arial" w:hAnsi="Arial" w:cs="Arial"/>
          <w:b/>
        </w:rPr>
      </w:pPr>
      <w:r w:rsidRPr="00900A94">
        <w:rPr>
          <w:rFonts w:ascii="Arial" w:hAnsi="Arial" w:cs="Arial"/>
          <w:b/>
        </w:rPr>
        <w:t>What do these terms mean?</w:t>
      </w:r>
    </w:p>
    <w:p w:rsidR="007D079D" w:rsidRPr="00900A94" w:rsidRDefault="007D079D" w:rsidP="00AB34AF">
      <w:pPr>
        <w:rPr>
          <w:rFonts w:ascii="Arial" w:hAnsi="Arial" w:cs="Arial"/>
        </w:rPr>
      </w:pPr>
      <w:r w:rsidRPr="00900A94">
        <w:rPr>
          <w:rFonts w:ascii="Arial" w:hAnsi="Arial" w:cs="Arial"/>
        </w:rPr>
        <w:t xml:space="preserve"> WEEE - Waste Electrical and Electronic Equipment regulations apply to the disposal of medical devices to ensure: </w:t>
      </w:r>
    </w:p>
    <w:p w:rsidR="007D079D" w:rsidRPr="00900A94" w:rsidRDefault="007D079D" w:rsidP="00900A94">
      <w:pPr>
        <w:pStyle w:val="ListParagraph"/>
        <w:numPr>
          <w:ilvl w:val="0"/>
          <w:numId w:val="12"/>
        </w:numPr>
        <w:rPr>
          <w:rFonts w:ascii="Arial" w:hAnsi="Arial" w:cs="Arial"/>
        </w:rPr>
      </w:pPr>
      <w:r w:rsidRPr="00900A94">
        <w:rPr>
          <w:rFonts w:ascii="Arial" w:hAnsi="Arial" w:cs="Arial"/>
        </w:rPr>
        <w:t xml:space="preserve">Waste arising from these products is minimised and their re-use is promoted </w:t>
      </w:r>
    </w:p>
    <w:p w:rsidR="007D079D" w:rsidRPr="00900A94" w:rsidRDefault="007D079D" w:rsidP="00900A94">
      <w:pPr>
        <w:pStyle w:val="ListParagraph"/>
        <w:numPr>
          <w:ilvl w:val="0"/>
          <w:numId w:val="12"/>
        </w:numPr>
        <w:rPr>
          <w:rFonts w:ascii="Arial" w:hAnsi="Arial" w:cs="Arial"/>
        </w:rPr>
      </w:pPr>
      <w:r w:rsidRPr="00900A94">
        <w:rPr>
          <w:rFonts w:ascii="Arial" w:hAnsi="Arial" w:cs="Arial"/>
        </w:rPr>
        <w:t xml:space="preserve">The waste products are treated and meet recovery and recycling targets for the waste materials </w:t>
      </w:r>
    </w:p>
    <w:p w:rsidR="007D079D" w:rsidRPr="00900A94" w:rsidRDefault="007D079D" w:rsidP="00AB34AF">
      <w:pPr>
        <w:rPr>
          <w:rFonts w:ascii="Arial" w:hAnsi="Arial" w:cs="Arial"/>
        </w:rPr>
      </w:pPr>
      <w:r w:rsidRPr="00900A94">
        <w:rPr>
          <w:rFonts w:ascii="Arial" w:hAnsi="Arial" w:cs="Arial"/>
        </w:rPr>
        <w:t xml:space="preserve">Medical device management includes a wide range of activities: </w:t>
      </w:r>
    </w:p>
    <w:p w:rsidR="007D079D" w:rsidRPr="00900A94" w:rsidRDefault="007D079D" w:rsidP="00900A94">
      <w:pPr>
        <w:pStyle w:val="ListParagraph"/>
        <w:numPr>
          <w:ilvl w:val="0"/>
          <w:numId w:val="13"/>
        </w:numPr>
        <w:rPr>
          <w:rFonts w:ascii="Arial" w:hAnsi="Arial" w:cs="Arial"/>
        </w:rPr>
      </w:pPr>
      <w:r w:rsidRPr="00900A94">
        <w:rPr>
          <w:rFonts w:ascii="Arial" w:hAnsi="Arial" w:cs="Arial"/>
        </w:rPr>
        <w:t xml:space="preserve">Advice and assistance with equipment evaluation prior to purchase </w:t>
      </w:r>
    </w:p>
    <w:p w:rsidR="007D079D" w:rsidRPr="00900A94" w:rsidRDefault="007D079D" w:rsidP="00900A94">
      <w:pPr>
        <w:pStyle w:val="ListParagraph"/>
        <w:numPr>
          <w:ilvl w:val="0"/>
          <w:numId w:val="13"/>
        </w:numPr>
        <w:rPr>
          <w:rFonts w:ascii="Arial" w:hAnsi="Arial" w:cs="Arial"/>
        </w:rPr>
      </w:pPr>
      <w:r w:rsidRPr="00900A94">
        <w:rPr>
          <w:rFonts w:ascii="Arial" w:hAnsi="Arial" w:cs="Arial"/>
        </w:rPr>
        <w:t xml:space="preserve">Help with Deciding on the model that most fits the user department needs </w:t>
      </w:r>
    </w:p>
    <w:p w:rsidR="007D079D" w:rsidRPr="00900A94" w:rsidRDefault="007D079D" w:rsidP="00900A94">
      <w:pPr>
        <w:pStyle w:val="ListParagraph"/>
        <w:numPr>
          <w:ilvl w:val="0"/>
          <w:numId w:val="13"/>
        </w:numPr>
        <w:rPr>
          <w:rFonts w:ascii="Arial" w:hAnsi="Arial" w:cs="Arial"/>
        </w:rPr>
      </w:pPr>
      <w:r w:rsidRPr="00900A94">
        <w:rPr>
          <w:rFonts w:ascii="Arial" w:hAnsi="Arial" w:cs="Arial"/>
        </w:rPr>
        <w:t xml:space="preserve">Preparation ready for implementation of the device which includes commissioning the equipment and training the staff how to use it </w:t>
      </w:r>
    </w:p>
    <w:p w:rsidR="007D079D" w:rsidRPr="00900A94" w:rsidRDefault="007D079D" w:rsidP="00900A94">
      <w:pPr>
        <w:pStyle w:val="ListParagraph"/>
        <w:numPr>
          <w:ilvl w:val="0"/>
          <w:numId w:val="13"/>
        </w:numPr>
        <w:rPr>
          <w:rFonts w:ascii="Arial" w:hAnsi="Arial" w:cs="Arial"/>
        </w:rPr>
      </w:pPr>
      <w:r w:rsidRPr="00900A94">
        <w:rPr>
          <w:rFonts w:ascii="Arial" w:hAnsi="Arial" w:cs="Arial"/>
        </w:rPr>
        <w:t xml:space="preserve">Technical and clinical support of the equipment and staff during its life time </w:t>
      </w:r>
    </w:p>
    <w:p w:rsidR="00BD613E" w:rsidRPr="00900A94" w:rsidRDefault="007D079D" w:rsidP="00900A94">
      <w:pPr>
        <w:pStyle w:val="ListParagraph"/>
        <w:numPr>
          <w:ilvl w:val="0"/>
          <w:numId w:val="13"/>
        </w:numPr>
        <w:rPr>
          <w:rFonts w:ascii="Arial" w:hAnsi="Arial" w:cs="Arial"/>
        </w:rPr>
      </w:pPr>
      <w:r w:rsidRPr="00900A94">
        <w:rPr>
          <w:rFonts w:ascii="Arial" w:hAnsi="Arial" w:cs="Arial"/>
        </w:rPr>
        <w:lastRenderedPageBreak/>
        <w:t xml:space="preserve">Planned end of life replacement </w:t>
      </w:r>
      <w:r w:rsidR="00A87A71" w:rsidRPr="00900A94">
        <w:rPr>
          <w:rFonts w:ascii="Arial" w:hAnsi="Arial" w:cs="Arial"/>
        </w:rPr>
        <w:t>correct</w:t>
      </w:r>
      <w:r w:rsidRPr="00900A94">
        <w:rPr>
          <w:rFonts w:ascii="Arial" w:hAnsi="Arial" w:cs="Arial"/>
        </w:rPr>
        <w:t xml:space="preserve"> disposal of the old equipment</w:t>
      </w:r>
    </w:p>
    <w:p w:rsidR="007D079D" w:rsidRPr="00900A94" w:rsidRDefault="007D079D" w:rsidP="00AB34AF">
      <w:pPr>
        <w:rPr>
          <w:rFonts w:ascii="Arial" w:hAnsi="Arial" w:cs="Arial"/>
        </w:rPr>
      </w:pPr>
      <w:r w:rsidRPr="00900A94">
        <w:rPr>
          <w:rFonts w:ascii="Arial" w:hAnsi="Arial" w:cs="Arial"/>
        </w:rPr>
        <w:t xml:space="preserve"> MHRA - Medicines and Healthcare products Regulatory Agency is a government </w:t>
      </w:r>
      <w:r w:rsidR="00900A94" w:rsidRPr="00900A94">
        <w:rPr>
          <w:rFonts w:ascii="Arial" w:hAnsi="Arial" w:cs="Arial"/>
        </w:rPr>
        <w:t>body, which</w:t>
      </w:r>
      <w:r w:rsidRPr="00900A94">
        <w:rPr>
          <w:rFonts w:ascii="Arial" w:hAnsi="Arial" w:cs="Arial"/>
        </w:rPr>
        <w:t xml:space="preserve"> was set up in 2003 to bring together the functions of Medicines Control Agency (MCA) and Medical Devices Agency (MDA). These include the regulation of medicines and medical devices and equipment used in healt</w:t>
      </w:r>
      <w:r w:rsidR="006E11AD" w:rsidRPr="00900A94">
        <w:rPr>
          <w:rFonts w:ascii="Arial" w:hAnsi="Arial" w:cs="Arial"/>
        </w:rPr>
        <w:t xml:space="preserve">hcare and the investigation of </w:t>
      </w:r>
    </w:p>
    <w:sectPr w:rsidR="007D079D" w:rsidRPr="00900A94" w:rsidSect="001C4EF3">
      <w:headerReference w:type="default" r:id="rId8"/>
      <w:footerReference w:type="default" r:id="rId9"/>
      <w:pgSz w:w="11906" w:h="16838"/>
      <w:pgMar w:top="1440" w:right="1133"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0D" w:rsidRDefault="0036580D" w:rsidP="00492F38">
      <w:pPr>
        <w:spacing w:after="0" w:line="240" w:lineRule="auto"/>
      </w:pPr>
      <w:r>
        <w:separator/>
      </w:r>
    </w:p>
  </w:endnote>
  <w:endnote w:type="continuationSeparator" w:id="0">
    <w:p w:rsidR="0036580D" w:rsidRDefault="0036580D"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55" w:rsidRPr="003D5F91" w:rsidRDefault="00485655" w:rsidP="003D5F91">
    <w:pPr>
      <w:pStyle w:val="Footer"/>
      <w:tabs>
        <w:tab w:val="clear" w:pos="9026"/>
        <w:tab w:val="left" w:pos="-567"/>
        <w:tab w:val="right" w:pos="9356"/>
      </w:tabs>
      <w:ind w:left="-567"/>
    </w:pPr>
    <w:r>
      <w:tab/>
    </w:r>
  </w:p>
  <w:p w:rsidR="00485655" w:rsidRDefault="00485655" w:rsidP="003D5F91">
    <w:pPr>
      <w:pStyle w:val="Footer"/>
      <w:ind w:left="-567"/>
    </w:pPr>
    <w:r w:rsidRPr="003D5F91">
      <w:rPr>
        <w:noProof/>
        <w:lang w:eastAsia="en-GB"/>
      </w:rPr>
      <w:drawing>
        <wp:inline distT="0" distB="0" distL="0" distR="0" wp14:anchorId="67C9D95C" wp14:editId="45A49EED">
          <wp:extent cx="6228569" cy="361950"/>
          <wp:effectExtent l="0" t="0" r="1270" b="0"/>
          <wp:docPr id="1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2"/>
                  <pic:cNvPicPr>
                    <a:picLocks noChangeAspect="1" noChangeArrowheads="1"/>
                  </pic:cNvPicPr>
                </pic:nvPicPr>
                <pic:blipFill rotWithShape="1">
                  <a:blip r:embed="rId1">
                    <a:extLst>
                      <a:ext uri="{28A0092B-C50C-407E-A947-70E740481C1C}">
                        <a14:useLocalDpi xmlns:a14="http://schemas.microsoft.com/office/drawing/2010/main"/>
                      </a:ext>
                    </a:extLst>
                  </a:blip>
                  <a:srcRect l="2149" r="1426" b="25490"/>
                  <a:stretch/>
                </pic:blipFill>
                <pic:spPr bwMode="auto">
                  <a:xfrm>
                    <a:off x="0" y="0"/>
                    <a:ext cx="6355429" cy="369322"/>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485655" w:rsidRPr="00592C9F" w:rsidRDefault="00485655" w:rsidP="0059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0D" w:rsidRDefault="0036580D" w:rsidP="00492F38">
      <w:pPr>
        <w:spacing w:after="0" w:line="240" w:lineRule="auto"/>
      </w:pPr>
      <w:r>
        <w:separator/>
      </w:r>
    </w:p>
  </w:footnote>
  <w:footnote w:type="continuationSeparator" w:id="0">
    <w:p w:rsidR="0036580D" w:rsidRDefault="0036580D"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55" w:rsidRDefault="00900A94" w:rsidP="00E971CC">
    <w:pPr>
      <w:pStyle w:val="Header"/>
      <w:jc w:val="right"/>
    </w:pPr>
    <w:r>
      <w:rPr>
        <w:noProof/>
        <w:lang w:eastAsia="en-GB"/>
      </w:rPr>
      <w:drawing>
        <wp:inline distT="0" distB="0" distL="0" distR="0">
          <wp:extent cx="60388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 Logo.jpg"/>
                  <pic:cNvPicPr/>
                </pic:nvPicPr>
                <pic:blipFill>
                  <a:blip r:embed="rId1">
                    <a:extLst>
                      <a:ext uri="{28A0092B-C50C-407E-A947-70E740481C1C}">
                        <a14:useLocalDpi xmlns:a14="http://schemas.microsoft.com/office/drawing/2010/main" val="0"/>
                      </a:ext>
                    </a:extLst>
                  </a:blip>
                  <a:stretch>
                    <a:fillRect/>
                  </a:stretch>
                </pic:blipFill>
                <pic:spPr>
                  <a:xfrm>
                    <a:off x="0" y="0"/>
                    <a:ext cx="603885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3744"/>
    <w:multiLevelType w:val="hybridMultilevel"/>
    <w:tmpl w:val="E55E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D01"/>
    <w:multiLevelType w:val="hybridMultilevel"/>
    <w:tmpl w:val="238A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94221"/>
    <w:multiLevelType w:val="hybridMultilevel"/>
    <w:tmpl w:val="6B30A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36327"/>
    <w:multiLevelType w:val="hybridMultilevel"/>
    <w:tmpl w:val="23DE6422"/>
    <w:lvl w:ilvl="0" w:tplc="7508412E">
      <w:start w:val="1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2C617AF"/>
    <w:multiLevelType w:val="hybridMultilevel"/>
    <w:tmpl w:val="B67A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00ED7"/>
    <w:multiLevelType w:val="hybridMultilevel"/>
    <w:tmpl w:val="B270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34339"/>
    <w:multiLevelType w:val="hybridMultilevel"/>
    <w:tmpl w:val="472848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1E00"/>
    <w:multiLevelType w:val="hybridMultilevel"/>
    <w:tmpl w:val="5EB485A6"/>
    <w:lvl w:ilvl="0" w:tplc="7508412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0527E"/>
    <w:multiLevelType w:val="hybridMultilevel"/>
    <w:tmpl w:val="ED78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86568"/>
    <w:multiLevelType w:val="hybridMultilevel"/>
    <w:tmpl w:val="434417FE"/>
    <w:lvl w:ilvl="0" w:tplc="7508412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A7A9F"/>
    <w:multiLevelType w:val="hybridMultilevel"/>
    <w:tmpl w:val="ED8E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819B6"/>
    <w:multiLevelType w:val="hybridMultilevel"/>
    <w:tmpl w:val="4552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25D56"/>
    <w:multiLevelType w:val="hybridMultilevel"/>
    <w:tmpl w:val="DC20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10"/>
  </w:num>
  <w:num w:numId="5">
    <w:abstractNumId w:val="4"/>
  </w:num>
  <w:num w:numId="6">
    <w:abstractNumId w:val="0"/>
  </w:num>
  <w:num w:numId="7">
    <w:abstractNumId w:val="7"/>
  </w:num>
  <w:num w:numId="8">
    <w:abstractNumId w:val="8"/>
  </w:num>
  <w:num w:numId="9">
    <w:abstractNumId w:val="1"/>
  </w:num>
  <w:num w:numId="10">
    <w:abstractNumId w:val="5"/>
  </w:num>
  <w:num w:numId="11">
    <w:abstractNumId w:val="11"/>
  </w:num>
  <w:num w:numId="12">
    <w:abstractNumId w:val="2"/>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38"/>
    <w:rsid w:val="00003FAE"/>
    <w:rsid w:val="00023623"/>
    <w:rsid w:val="00057D61"/>
    <w:rsid w:val="0006649A"/>
    <w:rsid w:val="00073B1B"/>
    <w:rsid w:val="00083206"/>
    <w:rsid w:val="0009271C"/>
    <w:rsid w:val="00096FBF"/>
    <w:rsid w:val="000A21E1"/>
    <w:rsid w:val="000B5BD3"/>
    <w:rsid w:val="000B62CF"/>
    <w:rsid w:val="000C43C1"/>
    <w:rsid w:val="000C4879"/>
    <w:rsid w:val="000D0AA0"/>
    <w:rsid w:val="000E707F"/>
    <w:rsid w:val="00102879"/>
    <w:rsid w:val="00152BDA"/>
    <w:rsid w:val="00154F80"/>
    <w:rsid w:val="00161233"/>
    <w:rsid w:val="00165C71"/>
    <w:rsid w:val="001A07A7"/>
    <w:rsid w:val="001B7B40"/>
    <w:rsid w:val="001C4EF3"/>
    <w:rsid w:val="001C6A16"/>
    <w:rsid w:val="001E0006"/>
    <w:rsid w:val="001F7895"/>
    <w:rsid w:val="00211A78"/>
    <w:rsid w:val="00214757"/>
    <w:rsid w:val="00217129"/>
    <w:rsid w:val="00221C8C"/>
    <w:rsid w:val="00225B6B"/>
    <w:rsid w:val="00236A60"/>
    <w:rsid w:val="0024365D"/>
    <w:rsid w:val="00247A9F"/>
    <w:rsid w:val="00247F99"/>
    <w:rsid w:val="002766E4"/>
    <w:rsid w:val="002A3DFF"/>
    <w:rsid w:val="002C4AB0"/>
    <w:rsid w:val="002D55C8"/>
    <w:rsid w:val="002F26B4"/>
    <w:rsid w:val="002F33B4"/>
    <w:rsid w:val="00302CD0"/>
    <w:rsid w:val="003319E5"/>
    <w:rsid w:val="0036580D"/>
    <w:rsid w:val="003839DE"/>
    <w:rsid w:val="003C69DD"/>
    <w:rsid w:val="003D0F8C"/>
    <w:rsid w:val="003D5F91"/>
    <w:rsid w:val="004176E0"/>
    <w:rsid w:val="00430221"/>
    <w:rsid w:val="00433022"/>
    <w:rsid w:val="00482F29"/>
    <w:rsid w:val="00485655"/>
    <w:rsid w:val="00490580"/>
    <w:rsid w:val="00492F38"/>
    <w:rsid w:val="004A6F9C"/>
    <w:rsid w:val="004D2480"/>
    <w:rsid w:val="004E0CD7"/>
    <w:rsid w:val="00505A1B"/>
    <w:rsid w:val="0050664F"/>
    <w:rsid w:val="00534BE3"/>
    <w:rsid w:val="005550DB"/>
    <w:rsid w:val="0056098E"/>
    <w:rsid w:val="00571A3C"/>
    <w:rsid w:val="00576975"/>
    <w:rsid w:val="00592C9F"/>
    <w:rsid w:val="005C4AFB"/>
    <w:rsid w:val="005F2A5E"/>
    <w:rsid w:val="0061243D"/>
    <w:rsid w:val="006131CA"/>
    <w:rsid w:val="00643E59"/>
    <w:rsid w:val="00681D95"/>
    <w:rsid w:val="00690291"/>
    <w:rsid w:val="00690C8F"/>
    <w:rsid w:val="006A0F03"/>
    <w:rsid w:val="006E11AD"/>
    <w:rsid w:val="0070429C"/>
    <w:rsid w:val="00716859"/>
    <w:rsid w:val="00717E6D"/>
    <w:rsid w:val="00736950"/>
    <w:rsid w:val="00772013"/>
    <w:rsid w:val="0077353F"/>
    <w:rsid w:val="00775100"/>
    <w:rsid w:val="007878CD"/>
    <w:rsid w:val="007C22B8"/>
    <w:rsid w:val="007D079D"/>
    <w:rsid w:val="007E65BE"/>
    <w:rsid w:val="007F0FE4"/>
    <w:rsid w:val="007F64E5"/>
    <w:rsid w:val="00882FD3"/>
    <w:rsid w:val="00886889"/>
    <w:rsid w:val="0089216D"/>
    <w:rsid w:val="00896159"/>
    <w:rsid w:val="008A4412"/>
    <w:rsid w:val="008A4EE7"/>
    <w:rsid w:val="008A5DFE"/>
    <w:rsid w:val="008A7D93"/>
    <w:rsid w:val="008B30B1"/>
    <w:rsid w:val="008B78BA"/>
    <w:rsid w:val="00900A94"/>
    <w:rsid w:val="0090183E"/>
    <w:rsid w:val="00914818"/>
    <w:rsid w:val="009217A9"/>
    <w:rsid w:val="00935643"/>
    <w:rsid w:val="009536F9"/>
    <w:rsid w:val="009636EC"/>
    <w:rsid w:val="00982251"/>
    <w:rsid w:val="009A03A5"/>
    <w:rsid w:val="009A62B1"/>
    <w:rsid w:val="009B26FC"/>
    <w:rsid w:val="009C0A9A"/>
    <w:rsid w:val="009D0F62"/>
    <w:rsid w:val="009E297B"/>
    <w:rsid w:val="009F0053"/>
    <w:rsid w:val="009F3660"/>
    <w:rsid w:val="00A0339E"/>
    <w:rsid w:val="00A22440"/>
    <w:rsid w:val="00A469F3"/>
    <w:rsid w:val="00A61B87"/>
    <w:rsid w:val="00A63B4E"/>
    <w:rsid w:val="00A7597B"/>
    <w:rsid w:val="00A84035"/>
    <w:rsid w:val="00A87A71"/>
    <w:rsid w:val="00A94EC9"/>
    <w:rsid w:val="00AA681A"/>
    <w:rsid w:val="00AB15A6"/>
    <w:rsid w:val="00AB34AF"/>
    <w:rsid w:val="00B05BA6"/>
    <w:rsid w:val="00B100CA"/>
    <w:rsid w:val="00B177BE"/>
    <w:rsid w:val="00B20858"/>
    <w:rsid w:val="00B61AD3"/>
    <w:rsid w:val="00B645B0"/>
    <w:rsid w:val="00BD573F"/>
    <w:rsid w:val="00BD613E"/>
    <w:rsid w:val="00C049C9"/>
    <w:rsid w:val="00C1561E"/>
    <w:rsid w:val="00C17072"/>
    <w:rsid w:val="00C24DC1"/>
    <w:rsid w:val="00C2659A"/>
    <w:rsid w:val="00C334A7"/>
    <w:rsid w:val="00C53D34"/>
    <w:rsid w:val="00C54C9F"/>
    <w:rsid w:val="00C570B5"/>
    <w:rsid w:val="00C753EA"/>
    <w:rsid w:val="00CA5DD2"/>
    <w:rsid w:val="00CB554B"/>
    <w:rsid w:val="00CB57A5"/>
    <w:rsid w:val="00CC7385"/>
    <w:rsid w:val="00CD1821"/>
    <w:rsid w:val="00CD2FFA"/>
    <w:rsid w:val="00CD4E31"/>
    <w:rsid w:val="00CE0C97"/>
    <w:rsid w:val="00CE0F59"/>
    <w:rsid w:val="00CE0FF1"/>
    <w:rsid w:val="00D02138"/>
    <w:rsid w:val="00D24997"/>
    <w:rsid w:val="00D40C33"/>
    <w:rsid w:val="00D5363B"/>
    <w:rsid w:val="00D7767D"/>
    <w:rsid w:val="00D941BC"/>
    <w:rsid w:val="00D971E5"/>
    <w:rsid w:val="00DB4AD9"/>
    <w:rsid w:val="00DB6FB0"/>
    <w:rsid w:val="00DD25B7"/>
    <w:rsid w:val="00DE6B27"/>
    <w:rsid w:val="00DF026E"/>
    <w:rsid w:val="00E11B2A"/>
    <w:rsid w:val="00E13291"/>
    <w:rsid w:val="00E25F36"/>
    <w:rsid w:val="00E2770A"/>
    <w:rsid w:val="00E3051D"/>
    <w:rsid w:val="00E42129"/>
    <w:rsid w:val="00E460A0"/>
    <w:rsid w:val="00E46F90"/>
    <w:rsid w:val="00E507B1"/>
    <w:rsid w:val="00E7552F"/>
    <w:rsid w:val="00E86021"/>
    <w:rsid w:val="00E971CC"/>
    <w:rsid w:val="00EA2D2C"/>
    <w:rsid w:val="00EC2872"/>
    <w:rsid w:val="00EC4262"/>
    <w:rsid w:val="00EC433F"/>
    <w:rsid w:val="00EE7200"/>
    <w:rsid w:val="00EF4941"/>
    <w:rsid w:val="00EF64F8"/>
    <w:rsid w:val="00EF75D0"/>
    <w:rsid w:val="00F009F8"/>
    <w:rsid w:val="00F10037"/>
    <w:rsid w:val="00F174AD"/>
    <w:rsid w:val="00F24FA9"/>
    <w:rsid w:val="00F35C6F"/>
    <w:rsid w:val="00F43C0E"/>
    <w:rsid w:val="00F55CF9"/>
    <w:rsid w:val="00F66E2A"/>
    <w:rsid w:val="00F86032"/>
    <w:rsid w:val="00F978B4"/>
    <w:rsid w:val="00FB6651"/>
    <w:rsid w:val="00FB72E1"/>
    <w:rsid w:val="00FD1374"/>
    <w:rsid w:val="00FD3A28"/>
    <w:rsid w:val="00FE5D29"/>
    <w:rsid w:val="00FF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CF6DA"/>
  <w15:docId w15:val="{0B139001-C52D-4C27-A0AA-995972E2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iPriority w:val="99"/>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297B"/>
    <w:pPr>
      <w:ind w:left="720"/>
      <w:contextualSpacing/>
    </w:pPr>
  </w:style>
  <w:style w:type="paragraph" w:styleId="NormalWeb">
    <w:name w:val="Normal (Web)"/>
    <w:basedOn w:val="Normal"/>
    <w:uiPriority w:val="99"/>
    <w:unhideWhenUsed/>
    <w:rsid w:val="009636EC"/>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6838">
      <w:bodyDiv w:val="1"/>
      <w:marLeft w:val="0"/>
      <w:marRight w:val="0"/>
      <w:marTop w:val="0"/>
      <w:marBottom w:val="0"/>
      <w:divBdr>
        <w:top w:val="none" w:sz="0" w:space="0" w:color="auto"/>
        <w:left w:val="none" w:sz="0" w:space="0" w:color="auto"/>
        <w:bottom w:val="none" w:sz="0" w:space="0" w:color="auto"/>
        <w:right w:val="none" w:sz="0" w:space="0" w:color="auto"/>
      </w:divBdr>
    </w:div>
    <w:div w:id="1875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777F-A23D-4FB3-AE19-DC438A05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Danga Ellynerah</cp:lastModifiedBy>
  <cp:revision>2</cp:revision>
  <cp:lastPrinted>2018-08-09T13:48:00Z</cp:lastPrinted>
  <dcterms:created xsi:type="dcterms:W3CDTF">2021-06-03T16:01:00Z</dcterms:created>
  <dcterms:modified xsi:type="dcterms:W3CDTF">2021-06-03T16:01:00Z</dcterms:modified>
</cp:coreProperties>
</file>