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drawing>
          <wp:anchor distT="0" distB="0" distL="114300" distR="114300" simplePos="0" relativeHeight="251660288" behindDoc="0" locked="0" layoutInCell="1" allowOverlap="1">
            <wp:simplePos x="0" y="0"/>
            <wp:positionH relativeFrom="column">
              <wp:posOffset>3947160</wp:posOffset>
            </wp:positionH>
            <wp:positionV relativeFrom="paragraph">
              <wp:posOffset>-537210</wp:posOffset>
            </wp:positionV>
            <wp:extent cx="1376045" cy="701040"/>
            <wp:effectExtent l="0" t="0" r="8255" b="10160"/>
            <wp:wrapNone/>
            <wp:docPr id="1" name="Picture 1" descr="ELFT V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LFT Vol"/>
                    <pic:cNvPicPr>
                      <a:picLocks noChangeAspect="1"/>
                    </pic:cNvPicPr>
                  </pic:nvPicPr>
                  <pic:blipFill>
                    <a:blip r:embed="rId4"/>
                    <a:stretch>
                      <a:fillRect/>
                    </a:stretch>
                  </pic:blipFill>
                  <pic:spPr>
                    <a:xfrm>
                      <a:off x="0" y="0"/>
                      <a:ext cx="1376045" cy="701040"/>
                    </a:xfrm>
                    <a:prstGeom prst="rect">
                      <a:avLst/>
                    </a:prstGeom>
                  </pic:spPr>
                </pic:pic>
              </a:graphicData>
            </a:graphic>
          </wp:anchor>
        </w:drawing>
      </w:r>
      <w:r>
        <w:t xml:space="preserve">                                                                            </w:t>
      </w:r>
    </w:p>
    <w:p>
      <w:pPr>
        <w:rPr>
          <w:b/>
        </w:rPr>
      </w:pPr>
      <w:r>
        <w:rPr>
          <w:b/>
        </w:rPr>
        <w:t xml:space="preserve">       </w:t>
      </w:r>
      <w:r>
        <w:rPr>
          <w:b/>
        </w:rPr>
        <w:tab/>
      </w:r>
      <w:r>
        <w:rPr>
          <w:b/>
        </w:rPr>
        <w:tab/>
      </w:r>
      <w:r>
        <w:rPr>
          <w:b/>
        </w:rPr>
        <w:tab/>
      </w:r>
      <w:r>
        <w:rPr>
          <w:b/>
        </w:rPr>
        <w:tab/>
      </w:r>
    </w:p>
    <w:p>
      <w:pPr>
        <w:rPr>
          <w:b/>
        </w:rPr>
      </w:pPr>
    </w:p>
    <w:p>
      <w:pPr>
        <w:jc w:val="center"/>
        <w:rPr>
          <w:sz w:val="28"/>
          <w:szCs w:val="28"/>
        </w:rPr>
      </w:pPr>
      <w:r>
        <w:rPr>
          <w:b/>
          <w:sz w:val="28"/>
          <w:szCs w:val="28"/>
        </w:rPr>
        <w:t>Volunteer Role Description</w:t>
      </w:r>
    </w:p>
    <w:p>
      <w:pPr>
        <w:rPr>
          <w:sz w:val="24"/>
          <w:szCs w:val="24"/>
        </w:rPr>
      </w:pPr>
    </w:p>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6" w:space="0"/>
              <w:right w:val="single" w:color="auto" w:sz="4" w:space="0"/>
            </w:tcBorders>
            <w:shd w:val="clear" w:color="auto" w:fill="auto"/>
          </w:tcPr>
          <w:p>
            <w:pPr>
              <w:rPr>
                <w:b/>
                <w:bCs/>
              </w:rPr>
            </w:pPr>
          </w:p>
          <w:p>
            <w:pPr>
              <w:rPr>
                <w:b/>
                <w:bCs/>
              </w:rPr>
            </w:pPr>
            <w:r>
              <w:rPr>
                <w:b/>
                <w:bCs/>
              </w:rPr>
              <w:t>Role Title:</w:t>
            </w:r>
          </w:p>
        </w:tc>
        <w:tc>
          <w:tcPr>
            <w:tcW w:w="6588" w:type="dxa"/>
            <w:tcBorders>
              <w:left w:val="single" w:color="auto" w:sz="4" w:space="0"/>
            </w:tcBorders>
          </w:tcPr>
          <w:p>
            <w:pPr>
              <w:rPr>
                <w:b/>
                <w:bCs/>
              </w:rPr>
            </w:pPr>
          </w:p>
          <w:p>
            <w:pPr>
              <w:rPr>
                <w:rFonts w:hint="default"/>
                <w:b/>
                <w:bCs/>
                <w:lang w:val="en-GB"/>
              </w:rPr>
            </w:pPr>
          </w:p>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6" w:space="0"/>
              <w:left w:val="single" w:color="auto" w:sz="4" w:space="0"/>
              <w:bottom w:val="single" w:color="auto" w:sz="6" w:space="0"/>
              <w:right w:val="single" w:color="auto" w:sz="4" w:space="0"/>
            </w:tcBorders>
            <w:shd w:val="clear" w:color="auto" w:fill="auto"/>
          </w:tcPr>
          <w:p>
            <w:pPr>
              <w:rPr>
                <w:rFonts w:hint="default"/>
                <w:lang w:val="en-GB"/>
              </w:rPr>
            </w:pPr>
            <w:r>
              <w:rPr>
                <w:rFonts w:hint="default"/>
                <w:lang w:val="en-GB"/>
              </w:rPr>
              <w:t>Volunteer Supervisor</w:t>
            </w:r>
          </w:p>
        </w:tc>
        <w:tc>
          <w:tcPr>
            <w:tcW w:w="6588" w:type="dxa"/>
            <w:tcBorders>
              <w:left w:val="single" w:color="auto" w:sz="4" w:space="0"/>
            </w:tcBorders>
          </w:tcPr>
          <w:p>
            <w:pPr>
              <w:jc w:val="both"/>
            </w:pPr>
          </w:p>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268" w:type="dxa"/>
            <w:tcBorders>
              <w:top w:val="single" w:color="auto" w:sz="6" w:space="0"/>
              <w:left w:val="single" w:color="auto" w:sz="4" w:space="0"/>
              <w:bottom w:val="single" w:color="auto" w:sz="6" w:space="0"/>
              <w:right w:val="single" w:color="auto" w:sz="4" w:space="0"/>
            </w:tcBorders>
            <w:shd w:val="clear" w:color="auto" w:fill="auto"/>
          </w:tcPr>
          <w:p>
            <w:r>
              <w:t>Number of Hours</w:t>
            </w:r>
          </w:p>
          <w:p>
            <w:r>
              <w:t>Required</w:t>
            </w:r>
          </w:p>
          <w:p/>
        </w:tc>
        <w:tc>
          <w:tcPr>
            <w:tcW w:w="6588" w:type="dxa"/>
            <w:tcBorders>
              <w:left w:val="single" w:color="auto" w:sz="4" w:space="0"/>
            </w:tcBorders>
          </w:tc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6" w:space="0"/>
              <w:left w:val="single" w:color="auto" w:sz="4" w:space="0"/>
              <w:bottom w:val="single" w:color="auto" w:sz="6" w:space="0"/>
              <w:right w:val="single" w:color="auto" w:sz="4" w:space="0"/>
            </w:tcBorders>
            <w:shd w:val="clear" w:color="auto" w:fill="auto"/>
          </w:tcPr>
          <w:p/>
          <w:p>
            <w:r>
              <w:t>Based at:</w:t>
            </w:r>
          </w:p>
        </w:tc>
        <w:tc>
          <w:tcPr>
            <w:tcW w:w="6588" w:type="dxa"/>
            <w:tcBorders>
              <w:left w:val="single" w:color="auto" w:sz="4" w:space="0"/>
            </w:tcBorders>
          </w:tcPr>
          <w:p>
            <w:pPr>
              <w:shd w:val="clear" w:color="auto" w:fill="FFFFFF"/>
            </w:pPr>
          </w:p>
          <w:p>
            <w:pPr>
              <w:shd w:val="clear" w:color="auto" w:fill="FFFF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6" w:space="0"/>
              <w:left w:val="single" w:color="auto" w:sz="4" w:space="0"/>
              <w:bottom w:val="single" w:color="auto" w:sz="6" w:space="0"/>
              <w:right w:val="single" w:color="auto" w:sz="4" w:space="0"/>
            </w:tcBorders>
            <w:shd w:val="clear" w:color="auto" w:fill="auto"/>
          </w:tcPr>
          <w:p/>
          <w:p>
            <w:r>
              <w:t xml:space="preserve">Duration </w:t>
            </w:r>
          </w:p>
          <w:p/>
        </w:tc>
        <w:tc>
          <w:tcPr>
            <w:tcW w:w="6588" w:type="dxa"/>
            <w:tcBorders>
              <w:left w:val="single" w:color="auto" w:sz="4" w:space="0"/>
            </w:tcBorders>
          </w:tc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6" w:space="0"/>
              <w:left w:val="single" w:color="auto" w:sz="4" w:space="0"/>
              <w:bottom w:val="single" w:color="auto" w:sz="6" w:space="0"/>
              <w:right w:val="single" w:color="auto" w:sz="4" w:space="0"/>
            </w:tcBorders>
            <w:shd w:val="clear" w:color="auto" w:fill="auto"/>
          </w:tcPr>
          <w:p/>
          <w:p>
            <w:r>
              <w:t xml:space="preserve">Closing date:  </w:t>
            </w:r>
          </w:p>
        </w:tc>
        <w:tc>
          <w:tcPr>
            <w:tcW w:w="6588" w:type="dxa"/>
            <w:tcBorders>
              <w:lef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6" w:space="0"/>
              <w:left w:val="single" w:color="auto" w:sz="4" w:space="0"/>
              <w:bottom w:val="single" w:color="auto" w:sz="6" w:space="0"/>
              <w:right w:val="single" w:color="auto" w:sz="4" w:space="0"/>
            </w:tcBorders>
            <w:shd w:val="clear" w:color="auto" w:fill="auto"/>
          </w:tcPr>
          <w:p/>
          <w:p/>
          <w:p>
            <w:r>
              <w:t>Brief service background/ Role Tasks:</w:t>
            </w:r>
          </w:p>
          <w:p/>
        </w:tc>
        <w:tc>
          <w:tcPr>
            <w:tcW w:w="6588" w:type="dxa"/>
            <w:tcBorders>
              <w:left w:val="single" w:color="auto" w:sz="4" w:space="0"/>
            </w:tcBorders>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268" w:type="dxa"/>
            <w:tcBorders>
              <w:top w:val="single" w:color="auto" w:sz="6" w:space="0"/>
              <w:left w:val="single" w:color="auto" w:sz="4" w:space="0"/>
              <w:bottom w:val="single" w:color="auto" w:sz="6" w:space="0"/>
              <w:right w:val="single" w:color="auto" w:sz="4" w:space="0"/>
            </w:tcBorders>
            <w:shd w:val="clear" w:color="auto" w:fill="auto"/>
          </w:tcPr>
          <w:p>
            <w:r>
              <w:t>Skills required:</w:t>
            </w:r>
          </w:p>
          <w:p/>
          <w:p/>
          <w:p/>
          <w:p/>
          <w:p/>
        </w:tc>
        <w:tc>
          <w:tcPr>
            <w:tcW w:w="6588" w:type="dxa"/>
            <w:tcBorders>
              <w:left w:val="single" w:color="auto" w:sz="4" w:space="0"/>
            </w:tcBorders>
          </w:tcPr>
          <w:p>
            <w:pPr>
              <w:pStyle w:val="12"/>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6" w:space="0"/>
              <w:left w:val="single" w:color="auto" w:sz="4" w:space="0"/>
              <w:bottom w:val="single" w:color="auto" w:sz="6" w:space="0"/>
              <w:right w:val="single" w:color="auto" w:sz="4" w:space="0"/>
            </w:tcBorders>
            <w:shd w:val="clear" w:color="auto" w:fill="auto"/>
          </w:tcPr>
          <w:p/>
          <w:p/>
          <w:p/>
          <w:p/>
          <w:p>
            <w:r>
              <w:t>Support/Training:</w:t>
            </w:r>
          </w:p>
        </w:tc>
        <w:tc>
          <w:tcPr>
            <w:tcW w:w="6588" w:type="dxa"/>
            <w:tcBorders>
              <w:left w:val="single" w:color="auto" w:sz="4" w:space="0"/>
            </w:tcBorders>
          </w:tcPr>
          <w:p>
            <w:pPr>
              <w:spacing w:after="200" w:line="276" w:lineRule="auto"/>
            </w:pPr>
            <w:r>
              <w:t xml:space="preserve">To complete compulsory volunteer training programme, online Safeguarding Level 2 and Information Governance training and any additional workshops as required for the role. </w:t>
            </w:r>
          </w:p>
          <w:p>
            <w:pPr>
              <w:spacing w:after="200" w:line="276" w:lineRule="auto"/>
            </w:pPr>
            <w:r>
              <w:t>No specific Educational Background required</w:t>
            </w:r>
          </w:p>
          <w:p>
            <w:pPr>
              <w:spacing w:after="200" w:line="276" w:lineRule="auto"/>
            </w:pPr>
            <w:r>
              <w:rPr>
                <w:b/>
              </w:rPr>
              <w:t>Desirable</w:t>
            </w:r>
            <w:r>
              <w:t>- Hold a valid First Aid &amp; or CPR certification.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6" w:space="0"/>
              <w:left w:val="single" w:color="auto" w:sz="4" w:space="0"/>
              <w:bottom w:val="single" w:color="auto" w:sz="6" w:space="0"/>
              <w:right w:val="single" w:color="auto" w:sz="4" w:space="0"/>
            </w:tcBorders>
            <w:shd w:val="clear" w:color="auto" w:fill="auto"/>
            <w:vAlign w:val="top"/>
          </w:tcPr>
          <w:p>
            <w:r>
              <w:t>Recruitment Process</w:t>
            </w:r>
          </w:p>
        </w:tc>
        <w:tc>
          <w:tcPr>
            <w:tcW w:w="6588" w:type="dxa"/>
            <w:tcBorders>
              <w:left w:val="single" w:color="auto" w:sz="4" w:space="0"/>
            </w:tcBorders>
            <w:vAlign w:val="top"/>
          </w:tcPr>
          <w:p>
            <w:pPr>
              <w:numPr>
                <w:ilvl w:val="0"/>
                <w:numId w:val="1"/>
              </w:numPr>
              <w:ind w:left="420" w:leftChars="0" w:hanging="420" w:firstLineChars="0"/>
              <w:rPr>
                <w:rFonts w:cs="Times New Roman"/>
                <w:bCs/>
              </w:rPr>
            </w:pPr>
            <w:r>
              <w:rPr>
                <w:rFonts w:cs="Times New Roman"/>
                <w:bCs/>
              </w:rPr>
              <w:t>App form</w:t>
            </w:r>
          </w:p>
          <w:p>
            <w:pPr>
              <w:numPr>
                <w:ilvl w:val="0"/>
                <w:numId w:val="1"/>
              </w:numPr>
              <w:ind w:left="420" w:leftChars="0" w:hanging="420" w:firstLineChars="0"/>
              <w:rPr>
                <w:rFonts w:cs="Times New Roman"/>
                <w:bCs/>
              </w:rPr>
            </w:pPr>
            <w:r>
              <w:rPr>
                <w:rFonts w:cs="Times New Roman"/>
                <w:bCs/>
              </w:rPr>
              <w:t>Interview</w:t>
            </w:r>
          </w:p>
          <w:p>
            <w:pPr>
              <w:numPr>
                <w:ilvl w:val="0"/>
                <w:numId w:val="1"/>
              </w:numPr>
              <w:ind w:left="420" w:leftChars="0" w:hanging="420" w:firstLineChars="0"/>
              <w:rPr>
                <w:rFonts w:cs="Times New Roman"/>
                <w:bCs/>
              </w:rPr>
            </w:pPr>
            <w:r>
              <w:rPr>
                <w:rFonts w:cs="Times New Roman"/>
                <w:bCs/>
              </w:rPr>
              <w:t>DBS &amp; references</w:t>
            </w:r>
          </w:p>
          <w:p>
            <w:pPr>
              <w:numPr>
                <w:ilvl w:val="0"/>
                <w:numId w:val="1"/>
              </w:numPr>
              <w:ind w:left="420" w:leftChars="0" w:hanging="420" w:firstLineChars="0"/>
            </w:pPr>
            <w:r>
              <w:rPr>
                <w:rFonts w:cs="Times New Roman"/>
                <w:bCs/>
              </w:rPr>
              <w:t>Training – SGA Level 2, Information Governance and 2 hour virtual interactive training</w:t>
            </w:r>
          </w:p>
        </w:tc>
      </w:tr>
    </w:tbl>
    <w:p>
      <w:pPr>
        <w:rPr>
          <w:rFonts w:ascii="Calibri" w:hAnsi="Calibri" w:cs="Calibri"/>
          <w:sz w:val="22"/>
          <w:szCs w:val="22"/>
        </w:rPr>
      </w:pPr>
      <w:r>
        <w:rPr>
          <w:b/>
          <w:sz w:val="28"/>
          <w:szCs w:val="28"/>
        </w:rPr>
        <w:drawing>
          <wp:anchor distT="0" distB="0" distL="0" distR="0" simplePos="0" relativeHeight="251659264" behindDoc="0" locked="0" layoutInCell="1" allowOverlap="1">
            <wp:simplePos x="0" y="0"/>
            <wp:positionH relativeFrom="column">
              <wp:posOffset>-927100</wp:posOffset>
            </wp:positionH>
            <wp:positionV relativeFrom="paragraph">
              <wp:posOffset>1823720</wp:posOffset>
            </wp:positionV>
            <wp:extent cx="7591425" cy="853440"/>
            <wp:effectExtent l="0" t="0" r="3175" b="1016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7591425" cy="853440"/>
                    </a:xfrm>
                    <a:prstGeom prst="rect">
                      <a:avLst/>
                    </a:prstGeom>
                    <a:noFill/>
                    <a:ln>
                      <a:noFill/>
                    </a:ln>
                  </pic:spPr>
                </pic:pic>
              </a:graphicData>
            </a:graphic>
          </wp:anchor>
        </w:drawing>
      </w:r>
      <w:r>
        <w:rPr>
          <w:rFonts w:ascii="Calibri" w:hAnsi="Calibri" w:cs="Calibri"/>
          <w:sz w:val="22"/>
          <w:szCs w:val="22"/>
        </w:rPr>
        <w:br w:type="page"/>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6" w:space="0"/>
              <w:left w:val="single" w:color="auto" w:sz="4" w:space="0"/>
              <w:bottom w:val="single" w:color="auto" w:sz="6" w:space="0"/>
              <w:right w:val="single" w:color="auto" w:sz="4" w:space="0"/>
            </w:tcBorders>
            <w:shd w:val="clear" w:color="auto" w:fill="auto"/>
            <w:vAlign w:val="top"/>
          </w:tcPr>
          <w:p>
            <w:pPr>
              <w:rPr>
                <w:rFonts w:ascii="Calibri" w:hAnsi="Calibri" w:cs="Calibri"/>
                <w:sz w:val="22"/>
                <w:szCs w:val="22"/>
              </w:rPr>
            </w:pPr>
            <w:r>
              <w:rPr>
                <w:rFonts w:ascii="Calibri" w:hAnsi="Calibri" w:cs="Calibri"/>
                <w:sz w:val="22"/>
                <w:szCs w:val="22"/>
              </w:rPr>
              <w:t>COVID-19 Guidance</w:t>
            </w:r>
          </w:p>
          <w:p>
            <w:pPr>
              <w:rPr>
                <w:rFonts w:ascii="Calibri" w:hAnsi="Calibri" w:cs="Calibri"/>
                <w:sz w:val="22"/>
                <w:szCs w:val="22"/>
              </w:rPr>
            </w:pPr>
          </w:p>
          <w:p>
            <w:pPr>
              <w:rPr>
                <w:rFonts w:ascii="Calibri" w:hAnsi="Calibri" w:cs="Calibri"/>
                <w:sz w:val="22"/>
                <w:szCs w:val="22"/>
              </w:rPr>
            </w:pPr>
          </w:p>
          <w:p>
            <w:pPr>
              <w:rPr>
                <w:rFonts w:ascii="Calibri" w:hAnsi="Calibri" w:cs="Calibri"/>
                <w:sz w:val="22"/>
                <w:szCs w:val="22"/>
              </w:rPr>
            </w:pPr>
          </w:p>
          <w:p>
            <w:pPr>
              <w:rPr>
                <w:rFonts w:ascii="Calibri" w:hAnsi="Calibri" w:cs="Calibri"/>
                <w:sz w:val="22"/>
                <w:szCs w:val="22"/>
              </w:rPr>
            </w:pPr>
          </w:p>
          <w:p>
            <w:pPr>
              <w:rPr>
                <w:rFonts w:ascii="Calibri" w:hAnsi="Calibri" w:cs="Calibri"/>
                <w:sz w:val="22"/>
                <w:szCs w:val="22"/>
              </w:rPr>
            </w:pPr>
          </w:p>
          <w:p/>
        </w:tc>
        <w:tc>
          <w:tcPr>
            <w:tcW w:w="6588" w:type="dxa"/>
            <w:tcBorders>
              <w:left w:val="single" w:color="auto" w:sz="4" w:space="0"/>
            </w:tcBorders>
            <w:vAlign w:val="top"/>
          </w:tcPr>
          <w:p>
            <w:pPr>
              <w:pStyle w:val="9"/>
              <w:numPr>
                <w:ilvl w:val="0"/>
                <w:numId w:val="2"/>
              </w:numPr>
              <w:autoSpaceDE w:val="0"/>
              <w:autoSpaceDN w:val="0"/>
              <w:adjustRightInd w:val="0"/>
              <w:ind w:left="420" w:leftChars="0" w:hanging="420" w:firstLineChars="0"/>
              <w:rPr>
                <w:color w:val="000000"/>
              </w:rPr>
            </w:pPr>
            <w:r>
              <w:rPr>
                <w:color w:val="000000"/>
              </w:rPr>
              <w:t>In line with government advice and ELFT guidelines volunteers must: If on site for volunteering</w:t>
            </w:r>
          </w:p>
          <w:p>
            <w:pPr>
              <w:pStyle w:val="9"/>
              <w:numPr>
                <w:ilvl w:val="0"/>
                <w:numId w:val="2"/>
              </w:numPr>
              <w:autoSpaceDE w:val="0"/>
              <w:autoSpaceDN w:val="0"/>
              <w:adjustRightInd w:val="0"/>
              <w:ind w:left="420" w:leftChars="0" w:hanging="420" w:firstLineChars="0"/>
              <w:rPr>
                <w:color w:val="000000"/>
              </w:rPr>
            </w:pPr>
            <w:r>
              <w:rPr>
                <w:color w:val="000000"/>
              </w:rPr>
              <w:t xml:space="preserve">Be healthy, fit and well </w:t>
            </w:r>
          </w:p>
          <w:p>
            <w:pPr>
              <w:pStyle w:val="13"/>
              <w:numPr>
                <w:ilvl w:val="0"/>
                <w:numId w:val="2"/>
              </w:numPr>
              <w:ind w:left="420" w:leftChars="0" w:hanging="420" w:firstLineChars="0"/>
              <w:rPr>
                <w:rFonts w:ascii="Arial" w:hAnsi="Arial" w:cs="Arial"/>
                <w:sz w:val="20"/>
                <w:szCs w:val="20"/>
              </w:rPr>
            </w:pPr>
            <w:r>
              <w:rPr>
                <w:rFonts w:ascii="Arial" w:hAnsi="Arial" w:cs="Arial"/>
                <w:sz w:val="20"/>
                <w:szCs w:val="20"/>
              </w:rPr>
              <w:t>Volunteers will be provided with the required levels of PPE in line with staff provision and following PHE guidance if ever on site</w:t>
            </w:r>
          </w:p>
          <w:p>
            <w:pPr>
              <w:pStyle w:val="13"/>
              <w:numPr>
                <w:ilvl w:val="0"/>
                <w:numId w:val="2"/>
              </w:numPr>
              <w:ind w:left="420" w:leftChars="0" w:hanging="420" w:firstLineChars="0"/>
            </w:pPr>
            <w:r>
              <w:rPr>
                <w:rFonts w:ascii="Arial" w:hAnsi="Arial" w:cs="Arial"/>
                <w:sz w:val="20"/>
                <w:szCs w:val="20"/>
              </w:rPr>
              <w:t>Show proof of double vaccination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6" w:space="0"/>
              <w:left w:val="single" w:color="auto" w:sz="4" w:space="0"/>
              <w:bottom w:val="single" w:color="auto" w:sz="6" w:space="0"/>
              <w:right w:val="single" w:color="auto" w:sz="4" w:space="0"/>
            </w:tcBorders>
            <w:shd w:val="clear" w:color="auto" w:fill="auto"/>
          </w:tcPr>
          <w:p/>
          <w:p>
            <w:r>
              <w:t>Expenses:</w:t>
            </w:r>
          </w:p>
          <w:p/>
          <w:p/>
          <w:p/>
          <w:p/>
          <w:p/>
        </w:tc>
        <w:tc>
          <w:tcPr>
            <w:tcW w:w="6588" w:type="dxa"/>
            <w:tcBorders>
              <w:left w:val="single" w:color="auto" w:sz="4" w:space="0"/>
            </w:tcBorders>
          </w:tcPr>
          <w:p>
            <w:pPr>
              <w:numPr>
                <w:ilvl w:val="0"/>
                <w:numId w:val="3"/>
              </w:numPr>
              <w:ind w:left="420" w:leftChars="0" w:hanging="420" w:firstLineChars="0"/>
            </w:pPr>
            <w:r>
              <w:t>Travel can be claimed for any journeys to and from your volunteering base.</w:t>
            </w:r>
          </w:p>
          <w:p>
            <w:pPr>
              <w:numPr>
                <w:ilvl w:val="0"/>
                <w:numId w:val="3"/>
              </w:numPr>
              <w:ind w:left="420" w:leftChars="0" w:hanging="420" w:firstLineChars="0"/>
            </w:pPr>
            <w:r>
              <w:t>Travel should be paid for by Oyster Card and then individual journeys claimed for – a receipt for a monetary update of Oyster Card is required.</w:t>
            </w:r>
          </w:p>
          <w:p>
            <w:pPr>
              <w:numPr>
                <w:ilvl w:val="0"/>
                <w:numId w:val="3"/>
              </w:numPr>
              <w:ind w:left="420" w:leftChars="0" w:hanging="420" w:firstLineChars="0"/>
            </w:pPr>
            <w:r>
              <w:t>Car travel must be agreed with the volunteer supervisor beforehand and paid at 56p per mile</w:t>
            </w:r>
          </w:p>
          <w:p>
            <w:pPr>
              <w:numPr>
                <w:ilvl w:val="0"/>
                <w:numId w:val="3"/>
              </w:numPr>
              <w:ind w:left="420" w:leftChars="0" w:hanging="420" w:firstLineChars="0"/>
            </w:pPr>
            <w:r>
              <w:t>£5 can be claimed for volunteers’ admin fees for each volunteer session if volunteering from home.</w:t>
            </w:r>
          </w:p>
          <w:p>
            <w:pPr>
              <w:numPr>
                <w:ilvl w:val="0"/>
                <w:numId w:val="3"/>
              </w:numPr>
              <w:tabs>
                <w:tab w:val="clear" w:pos="420"/>
              </w:tabs>
              <w:ind w:left="420" w:leftChars="0" w:hanging="420" w:firstLineChars="0"/>
            </w:pPr>
            <w:r>
              <w:t>Expenses for a lunch up to a maximum of £4 (reimbursed upon providing a receipt) can be claimed if volunteering exceeds 4hours in one day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6" w:space="0"/>
              <w:left w:val="single" w:color="auto" w:sz="4" w:space="0"/>
              <w:bottom w:val="single" w:color="auto" w:sz="6" w:space="0"/>
              <w:right w:val="single" w:color="auto" w:sz="4" w:space="0"/>
            </w:tcBorders>
            <w:shd w:val="clear" w:color="auto" w:fill="auto"/>
          </w:tcPr>
          <w:p/>
          <w:p>
            <w:r>
              <w:t>Health and Safety, Confidentiality and Equal Opportunities</w:t>
            </w:r>
          </w:p>
          <w:p/>
        </w:tc>
        <w:tc>
          <w:tcPr>
            <w:tcW w:w="6588" w:type="dxa"/>
            <w:tcBorders>
              <w:left w:val="single" w:color="auto" w:sz="4" w:space="0"/>
            </w:tcBorders>
          </w:tcPr>
          <w:p/>
          <w:p>
            <w:r>
              <w:t>Volunteers must abide by the East London NHS Foundation Trust policies on Health and Safety, Confidentiality and Equal Opportunities.</w:t>
            </w:r>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6" w:space="0"/>
              <w:left w:val="single" w:color="auto" w:sz="4" w:space="0"/>
              <w:bottom w:val="single" w:color="auto" w:sz="6" w:space="0"/>
              <w:right w:val="single" w:color="auto" w:sz="4" w:space="0"/>
            </w:tcBorders>
            <w:shd w:val="clear" w:color="auto" w:fill="auto"/>
          </w:tcPr>
          <w:p/>
          <w:p>
            <w:r>
              <w:t>Insurance</w:t>
            </w:r>
          </w:p>
        </w:tc>
        <w:tc>
          <w:tcPr>
            <w:tcW w:w="6588" w:type="dxa"/>
            <w:tcBorders>
              <w:left w:val="single" w:color="auto" w:sz="4" w:space="0"/>
            </w:tcBorders>
          </w:tcPr>
          <w:p/>
          <w:p>
            <w:r>
              <w:t>In the event of an accident whilst undertaking any part of the volunteer role on behalf of East London NHS Foundation Trust you will be covered by the relevant Trust insurance policies as long as relevant health and safety procedures have been followed.</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6" w:space="0"/>
              <w:left w:val="single" w:color="auto" w:sz="4" w:space="0"/>
              <w:bottom w:val="single" w:color="auto" w:sz="4" w:space="0"/>
              <w:right w:val="single" w:color="auto" w:sz="4" w:space="0"/>
            </w:tcBorders>
            <w:shd w:val="clear" w:color="auto" w:fill="auto"/>
          </w:tcPr>
          <w:p/>
          <w:p>
            <w:r>
              <w:t>Contact Information</w:t>
            </w:r>
          </w:p>
        </w:tc>
        <w:tc>
          <w:tcPr>
            <w:tcW w:w="6588" w:type="dxa"/>
            <w:tcBorders>
              <w:left w:val="single" w:color="auto" w:sz="4" w:space="0"/>
            </w:tcBorders>
          </w:tcPr>
          <w:p/>
          <w:p>
            <w:pPr>
              <w:rPr>
                <w:rFonts w:hint="default"/>
                <w:lang w:val="en-GB"/>
              </w:rPr>
            </w:pPr>
            <w:r>
              <w:t>Day to Day please contact</w:t>
            </w:r>
            <w:r>
              <w:rPr>
                <w:rFonts w:hint="default"/>
                <w:lang w:val="en-GB"/>
              </w:rPr>
              <w:t xml:space="preserve"> …………………………</w:t>
            </w:r>
          </w:p>
          <w:p>
            <w:pPr>
              <w:rPr>
                <w:color w:val="0000FF"/>
                <w:u w:val="single"/>
              </w:rPr>
            </w:pPr>
            <w:r>
              <w:rPr>
                <w:rFonts w:hint="default"/>
                <w:lang w:val="en-GB"/>
              </w:rPr>
              <w:t xml:space="preserve">Volunteer Coordinator - </w:t>
            </w:r>
            <w:r>
              <w:t xml:space="preserve"> </w:t>
            </w:r>
            <w:r>
              <w:fldChar w:fldCharType="begin"/>
            </w:r>
            <w:r>
              <w:instrText xml:space="preserve"> HYPERLINK "mailto:elft.volunteerenq@nhs.net" \t "_blank" </w:instrText>
            </w:r>
            <w:r>
              <w:fldChar w:fldCharType="separate"/>
            </w:r>
            <w:r>
              <w:rPr>
                <w:color w:val="0000FF"/>
                <w:u w:val="single"/>
              </w:rPr>
              <w:t>elft.volunteerenq@nhs.net</w:t>
            </w:r>
            <w:r>
              <w:rPr>
                <w:color w:val="0000FF"/>
                <w:u w:val="single"/>
              </w:rPr>
              <w:fldChar w:fldCharType="end"/>
            </w:r>
          </w:p>
          <w:p/>
        </w:tc>
      </w:tr>
    </w:tbl>
    <w:p>
      <w:pPr>
        <w:rPr>
          <w:sz w:val="28"/>
          <w:szCs w:val="28"/>
        </w:rPr>
      </w:pPr>
      <w:bookmarkStart w:id="0" w:name="_GoBack"/>
      <w:bookmarkEnd w:id="0"/>
      <w:r>
        <w:rPr>
          <w:b/>
          <w:sz w:val="28"/>
          <w:szCs w:val="28"/>
        </w:rPr>
        <w:drawing>
          <wp:anchor distT="0" distB="0" distL="0" distR="0" simplePos="0" relativeHeight="251661312" behindDoc="0" locked="0" layoutInCell="1" allowOverlap="1">
            <wp:simplePos x="0" y="0"/>
            <wp:positionH relativeFrom="column">
              <wp:posOffset>-930910</wp:posOffset>
            </wp:positionH>
            <wp:positionV relativeFrom="paragraph">
              <wp:posOffset>3492500</wp:posOffset>
            </wp:positionV>
            <wp:extent cx="7591425" cy="853440"/>
            <wp:effectExtent l="0" t="0" r="3175" b="1016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7591425" cy="853440"/>
                    </a:xfrm>
                    <a:prstGeom prst="rect">
                      <a:avLst/>
                    </a:prstGeom>
                    <a:noFill/>
                    <a:ln>
                      <a:noFill/>
                    </a:ln>
                  </pic:spPr>
                </pic:pic>
              </a:graphicData>
            </a:graphic>
          </wp:anchor>
        </w:drawing>
      </w:r>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TLZVH+FrutigerLTPro-Roman">
    <w:altName w:val="Cambria"/>
    <w:panose1 w:val="00000000000000000000"/>
    <w:charset w:val="00"/>
    <w:family w:val="roman"/>
    <w:pitch w:val="default"/>
    <w:sig w:usb0="00000000" w:usb1="00000000" w:usb2="00000000" w:usb3="00000000" w:csb0="00000001" w:csb1="00000000"/>
  </w:font>
  <w:font w:name="Cambria">
    <w:panose1 w:val="02040503050406030204"/>
    <w:charset w:val="00"/>
    <w:family w:val="auto"/>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E349B8"/>
    <w:multiLevelType w:val="singleLevel"/>
    <w:tmpl w:val="AAE349B8"/>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B689C7B1"/>
    <w:multiLevelType w:val="singleLevel"/>
    <w:tmpl w:val="B689C7B1"/>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5EB7A9ED"/>
    <w:multiLevelType w:val="singleLevel"/>
    <w:tmpl w:val="5EB7A9ED"/>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B07"/>
    <w:rsid w:val="000642C2"/>
    <w:rsid w:val="000C3739"/>
    <w:rsid w:val="000D5E92"/>
    <w:rsid w:val="001119A8"/>
    <w:rsid w:val="00117042"/>
    <w:rsid w:val="0017321A"/>
    <w:rsid w:val="00282F07"/>
    <w:rsid w:val="002C3D06"/>
    <w:rsid w:val="00314374"/>
    <w:rsid w:val="00382185"/>
    <w:rsid w:val="00396459"/>
    <w:rsid w:val="00396C27"/>
    <w:rsid w:val="004057A4"/>
    <w:rsid w:val="00424506"/>
    <w:rsid w:val="00495087"/>
    <w:rsid w:val="004E3809"/>
    <w:rsid w:val="005351E7"/>
    <w:rsid w:val="005B62C5"/>
    <w:rsid w:val="005C7484"/>
    <w:rsid w:val="005E181F"/>
    <w:rsid w:val="00634185"/>
    <w:rsid w:val="00642769"/>
    <w:rsid w:val="006967A4"/>
    <w:rsid w:val="006D53BD"/>
    <w:rsid w:val="007B3367"/>
    <w:rsid w:val="008057B4"/>
    <w:rsid w:val="00934F50"/>
    <w:rsid w:val="009B206A"/>
    <w:rsid w:val="009B4AC0"/>
    <w:rsid w:val="009F64E5"/>
    <w:rsid w:val="00C1249C"/>
    <w:rsid w:val="00CE160A"/>
    <w:rsid w:val="00CF0CFA"/>
    <w:rsid w:val="00DC6B07"/>
    <w:rsid w:val="00E61BF8"/>
    <w:rsid w:val="00ED6F5E"/>
    <w:rsid w:val="00EF3555"/>
    <w:rsid w:val="00F04D51"/>
    <w:rsid w:val="6868765F"/>
    <w:rsid w:val="6BCD0C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Times New Roman" w:cs="Arial"/>
      <w:lang w:val="en-GB" w:eastAsia="en-GB"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8"/>
    <w:semiHidden/>
    <w:unhideWhenUsed/>
    <w:uiPriority w:val="99"/>
    <w:rPr>
      <w:rFonts w:ascii="Tahoma" w:hAnsi="Tahoma" w:cs="Tahoma"/>
      <w:sz w:val="16"/>
      <w:szCs w:val="16"/>
    </w:rPr>
  </w:style>
  <w:style w:type="paragraph" w:styleId="5">
    <w:name w:val="footer"/>
    <w:basedOn w:val="1"/>
    <w:link w:val="11"/>
    <w:unhideWhenUsed/>
    <w:qFormat/>
    <w:uiPriority w:val="99"/>
    <w:pPr>
      <w:tabs>
        <w:tab w:val="center" w:pos="4513"/>
        <w:tab w:val="right" w:pos="9026"/>
      </w:tabs>
    </w:pPr>
  </w:style>
  <w:style w:type="paragraph" w:styleId="6">
    <w:name w:val="header"/>
    <w:basedOn w:val="1"/>
    <w:link w:val="10"/>
    <w:unhideWhenUsed/>
    <w:uiPriority w:val="99"/>
    <w:pPr>
      <w:tabs>
        <w:tab w:val="center" w:pos="4513"/>
        <w:tab w:val="right" w:pos="9026"/>
      </w:tabs>
    </w:pPr>
  </w:style>
  <w:style w:type="character" w:styleId="7">
    <w:name w:val="Hyperlink"/>
    <w:unhideWhenUsed/>
    <w:uiPriority w:val="99"/>
    <w:rPr>
      <w:color w:val="0000FF"/>
      <w:u w:val="single"/>
    </w:rPr>
  </w:style>
  <w:style w:type="character" w:customStyle="1" w:styleId="8">
    <w:name w:val="Balloon Text Char"/>
    <w:link w:val="4"/>
    <w:semiHidden/>
    <w:qFormat/>
    <w:uiPriority w:val="99"/>
    <w:rPr>
      <w:rFonts w:ascii="Tahoma" w:hAnsi="Tahoma" w:eastAsia="Times New Roman" w:cs="Tahoma"/>
      <w:sz w:val="16"/>
      <w:szCs w:val="16"/>
      <w:lang w:eastAsia="en-GB"/>
    </w:rPr>
  </w:style>
  <w:style w:type="paragraph" w:styleId="9">
    <w:name w:val="List Paragraph"/>
    <w:basedOn w:val="1"/>
    <w:qFormat/>
    <w:uiPriority w:val="34"/>
    <w:pPr>
      <w:ind w:left="720"/>
      <w:contextualSpacing/>
    </w:pPr>
  </w:style>
  <w:style w:type="character" w:customStyle="1" w:styleId="10">
    <w:name w:val="Header Char"/>
    <w:link w:val="6"/>
    <w:qFormat/>
    <w:uiPriority w:val="99"/>
    <w:rPr>
      <w:rFonts w:ascii="Arial" w:hAnsi="Arial" w:eastAsia="Times New Roman" w:cs="Arial"/>
      <w:sz w:val="20"/>
      <w:szCs w:val="20"/>
      <w:lang w:eastAsia="en-GB"/>
    </w:rPr>
  </w:style>
  <w:style w:type="character" w:customStyle="1" w:styleId="11">
    <w:name w:val="Footer Char"/>
    <w:link w:val="5"/>
    <w:qFormat/>
    <w:uiPriority w:val="99"/>
    <w:rPr>
      <w:rFonts w:ascii="Arial" w:hAnsi="Arial" w:eastAsia="Times New Roman" w:cs="Arial"/>
      <w:sz w:val="20"/>
      <w:szCs w:val="20"/>
      <w:lang w:eastAsia="en-GB"/>
    </w:rPr>
  </w:style>
  <w:style w:type="paragraph" w:styleId="12">
    <w:name w:val="No Spacing"/>
    <w:qFormat/>
    <w:uiPriority w:val="1"/>
    <w:rPr>
      <w:rFonts w:ascii="Arial" w:hAnsi="Arial" w:eastAsia="Times New Roman" w:cs="Arial"/>
      <w:lang w:val="en-GB" w:eastAsia="en-GB" w:bidi="ar-SA"/>
    </w:rPr>
  </w:style>
  <w:style w:type="paragraph" w:customStyle="1" w:styleId="13">
    <w:name w:val="Default"/>
    <w:qFormat/>
    <w:uiPriority w:val="0"/>
    <w:pPr>
      <w:autoSpaceDE w:val="0"/>
      <w:autoSpaceDN w:val="0"/>
      <w:adjustRightInd w:val="0"/>
    </w:pPr>
    <w:rPr>
      <w:rFonts w:ascii="CTLZVH+FrutigerLTPro-Roman" w:hAnsi="CTLZVH+FrutigerLTPro-Roman" w:eastAsia="Calibri" w:cs="CTLZVH+FrutigerLTPro-Roman"/>
      <w:color w:val="000000"/>
      <w:sz w:val="24"/>
      <w:szCs w:val="24"/>
      <w:lang w:val="en-GB" w:eastAsia="en-US" w:bidi="ar-SA"/>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customXml" Target="../customXml/item5.xml"/><Relationship Id="rId2" Type="http://schemas.openxmlformats.org/officeDocument/2006/relationships/settings" Target="settings.xml"/><Relationship Id="rId6" Type="http://schemas.openxmlformats.org/officeDocument/2006/relationships/customXml" Target="../customXml/item1.xml"/><Relationship Id="rId11" Type="http://schemas.openxmlformats.org/officeDocument/2006/relationships/fontTable" Target="fontTable.xml"/><Relationship Id="rId1" Type="http://schemas.openxmlformats.org/officeDocument/2006/relationships/styles" Target="styles.xml"/><Relationship Id="rId5" Type="http://schemas.openxmlformats.org/officeDocument/2006/relationships/image" Target="media/image2.emf"/><Relationship Id="rId10" Type="http://schemas.openxmlformats.org/officeDocument/2006/relationships/customXml" Target="../customXml/item4.xml"/><Relationship Id="rId9" Type="http://schemas.openxmlformats.org/officeDocument/2006/relationships/customXml" Target="../customXml/item3.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39B29FEF533DD468FE07AB3B2E2E526" ma:contentTypeVersion="14" ma:contentTypeDescription="Create a new document." ma:contentTypeScope="" ma:versionID="ef845028398d7a87893684b94a9b6477">
  <xsd:schema xmlns:xsd="http://www.w3.org/2001/XMLSchema" xmlns:xs="http://www.w3.org/2001/XMLSchema" xmlns:p="http://schemas.microsoft.com/office/2006/metadata/properties" xmlns:ns1="http://schemas.microsoft.com/sharepoint/v3" xmlns:ns2="f07397ca-ee0e-44f6-addc-a8eb602a4e91" xmlns:ns3="d9ee8417-83e0-4107-89bd-fb64f7a11b82" targetNamespace="http://schemas.microsoft.com/office/2006/metadata/properties" ma:root="true" ma:fieldsID="13cfe2f43be4a2259ecba908d70a18fd" ns1:_="" ns2:_="" ns3:_="">
    <xsd:import namespace="http://schemas.microsoft.com/sharepoint/v3"/>
    <xsd:import namespace="f07397ca-ee0e-44f6-addc-a8eb602a4e91"/>
    <xsd:import namespace="d9ee8417-83e0-4107-89bd-fb64f7a11b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7397ca-ee0e-44f6-addc-a8eb602a4e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ee8417-83e0-4107-89bd-fb64f7a11b82"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_ip_UnifiedCompliancePolicyUIAction xmlns="http://schemas.microsoft.com/sharepoint/v3"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019D37-F24B-4B45-8E88-6A87B76C2B3B}">
  <ds:schemaRefs/>
</ds:datastoreItem>
</file>

<file path=customXml/itemProps3.xml><?xml version="1.0" encoding="utf-8"?>
<ds:datastoreItem xmlns:ds="http://schemas.openxmlformats.org/officeDocument/2006/customXml" ds:itemID="{CF5B7240-09DC-4A08-B21E-AC8D7BF65A12}">
  <ds:schemaRefs/>
</ds:datastoreItem>
</file>

<file path=customXml/itemProps4.xml><?xml version="1.0" encoding="utf-8"?>
<ds:datastoreItem xmlns:ds="http://schemas.openxmlformats.org/officeDocument/2006/customXml" ds:itemID="{90332BD7-9B57-4B05-9A53-6D13F9CD4494}"/>
</file>

<file path=customXml/itemProps5.xml><?xml version="1.0" encoding="utf-8"?>
<ds:datastoreItem xmlns:ds="http://schemas.openxmlformats.org/officeDocument/2006/customXml" ds:itemID="{24004B93-D3BD-432F-B742-EEDB948FDDC8}"/>
</file>

<file path=docProps/app.xml><?xml version="1.0" encoding="utf-8"?>
<Properties xmlns="http://schemas.openxmlformats.org/officeDocument/2006/extended-properties" xmlns:vt="http://schemas.openxmlformats.org/officeDocument/2006/docPropsVTypes">
  <Template>Normal.dotm</Template>
  <Pages>1</Pages>
  <Words>504</Words>
  <Characters>2875</Characters>
  <Lines>23</Lines>
  <Paragraphs>6</Paragraphs>
  <TotalTime>1</TotalTime>
  <ScaleCrop>false</ScaleCrop>
  <LinksUpToDate>false</LinksUpToDate>
  <CharactersWithSpaces>3373</CharactersWithSpaces>
  <Application>WPS Office_11.2.0.10382_F1E327BC-269C-435d-A152-05C5408002CA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Mousse Marie-Michelle</dc:creator>
  <cp:lastModifiedBy>Rose</cp:lastModifiedBy>
  <cp:revision>2</cp:revision>
  <dcterms:created xsi:type="dcterms:W3CDTF">2021-11-17T11:17:00Z</dcterms:created>
  <dcterms:modified xsi:type="dcterms:W3CDTF">2021-12-07T09:21:33Z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KACHERE, Rose (EAST LONDON NHS FOUNDATION TRUST)</vt:lpwstr>
  </property>
  <property fmtid="{D5CDD505-2E9C-101B-9397-08002B2CF9AE}" pid="3" name="Order">
    <vt:lpwstr>14100.0000000000</vt:lpwstr>
  </property>
  <property fmtid="{D5CDD505-2E9C-101B-9397-08002B2CF9AE}" pid="4" name="_ip_UnifiedCompliancePolicyProperties">
    <vt:lpwstr/>
  </property>
  <property fmtid="{D5CDD505-2E9C-101B-9397-08002B2CF9AE}" pid="5" name="_ExtendedDescription">
    <vt:lpwstr/>
  </property>
  <property fmtid="{D5CDD505-2E9C-101B-9397-08002B2CF9AE}" pid="6" name="display_urn:schemas-microsoft-com:office:office#Author">
    <vt:lpwstr>KACHERE, Rose (EAST LONDON NHS FOUNDATION TRUST)</vt:lpwstr>
  </property>
  <property fmtid="{D5CDD505-2E9C-101B-9397-08002B2CF9AE}" pid="7" name="ComplianceAssetId">
    <vt:lpwstr/>
  </property>
  <property fmtid="{D5CDD505-2E9C-101B-9397-08002B2CF9AE}" pid="8" name="ContentTypeId">
    <vt:lpwstr>0x010100239B29FEF533DD468FE07AB3B2E2E526</vt:lpwstr>
  </property>
  <property fmtid="{D5CDD505-2E9C-101B-9397-08002B2CF9AE}" pid="9" name="TriggerFlowInfo">
    <vt:lpwstr/>
  </property>
  <property fmtid="{D5CDD505-2E9C-101B-9397-08002B2CF9AE}" pid="10" name="_ip_UnifiedCompliancePolicyUIAction">
    <vt:lpwstr/>
  </property>
  <property fmtid="{D5CDD505-2E9C-101B-9397-08002B2CF9AE}" pid="11" name="_SourceUrl">
    <vt:lpwstr/>
  </property>
  <property fmtid="{D5CDD505-2E9C-101B-9397-08002B2CF9AE}" pid="12" name="_SharedFileIndex">
    <vt:lpwstr/>
  </property>
  <property fmtid="{D5CDD505-2E9C-101B-9397-08002B2CF9AE}" pid="13" name="KSOProductBuildVer">
    <vt:lpwstr>2057-11.2.0.10382</vt:lpwstr>
  </property>
  <property fmtid="{D5CDD505-2E9C-101B-9397-08002B2CF9AE}" pid="14" name="ICV">
    <vt:lpwstr>0B930E6D6EBA4C288EC363B39A736421</vt:lpwstr>
  </property>
</Properties>
</file>