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B5B" w:rsidRPr="006E3EE3" w:rsidRDefault="00FC1B5B" w:rsidP="00FC1B5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-443865</wp:posOffset>
                </wp:positionH>
                <wp:positionV relativeFrom="paragraph">
                  <wp:posOffset>150495</wp:posOffset>
                </wp:positionV>
                <wp:extent cx="1111250" cy="26162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1B5B" w:rsidRPr="00FC1B5B" w:rsidRDefault="00FC1B5B" w:rsidP="00FC1B5B">
                            <w:pPr>
                              <w:jc w:val="center"/>
                            </w:pPr>
                            <w:r w:rsidRPr="00FC1B5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Appendix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4.95pt;margin-top:11.85pt;width:87.5pt;height:20.6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">
                <v:textbox style="mso-fit-shape-to-text:t">
                  <w:txbxContent>
                    <w:p w:rsidR="00FC1B5B" w:rsidRPr="00FC1B5B" w:rsidRDefault="00FC1B5B" w:rsidP="00FC1B5B">
                      <w:pPr>
                        <w:jc w:val="center"/>
                      </w:pPr>
                      <w:r w:rsidRPr="00FC1B5B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Appendix 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7258050</wp:posOffset>
            </wp:positionH>
            <wp:positionV relativeFrom="paragraph">
              <wp:posOffset>9525</wp:posOffset>
            </wp:positionV>
            <wp:extent cx="2039620" cy="372110"/>
            <wp:effectExtent l="0" t="0" r="0" b="8890"/>
            <wp:wrapTight wrapText="bothSides">
              <wp:wrapPolygon edited="0">
                <wp:start x="0" y="0"/>
                <wp:lineTo x="0" y="21010"/>
                <wp:lineTo x="21385" y="21010"/>
                <wp:lineTo x="2138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620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1B5B" w:rsidRPr="006E3EE3" w:rsidRDefault="00FC1B5B" w:rsidP="00FC1B5B">
      <w:pPr>
        <w:rPr>
          <w:rFonts w:ascii="Arial" w:hAnsi="Arial" w:cs="Arial"/>
          <w:sz w:val="22"/>
          <w:szCs w:val="22"/>
        </w:rPr>
      </w:pPr>
    </w:p>
    <w:p w:rsidR="00FC1B5B" w:rsidRPr="006E3EE3" w:rsidRDefault="00FC1B5B" w:rsidP="00FC1B5B">
      <w:pPr>
        <w:rPr>
          <w:rFonts w:ascii="Arial" w:hAnsi="Arial" w:cs="Arial"/>
          <w:sz w:val="22"/>
          <w:szCs w:val="22"/>
        </w:rPr>
      </w:pPr>
    </w:p>
    <w:p w:rsidR="00FC1B5B" w:rsidRPr="006E3EE3" w:rsidRDefault="00FC1B5B" w:rsidP="00FC1B5B">
      <w:pPr>
        <w:jc w:val="center"/>
        <w:rPr>
          <w:rFonts w:ascii="Arial" w:hAnsi="Arial" w:cs="Arial"/>
          <w:b/>
          <w:sz w:val="22"/>
          <w:szCs w:val="22"/>
        </w:rPr>
      </w:pPr>
    </w:p>
    <w:p w:rsidR="00FC1B5B" w:rsidRPr="006E3EE3" w:rsidRDefault="00FC1B5B" w:rsidP="00FC1B5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Feed Pump Risk Assessment T</w:t>
      </w:r>
      <w:r w:rsidRPr="006E3EE3">
        <w:rPr>
          <w:rFonts w:ascii="Arial" w:hAnsi="Arial" w:cs="Arial"/>
          <w:b/>
          <w:sz w:val="22"/>
          <w:szCs w:val="22"/>
        </w:rPr>
        <w:t>ool</w:t>
      </w:r>
    </w:p>
    <w:p w:rsidR="00FC1B5B" w:rsidRPr="006E3EE3" w:rsidRDefault="00FC1B5B" w:rsidP="00FC1B5B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59"/>
        <w:gridCol w:w="1815"/>
        <w:gridCol w:w="1633"/>
        <w:gridCol w:w="1996"/>
        <w:gridCol w:w="5262"/>
      </w:tblGrid>
      <w:tr w:rsidR="00FC1B5B" w:rsidRPr="006E3EE3" w:rsidTr="009C252A">
        <w:trPr>
          <w:trHeight w:val="515"/>
        </w:trPr>
        <w:tc>
          <w:tcPr>
            <w:tcW w:w="4174" w:type="dxa"/>
            <w:gridSpan w:val="2"/>
            <w:shd w:val="clear" w:color="auto" w:fill="C0C0C0"/>
          </w:tcPr>
          <w:p w:rsidR="00FC1B5B" w:rsidRPr="006E3EE3" w:rsidRDefault="00FC1B5B" w:rsidP="009C252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E3EE3">
              <w:rPr>
                <w:rFonts w:ascii="Arial" w:hAnsi="Arial" w:cs="Arial"/>
                <w:b/>
                <w:sz w:val="22"/>
                <w:szCs w:val="22"/>
              </w:rPr>
              <w:t>Risk type</w:t>
            </w:r>
          </w:p>
        </w:tc>
        <w:tc>
          <w:tcPr>
            <w:tcW w:w="1633" w:type="dxa"/>
            <w:shd w:val="clear" w:color="auto" w:fill="C0C0C0"/>
          </w:tcPr>
          <w:p w:rsidR="00FC1B5B" w:rsidRPr="006E3EE3" w:rsidRDefault="00FC1B5B" w:rsidP="009C252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E3EE3">
              <w:rPr>
                <w:rFonts w:ascii="Arial" w:hAnsi="Arial" w:cs="Arial"/>
                <w:b/>
                <w:sz w:val="22"/>
                <w:szCs w:val="22"/>
              </w:rPr>
              <w:t>Tick as appropriate</w:t>
            </w:r>
          </w:p>
        </w:tc>
        <w:tc>
          <w:tcPr>
            <w:tcW w:w="7258" w:type="dxa"/>
            <w:gridSpan w:val="2"/>
            <w:shd w:val="clear" w:color="auto" w:fill="C0C0C0"/>
          </w:tcPr>
          <w:p w:rsidR="00FC1B5B" w:rsidRPr="006E3EE3" w:rsidRDefault="00FC1B5B" w:rsidP="009C252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E3EE3">
              <w:rPr>
                <w:rFonts w:ascii="Arial" w:hAnsi="Arial" w:cs="Arial"/>
                <w:b/>
                <w:sz w:val="22"/>
                <w:szCs w:val="22"/>
              </w:rPr>
              <w:t>Description of service delivery:</w:t>
            </w:r>
          </w:p>
          <w:p w:rsidR="00FC1B5B" w:rsidRPr="006E3EE3" w:rsidRDefault="00FC1B5B" w:rsidP="009C252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C1B5B" w:rsidRPr="006E3EE3" w:rsidTr="009C252A">
        <w:trPr>
          <w:trHeight w:val="265"/>
        </w:trPr>
        <w:tc>
          <w:tcPr>
            <w:tcW w:w="4174" w:type="dxa"/>
            <w:gridSpan w:val="2"/>
            <w:shd w:val="clear" w:color="auto" w:fill="auto"/>
          </w:tcPr>
          <w:p w:rsidR="00FC1B5B" w:rsidRPr="006E3EE3" w:rsidRDefault="00FC1B5B" w:rsidP="009C252A">
            <w:p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Premises</w:t>
            </w:r>
          </w:p>
        </w:tc>
        <w:tc>
          <w:tcPr>
            <w:tcW w:w="1633" w:type="dxa"/>
            <w:shd w:val="clear" w:color="auto" w:fill="auto"/>
          </w:tcPr>
          <w:p w:rsidR="00FC1B5B" w:rsidRPr="006E3EE3" w:rsidRDefault="00FC1B5B" w:rsidP="009C25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8" w:type="dxa"/>
            <w:gridSpan w:val="2"/>
            <w:vMerge w:val="restart"/>
            <w:shd w:val="clear" w:color="auto" w:fill="auto"/>
          </w:tcPr>
          <w:p w:rsidR="00FC1B5B" w:rsidRPr="006E3EE3" w:rsidRDefault="00FC1B5B" w:rsidP="009C25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E3EE3">
              <w:rPr>
                <w:rFonts w:ascii="Arial" w:hAnsi="Arial" w:cs="Arial"/>
                <w:b/>
                <w:sz w:val="22"/>
                <w:szCs w:val="22"/>
              </w:rPr>
              <w:t xml:space="preserve">Programming of Fresenius </w:t>
            </w:r>
            <w:proofErr w:type="spellStart"/>
            <w:r w:rsidRPr="006E3EE3">
              <w:rPr>
                <w:rFonts w:ascii="Arial" w:hAnsi="Arial" w:cs="Arial"/>
                <w:b/>
                <w:sz w:val="22"/>
                <w:szCs w:val="22"/>
              </w:rPr>
              <w:t>Kabi</w:t>
            </w:r>
            <w:proofErr w:type="spellEnd"/>
            <w:r w:rsidRPr="006E3EE3">
              <w:rPr>
                <w:rFonts w:ascii="Arial" w:hAnsi="Arial" w:cs="Arial"/>
                <w:b/>
                <w:sz w:val="22"/>
                <w:szCs w:val="22"/>
              </w:rPr>
              <w:t xml:space="preserve"> feeding pumps to deliver a specific volume of feed.</w:t>
            </w:r>
          </w:p>
        </w:tc>
      </w:tr>
      <w:tr w:rsidR="00FC1B5B" w:rsidRPr="006E3EE3" w:rsidTr="009C252A">
        <w:trPr>
          <w:trHeight w:val="515"/>
        </w:trPr>
        <w:tc>
          <w:tcPr>
            <w:tcW w:w="4174" w:type="dxa"/>
            <w:gridSpan w:val="2"/>
            <w:shd w:val="clear" w:color="auto" w:fill="auto"/>
          </w:tcPr>
          <w:p w:rsidR="00FC1B5B" w:rsidRPr="006E3EE3" w:rsidRDefault="00FC1B5B" w:rsidP="009C252A">
            <w:p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Hazardous substance (chemical or biological </w:t>
            </w:r>
          </w:p>
        </w:tc>
        <w:tc>
          <w:tcPr>
            <w:tcW w:w="1633" w:type="dxa"/>
            <w:shd w:val="clear" w:color="auto" w:fill="auto"/>
          </w:tcPr>
          <w:p w:rsidR="00FC1B5B" w:rsidRPr="006E3EE3" w:rsidRDefault="00FC1B5B" w:rsidP="009C25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8" w:type="dxa"/>
            <w:gridSpan w:val="2"/>
            <w:vMerge/>
            <w:shd w:val="clear" w:color="auto" w:fill="auto"/>
          </w:tcPr>
          <w:p w:rsidR="00FC1B5B" w:rsidRPr="006E3EE3" w:rsidRDefault="00FC1B5B" w:rsidP="009C25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C1B5B" w:rsidRPr="006E3EE3" w:rsidTr="009C252A">
        <w:trPr>
          <w:trHeight w:val="265"/>
        </w:trPr>
        <w:tc>
          <w:tcPr>
            <w:tcW w:w="4174" w:type="dxa"/>
            <w:gridSpan w:val="2"/>
            <w:shd w:val="clear" w:color="auto" w:fill="auto"/>
          </w:tcPr>
          <w:p w:rsidR="00FC1B5B" w:rsidRPr="006E3EE3" w:rsidRDefault="00FC1B5B" w:rsidP="009C252A">
            <w:p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Process/activity</w:t>
            </w:r>
          </w:p>
        </w:tc>
        <w:tc>
          <w:tcPr>
            <w:tcW w:w="1633" w:type="dxa"/>
            <w:shd w:val="clear" w:color="auto" w:fill="auto"/>
          </w:tcPr>
          <w:p w:rsidR="00FC1B5B" w:rsidRPr="006E3EE3" w:rsidRDefault="00FC1B5B" w:rsidP="009C25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8" w:type="dxa"/>
            <w:gridSpan w:val="2"/>
            <w:vMerge/>
            <w:shd w:val="clear" w:color="auto" w:fill="auto"/>
          </w:tcPr>
          <w:p w:rsidR="00FC1B5B" w:rsidRPr="006E3EE3" w:rsidRDefault="00FC1B5B" w:rsidP="009C25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C1B5B" w:rsidRPr="006E3EE3" w:rsidTr="009C252A">
        <w:trPr>
          <w:trHeight w:val="250"/>
        </w:trPr>
        <w:tc>
          <w:tcPr>
            <w:tcW w:w="4174" w:type="dxa"/>
            <w:gridSpan w:val="2"/>
            <w:shd w:val="clear" w:color="auto" w:fill="auto"/>
          </w:tcPr>
          <w:p w:rsidR="00FC1B5B" w:rsidRPr="006E3EE3" w:rsidRDefault="00FC1B5B" w:rsidP="009C252A">
            <w:p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Fire</w:t>
            </w:r>
          </w:p>
        </w:tc>
        <w:tc>
          <w:tcPr>
            <w:tcW w:w="1633" w:type="dxa"/>
            <w:shd w:val="clear" w:color="auto" w:fill="auto"/>
          </w:tcPr>
          <w:p w:rsidR="00FC1B5B" w:rsidRPr="006E3EE3" w:rsidRDefault="00FC1B5B" w:rsidP="009C25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8" w:type="dxa"/>
            <w:gridSpan w:val="2"/>
            <w:vMerge/>
            <w:shd w:val="clear" w:color="auto" w:fill="auto"/>
          </w:tcPr>
          <w:p w:rsidR="00FC1B5B" w:rsidRPr="006E3EE3" w:rsidRDefault="00FC1B5B" w:rsidP="009C25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C1B5B" w:rsidRPr="006E3EE3" w:rsidTr="009C252A">
        <w:trPr>
          <w:trHeight w:val="265"/>
        </w:trPr>
        <w:tc>
          <w:tcPr>
            <w:tcW w:w="4174" w:type="dxa"/>
            <w:gridSpan w:val="2"/>
            <w:shd w:val="clear" w:color="auto" w:fill="auto"/>
          </w:tcPr>
          <w:p w:rsidR="00FC1B5B" w:rsidRPr="006E3EE3" w:rsidRDefault="00FC1B5B" w:rsidP="009C252A">
            <w:p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Equipment</w:t>
            </w:r>
          </w:p>
        </w:tc>
        <w:tc>
          <w:tcPr>
            <w:tcW w:w="1633" w:type="dxa"/>
            <w:shd w:val="clear" w:color="auto" w:fill="auto"/>
          </w:tcPr>
          <w:p w:rsidR="00FC1B5B" w:rsidRPr="00D830BA" w:rsidRDefault="00FC1B5B" w:rsidP="00D830B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7258" w:type="dxa"/>
            <w:gridSpan w:val="2"/>
            <w:vMerge/>
            <w:shd w:val="clear" w:color="auto" w:fill="auto"/>
          </w:tcPr>
          <w:p w:rsidR="00FC1B5B" w:rsidRPr="006E3EE3" w:rsidRDefault="00FC1B5B" w:rsidP="009C25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C1B5B" w:rsidRPr="006E3EE3" w:rsidTr="009C252A">
        <w:trPr>
          <w:trHeight w:val="250"/>
        </w:trPr>
        <w:tc>
          <w:tcPr>
            <w:tcW w:w="4174" w:type="dxa"/>
            <w:gridSpan w:val="2"/>
            <w:shd w:val="clear" w:color="auto" w:fill="auto"/>
          </w:tcPr>
          <w:p w:rsidR="00FC1B5B" w:rsidRPr="006E3EE3" w:rsidRDefault="00FC1B5B" w:rsidP="009C252A">
            <w:p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Service delivery</w:t>
            </w:r>
          </w:p>
        </w:tc>
        <w:tc>
          <w:tcPr>
            <w:tcW w:w="1633" w:type="dxa"/>
            <w:shd w:val="clear" w:color="auto" w:fill="auto"/>
          </w:tcPr>
          <w:p w:rsidR="00FC1B5B" w:rsidRPr="006E3EE3" w:rsidRDefault="00FC1B5B" w:rsidP="009C25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8" w:type="dxa"/>
            <w:gridSpan w:val="2"/>
            <w:vMerge/>
            <w:shd w:val="clear" w:color="auto" w:fill="auto"/>
          </w:tcPr>
          <w:p w:rsidR="00FC1B5B" w:rsidRPr="006E3EE3" w:rsidRDefault="00FC1B5B" w:rsidP="009C25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C1B5B" w:rsidRPr="006E3EE3" w:rsidTr="009C252A">
        <w:trPr>
          <w:trHeight w:val="530"/>
        </w:trPr>
        <w:tc>
          <w:tcPr>
            <w:tcW w:w="4174" w:type="dxa"/>
            <w:gridSpan w:val="2"/>
            <w:shd w:val="clear" w:color="auto" w:fill="auto"/>
          </w:tcPr>
          <w:p w:rsidR="00FC1B5B" w:rsidRPr="006E3EE3" w:rsidRDefault="00FC1B5B" w:rsidP="009C252A">
            <w:p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Other (please specify)</w:t>
            </w:r>
          </w:p>
          <w:p w:rsidR="00FC1B5B" w:rsidRPr="006E3EE3" w:rsidRDefault="00FC1B5B" w:rsidP="009C25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3" w:type="dxa"/>
            <w:shd w:val="clear" w:color="auto" w:fill="auto"/>
          </w:tcPr>
          <w:p w:rsidR="00FC1B5B" w:rsidRPr="006E3EE3" w:rsidRDefault="00FC1B5B" w:rsidP="009C25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58" w:type="dxa"/>
            <w:gridSpan w:val="2"/>
            <w:vMerge/>
            <w:shd w:val="clear" w:color="auto" w:fill="auto"/>
          </w:tcPr>
          <w:p w:rsidR="00FC1B5B" w:rsidRPr="006E3EE3" w:rsidRDefault="00FC1B5B" w:rsidP="009C25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C1B5B" w:rsidRPr="006E3EE3" w:rsidTr="009C252A">
        <w:trPr>
          <w:trHeight w:val="702"/>
        </w:trPr>
        <w:tc>
          <w:tcPr>
            <w:tcW w:w="2359" w:type="dxa"/>
            <w:shd w:val="clear" w:color="auto" w:fill="C0C0C0"/>
          </w:tcPr>
          <w:p w:rsidR="00FC1B5B" w:rsidRPr="006E3EE3" w:rsidRDefault="00FC1B5B" w:rsidP="009C25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E3EE3">
              <w:rPr>
                <w:rFonts w:ascii="Arial" w:hAnsi="Arial" w:cs="Arial"/>
                <w:b/>
                <w:sz w:val="22"/>
                <w:szCs w:val="22"/>
              </w:rPr>
              <w:t>Directorate &amp; Service:</w:t>
            </w:r>
          </w:p>
        </w:tc>
        <w:tc>
          <w:tcPr>
            <w:tcW w:w="3448" w:type="dxa"/>
            <w:gridSpan w:val="2"/>
            <w:shd w:val="clear" w:color="auto" w:fill="auto"/>
          </w:tcPr>
          <w:p w:rsidR="00FC1B5B" w:rsidRPr="006E3EE3" w:rsidRDefault="00FC1B5B" w:rsidP="009C25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Specialist Children’s and Young People’s Services</w:t>
            </w:r>
            <w:r>
              <w:rPr>
                <w:rFonts w:ascii="Arial" w:hAnsi="Arial" w:cs="Arial"/>
                <w:sz w:val="22"/>
                <w:szCs w:val="22"/>
              </w:rPr>
              <w:t xml:space="preserve"> (SCYPS) Community Children’s Nursing Service</w:t>
            </w:r>
          </w:p>
        </w:tc>
        <w:tc>
          <w:tcPr>
            <w:tcW w:w="1996" w:type="dxa"/>
            <w:shd w:val="clear" w:color="auto" w:fill="C0C0C0"/>
          </w:tcPr>
          <w:p w:rsidR="00FC1B5B" w:rsidRPr="006E3EE3" w:rsidRDefault="00FC1B5B" w:rsidP="009C25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E3EE3">
              <w:rPr>
                <w:rFonts w:ascii="Arial" w:hAnsi="Arial" w:cs="Arial"/>
                <w:b/>
                <w:sz w:val="22"/>
                <w:szCs w:val="22"/>
              </w:rPr>
              <w:t>Location</w:t>
            </w:r>
          </w:p>
        </w:tc>
        <w:tc>
          <w:tcPr>
            <w:tcW w:w="5262" w:type="dxa"/>
            <w:shd w:val="clear" w:color="auto" w:fill="auto"/>
          </w:tcPr>
          <w:p w:rsidR="00FC1B5B" w:rsidRPr="006E3EE3" w:rsidRDefault="00FC1B5B" w:rsidP="009C252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Appleby Health Centre, Joyce Campbell Clinic Newham)</w:t>
            </w:r>
          </w:p>
        </w:tc>
      </w:tr>
      <w:tr w:rsidR="00FC1B5B" w:rsidRPr="006E3EE3" w:rsidTr="009C252A">
        <w:trPr>
          <w:trHeight w:val="967"/>
        </w:trPr>
        <w:tc>
          <w:tcPr>
            <w:tcW w:w="2359" w:type="dxa"/>
            <w:shd w:val="clear" w:color="auto" w:fill="C0C0C0"/>
          </w:tcPr>
          <w:p w:rsidR="00FC1B5B" w:rsidRPr="006E3EE3" w:rsidRDefault="00FC1B5B" w:rsidP="009C25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E3EE3">
              <w:rPr>
                <w:rFonts w:ascii="Arial" w:hAnsi="Arial" w:cs="Arial"/>
                <w:b/>
                <w:sz w:val="22"/>
                <w:szCs w:val="22"/>
              </w:rPr>
              <w:t>Assessor:</w:t>
            </w:r>
          </w:p>
        </w:tc>
        <w:tc>
          <w:tcPr>
            <w:tcW w:w="3448" w:type="dxa"/>
            <w:gridSpan w:val="2"/>
            <w:shd w:val="clear" w:color="auto" w:fill="auto"/>
          </w:tcPr>
          <w:p w:rsidR="00FC1B5B" w:rsidRPr="006E3EE3" w:rsidRDefault="00FC1B5B" w:rsidP="009C252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Bianca Gardiner (Practice Development Facilitator)</w:t>
            </w:r>
          </w:p>
        </w:tc>
        <w:tc>
          <w:tcPr>
            <w:tcW w:w="1996" w:type="dxa"/>
            <w:shd w:val="clear" w:color="auto" w:fill="C0C0C0"/>
          </w:tcPr>
          <w:p w:rsidR="00FC1B5B" w:rsidRPr="006E3EE3" w:rsidRDefault="00FC1B5B" w:rsidP="009C25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E3EE3">
              <w:rPr>
                <w:rFonts w:ascii="Arial" w:hAnsi="Arial" w:cs="Arial"/>
                <w:b/>
                <w:sz w:val="22"/>
                <w:szCs w:val="22"/>
              </w:rPr>
              <w:t>Assessment date:</w:t>
            </w:r>
          </w:p>
        </w:tc>
        <w:tc>
          <w:tcPr>
            <w:tcW w:w="5262" w:type="dxa"/>
            <w:shd w:val="clear" w:color="auto" w:fill="auto"/>
          </w:tcPr>
          <w:p w:rsidR="00FC1B5B" w:rsidRPr="006E3EE3" w:rsidRDefault="00FC1B5B" w:rsidP="009C252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May 2022</w:t>
            </w:r>
          </w:p>
        </w:tc>
      </w:tr>
    </w:tbl>
    <w:p w:rsidR="00FC1B5B" w:rsidRPr="006E3EE3" w:rsidRDefault="00FC1B5B" w:rsidP="00FC1B5B">
      <w:pPr>
        <w:rPr>
          <w:rFonts w:ascii="Arial" w:hAnsi="Arial" w:cs="Arial"/>
          <w:sz w:val="22"/>
          <w:szCs w:val="22"/>
        </w:rPr>
      </w:pPr>
    </w:p>
    <w:p w:rsidR="00FC1B5B" w:rsidRDefault="00FC1B5B" w:rsidP="00FC1B5B">
      <w:pPr>
        <w:rPr>
          <w:rFonts w:ascii="Arial" w:hAnsi="Arial" w:cs="Arial"/>
          <w:sz w:val="22"/>
          <w:szCs w:val="22"/>
        </w:rPr>
      </w:pPr>
    </w:p>
    <w:p w:rsidR="00FC1B5B" w:rsidRPr="006E3EE3" w:rsidRDefault="00FC1B5B" w:rsidP="00FC1B5B">
      <w:pPr>
        <w:rPr>
          <w:rFonts w:ascii="Arial" w:hAnsi="Arial" w:cs="Arial"/>
          <w:sz w:val="22"/>
          <w:szCs w:val="22"/>
        </w:rPr>
      </w:pPr>
    </w:p>
    <w:p w:rsidR="00FC1B5B" w:rsidRPr="006E3EE3" w:rsidRDefault="00FC1B5B" w:rsidP="00FC1B5B">
      <w:pPr>
        <w:rPr>
          <w:rFonts w:ascii="Arial" w:hAnsi="Arial" w:cs="Arial"/>
          <w:sz w:val="22"/>
          <w:szCs w:val="22"/>
        </w:rPr>
      </w:pPr>
    </w:p>
    <w:p w:rsidR="00FC1B5B" w:rsidRPr="006E3EE3" w:rsidRDefault="00FC1B5B" w:rsidP="00FC1B5B">
      <w:pPr>
        <w:rPr>
          <w:rFonts w:ascii="Arial" w:hAnsi="Arial" w:cs="Arial"/>
          <w:sz w:val="22"/>
          <w:szCs w:val="22"/>
        </w:rPr>
      </w:pPr>
    </w:p>
    <w:p w:rsidR="00FC1B5B" w:rsidRPr="006E3EE3" w:rsidRDefault="00FC1B5B" w:rsidP="00FC1B5B">
      <w:pPr>
        <w:rPr>
          <w:rFonts w:ascii="Arial" w:hAnsi="Arial" w:cs="Arial"/>
          <w:sz w:val="22"/>
          <w:szCs w:val="22"/>
        </w:rPr>
      </w:pPr>
    </w:p>
    <w:p w:rsidR="00FC1B5B" w:rsidRPr="006E3EE3" w:rsidRDefault="00FC1B5B" w:rsidP="00FC1B5B">
      <w:pPr>
        <w:rPr>
          <w:rFonts w:ascii="Arial" w:hAnsi="Arial" w:cs="Arial"/>
          <w:sz w:val="22"/>
          <w:szCs w:val="22"/>
        </w:rPr>
      </w:pPr>
    </w:p>
    <w:p w:rsidR="00FC1B5B" w:rsidRPr="006E3EE3" w:rsidRDefault="00FC1B5B" w:rsidP="00FC1B5B">
      <w:pPr>
        <w:rPr>
          <w:rFonts w:ascii="Arial" w:hAnsi="Arial" w:cs="Arial"/>
          <w:sz w:val="22"/>
          <w:szCs w:val="22"/>
        </w:rPr>
      </w:pPr>
    </w:p>
    <w:p w:rsidR="00FC1B5B" w:rsidRPr="006E3EE3" w:rsidRDefault="00FC1B5B" w:rsidP="00FC1B5B">
      <w:pPr>
        <w:rPr>
          <w:rFonts w:ascii="Arial" w:hAnsi="Arial" w:cs="Arial"/>
          <w:sz w:val="22"/>
          <w:szCs w:val="22"/>
        </w:rPr>
      </w:pPr>
    </w:p>
    <w:tbl>
      <w:tblPr>
        <w:tblW w:w="49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8"/>
        <w:gridCol w:w="2548"/>
        <w:gridCol w:w="3736"/>
        <w:gridCol w:w="2716"/>
        <w:gridCol w:w="1358"/>
      </w:tblGrid>
      <w:tr w:rsidR="00FC1B5B" w:rsidRPr="006E3EE3" w:rsidTr="009C252A">
        <w:tc>
          <w:tcPr>
            <w:tcW w:w="1262" w:type="pct"/>
            <w:shd w:val="clear" w:color="auto" w:fill="C0C0C0"/>
          </w:tcPr>
          <w:p w:rsidR="00FC1B5B" w:rsidRPr="006E3EE3" w:rsidRDefault="00FC1B5B" w:rsidP="009C252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E3EE3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Hazards/risks </w:t>
            </w:r>
          </w:p>
        </w:tc>
        <w:tc>
          <w:tcPr>
            <w:tcW w:w="919" w:type="pct"/>
            <w:shd w:val="clear" w:color="auto" w:fill="C0C0C0"/>
          </w:tcPr>
          <w:p w:rsidR="00FC1B5B" w:rsidRPr="006E3EE3" w:rsidRDefault="00FC1B5B" w:rsidP="009C25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b/>
                <w:sz w:val="22"/>
                <w:szCs w:val="22"/>
              </w:rPr>
              <w:t>Current control measures</w:t>
            </w:r>
          </w:p>
          <w:p w:rsidR="00FC1B5B" w:rsidRPr="006E3EE3" w:rsidRDefault="00FC1B5B" w:rsidP="009C252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48" w:type="pct"/>
            <w:shd w:val="clear" w:color="auto" w:fill="C0C0C0"/>
          </w:tcPr>
          <w:p w:rsidR="00FC1B5B" w:rsidRPr="006E3EE3" w:rsidRDefault="00FC1B5B" w:rsidP="009C25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E3EE3">
              <w:rPr>
                <w:rFonts w:ascii="Arial" w:hAnsi="Arial" w:cs="Arial"/>
                <w:b/>
                <w:sz w:val="22"/>
                <w:szCs w:val="22"/>
              </w:rPr>
              <w:t>Additional controls (if column 3 inadequate)</w:t>
            </w:r>
          </w:p>
        </w:tc>
        <w:tc>
          <w:tcPr>
            <w:tcW w:w="980" w:type="pct"/>
            <w:shd w:val="clear" w:color="auto" w:fill="C0C0C0"/>
          </w:tcPr>
          <w:p w:rsidR="00FC1B5B" w:rsidRPr="006E3EE3" w:rsidRDefault="00FC1B5B" w:rsidP="009C25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E3EE3">
              <w:rPr>
                <w:rFonts w:ascii="Arial" w:hAnsi="Arial" w:cs="Arial"/>
                <w:b/>
                <w:sz w:val="22"/>
                <w:szCs w:val="22"/>
              </w:rPr>
              <w:t>Risk Rating:</w:t>
            </w:r>
          </w:p>
          <w:p w:rsidR="00FC1B5B" w:rsidRPr="006E3EE3" w:rsidRDefault="00FC1B5B" w:rsidP="009C25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E3EE3">
              <w:rPr>
                <w:rFonts w:ascii="Arial" w:hAnsi="Arial" w:cs="Arial"/>
                <w:b/>
                <w:sz w:val="22"/>
                <w:szCs w:val="22"/>
              </w:rPr>
              <w:t>(remaining risk when all controls are implemented – i.e. columns 3 &amp; 4) – Refer to Trust Management Strategy re risk rating)</w:t>
            </w:r>
          </w:p>
        </w:tc>
        <w:tc>
          <w:tcPr>
            <w:tcW w:w="490" w:type="pct"/>
            <w:shd w:val="clear" w:color="auto" w:fill="C0C0C0"/>
          </w:tcPr>
          <w:p w:rsidR="00FC1B5B" w:rsidRPr="006E3EE3" w:rsidRDefault="00FC1B5B" w:rsidP="009C25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E3EE3">
              <w:rPr>
                <w:rFonts w:ascii="Arial" w:hAnsi="Arial" w:cs="Arial"/>
                <w:b/>
                <w:sz w:val="22"/>
                <w:szCs w:val="22"/>
              </w:rPr>
              <w:t>Risk priority</w:t>
            </w:r>
          </w:p>
          <w:p w:rsidR="00FC1B5B" w:rsidRPr="006E3EE3" w:rsidRDefault="00FC1B5B" w:rsidP="009C25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E3EE3">
              <w:rPr>
                <w:rFonts w:ascii="Arial" w:hAnsi="Arial" w:cs="Arial"/>
                <w:b/>
                <w:sz w:val="22"/>
                <w:szCs w:val="22"/>
              </w:rPr>
              <w:t xml:space="preserve"> (Low, Medium or High)</w:t>
            </w:r>
          </w:p>
        </w:tc>
      </w:tr>
      <w:tr w:rsidR="00FC1B5B" w:rsidRPr="006E3EE3" w:rsidTr="009C252A">
        <w:tc>
          <w:tcPr>
            <w:tcW w:w="1262" w:type="pct"/>
            <w:shd w:val="clear" w:color="auto" w:fill="auto"/>
          </w:tcPr>
          <w:p w:rsidR="00FC1B5B" w:rsidRPr="006E3EE3" w:rsidRDefault="00FC1B5B" w:rsidP="009C252A">
            <w:p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Power failure to the feeding pump during administration of feed will not deduct the volume of feed already infused at point of power failure and will re-infuse the original volume.</w:t>
            </w:r>
          </w:p>
          <w:p w:rsidR="00FC1B5B" w:rsidRPr="006E3EE3" w:rsidRDefault="00FC1B5B" w:rsidP="009C252A">
            <w:pPr>
              <w:rPr>
                <w:rFonts w:ascii="Arial" w:hAnsi="Arial" w:cs="Arial"/>
                <w:sz w:val="22"/>
                <w:szCs w:val="22"/>
              </w:rPr>
            </w:pPr>
          </w:p>
          <w:p w:rsidR="00FC1B5B" w:rsidRPr="006E3EE3" w:rsidRDefault="00FC1B5B" w:rsidP="009C252A">
            <w:p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Risks:</w:t>
            </w:r>
          </w:p>
          <w:p w:rsidR="00FC1B5B" w:rsidRPr="006E3EE3" w:rsidRDefault="00FC1B5B" w:rsidP="009C252A">
            <w:p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Over feeding of patient</w:t>
            </w:r>
          </w:p>
          <w:p w:rsidR="00FC1B5B" w:rsidRPr="006E3EE3" w:rsidRDefault="00FC1B5B" w:rsidP="009C252A">
            <w:p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Vomiting</w:t>
            </w:r>
          </w:p>
          <w:p w:rsidR="00FC1B5B" w:rsidRPr="006E3EE3" w:rsidRDefault="00FC1B5B" w:rsidP="009C252A">
            <w:p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Hyperglycaemia</w:t>
            </w:r>
          </w:p>
          <w:p w:rsidR="00FC1B5B" w:rsidRPr="006E3EE3" w:rsidRDefault="00FC1B5B" w:rsidP="009C252A">
            <w:p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Aspiration</w:t>
            </w:r>
          </w:p>
          <w:p w:rsidR="00FC1B5B" w:rsidRPr="006E3EE3" w:rsidRDefault="00FC1B5B" w:rsidP="009C252A">
            <w:p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Fluid overloading (cardiac, respiratory and renal implications)</w:t>
            </w:r>
          </w:p>
          <w:p w:rsidR="00FC1B5B" w:rsidRPr="006E3EE3" w:rsidRDefault="00FC1B5B" w:rsidP="009C25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9" w:type="pct"/>
            <w:shd w:val="clear" w:color="auto" w:fill="auto"/>
          </w:tcPr>
          <w:p w:rsidR="00FC1B5B" w:rsidRPr="006E3EE3" w:rsidRDefault="00FC1B5B" w:rsidP="009C252A">
            <w:p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The fault is acknowledged in the enteral feeding policy.</w:t>
            </w:r>
          </w:p>
          <w:p w:rsidR="00FC1B5B" w:rsidRPr="006E3EE3" w:rsidRDefault="00FC1B5B" w:rsidP="009C252A">
            <w:pPr>
              <w:rPr>
                <w:rFonts w:ascii="Arial" w:hAnsi="Arial" w:cs="Arial"/>
                <w:sz w:val="22"/>
                <w:szCs w:val="22"/>
              </w:rPr>
            </w:pPr>
          </w:p>
          <w:p w:rsidR="00FC1B5B" w:rsidRPr="006E3EE3" w:rsidRDefault="00FC1B5B" w:rsidP="009C25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8" w:type="pct"/>
            <w:shd w:val="clear" w:color="auto" w:fill="auto"/>
          </w:tcPr>
          <w:p w:rsidR="00FC1B5B" w:rsidRPr="006E3EE3" w:rsidRDefault="00FC1B5B" w:rsidP="009C252A">
            <w:p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The fault is to be taught to all those trained to administer enteral feeds with associated risks identified.</w:t>
            </w:r>
          </w:p>
          <w:p w:rsidR="00FC1B5B" w:rsidRPr="006E3EE3" w:rsidRDefault="00FC1B5B" w:rsidP="009C252A">
            <w:pPr>
              <w:rPr>
                <w:rFonts w:ascii="Arial" w:hAnsi="Arial" w:cs="Arial"/>
                <w:sz w:val="22"/>
                <w:szCs w:val="22"/>
              </w:rPr>
            </w:pPr>
          </w:p>
          <w:p w:rsidR="00FC1B5B" w:rsidRPr="006E3EE3" w:rsidRDefault="00FC1B5B" w:rsidP="009C252A">
            <w:p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Carers will only be deemed competent if there is evidence that this fault and associated risks have been taught in competency documentation.</w:t>
            </w:r>
          </w:p>
          <w:p w:rsidR="00FC1B5B" w:rsidRPr="006E3EE3" w:rsidRDefault="00FC1B5B" w:rsidP="009C252A">
            <w:pPr>
              <w:rPr>
                <w:rFonts w:ascii="Arial" w:hAnsi="Arial" w:cs="Arial"/>
                <w:sz w:val="22"/>
                <w:szCs w:val="22"/>
              </w:rPr>
            </w:pPr>
          </w:p>
          <w:p w:rsidR="00FC1B5B" w:rsidRPr="006E3EE3" w:rsidRDefault="00FC1B5B" w:rsidP="009C252A">
            <w:p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 xml:space="preserve">School staff are informed of this fault during enteral feeding training. They are advised to deduct the amount of volume infused and recalculate the total target volume before recommencing feed. </w:t>
            </w:r>
          </w:p>
        </w:tc>
        <w:tc>
          <w:tcPr>
            <w:tcW w:w="980" w:type="pct"/>
            <w:shd w:val="clear" w:color="auto" w:fill="auto"/>
          </w:tcPr>
          <w:p w:rsidR="00FC1B5B" w:rsidRPr="006E3EE3" w:rsidRDefault="00FC1B5B" w:rsidP="009C252A">
            <w:p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90" w:type="pct"/>
            <w:shd w:val="clear" w:color="auto" w:fill="auto"/>
          </w:tcPr>
          <w:p w:rsidR="00FC1B5B" w:rsidRPr="006E3EE3" w:rsidRDefault="00FC1B5B" w:rsidP="009C252A">
            <w:pPr>
              <w:rPr>
                <w:rFonts w:ascii="Arial" w:hAnsi="Arial" w:cs="Arial"/>
                <w:sz w:val="22"/>
                <w:szCs w:val="22"/>
              </w:rPr>
            </w:pPr>
            <w:r w:rsidRPr="006E3EE3">
              <w:rPr>
                <w:rFonts w:ascii="Arial" w:hAnsi="Arial" w:cs="Arial"/>
                <w:sz w:val="22"/>
                <w:szCs w:val="22"/>
              </w:rPr>
              <w:t>High</w:t>
            </w:r>
          </w:p>
        </w:tc>
      </w:tr>
      <w:tr w:rsidR="00FC1B5B" w:rsidRPr="006E3EE3" w:rsidTr="009C252A">
        <w:tc>
          <w:tcPr>
            <w:tcW w:w="1262" w:type="pct"/>
            <w:shd w:val="clear" w:color="auto" w:fill="auto"/>
          </w:tcPr>
          <w:p w:rsidR="00FC1B5B" w:rsidRPr="006E3EE3" w:rsidRDefault="00FC1B5B" w:rsidP="009C252A">
            <w:pPr>
              <w:rPr>
                <w:rFonts w:ascii="Arial" w:hAnsi="Arial" w:cs="Arial"/>
                <w:sz w:val="22"/>
                <w:szCs w:val="22"/>
              </w:rPr>
            </w:pPr>
          </w:p>
          <w:p w:rsidR="00FC1B5B" w:rsidRPr="006E3EE3" w:rsidRDefault="00FC1B5B" w:rsidP="009C252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Switching off the </w:t>
            </w:r>
            <w:r w:rsidR="00C33378">
              <w:rPr>
                <w:rFonts w:ascii="Arial" w:hAnsi="Arial" w:cs="Arial"/>
                <w:sz w:val="22"/>
                <w:szCs w:val="22"/>
              </w:rPr>
              <w:t>pump</w:t>
            </w:r>
            <w:r>
              <w:rPr>
                <w:rFonts w:ascii="Arial" w:hAnsi="Arial" w:cs="Arial"/>
                <w:sz w:val="22"/>
                <w:szCs w:val="22"/>
              </w:rPr>
              <w:t xml:space="preserve"> when a child vomits will not deduct the volume of feed already </w:t>
            </w:r>
            <w:r w:rsidR="00C33378">
              <w:rPr>
                <w:rFonts w:ascii="Arial" w:hAnsi="Arial" w:cs="Arial"/>
                <w:sz w:val="22"/>
                <w:szCs w:val="22"/>
              </w:rPr>
              <w:t xml:space="preserve"> infused and if switched back on to commence the feed; the original volume will be infused</w:t>
            </w:r>
          </w:p>
        </w:tc>
        <w:tc>
          <w:tcPr>
            <w:tcW w:w="919" w:type="pct"/>
            <w:shd w:val="clear" w:color="auto" w:fill="auto"/>
          </w:tcPr>
          <w:p w:rsidR="00FC1B5B" w:rsidRPr="006E3EE3" w:rsidRDefault="00C33378" w:rsidP="00C3337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This fault is acknowledged during training delivery for the feed pump</w:t>
            </w:r>
          </w:p>
        </w:tc>
        <w:tc>
          <w:tcPr>
            <w:tcW w:w="1348" w:type="pct"/>
            <w:shd w:val="clear" w:color="auto" w:fill="auto"/>
          </w:tcPr>
          <w:p w:rsidR="00FC1B5B" w:rsidRPr="006E3EE3" w:rsidRDefault="00C33378" w:rsidP="00C3337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Parents and s</w:t>
            </w:r>
            <w:r w:rsidRPr="006E3EE3">
              <w:rPr>
                <w:rFonts w:ascii="Arial" w:hAnsi="Arial" w:cs="Arial"/>
                <w:sz w:val="22"/>
                <w:szCs w:val="22"/>
              </w:rPr>
              <w:t>chool staff are informed of this fault during enteral feeding training. They are advised to deduct the amount of volume infused and recalculate the total target volume before recommencing feed.</w:t>
            </w:r>
          </w:p>
        </w:tc>
        <w:tc>
          <w:tcPr>
            <w:tcW w:w="980" w:type="pct"/>
            <w:shd w:val="clear" w:color="auto" w:fill="auto"/>
          </w:tcPr>
          <w:p w:rsidR="00FC1B5B" w:rsidRPr="006E3EE3" w:rsidRDefault="00C33378" w:rsidP="009C252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90" w:type="pct"/>
            <w:shd w:val="clear" w:color="auto" w:fill="auto"/>
          </w:tcPr>
          <w:p w:rsidR="00FC1B5B" w:rsidRPr="006E3EE3" w:rsidRDefault="00C33378" w:rsidP="009C252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High</w:t>
            </w:r>
          </w:p>
        </w:tc>
      </w:tr>
    </w:tbl>
    <w:p w:rsidR="00FC1B5B" w:rsidRPr="006E3EE3" w:rsidRDefault="00FC1B5B" w:rsidP="00FC1B5B">
      <w:pPr>
        <w:rPr>
          <w:rFonts w:ascii="Arial" w:hAnsi="Arial" w:cs="Arial"/>
          <w:sz w:val="22"/>
          <w:szCs w:val="22"/>
        </w:rPr>
      </w:pPr>
    </w:p>
    <w:p w:rsidR="00FC1B5B" w:rsidRPr="006E3EE3" w:rsidRDefault="00FC1B5B" w:rsidP="00FC1B5B">
      <w:pPr>
        <w:rPr>
          <w:rFonts w:ascii="Arial" w:hAnsi="Arial" w:cs="Arial"/>
          <w:sz w:val="22"/>
          <w:szCs w:val="22"/>
        </w:rPr>
      </w:pPr>
    </w:p>
    <w:p w:rsidR="00FC1B5B" w:rsidRPr="006E3EE3" w:rsidRDefault="00FC1B5B" w:rsidP="00FC1B5B">
      <w:pPr>
        <w:rPr>
          <w:rFonts w:ascii="Arial" w:hAnsi="Arial" w:cs="Arial"/>
          <w:b/>
          <w:sz w:val="22"/>
          <w:szCs w:val="22"/>
        </w:rPr>
      </w:pPr>
    </w:p>
    <w:p w:rsidR="00FC1B5B" w:rsidRPr="006E3EE3" w:rsidRDefault="00FC1B5B" w:rsidP="00FC1B5B">
      <w:pPr>
        <w:rPr>
          <w:rFonts w:ascii="Arial" w:hAnsi="Arial" w:cs="Arial"/>
          <w:b/>
          <w:sz w:val="22"/>
          <w:szCs w:val="22"/>
        </w:rPr>
      </w:pPr>
    </w:p>
    <w:p w:rsidR="00D86878" w:rsidRPr="00FC1B5B" w:rsidRDefault="00D86878">
      <w:pPr>
        <w:rPr>
          <w:b/>
        </w:rPr>
      </w:pPr>
    </w:p>
    <w:sectPr w:rsidR="00D86878" w:rsidRPr="00FC1B5B" w:rsidSect="00FC1B5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67B6D"/>
    <w:multiLevelType w:val="hybridMultilevel"/>
    <w:tmpl w:val="A560FDD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5D35DD"/>
    <w:multiLevelType w:val="hybridMultilevel"/>
    <w:tmpl w:val="39C6C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B5B"/>
    <w:rsid w:val="00C33378"/>
    <w:rsid w:val="00D830BA"/>
    <w:rsid w:val="00D86878"/>
    <w:rsid w:val="00FC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6CAB0"/>
  <w15:chartTrackingRefBased/>
  <w15:docId w15:val="{DDF95A0F-676C-439E-9E03-BD04A8D92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B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30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London NHS Foundation Trust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Gardiner Bianca</dc:creator>
  <cp:keywords/>
  <dc:description/>
  <cp:lastModifiedBy>Gardiner Bianca</cp:lastModifiedBy>
  <cp:revision>3</cp:revision>
  <dcterms:created xsi:type="dcterms:W3CDTF">2022-04-01T09:59:00Z</dcterms:created>
  <dcterms:modified xsi:type="dcterms:W3CDTF">2022-04-01T10:08:00Z</dcterms:modified>
</cp:coreProperties>
</file>