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19" w:rsidRDefault="003D600C" w:rsidP="000863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-523240</wp:posOffset>
                </wp:positionV>
                <wp:extent cx="1111250" cy="261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00C" w:rsidRPr="003D600C" w:rsidRDefault="005D3B71" w:rsidP="003D600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Appendix 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6.65pt;margin-top:-41.2pt;width:87.5pt;height:20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">
                <v:textbox style="mso-fit-shape-to-text:t">
                  <w:txbxContent>
                    <w:p w:rsidR="003D600C" w:rsidRPr="003D600C" w:rsidRDefault="005D3B71" w:rsidP="003D600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Appendix 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8631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Nasogastric Tube Placement C</w:t>
      </w:r>
      <w:r w:rsidR="00086319" w:rsidRPr="002D2BC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hecklist </w:t>
      </w:r>
    </w:p>
    <w:p w:rsidR="00086319" w:rsidRPr="002D2BC4" w:rsidRDefault="00086319" w:rsidP="000863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86319" w:rsidRDefault="00086319" w:rsidP="005A0F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</w:t>
      </w:r>
      <w:r w:rsidRPr="009D5C71">
        <w:rPr>
          <w:rFonts w:ascii="Arial" w:hAnsi="Arial" w:cs="Arial"/>
          <w:color w:val="000000"/>
          <w:sz w:val="22"/>
          <w:szCs w:val="22"/>
        </w:rPr>
        <w:t xml:space="preserve">checklist should be completed for all patients requiring </w:t>
      </w:r>
      <w:r>
        <w:rPr>
          <w:rFonts w:ascii="Arial" w:hAnsi="Arial" w:cs="Arial"/>
          <w:color w:val="000000"/>
          <w:sz w:val="22"/>
          <w:szCs w:val="22"/>
        </w:rPr>
        <w:t>nasogastric</w:t>
      </w:r>
      <w:r w:rsidRPr="009D5C71">
        <w:rPr>
          <w:rFonts w:ascii="Arial" w:hAnsi="Arial" w:cs="Arial"/>
          <w:color w:val="000000"/>
          <w:sz w:val="22"/>
          <w:szCs w:val="22"/>
        </w:rPr>
        <w:t xml:space="preserve"> tube placement, on insertion and on all subsequent insertions, before administration of </w:t>
      </w:r>
      <w:r>
        <w:rPr>
          <w:rFonts w:ascii="Arial" w:hAnsi="Arial" w:cs="Arial"/>
          <w:color w:val="000000"/>
          <w:sz w:val="22"/>
          <w:szCs w:val="22"/>
        </w:rPr>
        <w:t xml:space="preserve">water, </w:t>
      </w:r>
      <w:r w:rsidRPr="009D5C71">
        <w:rPr>
          <w:rFonts w:ascii="Arial" w:hAnsi="Arial" w:cs="Arial"/>
          <w:color w:val="000000"/>
          <w:sz w:val="22"/>
          <w:szCs w:val="22"/>
        </w:rPr>
        <w:t xml:space="preserve">artificial nutrition or medication via the </w:t>
      </w:r>
      <w:r>
        <w:rPr>
          <w:rFonts w:ascii="Arial" w:hAnsi="Arial" w:cs="Arial"/>
          <w:color w:val="000000"/>
          <w:sz w:val="22"/>
          <w:szCs w:val="22"/>
        </w:rPr>
        <w:t>nasogastric</w:t>
      </w:r>
      <w:r w:rsidRPr="009D5C71">
        <w:rPr>
          <w:rFonts w:ascii="Arial" w:hAnsi="Arial" w:cs="Arial"/>
          <w:color w:val="000000"/>
          <w:sz w:val="22"/>
          <w:szCs w:val="22"/>
        </w:rPr>
        <w:t xml:space="preserve"> tube. </w:t>
      </w:r>
      <w:r>
        <w:rPr>
          <w:rFonts w:ascii="Arial" w:hAnsi="Arial" w:cs="Arial"/>
          <w:color w:val="000000"/>
          <w:sz w:val="22"/>
          <w:szCs w:val="22"/>
        </w:rPr>
        <w:t xml:space="preserve"> Within the Coburn Unit this should be kept at the patient’s bedside notes. </w:t>
      </w:r>
    </w:p>
    <w:p w:rsidR="00086319" w:rsidRDefault="00086319" w:rsidP="000863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57"/>
      </w:tblGrid>
      <w:tr w:rsidR="00086319" w:rsidTr="00086319">
        <w:trPr>
          <w:trHeight w:val="395"/>
        </w:trPr>
        <w:tc>
          <w:tcPr>
            <w:tcW w:w="2518" w:type="dxa"/>
            <w:shd w:val="clear" w:color="auto" w:fill="auto"/>
          </w:tcPr>
          <w:p w:rsidR="00086319" w:rsidRDefault="00086319" w:rsidP="00086319">
            <w:pPr>
              <w:autoSpaceDE w:val="0"/>
              <w:autoSpaceDN w:val="0"/>
              <w:adjustRightInd w:val="0"/>
            </w:pPr>
            <w:r w:rsidRPr="00FC0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Patient Name:</w:t>
            </w:r>
          </w:p>
        </w:tc>
        <w:tc>
          <w:tcPr>
            <w:tcW w:w="6457" w:type="dxa"/>
            <w:shd w:val="clear" w:color="auto" w:fill="auto"/>
          </w:tcPr>
          <w:p w:rsidR="00086319" w:rsidRDefault="00086319" w:rsidP="00086319">
            <w:pPr>
              <w:autoSpaceDE w:val="0"/>
              <w:autoSpaceDN w:val="0"/>
              <w:adjustRightInd w:val="0"/>
            </w:pPr>
          </w:p>
        </w:tc>
      </w:tr>
      <w:tr w:rsidR="00086319" w:rsidTr="00086319">
        <w:trPr>
          <w:trHeight w:val="395"/>
        </w:trPr>
        <w:tc>
          <w:tcPr>
            <w:tcW w:w="2518" w:type="dxa"/>
            <w:shd w:val="clear" w:color="auto" w:fill="auto"/>
          </w:tcPr>
          <w:p w:rsidR="00086319" w:rsidRDefault="00086319" w:rsidP="00086319">
            <w:pPr>
              <w:autoSpaceDE w:val="0"/>
              <w:autoSpaceDN w:val="0"/>
              <w:adjustRightInd w:val="0"/>
            </w:pPr>
            <w:r w:rsidRPr="00FC0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NHS Number:</w:t>
            </w:r>
          </w:p>
        </w:tc>
        <w:tc>
          <w:tcPr>
            <w:tcW w:w="6457" w:type="dxa"/>
            <w:shd w:val="clear" w:color="auto" w:fill="auto"/>
          </w:tcPr>
          <w:p w:rsidR="00086319" w:rsidRDefault="00086319" w:rsidP="00086319">
            <w:pPr>
              <w:autoSpaceDE w:val="0"/>
              <w:autoSpaceDN w:val="0"/>
              <w:adjustRightInd w:val="0"/>
            </w:pPr>
          </w:p>
        </w:tc>
      </w:tr>
      <w:tr w:rsidR="00086319" w:rsidTr="00086319">
        <w:trPr>
          <w:trHeight w:val="418"/>
        </w:trPr>
        <w:tc>
          <w:tcPr>
            <w:tcW w:w="2518" w:type="dxa"/>
            <w:shd w:val="clear" w:color="auto" w:fill="auto"/>
          </w:tcPr>
          <w:p w:rsidR="00086319" w:rsidRPr="00FC0201" w:rsidRDefault="00086319" w:rsidP="000863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DOB: </w:t>
            </w:r>
          </w:p>
        </w:tc>
        <w:tc>
          <w:tcPr>
            <w:tcW w:w="6457" w:type="dxa"/>
            <w:shd w:val="clear" w:color="auto" w:fill="auto"/>
          </w:tcPr>
          <w:p w:rsidR="00086319" w:rsidRDefault="00086319" w:rsidP="00086319">
            <w:pPr>
              <w:autoSpaceDE w:val="0"/>
              <w:autoSpaceDN w:val="0"/>
              <w:adjustRightInd w:val="0"/>
            </w:pPr>
          </w:p>
        </w:tc>
      </w:tr>
      <w:tr w:rsidR="00086319" w:rsidTr="00086319">
        <w:trPr>
          <w:trHeight w:val="418"/>
        </w:trPr>
        <w:tc>
          <w:tcPr>
            <w:tcW w:w="2518" w:type="dxa"/>
            <w:shd w:val="clear" w:color="auto" w:fill="auto"/>
          </w:tcPr>
          <w:p w:rsidR="00086319" w:rsidRPr="00FC0201" w:rsidRDefault="00086319" w:rsidP="000863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Clinical setting:</w:t>
            </w:r>
            <w:r w:rsidRPr="00FC02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57" w:type="dxa"/>
            <w:shd w:val="clear" w:color="auto" w:fill="auto"/>
          </w:tcPr>
          <w:p w:rsidR="00086319" w:rsidRDefault="00086319" w:rsidP="00086319">
            <w:pPr>
              <w:autoSpaceDE w:val="0"/>
              <w:autoSpaceDN w:val="0"/>
              <w:adjustRightInd w:val="0"/>
            </w:pPr>
          </w:p>
        </w:tc>
      </w:tr>
    </w:tbl>
    <w:p w:rsidR="00086319" w:rsidRPr="009D5C71" w:rsidRDefault="00086319" w:rsidP="000863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A33A9" w:rsidRDefault="00DA33A9" w:rsidP="000863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A33A9" w:rsidRPr="00AB17D1" w:rsidRDefault="00086319" w:rsidP="0008631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Nasogastric</w:t>
      </w:r>
      <w:r w:rsidRPr="009D5C71">
        <w:rPr>
          <w:rFonts w:ascii="Arial" w:hAnsi="Arial" w:cs="Arial"/>
          <w:b/>
          <w:bCs/>
          <w:color w:val="000000"/>
          <w:sz w:val="22"/>
          <w:szCs w:val="22"/>
        </w:rPr>
        <w:t xml:space="preserve"> tube insertion/reinsertion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9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1203"/>
        <w:gridCol w:w="1203"/>
        <w:gridCol w:w="1203"/>
        <w:gridCol w:w="1333"/>
        <w:gridCol w:w="1203"/>
        <w:gridCol w:w="1203"/>
      </w:tblGrid>
      <w:tr w:rsidR="00086319" w:rsidRPr="00165E4D" w:rsidTr="00086319">
        <w:trPr>
          <w:trHeight w:val="771"/>
        </w:trPr>
        <w:tc>
          <w:tcPr>
            <w:tcW w:w="2401" w:type="dxa"/>
          </w:tcPr>
          <w:p w:rsidR="00086319" w:rsidRPr="00DA33A9" w:rsidRDefault="00086319" w:rsidP="00086319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Date and time of insertion</w:t>
            </w:r>
          </w:p>
          <w:p w:rsidR="00086319" w:rsidRPr="00DA33A9" w:rsidRDefault="00086319" w:rsidP="0008631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478"/>
        </w:trPr>
        <w:tc>
          <w:tcPr>
            <w:tcW w:w="2401" w:type="dxa"/>
          </w:tcPr>
          <w:p w:rsidR="00086319" w:rsidRPr="00DA33A9" w:rsidRDefault="00086319" w:rsidP="00AA3AF4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Type of tube </w:t>
            </w:r>
            <w:r w:rsidRPr="00DA33A9">
              <w:rPr>
                <w:rFonts w:ascii="Arial" w:hAnsi="Arial" w:cs="Arial"/>
                <w:i/>
                <w:sz w:val="21"/>
                <w:szCs w:val="21"/>
              </w:rPr>
              <w:t>(brand &amp;</w:t>
            </w:r>
          </w:p>
          <w:p w:rsidR="00086319" w:rsidRPr="00DA33A9" w:rsidRDefault="00086319" w:rsidP="00AA3AF4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A33A9">
              <w:rPr>
                <w:rFonts w:ascii="Arial" w:hAnsi="Arial" w:cs="Arial"/>
                <w:i/>
                <w:sz w:val="21"/>
                <w:szCs w:val="21"/>
              </w:rPr>
              <w:t xml:space="preserve">Long or short term </w:t>
            </w:r>
            <w:r w:rsidRPr="00DA33A9">
              <w:rPr>
                <w:rFonts w:ascii="Arial" w:hAnsi="Arial" w:cs="Arial"/>
                <w:b/>
                <w:i/>
                <w:sz w:val="21"/>
                <w:szCs w:val="21"/>
              </w:rPr>
              <w:t>LT/ST</w:t>
            </w: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09"/>
        </w:trPr>
        <w:tc>
          <w:tcPr>
            <w:tcW w:w="2401" w:type="dxa"/>
          </w:tcPr>
          <w:p w:rsidR="00086319" w:rsidRPr="00DA33A9" w:rsidRDefault="00086319" w:rsidP="00086319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Size NGT (Fr)</w:t>
            </w:r>
          </w:p>
          <w:p w:rsidR="00086319" w:rsidRPr="00DA33A9" w:rsidRDefault="00086319" w:rsidP="0008631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24"/>
        </w:trPr>
        <w:tc>
          <w:tcPr>
            <w:tcW w:w="2401" w:type="dxa"/>
          </w:tcPr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NEX measurement</w:t>
            </w:r>
          </w:p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09"/>
        </w:trPr>
        <w:tc>
          <w:tcPr>
            <w:tcW w:w="2401" w:type="dxa"/>
          </w:tcPr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External length once secured</w:t>
            </w: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09"/>
        </w:trPr>
        <w:tc>
          <w:tcPr>
            <w:tcW w:w="2401" w:type="dxa"/>
          </w:tcPr>
          <w:p w:rsidR="00086319" w:rsidRPr="00DA33A9" w:rsidRDefault="00086319" w:rsidP="0008631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Nostril used </w:t>
            </w:r>
            <w:r w:rsidRPr="00DA33A9">
              <w:rPr>
                <w:rFonts w:ascii="Arial" w:hAnsi="Arial" w:cs="Arial"/>
                <w:b/>
                <w:sz w:val="21"/>
                <w:szCs w:val="21"/>
              </w:rPr>
              <w:t>L/R</w:t>
            </w:r>
          </w:p>
          <w:p w:rsidR="00086319" w:rsidRPr="00DA33A9" w:rsidRDefault="00086319" w:rsidP="0008631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24"/>
        </w:trPr>
        <w:tc>
          <w:tcPr>
            <w:tcW w:w="2401" w:type="dxa"/>
          </w:tcPr>
          <w:p w:rsidR="00086319" w:rsidRPr="00DA33A9" w:rsidRDefault="00086319" w:rsidP="00086319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Aspirate obtained </w:t>
            </w:r>
            <w:r w:rsidRPr="00DA33A9">
              <w:rPr>
                <w:rFonts w:ascii="Arial" w:hAnsi="Arial" w:cs="Arial"/>
                <w:b/>
                <w:sz w:val="21"/>
                <w:szCs w:val="21"/>
              </w:rPr>
              <w:t>Y/N</w:t>
            </w: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09"/>
        </w:trPr>
        <w:tc>
          <w:tcPr>
            <w:tcW w:w="2401" w:type="dxa"/>
          </w:tcPr>
          <w:p w:rsidR="00086319" w:rsidRPr="00DA33A9" w:rsidRDefault="00086319" w:rsidP="00AA3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pH of aspirate (if obtained)</w:t>
            </w: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24"/>
        </w:trPr>
        <w:tc>
          <w:tcPr>
            <w:tcW w:w="2401" w:type="dxa"/>
          </w:tcPr>
          <w:p w:rsidR="00086319" w:rsidRPr="00DA33A9" w:rsidRDefault="00086319" w:rsidP="00AA3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x-ray required </w:t>
            </w:r>
            <w:r w:rsidRPr="00DA33A9">
              <w:rPr>
                <w:rFonts w:ascii="Arial" w:hAnsi="Arial" w:cs="Arial"/>
                <w:b/>
                <w:sz w:val="21"/>
                <w:szCs w:val="21"/>
              </w:rPr>
              <w:t>Y/N</w:t>
            </w:r>
          </w:p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6319" w:rsidRPr="00165E4D" w:rsidTr="00086319">
        <w:trPr>
          <w:trHeight w:val="524"/>
        </w:trPr>
        <w:tc>
          <w:tcPr>
            <w:tcW w:w="2401" w:type="dxa"/>
          </w:tcPr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Inserted by:</w:t>
            </w:r>
          </w:p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33A9" w:rsidRDefault="00DA33A9" w:rsidP="00086319">
      <w:pPr>
        <w:rPr>
          <w:rFonts w:ascii="Arial" w:hAnsi="Arial" w:cs="Arial"/>
          <w:b/>
          <w:sz w:val="22"/>
          <w:szCs w:val="22"/>
        </w:rPr>
      </w:pPr>
    </w:p>
    <w:p w:rsidR="00086319" w:rsidRDefault="00086319" w:rsidP="00086319">
      <w:pPr>
        <w:rPr>
          <w:rFonts w:ascii="Arial" w:hAnsi="Arial" w:cs="Arial"/>
          <w:b/>
          <w:sz w:val="22"/>
          <w:szCs w:val="22"/>
        </w:rPr>
      </w:pPr>
      <w:r w:rsidRPr="00AB17D1">
        <w:rPr>
          <w:rFonts w:ascii="Arial" w:hAnsi="Arial" w:cs="Arial"/>
          <w:b/>
          <w:sz w:val="22"/>
          <w:szCs w:val="22"/>
        </w:rPr>
        <w:t>X-ray interpretation (if applicable)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97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235"/>
        <w:gridCol w:w="1235"/>
        <w:gridCol w:w="1363"/>
        <w:gridCol w:w="1262"/>
        <w:gridCol w:w="1235"/>
      </w:tblGrid>
      <w:tr w:rsidR="00DA33A9" w:rsidRPr="00165E4D" w:rsidTr="00DA33A9">
        <w:trPr>
          <w:trHeight w:val="491"/>
        </w:trPr>
        <w:tc>
          <w:tcPr>
            <w:tcW w:w="3397" w:type="dxa"/>
          </w:tcPr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Date and time of </w:t>
            </w:r>
          </w:p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x-ray interpretation</w:t>
            </w: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3A9" w:rsidRPr="00165E4D" w:rsidTr="00DA33A9">
        <w:trPr>
          <w:trHeight w:val="491"/>
        </w:trPr>
        <w:tc>
          <w:tcPr>
            <w:tcW w:w="3397" w:type="dxa"/>
          </w:tcPr>
          <w:p w:rsidR="00086319" w:rsidRPr="00DA33A9" w:rsidRDefault="00086319" w:rsidP="00AA3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Is this the most current x-ray? </w:t>
            </w:r>
            <w:r w:rsidRPr="00DA33A9">
              <w:rPr>
                <w:rFonts w:ascii="Arial" w:hAnsi="Arial" w:cs="Arial"/>
                <w:b/>
                <w:sz w:val="21"/>
                <w:szCs w:val="21"/>
              </w:rPr>
              <w:t>Y/N</w:t>
            </w: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3A9" w:rsidRPr="00165E4D" w:rsidTr="00DA33A9">
        <w:trPr>
          <w:trHeight w:val="491"/>
        </w:trPr>
        <w:tc>
          <w:tcPr>
            <w:tcW w:w="3397" w:type="dxa"/>
          </w:tcPr>
          <w:p w:rsidR="00086319" w:rsidRP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>Is the x-ray for the correct patient</w:t>
            </w:r>
            <w:r w:rsidR="00DA33A9" w:rsidRPr="00DA33A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3A9" w:rsidRPr="00165E4D" w:rsidTr="00DA33A9">
        <w:trPr>
          <w:trHeight w:val="859"/>
        </w:trPr>
        <w:tc>
          <w:tcPr>
            <w:tcW w:w="3397" w:type="dxa"/>
          </w:tcPr>
          <w:p w:rsidR="00086319" w:rsidRPr="00165E4D" w:rsidRDefault="00086319" w:rsidP="00AA3A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5E4D">
              <w:rPr>
                <w:rFonts w:ascii="Arial" w:hAnsi="Arial" w:cs="Arial"/>
              </w:rPr>
              <w:t>X-ray results.</w:t>
            </w:r>
            <w:r w:rsidRPr="00165E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E4D">
              <w:rPr>
                <w:rFonts w:ascii="Arial" w:hAnsi="Arial" w:cs="Arial"/>
                <w:i/>
                <w:sz w:val="18"/>
                <w:szCs w:val="18"/>
              </w:rPr>
              <w:t>E.g. “NG has passed down the midline past level of diaphragm and deviates to the left, it is safe to feed via the NGT”</w:t>
            </w: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3A9" w:rsidRPr="00165E4D" w:rsidTr="00DA33A9">
        <w:trPr>
          <w:trHeight w:val="276"/>
        </w:trPr>
        <w:tc>
          <w:tcPr>
            <w:tcW w:w="3397" w:type="dxa"/>
          </w:tcPr>
          <w:p w:rsidR="00DA33A9" w:rsidRDefault="00086319" w:rsidP="00AA3AF4">
            <w:pPr>
              <w:rPr>
                <w:rFonts w:ascii="Arial" w:hAnsi="Arial" w:cs="Arial"/>
                <w:sz w:val="21"/>
                <w:szCs w:val="21"/>
              </w:rPr>
            </w:pPr>
            <w:r w:rsidRPr="00DA33A9">
              <w:rPr>
                <w:rFonts w:ascii="Arial" w:hAnsi="Arial" w:cs="Arial"/>
                <w:sz w:val="21"/>
                <w:szCs w:val="21"/>
              </w:rPr>
              <w:t xml:space="preserve">X-ray interpreted by: </w:t>
            </w:r>
          </w:p>
          <w:p w:rsidR="00DA33A9" w:rsidRPr="00DA33A9" w:rsidRDefault="00DA33A9" w:rsidP="00AA3A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:rsidR="00086319" w:rsidRPr="00165E4D" w:rsidRDefault="00086319" w:rsidP="00AA3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33A9" w:rsidRDefault="00DA33A9"/>
    <w:sectPr w:rsidR="00DA3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19"/>
    <w:rsid w:val="00086319"/>
    <w:rsid w:val="00192E43"/>
    <w:rsid w:val="003D600C"/>
    <w:rsid w:val="005A0F52"/>
    <w:rsid w:val="005D3B71"/>
    <w:rsid w:val="00A521BC"/>
    <w:rsid w:val="00D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9B72"/>
  <w15:docId w15:val="{2F2B9AB0-53E5-47BB-87F3-5A91D665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 Bianca</dc:creator>
  <cp:lastModifiedBy>Gardiner Bianca</cp:lastModifiedBy>
  <cp:revision>4</cp:revision>
  <dcterms:created xsi:type="dcterms:W3CDTF">2019-06-09T19:36:00Z</dcterms:created>
  <dcterms:modified xsi:type="dcterms:W3CDTF">2022-04-01T10:58:00Z</dcterms:modified>
</cp:coreProperties>
</file>