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9C9" w:rsidRPr="00E919C9" w:rsidRDefault="009F562C" w:rsidP="004B0B6B">
      <w:pPr>
        <w:jc w:val="center"/>
        <w:rPr>
          <w:b/>
          <w:sz w:val="28"/>
          <w:szCs w:val="28"/>
        </w:rPr>
      </w:pPr>
      <w:r w:rsidRPr="006714DC">
        <w:rPr>
          <w:b/>
          <w:sz w:val="28"/>
          <w:szCs w:val="28"/>
        </w:rPr>
        <w:t xml:space="preserve">Q3 Antimicrobial Prescribing Audit </w:t>
      </w:r>
      <w:r w:rsidR="008D37A9">
        <w:rPr>
          <w:b/>
          <w:sz w:val="28"/>
          <w:szCs w:val="28"/>
        </w:rPr>
        <w:t xml:space="preserve">Report </w:t>
      </w:r>
      <w:r w:rsidRPr="006714DC">
        <w:rPr>
          <w:b/>
          <w:sz w:val="28"/>
          <w:szCs w:val="28"/>
        </w:rPr>
        <w:t>2021/22</w:t>
      </w:r>
    </w:p>
    <w:p w:rsidR="006714DC" w:rsidRPr="003034BF" w:rsidRDefault="006714DC" w:rsidP="006714DC">
      <w:pPr>
        <w:rPr>
          <w:rFonts w:cs="Arial"/>
          <w:b/>
          <w:szCs w:val="22"/>
        </w:rPr>
      </w:pPr>
      <w:r w:rsidRPr="003034BF">
        <w:rPr>
          <w:rFonts w:cs="Arial"/>
          <w:b/>
          <w:szCs w:val="22"/>
        </w:rPr>
        <w:t>Introduction:</w:t>
      </w:r>
    </w:p>
    <w:p w:rsidR="006714DC" w:rsidRPr="006714DC" w:rsidRDefault="006714DC" w:rsidP="006714DC">
      <w:pPr>
        <w:rPr>
          <w:rFonts w:cs="Arial"/>
          <w:sz w:val="20"/>
          <w:szCs w:val="20"/>
        </w:rPr>
      </w:pPr>
      <w:r w:rsidRPr="00CD0E9D">
        <w:rPr>
          <w:rFonts w:cs="Arial"/>
          <w:sz w:val="20"/>
          <w:szCs w:val="20"/>
        </w:rPr>
        <w:t>This audit report summarises the key findings of the antimicrobial presc</w:t>
      </w:r>
      <w:r>
        <w:rPr>
          <w:rFonts w:cs="Arial"/>
          <w:sz w:val="20"/>
          <w:szCs w:val="20"/>
        </w:rPr>
        <w:t>ribing audit conducted in November</w:t>
      </w:r>
      <w:r w:rsidRPr="00CD0E9D">
        <w:rPr>
          <w:rFonts w:cs="Arial"/>
          <w:sz w:val="20"/>
          <w:szCs w:val="20"/>
        </w:rPr>
        <w:t xml:space="preserve"> 2021 and </w:t>
      </w:r>
      <w:r>
        <w:rPr>
          <w:rFonts w:cs="Arial"/>
          <w:sz w:val="20"/>
          <w:szCs w:val="20"/>
        </w:rPr>
        <w:t xml:space="preserve">it </w:t>
      </w:r>
      <w:proofErr w:type="gramStart"/>
      <w:r w:rsidRPr="00CD0E9D">
        <w:rPr>
          <w:rFonts w:cs="Arial"/>
          <w:sz w:val="20"/>
          <w:szCs w:val="20"/>
        </w:rPr>
        <w:t>is used</w:t>
      </w:r>
      <w:proofErr w:type="gramEnd"/>
      <w:r w:rsidRPr="00CD0E9D">
        <w:rPr>
          <w:rFonts w:cs="Arial"/>
          <w:sz w:val="20"/>
          <w:szCs w:val="20"/>
        </w:rPr>
        <w:t xml:space="preserve"> to monitor antimicrobial prescribing trends and quality indicators as part of the Trust wide Antimicrobial Stewardship initiatives</w:t>
      </w:r>
    </w:p>
    <w:p w:rsidR="006714DC" w:rsidRDefault="006714DC" w:rsidP="006714DC">
      <w:pPr>
        <w:rPr>
          <w:rFonts w:cs="Arial"/>
          <w:szCs w:val="22"/>
        </w:rPr>
      </w:pPr>
      <w:r>
        <w:rPr>
          <w:rFonts w:cs="Arial"/>
          <w:b/>
          <w:szCs w:val="22"/>
        </w:rPr>
        <w:t>Method and Standards</w:t>
      </w:r>
      <w:r w:rsidRPr="003034BF">
        <w:rPr>
          <w:rFonts w:cs="Arial"/>
          <w:b/>
          <w:szCs w:val="22"/>
        </w:rPr>
        <w:t>:</w:t>
      </w:r>
      <w:r w:rsidRPr="003034BF">
        <w:rPr>
          <w:rFonts w:cs="Arial"/>
          <w:szCs w:val="22"/>
        </w:rPr>
        <w:t xml:space="preserve"> </w:t>
      </w:r>
      <w:bookmarkStart w:id="0" w:name="_GoBack"/>
      <w:bookmarkEnd w:id="0"/>
    </w:p>
    <w:p w:rsidR="006714DC" w:rsidRPr="007B5CC0" w:rsidRDefault="007B5CC0" w:rsidP="007B5CC0">
      <w:pPr>
        <w:autoSpaceDE w:val="0"/>
        <w:autoSpaceDN w:val="0"/>
        <w:adjustRightInd w:val="0"/>
        <w:rPr>
          <w:rFonts w:cs="Arial"/>
          <w:sz w:val="20"/>
          <w:szCs w:val="20"/>
        </w:rPr>
      </w:pPr>
      <w:r>
        <w:rPr>
          <w:rFonts w:cs="Arial"/>
          <w:sz w:val="20"/>
          <w:szCs w:val="20"/>
        </w:rPr>
        <w:t>The ELFT</w:t>
      </w:r>
      <w:r w:rsidR="006714DC" w:rsidRPr="003034BF">
        <w:rPr>
          <w:rFonts w:cs="Arial"/>
          <w:sz w:val="20"/>
          <w:szCs w:val="20"/>
        </w:rPr>
        <w:t xml:space="preserve"> pharmacy team </w:t>
      </w:r>
      <w:r w:rsidR="006714DC">
        <w:rPr>
          <w:rFonts w:cs="Arial"/>
          <w:sz w:val="20"/>
          <w:szCs w:val="20"/>
        </w:rPr>
        <w:t xml:space="preserve">collect data </w:t>
      </w:r>
      <w:r>
        <w:rPr>
          <w:rFonts w:cs="Arial"/>
          <w:sz w:val="20"/>
          <w:szCs w:val="20"/>
        </w:rPr>
        <w:t>across all sites</w:t>
      </w:r>
      <w:r w:rsidR="006714DC" w:rsidRPr="003034BF">
        <w:rPr>
          <w:rFonts w:cs="Arial"/>
          <w:sz w:val="20"/>
          <w:szCs w:val="20"/>
        </w:rPr>
        <w:t xml:space="preserve"> </w:t>
      </w:r>
      <w:r>
        <w:rPr>
          <w:rFonts w:cs="Arial"/>
          <w:sz w:val="20"/>
          <w:szCs w:val="20"/>
        </w:rPr>
        <w:t xml:space="preserve">every quarter </w:t>
      </w:r>
      <w:r w:rsidR="006714DC" w:rsidRPr="003034BF">
        <w:rPr>
          <w:rFonts w:cs="Arial"/>
          <w:sz w:val="20"/>
          <w:szCs w:val="20"/>
        </w:rPr>
        <w:t>during</w:t>
      </w:r>
      <w:r w:rsidR="006714DC">
        <w:rPr>
          <w:rFonts w:cs="Arial"/>
          <w:sz w:val="20"/>
          <w:szCs w:val="20"/>
        </w:rPr>
        <w:t xml:space="preserve"> a two</w:t>
      </w:r>
      <w:r w:rsidR="006714DC" w:rsidRPr="003034BF">
        <w:rPr>
          <w:rFonts w:cs="Arial"/>
          <w:sz w:val="20"/>
          <w:szCs w:val="20"/>
        </w:rPr>
        <w:t xml:space="preserve"> wee</w:t>
      </w:r>
      <w:r w:rsidR="006714DC">
        <w:rPr>
          <w:rFonts w:cs="Arial"/>
          <w:sz w:val="20"/>
          <w:szCs w:val="20"/>
        </w:rPr>
        <w:t>k</w:t>
      </w:r>
      <w:r>
        <w:rPr>
          <w:rFonts w:cs="Arial"/>
          <w:sz w:val="20"/>
          <w:szCs w:val="20"/>
        </w:rPr>
        <w:t>s</w:t>
      </w:r>
      <w:r w:rsidR="006714DC">
        <w:rPr>
          <w:rFonts w:cs="Arial"/>
          <w:sz w:val="20"/>
          <w:szCs w:val="20"/>
        </w:rPr>
        <w:t xml:space="preserve"> peri</w:t>
      </w:r>
      <w:r>
        <w:rPr>
          <w:rFonts w:cs="Arial"/>
          <w:sz w:val="20"/>
          <w:szCs w:val="20"/>
        </w:rPr>
        <w:t>od</w:t>
      </w:r>
      <w:r w:rsidR="006714DC">
        <w:rPr>
          <w:rFonts w:cs="Arial"/>
          <w:sz w:val="20"/>
          <w:szCs w:val="20"/>
        </w:rPr>
        <w:t>. For each</w:t>
      </w:r>
      <w:r w:rsidR="006714DC" w:rsidRPr="003034BF">
        <w:rPr>
          <w:rFonts w:cs="Arial"/>
          <w:sz w:val="20"/>
          <w:szCs w:val="20"/>
        </w:rPr>
        <w:t xml:space="preserve"> antimicrobial prescription found during the audit period, the clinical notes and medication chart</w:t>
      </w:r>
      <w:r>
        <w:rPr>
          <w:rFonts w:cs="Arial"/>
          <w:sz w:val="20"/>
          <w:szCs w:val="20"/>
        </w:rPr>
        <w:t>s</w:t>
      </w:r>
      <w:r w:rsidR="006714DC" w:rsidRPr="003034BF">
        <w:rPr>
          <w:rFonts w:cs="Arial"/>
          <w:sz w:val="20"/>
          <w:szCs w:val="20"/>
        </w:rPr>
        <w:t xml:space="preserve"> </w:t>
      </w:r>
      <w:proofErr w:type="gramStart"/>
      <w:r w:rsidR="006714DC" w:rsidRPr="003034BF">
        <w:rPr>
          <w:rFonts w:cs="Arial"/>
          <w:sz w:val="20"/>
          <w:szCs w:val="20"/>
        </w:rPr>
        <w:t xml:space="preserve">are reviewed </w:t>
      </w:r>
      <w:r w:rsidR="006714DC">
        <w:rPr>
          <w:rFonts w:cs="Arial"/>
          <w:sz w:val="20"/>
          <w:szCs w:val="20"/>
        </w:rPr>
        <w:t xml:space="preserve">and </w:t>
      </w:r>
      <w:r w:rsidR="006714DC" w:rsidRPr="003034BF">
        <w:rPr>
          <w:rFonts w:cs="Arial"/>
          <w:sz w:val="20"/>
          <w:szCs w:val="20"/>
        </w:rPr>
        <w:t>compared against antimicrobial guidelines and/or microbiology advice provided</w:t>
      </w:r>
      <w:proofErr w:type="gramEnd"/>
      <w:r w:rsidR="006714DC" w:rsidRPr="003034BF">
        <w:rPr>
          <w:rFonts w:cs="Arial"/>
          <w:sz w:val="20"/>
          <w:szCs w:val="20"/>
        </w:rPr>
        <w:t xml:space="preserve">. For each </w:t>
      </w:r>
      <w:r w:rsidR="006A2750" w:rsidRPr="003034BF">
        <w:rPr>
          <w:rFonts w:cs="Arial"/>
          <w:sz w:val="20"/>
          <w:szCs w:val="20"/>
        </w:rPr>
        <w:t>prescription,</w:t>
      </w:r>
      <w:r w:rsidR="006714DC" w:rsidRPr="003034BF">
        <w:rPr>
          <w:rFonts w:cs="Arial"/>
          <w:sz w:val="20"/>
          <w:szCs w:val="20"/>
        </w:rPr>
        <w:t xml:space="preserve"> compliance </w:t>
      </w:r>
      <w:proofErr w:type="gramStart"/>
      <w:r w:rsidR="006714DC">
        <w:rPr>
          <w:rFonts w:cs="Arial"/>
          <w:sz w:val="20"/>
          <w:szCs w:val="20"/>
        </w:rPr>
        <w:t>is measured</w:t>
      </w:r>
      <w:proofErr w:type="gramEnd"/>
      <w:r w:rsidR="006714DC">
        <w:rPr>
          <w:rFonts w:cs="Arial"/>
          <w:sz w:val="20"/>
          <w:szCs w:val="20"/>
        </w:rPr>
        <w:t xml:space="preserve"> against </w:t>
      </w:r>
      <w:r w:rsidR="006A2750">
        <w:rPr>
          <w:rFonts w:cs="Arial"/>
          <w:sz w:val="20"/>
          <w:szCs w:val="20"/>
        </w:rPr>
        <w:t>standards, which</w:t>
      </w:r>
      <w:r w:rsidR="006714DC">
        <w:rPr>
          <w:rFonts w:cs="Arial"/>
          <w:sz w:val="20"/>
          <w:szCs w:val="20"/>
        </w:rPr>
        <w:t xml:space="preserve"> are </w:t>
      </w:r>
      <w:r>
        <w:rPr>
          <w:rFonts w:cs="Arial"/>
          <w:sz w:val="20"/>
          <w:szCs w:val="20"/>
        </w:rPr>
        <w:t>derived from the ELFT</w:t>
      </w:r>
      <w:r w:rsidR="006714DC" w:rsidRPr="003034BF">
        <w:rPr>
          <w:rFonts w:cs="Arial"/>
          <w:sz w:val="20"/>
          <w:szCs w:val="20"/>
        </w:rPr>
        <w:t xml:space="preserve"> Antimicrobia</w:t>
      </w:r>
      <w:r w:rsidR="006714DC">
        <w:rPr>
          <w:rFonts w:cs="Arial"/>
          <w:sz w:val="20"/>
          <w:szCs w:val="20"/>
        </w:rPr>
        <w:t>l Stewardship</w:t>
      </w:r>
      <w:r w:rsidR="006714DC" w:rsidRPr="003034BF">
        <w:rPr>
          <w:rFonts w:cs="Arial"/>
          <w:sz w:val="20"/>
          <w:szCs w:val="20"/>
        </w:rPr>
        <w:t xml:space="preserve"> Policy. This policy defines the </w:t>
      </w:r>
      <w:r w:rsidR="006A2750" w:rsidRPr="003034BF">
        <w:rPr>
          <w:rFonts w:cs="Arial"/>
          <w:sz w:val="20"/>
          <w:szCs w:val="20"/>
        </w:rPr>
        <w:t>processes, which</w:t>
      </w:r>
      <w:r w:rsidR="006714DC" w:rsidRPr="003034BF">
        <w:rPr>
          <w:rFonts w:cs="Arial"/>
          <w:sz w:val="20"/>
          <w:szCs w:val="20"/>
        </w:rPr>
        <w:t xml:space="preserve"> ensure that antim</w:t>
      </w:r>
      <w:r>
        <w:rPr>
          <w:rFonts w:cs="Arial"/>
          <w:sz w:val="20"/>
          <w:szCs w:val="20"/>
        </w:rPr>
        <w:t>icrobial prescribing within ELFT</w:t>
      </w:r>
      <w:r w:rsidR="006714DC" w:rsidRPr="003034BF">
        <w:rPr>
          <w:rFonts w:cs="Arial"/>
          <w:sz w:val="20"/>
          <w:szCs w:val="20"/>
        </w:rPr>
        <w:t xml:space="preserve"> is safe</w:t>
      </w:r>
      <w:r w:rsidR="006714DC">
        <w:rPr>
          <w:rFonts w:cs="Arial"/>
          <w:sz w:val="20"/>
          <w:szCs w:val="20"/>
        </w:rPr>
        <w:t>,</w:t>
      </w:r>
      <w:r w:rsidR="006714DC" w:rsidRPr="003034BF">
        <w:rPr>
          <w:rFonts w:cs="Arial"/>
          <w:sz w:val="20"/>
          <w:szCs w:val="20"/>
        </w:rPr>
        <w:t xml:space="preserve"> effective and appropriate.</w:t>
      </w:r>
      <w:r w:rsidR="006714DC">
        <w:rPr>
          <w:rFonts w:cs="Arial"/>
          <w:sz w:val="20"/>
          <w:szCs w:val="20"/>
        </w:rPr>
        <w:t xml:space="preserve"> The audit standards are as follows: </w:t>
      </w:r>
      <w:r>
        <w:rPr>
          <w:rFonts w:cs="Arial"/>
          <w:sz w:val="8"/>
          <w:szCs w:val="8"/>
        </w:rPr>
        <w:tab/>
      </w:r>
    </w:p>
    <w:p w:rsidR="00F42177" w:rsidRPr="00F42177" w:rsidRDefault="006714DC" w:rsidP="00F42177">
      <w:pPr>
        <w:numPr>
          <w:ilvl w:val="0"/>
          <w:numId w:val="2"/>
        </w:numPr>
        <w:spacing w:before="0" w:after="0"/>
        <w:jc w:val="left"/>
        <w:rPr>
          <w:rFonts w:cs="Arial"/>
          <w:b/>
          <w:sz w:val="20"/>
          <w:szCs w:val="20"/>
        </w:rPr>
      </w:pPr>
      <w:r w:rsidRPr="00687A34">
        <w:rPr>
          <w:rFonts w:cs="Arial"/>
          <w:b/>
          <w:sz w:val="20"/>
          <w:szCs w:val="20"/>
        </w:rPr>
        <w:t xml:space="preserve">Appropriate treatment choice: </w:t>
      </w:r>
      <w:r>
        <w:rPr>
          <w:rFonts w:cs="Arial"/>
          <w:sz w:val="20"/>
          <w:szCs w:val="20"/>
        </w:rPr>
        <w:t>A</w:t>
      </w:r>
      <w:r w:rsidRPr="00687A34">
        <w:rPr>
          <w:rFonts w:cs="Arial"/>
          <w:sz w:val="20"/>
          <w:szCs w:val="20"/>
        </w:rPr>
        <w:t>ll antimicrobials prescribed should be in accordance with the recommendations in the relevant local or national guidelines or microbiology advice.</w:t>
      </w:r>
      <w:r w:rsidRPr="00687A34">
        <w:rPr>
          <w:rFonts w:cs="Arial"/>
          <w:b/>
          <w:sz w:val="20"/>
          <w:szCs w:val="20"/>
        </w:rPr>
        <w:t xml:space="preserve"> </w:t>
      </w:r>
    </w:p>
    <w:p w:rsidR="00F42177" w:rsidRPr="00F42177" w:rsidRDefault="00F42177" w:rsidP="00F42177">
      <w:pPr>
        <w:pStyle w:val="ListParagraph"/>
        <w:numPr>
          <w:ilvl w:val="0"/>
          <w:numId w:val="2"/>
        </w:numPr>
        <w:autoSpaceDE w:val="0"/>
        <w:autoSpaceDN w:val="0"/>
        <w:adjustRightInd w:val="0"/>
        <w:spacing w:before="0" w:after="0"/>
        <w:jc w:val="left"/>
        <w:rPr>
          <w:rFonts w:eastAsiaTheme="minorHAnsi" w:cs="Arial"/>
          <w:color w:val="000000"/>
          <w:sz w:val="20"/>
          <w:szCs w:val="20"/>
          <w:lang w:eastAsia="en-US"/>
        </w:rPr>
      </w:pPr>
      <w:r w:rsidRPr="00F42177">
        <w:rPr>
          <w:rFonts w:eastAsiaTheme="minorHAnsi" w:cs="Arial"/>
          <w:b/>
          <w:bCs/>
          <w:color w:val="000000"/>
          <w:sz w:val="20"/>
          <w:szCs w:val="20"/>
          <w:lang w:eastAsia="en-US"/>
        </w:rPr>
        <w:t xml:space="preserve">Completion of the allergy box: </w:t>
      </w:r>
      <w:r w:rsidRPr="00F42177">
        <w:rPr>
          <w:rFonts w:eastAsiaTheme="minorHAnsi" w:cs="Arial"/>
          <w:color w:val="000000"/>
          <w:sz w:val="20"/>
          <w:szCs w:val="20"/>
          <w:lang w:eastAsia="en-US"/>
        </w:rPr>
        <w:t xml:space="preserve">100% of antimicrobial prescriptions should also have a clearly documented allergy status for the patient on the prescription chart. </w:t>
      </w:r>
    </w:p>
    <w:p w:rsidR="00386F0D" w:rsidRPr="00386F0D" w:rsidRDefault="00386F0D" w:rsidP="00386F0D">
      <w:pPr>
        <w:numPr>
          <w:ilvl w:val="0"/>
          <w:numId w:val="2"/>
        </w:numPr>
        <w:spacing w:before="0" w:after="0"/>
        <w:jc w:val="left"/>
        <w:rPr>
          <w:rFonts w:cs="Arial"/>
          <w:b/>
          <w:sz w:val="20"/>
          <w:szCs w:val="20"/>
        </w:rPr>
      </w:pPr>
      <w:r>
        <w:rPr>
          <w:rFonts w:cs="Arial"/>
          <w:b/>
          <w:sz w:val="20"/>
          <w:szCs w:val="20"/>
        </w:rPr>
        <w:t xml:space="preserve">Documentation: </w:t>
      </w:r>
      <w:r w:rsidRPr="0084524A">
        <w:rPr>
          <w:rFonts w:cs="Arial"/>
          <w:sz w:val="20"/>
          <w:szCs w:val="20"/>
        </w:rPr>
        <w:t>All antimicrobial prescriptions should have the clinical indication clearly documented in the patient medical record</w:t>
      </w:r>
      <w:r>
        <w:rPr>
          <w:rFonts w:cs="Arial"/>
          <w:sz w:val="20"/>
          <w:szCs w:val="20"/>
        </w:rPr>
        <w:t xml:space="preserve"> or on the prescription chart </w:t>
      </w:r>
    </w:p>
    <w:p w:rsidR="006714DC" w:rsidRPr="00687A34" w:rsidRDefault="006714DC" w:rsidP="006714DC">
      <w:pPr>
        <w:numPr>
          <w:ilvl w:val="0"/>
          <w:numId w:val="2"/>
        </w:numPr>
        <w:spacing w:before="0" w:after="0"/>
        <w:jc w:val="left"/>
        <w:rPr>
          <w:rFonts w:cs="Arial"/>
          <w:b/>
          <w:sz w:val="20"/>
          <w:szCs w:val="20"/>
        </w:rPr>
      </w:pPr>
      <w:r w:rsidRPr="00687A34">
        <w:rPr>
          <w:rFonts w:cs="Arial"/>
          <w:b/>
          <w:sz w:val="20"/>
          <w:szCs w:val="20"/>
        </w:rPr>
        <w:t xml:space="preserve">Course length: </w:t>
      </w:r>
      <w:r>
        <w:rPr>
          <w:rFonts w:cs="Arial"/>
          <w:sz w:val="20"/>
          <w:szCs w:val="20"/>
        </w:rPr>
        <w:t>A</w:t>
      </w:r>
      <w:r w:rsidRPr="00687A34">
        <w:rPr>
          <w:rFonts w:cs="Arial"/>
          <w:sz w:val="20"/>
          <w:szCs w:val="20"/>
        </w:rPr>
        <w:t xml:space="preserve">ll antimicrobial prescriptions should have a clearly documented </w:t>
      </w:r>
      <w:r w:rsidR="00386F0D">
        <w:rPr>
          <w:rFonts w:cs="Arial"/>
          <w:sz w:val="20"/>
          <w:szCs w:val="20"/>
        </w:rPr>
        <w:t>duration (or review date)</w:t>
      </w:r>
      <w:r w:rsidRPr="00687A34">
        <w:rPr>
          <w:rFonts w:cs="Arial"/>
          <w:sz w:val="20"/>
          <w:szCs w:val="20"/>
        </w:rPr>
        <w:t xml:space="preserve"> which is appropriate for the indication and is in accordance with recommendations in the relevant local or national guideline or microbiology advice.</w:t>
      </w:r>
      <w:r w:rsidRPr="00687A34">
        <w:rPr>
          <w:rFonts w:cs="Arial"/>
          <w:b/>
          <w:sz w:val="20"/>
          <w:szCs w:val="20"/>
        </w:rPr>
        <w:t xml:space="preserve"> </w:t>
      </w:r>
    </w:p>
    <w:p w:rsidR="00386F0D" w:rsidRDefault="00386F0D" w:rsidP="00386F0D">
      <w:pPr>
        <w:spacing w:before="0" w:after="0"/>
        <w:jc w:val="left"/>
        <w:rPr>
          <w:rFonts w:cs="Arial"/>
          <w:b/>
          <w:sz w:val="20"/>
          <w:szCs w:val="20"/>
        </w:rPr>
      </w:pPr>
    </w:p>
    <w:p w:rsidR="002229ED" w:rsidRDefault="002229ED" w:rsidP="00386F0D">
      <w:pPr>
        <w:spacing w:before="0" w:after="0"/>
        <w:jc w:val="left"/>
        <w:rPr>
          <w:rFonts w:cs="Arial"/>
          <w:sz w:val="20"/>
          <w:szCs w:val="20"/>
        </w:rPr>
      </w:pPr>
      <w:r w:rsidRPr="006B0337">
        <w:rPr>
          <w:rFonts w:cs="Arial"/>
          <w:sz w:val="20"/>
          <w:szCs w:val="20"/>
        </w:rPr>
        <w:t>The RAG rating parameters are set as follows:</w:t>
      </w:r>
    </w:p>
    <w:p w:rsidR="00A22E9E" w:rsidRDefault="00A22E9E" w:rsidP="00386F0D">
      <w:pPr>
        <w:spacing w:before="0" w:after="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215"/>
      </w:tblGrid>
      <w:tr w:rsidR="002229ED" w:rsidRPr="002229ED" w:rsidTr="006D77C8">
        <w:trPr>
          <w:jc w:val="center"/>
        </w:trPr>
        <w:tc>
          <w:tcPr>
            <w:tcW w:w="4928" w:type="dxa"/>
            <w:shd w:val="clear" w:color="auto" w:fill="auto"/>
          </w:tcPr>
          <w:p w:rsidR="002229ED" w:rsidRPr="002229ED" w:rsidRDefault="002229ED" w:rsidP="002229ED">
            <w:pPr>
              <w:autoSpaceDE w:val="0"/>
              <w:autoSpaceDN w:val="0"/>
              <w:adjustRightInd w:val="0"/>
              <w:spacing w:before="0" w:after="0"/>
              <w:rPr>
                <w:rFonts w:cs="Arial"/>
                <w:b/>
                <w:sz w:val="18"/>
                <w:szCs w:val="20"/>
              </w:rPr>
            </w:pPr>
            <w:r w:rsidRPr="002229ED">
              <w:rPr>
                <w:rFonts w:cs="Arial"/>
                <w:b/>
                <w:sz w:val="18"/>
                <w:szCs w:val="20"/>
              </w:rPr>
              <w:t>RAG Rating</w:t>
            </w:r>
          </w:p>
        </w:tc>
        <w:tc>
          <w:tcPr>
            <w:tcW w:w="4314" w:type="dxa"/>
            <w:shd w:val="clear" w:color="auto" w:fill="auto"/>
          </w:tcPr>
          <w:p w:rsidR="002229ED" w:rsidRPr="002229ED" w:rsidRDefault="002229ED" w:rsidP="002229ED">
            <w:pPr>
              <w:autoSpaceDE w:val="0"/>
              <w:autoSpaceDN w:val="0"/>
              <w:adjustRightInd w:val="0"/>
              <w:spacing w:before="0" w:after="0"/>
              <w:rPr>
                <w:rFonts w:cs="Arial"/>
                <w:b/>
                <w:sz w:val="18"/>
                <w:szCs w:val="20"/>
              </w:rPr>
            </w:pPr>
            <w:r w:rsidRPr="002229ED">
              <w:rPr>
                <w:rFonts w:cs="Arial"/>
                <w:b/>
                <w:sz w:val="18"/>
                <w:szCs w:val="20"/>
              </w:rPr>
              <w:t>Required parameter</w:t>
            </w:r>
          </w:p>
        </w:tc>
      </w:tr>
      <w:tr w:rsidR="002229ED" w:rsidRPr="002229ED" w:rsidTr="006D77C8">
        <w:trPr>
          <w:jc w:val="center"/>
        </w:trPr>
        <w:tc>
          <w:tcPr>
            <w:tcW w:w="4928" w:type="dxa"/>
            <w:shd w:val="clear" w:color="auto" w:fill="FF0000"/>
          </w:tcPr>
          <w:p w:rsidR="002229ED" w:rsidRPr="002229ED" w:rsidRDefault="002229ED" w:rsidP="002229ED">
            <w:pPr>
              <w:autoSpaceDE w:val="0"/>
              <w:autoSpaceDN w:val="0"/>
              <w:adjustRightInd w:val="0"/>
              <w:spacing w:before="0" w:after="0"/>
              <w:rPr>
                <w:rFonts w:cs="Arial"/>
                <w:sz w:val="18"/>
                <w:szCs w:val="20"/>
              </w:rPr>
            </w:pPr>
            <w:r w:rsidRPr="002229ED">
              <w:rPr>
                <w:rFonts w:cs="Arial"/>
                <w:sz w:val="18"/>
                <w:szCs w:val="20"/>
              </w:rPr>
              <w:t>Red – Poor Compliance</w:t>
            </w:r>
          </w:p>
        </w:tc>
        <w:tc>
          <w:tcPr>
            <w:tcW w:w="4314" w:type="dxa"/>
            <w:shd w:val="clear" w:color="auto" w:fill="auto"/>
          </w:tcPr>
          <w:p w:rsidR="002229ED" w:rsidRPr="002229ED" w:rsidRDefault="002229ED" w:rsidP="002229ED">
            <w:pPr>
              <w:autoSpaceDE w:val="0"/>
              <w:autoSpaceDN w:val="0"/>
              <w:adjustRightInd w:val="0"/>
              <w:spacing w:before="0" w:after="0"/>
              <w:rPr>
                <w:rFonts w:cs="Arial"/>
                <w:sz w:val="18"/>
                <w:szCs w:val="20"/>
              </w:rPr>
            </w:pPr>
            <w:r w:rsidRPr="002229ED">
              <w:rPr>
                <w:rFonts w:cs="Arial"/>
                <w:sz w:val="18"/>
                <w:szCs w:val="20"/>
              </w:rPr>
              <w:t>Below 50% total compliance</w:t>
            </w:r>
          </w:p>
        </w:tc>
      </w:tr>
      <w:tr w:rsidR="002229ED" w:rsidRPr="002229ED" w:rsidTr="006D77C8">
        <w:trPr>
          <w:jc w:val="center"/>
        </w:trPr>
        <w:tc>
          <w:tcPr>
            <w:tcW w:w="4928" w:type="dxa"/>
            <w:shd w:val="clear" w:color="auto" w:fill="FFC000"/>
          </w:tcPr>
          <w:p w:rsidR="002229ED" w:rsidRPr="002229ED" w:rsidRDefault="002229ED" w:rsidP="002229ED">
            <w:pPr>
              <w:autoSpaceDE w:val="0"/>
              <w:autoSpaceDN w:val="0"/>
              <w:adjustRightInd w:val="0"/>
              <w:spacing w:before="0" w:after="0"/>
              <w:rPr>
                <w:rFonts w:cs="Arial"/>
                <w:sz w:val="18"/>
                <w:szCs w:val="20"/>
              </w:rPr>
            </w:pPr>
            <w:r w:rsidRPr="002229ED">
              <w:rPr>
                <w:rFonts w:cs="Arial"/>
                <w:sz w:val="18"/>
                <w:szCs w:val="20"/>
              </w:rPr>
              <w:t>Amber – Good Compliance, improvement needed</w:t>
            </w:r>
          </w:p>
        </w:tc>
        <w:tc>
          <w:tcPr>
            <w:tcW w:w="4314" w:type="dxa"/>
            <w:shd w:val="clear" w:color="auto" w:fill="auto"/>
          </w:tcPr>
          <w:p w:rsidR="002229ED" w:rsidRPr="002229ED" w:rsidRDefault="002229ED" w:rsidP="002229ED">
            <w:pPr>
              <w:autoSpaceDE w:val="0"/>
              <w:autoSpaceDN w:val="0"/>
              <w:adjustRightInd w:val="0"/>
              <w:spacing w:before="0" w:after="0"/>
              <w:rPr>
                <w:rFonts w:cs="Arial"/>
                <w:sz w:val="18"/>
                <w:szCs w:val="20"/>
              </w:rPr>
            </w:pPr>
            <w:r w:rsidRPr="002229ED">
              <w:rPr>
                <w:rFonts w:cs="Arial"/>
                <w:sz w:val="18"/>
                <w:szCs w:val="20"/>
              </w:rPr>
              <w:t>Total compliance between 50%- 89%</w:t>
            </w:r>
          </w:p>
        </w:tc>
      </w:tr>
      <w:tr w:rsidR="002229ED" w:rsidRPr="002229ED" w:rsidTr="006D77C8">
        <w:trPr>
          <w:jc w:val="center"/>
        </w:trPr>
        <w:tc>
          <w:tcPr>
            <w:tcW w:w="4928" w:type="dxa"/>
            <w:shd w:val="clear" w:color="auto" w:fill="92D050"/>
          </w:tcPr>
          <w:p w:rsidR="002229ED" w:rsidRPr="002229ED" w:rsidRDefault="002229ED" w:rsidP="002229ED">
            <w:pPr>
              <w:autoSpaceDE w:val="0"/>
              <w:autoSpaceDN w:val="0"/>
              <w:adjustRightInd w:val="0"/>
              <w:spacing w:before="0" w:after="0"/>
              <w:rPr>
                <w:rFonts w:cs="Arial"/>
                <w:sz w:val="18"/>
                <w:szCs w:val="20"/>
              </w:rPr>
            </w:pPr>
            <w:r w:rsidRPr="002229ED">
              <w:rPr>
                <w:rFonts w:cs="Arial"/>
                <w:sz w:val="18"/>
                <w:szCs w:val="20"/>
              </w:rPr>
              <w:t>Green – Excellent Compliance</w:t>
            </w:r>
          </w:p>
        </w:tc>
        <w:tc>
          <w:tcPr>
            <w:tcW w:w="4314" w:type="dxa"/>
            <w:shd w:val="clear" w:color="auto" w:fill="auto"/>
          </w:tcPr>
          <w:p w:rsidR="002229ED" w:rsidRPr="002229ED" w:rsidRDefault="002229ED" w:rsidP="002229ED">
            <w:pPr>
              <w:autoSpaceDE w:val="0"/>
              <w:autoSpaceDN w:val="0"/>
              <w:adjustRightInd w:val="0"/>
              <w:spacing w:before="0" w:after="0"/>
              <w:jc w:val="left"/>
              <w:rPr>
                <w:rFonts w:cs="Arial"/>
                <w:sz w:val="18"/>
                <w:szCs w:val="20"/>
              </w:rPr>
            </w:pPr>
            <w:r w:rsidRPr="002229ED">
              <w:rPr>
                <w:rFonts w:cs="Arial"/>
                <w:sz w:val="18"/>
                <w:szCs w:val="20"/>
              </w:rPr>
              <w:t>Above 90% total compliance (100% for allergy status documentation)</w:t>
            </w:r>
          </w:p>
        </w:tc>
      </w:tr>
      <w:tr w:rsidR="002229ED" w:rsidRPr="002229ED" w:rsidTr="006D77C8">
        <w:trPr>
          <w:jc w:val="center"/>
        </w:trPr>
        <w:tc>
          <w:tcPr>
            <w:tcW w:w="4928" w:type="dxa"/>
            <w:shd w:val="clear" w:color="auto" w:fill="auto"/>
          </w:tcPr>
          <w:p w:rsidR="002229ED" w:rsidRPr="002229ED" w:rsidRDefault="002229ED" w:rsidP="002229ED">
            <w:pPr>
              <w:autoSpaceDE w:val="0"/>
              <w:autoSpaceDN w:val="0"/>
              <w:adjustRightInd w:val="0"/>
              <w:spacing w:before="0" w:after="0"/>
              <w:rPr>
                <w:rFonts w:cs="Arial"/>
                <w:sz w:val="18"/>
                <w:szCs w:val="20"/>
              </w:rPr>
            </w:pPr>
            <w:r w:rsidRPr="002229ED">
              <w:rPr>
                <w:rFonts w:cs="Arial"/>
                <w:sz w:val="18"/>
                <w:szCs w:val="20"/>
              </w:rPr>
              <w:t xml:space="preserve">No colour </w:t>
            </w:r>
          </w:p>
        </w:tc>
        <w:tc>
          <w:tcPr>
            <w:tcW w:w="4314" w:type="dxa"/>
            <w:shd w:val="clear" w:color="auto" w:fill="auto"/>
          </w:tcPr>
          <w:p w:rsidR="002229ED" w:rsidRPr="002229ED" w:rsidRDefault="002229ED" w:rsidP="002229ED">
            <w:pPr>
              <w:autoSpaceDE w:val="0"/>
              <w:autoSpaceDN w:val="0"/>
              <w:adjustRightInd w:val="0"/>
              <w:spacing w:before="0" w:after="0"/>
              <w:jc w:val="left"/>
              <w:rPr>
                <w:rFonts w:cs="Arial"/>
                <w:sz w:val="18"/>
                <w:szCs w:val="20"/>
              </w:rPr>
            </w:pPr>
            <w:r w:rsidRPr="002229ED">
              <w:rPr>
                <w:rFonts w:cs="Arial"/>
                <w:sz w:val="18"/>
                <w:szCs w:val="20"/>
              </w:rPr>
              <w:t>Insufficient forms to RAG rate</w:t>
            </w:r>
          </w:p>
        </w:tc>
      </w:tr>
    </w:tbl>
    <w:p w:rsidR="00667B0B" w:rsidRPr="003810E2" w:rsidRDefault="00667B0B" w:rsidP="00667B0B">
      <w:pPr>
        <w:rPr>
          <w:rFonts w:eastAsiaTheme="minorHAnsi" w:cs="Arial"/>
          <w:b/>
          <w:sz w:val="20"/>
          <w:szCs w:val="20"/>
          <w:lang w:eastAsia="en-US"/>
        </w:rPr>
      </w:pPr>
      <w:r w:rsidRPr="003810E2">
        <w:rPr>
          <w:rFonts w:eastAsiaTheme="minorHAnsi" w:cs="Arial"/>
          <w:b/>
          <w:sz w:val="20"/>
          <w:szCs w:val="20"/>
          <w:lang w:eastAsia="en-US"/>
        </w:rPr>
        <w:t xml:space="preserve">Key Findings: </w:t>
      </w:r>
    </w:p>
    <w:p w:rsidR="00AA0732" w:rsidRDefault="00667B0B" w:rsidP="00667B0B">
      <w:pPr>
        <w:rPr>
          <w:rFonts w:cs="Arial"/>
          <w:sz w:val="20"/>
          <w:szCs w:val="20"/>
        </w:rPr>
      </w:pPr>
      <w:proofErr w:type="gramStart"/>
      <w:r w:rsidRPr="003810E2">
        <w:rPr>
          <w:rFonts w:cs="Arial"/>
          <w:sz w:val="20"/>
          <w:szCs w:val="20"/>
        </w:rPr>
        <w:t xml:space="preserve">A total of </w:t>
      </w:r>
      <w:r>
        <w:rPr>
          <w:rFonts w:cs="Arial"/>
          <w:sz w:val="20"/>
          <w:szCs w:val="20"/>
        </w:rPr>
        <w:t>20</w:t>
      </w:r>
      <w:proofErr w:type="gramEnd"/>
      <w:r>
        <w:rPr>
          <w:rFonts w:cs="Arial"/>
          <w:sz w:val="20"/>
          <w:szCs w:val="20"/>
        </w:rPr>
        <w:t xml:space="preserve"> </w:t>
      </w:r>
      <w:r w:rsidRPr="003810E2">
        <w:rPr>
          <w:rFonts w:cs="Arial"/>
          <w:sz w:val="20"/>
          <w:szCs w:val="20"/>
        </w:rPr>
        <w:t xml:space="preserve">antibiotic prescriptions were audited across all sites </w:t>
      </w:r>
      <w:r w:rsidR="00A9433B">
        <w:rPr>
          <w:rFonts w:cs="Arial"/>
          <w:sz w:val="20"/>
          <w:szCs w:val="20"/>
        </w:rPr>
        <w:t xml:space="preserve">in November 2021 </w:t>
      </w:r>
      <w:r w:rsidRPr="003810E2">
        <w:rPr>
          <w:rFonts w:cs="Arial"/>
          <w:sz w:val="20"/>
          <w:szCs w:val="20"/>
        </w:rPr>
        <w:t>and findings</w:t>
      </w:r>
      <w:r w:rsidR="00AA0732">
        <w:rPr>
          <w:rFonts w:cs="Arial"/>
          <w:sz w:val="20"/>
          <w:szCs w:val="20"/>
        </w:rPr>
        <w:t xml:space="preserve"> for Q3</w:t>
      </w:r>
      <w:r w:rsidRPr="003810E2">
        <w:rPr>
          <w:rFonts w:cs="Arial"/>
          <w:sz w:val="20"/>
          <w:szCs w:val="20"/>
        </w:rPr>
        <w:t xml:space="preserve"> are summarised in table</w:t>
      </w:r>
      <w:r>
        <w:rPr>
          <w:rFonts w:cs="Arial"/>
          <w:sz w:val="20"/>
          <w:szCs w:val="20"/>
        </w:rPr>
        <w:t xml:space="preserve"> 1 </w:t>
      </w:r>
      <w:r w:rsidR="00AA0732">
        <w:rPr>
          <w:rFonts w:cs="Arial"/>
          <w:sz w:val="20"/>
          <w:szCs w:val="20"/>
        </w:rPr>
        <w:t>below</w:t>
      </w:r>
      <w:r w:rsidR="00A9433B">
        <w:rPr>
          <w:rFonts w:cs="Arial"/>
          <w:sz w:val="20"/>
          <w:szCs w:val="20"/>
        </w:rPr>
        <w:t xml:space="preserve">. </w:t>
      </w:r>
    </w:p>
    <w:p w:rsidR="00A22E9E" w:rsidRPr="00AA0732" w:rsidRDefault="00A9433B" w:rsidP="00667B0B">
      <w:pPr>
        <w:rPr>
          <w:rFonts w:cs="Arial"/>
          <w:sz w:val="20"/>
          <w:szCs w:val="20"/>
        </w:rPr>
      </w:pPr>
      <w:proofErr w:type="gramStart"/>
      <w:r>
        <w:rPr>
          <w:rFonts w:cs="Arial"/>
          <w:sz w:val="20"/>
          <w:szCs w:val="20"/>
        </w:rPr>
        <w:t>Also</w:t>
      </w:r>
      <w:proofErr w:type="gramEnd"/>
      <w:r>
        <w:rPr>
          <w:rFonts w:cs="Arial"/>
          <w:sz w:val="20"/>
          <w:szCs w:val="20"/>
        </w:rPr>
        <w:t xml:space="preserve"> a comparison chart was </w:t>
      </w:r>
      <w:r w:rsidR="00AA0732">
        <w:rPr>
          <w:rFonts w:cs="Arial"/>
          <w:sz w:val="20"/>
          <w:szCs w:val="20"/>
        </w:rPr>
        <w:t xml:space="preserve">developed for Q4, Q1, Q2 and Q3 in table </w:t>
      </w:r>
      <w:r w:rsidR="00667B0B">
        <w:rPr>
          <w:rFonts w:cs="Arial"/>
          <w:sz w:val="20"/>
          <w:szCs w:val="20"/>
        </w:rPr>
        <w:t>2 b</w:t>
      </w:r>
      <w:r w:rsidR="00A22E9E">
        <w:rPr>
          <w:rFonts w:cs="Arial"/>
          <w:sz w:val="20"/>
          <w:szCs w:val="20"/>
        </w:rPr>
        <w:t>elow</w:t>
      </w:r>
      <w:r w:rsidR="00AA0732">
        <w:rPr>
          <w:rFonts w:cs="Arial"/>
          <w:sz w:val="20"/>
          <w:szCs w:val="20"/>
        </w:rPr>
        <w:t>:</w:t>
      </w:r>
    </w:p>
    <w:p w:rsidR="00667B0B" w:rsidRPr="00E12A38" w:rsidRDefault="00E12A38" w:rsidP="00667B0B">
      <w:pPr>
        <w:rPr>
          <w:rFonts w:cs="Arial"/>
          <w:b/>
          <w:sz w:val="20"/>
          <w:szCs w:val="20"/>
        </w:rPr>
      </w:pPr>
      <w:r>
        <w:rPr>
          <w:rFonts w:cs="Arial"/>
          <w:b/>
          <w:sz w:val="18"/>
          <w:szCs w:val="20"/>
        </w:rPr>
        <w:t xml:space="preserve">Table 1: </w:t>
      </w:r>
      <w:r w:rsidRPr="007454A5">
        <w:rPr>
          <w:rFonts w:cs="Arial"/>
          <w:b/>
          <w:sz w:val="18"/>
          <w:szCs w:val="20"/>
        </w:rPr>
        <w:t>Compliance scores</w:t>
      </w:r>
      <w:r w:rsidR="004E1240">
        <w:rPr>
          <w:rFonts w:cs="Arial"/>
          <w:b/>
          <w:sz w:val="18"/>
          <w:szCs w:val="20"/>
        </w:rPr>
        <w:t xml:space="preserve"> Q3</w:t>
      </w:r>
    </w:p>
    <w:tbl>
      <w:tblPr>
        <w:tblW w:w="9356" w:type="dxa"/>
        <w:tblInd w:w="-10" w:type="dxa"/>
        <w:tblLook w:val="04A0" w:firstRow="1" w:lastRow="0" w:firstColumn="1" w:lastColumn="0" w:noHBand="0" w:noVBand="1"/>
      </w:tblPr>
      <w:tblGrid>
        <w:gridCol w:w="2127"/>
        <w:gridCol w:w="850"/>
        <w:gridCol w:w="1551"/>
        <w:gridCol w:w="2276"/>
        <w:gridCol w:w="2552"/>
      </w:tblGrid>
      <w:tr w:rsidR="00752812" w:rsidRPr="00667B0B" w:rsidTr="00752812">
        <w:trPr>
          <w:trHeight w:val="600"/>
        </w:trPr>
        <w:tc>
          <w:tcPr>
            <w:tcW w:w="212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752812" w:rsidRPr="00667B0B" w:rsidRDefault="00752812" w:rsidP="00667B0B">
            <w:pPr>
              <w:spacing w:before="0" w:after="0"/>
              <w:jc w:val="center"/>
              <w:rPr>
                <w:rFonts w:ascii="Calibri" w:hAnsi="Calibri" w:cs="Calibri"/>
                <w:color w:val="000000"/>
                <w:sz w:val="20"/>
                <w:szCs w:val="20"/>
              </w:rPr>
            </w:pPr>
            <w:r w:rsidRPr="00667B0B">
              <w:rPr>
                <w:rFonts w:ascii="Calibri" w:hAnsi="Calibri" w:cs="Calibri"/>
                <w:color w:val="000000"/>
                <w:sz w:val="20"/>
                <w:szCs w:val="20"/>
              </w:rPr>
              <w:t>Site</w:t>
            </w:r>
          </w:p>
        </w:tc>
        <w:tc>
          <w:tcPr>
            <w:tcW w:w="85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752812" w:rsidRPr="00667B0B" w:rsidRDefault="00752812" w:rsidP="00667B0B">
            <w:pPr>
              <w:spacing w:before="0" w:after="0"/>
              <w:jc w:val="center"/>
              <w:rPr>
                <w:rFonts w:ascii="Calibri" w:hAnsi="Calibri" w:cs="Calibri"/>
                <w:color w:val="000000"/>
                <w:sz w:val="20"/>
                <w:szCs w:val="20"/>
              </w:rPr>
            </w:pPr>
            <w:r w:rsidRPr="00667B0B">
              <w:rPr>
                <w:rFonts w:ascii="Calibri" w:hAnsi="Calibri" w:cs="Calibri"/>
                <w:color w:val="000000"/>
                <w:sz w:val="20"/>
                <w:szCs w:val="20"/>
              </w:rPr>
              <w:t>n</w:t>
            </w:r>
          </w:p>
        </w:tc>
        <w:tc>
          <w:tcPr>
            <w:tcW w:w="155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752812" w:rsidRPr="00667B0B" w:rsidRDefault="00752812" w:rsidP="00667B0B">
            <w:pPr>
              <w:spacing w:before="0" w:after="0"/>
              <w:jc w:val="center"/>
              <w:rPr>
                <w:rFonts w:ascii="Calibri" w:hAnsi="Calibri" w:cs="Calibri"/>
                <w:color w:val="000000"/>
                <w:sz w:val="20"/>
                <w:szCs w:val="20"/>
              </w:rPr>
            </w:pPr>
            <w:r w:rsidRPr="00667B0B">
              <w:rPr>
                <w:rFonts w:ascii="Calibri" w:hAnsi="Calibri" w:cs="Calibri"/>
                <w:color w:val="000000"/>
                <w:sz w:val="20"/>
                <w:szCs w:val="20"/>
              </w:rPr>
              <w:t>Appropriate Treatment Choice</w:t>
            </w:r>
          </w:p>
        </w:tc>
        <w:tc>
          <w:tcPr>
            <w:tcW w:w="4828" w:type="dxa"/>
            <w:gridSpan w:val="2"/>
            <w:tcBorders>
              <w:top w:val="single" w:sz="8" w:space="0" w:color="auto"/>
              <w:left w:val="nil"/>
              <w:bottom w:val="single" w:sz="4" w:space="0" w:color="auto"/>
              <w:right w:val="single" w:sz="8" w:space="0" w:color="000000"/>
            </w:tcBorders>
            <w:shd w:val="clear" w:color="auto" w:fill="auto"/>
            <w:vAlign w:val="center"/>
            <w:hideMark/>
          </w:tcPr>
          <w:p w:rsidR="00752812" w:rsidRPr="00667B0B" w:rsidRDefault="00752812" w:rsidP="00667B0B">
            <w:pPr>
              <w:spacing w:before="0" w:after="0"/>
              <w:jc w:val="center"/>
              <w:rPr>
                <w:rFonts w:ascii="Calibri" w:hAnsi="Calibri" w:cs="Calibri"/>
                <w:color w:val="000000"/>
                <w:sz w:val="20"/>
                <w:szCs w:val="20"/>
              </w:rPr>
            </w:pPr>
            <w:r w:rsidRPr="00667B0B">
              <w:rPr>
                <w:rFonts w:ascii="Calibri" w:hAnsi="Calibri" w:cs="Calibri"/>
                <w:color w:val="000000"/>
                <w:sz w:val="20"/>
                <w:szCs w:val="20"/>
              </w:rPr>
              <w:t>Documentation in Systm1 progress notes and medication chart</w:t>
            </w:r>
          </w:p>
        </w:tc>
      </w:tr>
      <w:tr w:rsidR="00752812" w:rsidRPr="00667B0B" w:rsidTr="00752812">
        <w:trPr>
          <w:trHeight w:val="300"/>
        </w:trPr>
        <w:tc>
          <w:tcPr>
            <w:tcW w:w="2127" w:type="dxa"/>
            <w:vMerge/>
            <w:tcBorders>
              <w:top w:val="single" w:sz="8" w:space="0" w:color="auto"/>
              <w:left w:val="single" w:sz="8" w:space="0" w:color="auto"/>
              <w:bottom w:val="single" w:sz="4" w:space="0" w:color="auto"/>
              <w:right w:val="single" w:sz="4" w:space="0" w:color="auto"/>
            </w:tcBorders>
            <w:vAlign w:val="center"/>
            <w:hideMark/>
          </w:tcPr>
          <w:p w:rsidR="00752812" w:rsidRPr="00667B0B" w:rsidRDefault="00752812" w:rsidP="00667B0B">
            <w:pPr>
              <w:spacing w:before="0" w:after="0"/>
              <w:jc w:val="left"/>
              <w:rPr>
                <w:rFonts w:ascii="Calibri" w:hAnsi="Calibri" w:cs="Calibri"/>
                <w:color w:val="000000"/>
                <w:sz w:val="20"/>
                <w:szCs w:val="20"/>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rsidR="00752812" w:rsidRPr="00667B0B" w:rsidRDefault="00752812" w:rsidP="00667B0B">
            <w:pPr>
              <w:spacing w:before="0" w:after="0"/>
              <w:jc w:val="left"/>
              <w:rPr>
                <w:rFonts w:ascii="Calibri" w:hAnsi="Calibri" w:cs="Calibri"/>
                <w:color w:val="000000"/>
                <w:sz w:val="20"/>
                <w:szCs w:val="20"/>
              </w:rPr>
            </w:pPr>
          </w:p>
        </w:tc>
        <w:tc>
          <w:tcPr>
            <w:tcW w:w="1551" w:type="dxa"/>
            <w:vMerge/>
            <w:tcBorders>
              <w:top w:val="single" w:sz="8" w:space="0" w:color="auto"/>
              <w:left w:val="single" w:sz="4" w:space="0" w:color="auto"/>
              <w:bottom w:val="single" w:sz="4" w:space="0" w:color="auto"/>
              <w:right w:val="single" w:sz="4" w:space="0" w:color="auto"/>
            </w:tcBorders>
            <w:vAlign w:val="center"/>
            <w:hideMark/>
          </w:tcPr>
          <w:p w:rsidR="00752812" w:rsidRPr="00667B0B" w:rsidRDefault="00752812" w:rsidP="00667B0B">
            <w:pPr>
              <w:spacing w:before="0" w:after="0"/>
              <w:jc w:val="left"/>
              <w:rPr>
                <w:rFonts w:ascii="Calibri" w:hAnsi="Calibri" w:cs="Calibri"/>
                <w:color w:val="000000"/>
                <w:sz w:val="20"/>
                <w:szCs w:val="20"/>
              </w:rPr>
            </w:pPr>
          </w:p>
        </w:tc>
        <w:tc>
          <w:tcPr>
            <w:tcW w:w="2276" w:type="dxa"/>
            <w:tcBorders>
              <w:top w:val="nil"/>
              <w:left w:val="nil"/>
              <w:bottom w:val="single" w:sz="4" w:space="0" w:color="auto"/>
              <w:right w:val="single" w:sz="4" w:space="0" w:color="auto"/>
            </w:tcBorders>
            <w:shd w:val="clear" w:color="auto" w:fill="auto"/>
            <w:noWrap/>
            <w:vAlign w:val="center"/>
            <w:hideMark/>
          </w:tcPr>
          <w:p w:rsidR="00752812" w:rsidRPr="00667B0B" w:rsidRDefault="00752812" w:rsidP="00667B0B">
            <w:pPr>
              <w:spacing w:before="0" w:after="0"/>
              <w:jc w:val="center"/>
              <w:rPr>
                <w:rFonts w:ascii="Calibri" w:hAnsi="Calibri" w:cs="Calibri"/>
                <w:color w:val="000000"/>
                <w:sz w:val="20"/>
                <w:szCs w:val="20"/>
              </w:rPr>
            </w:pPr>
            <w:r w:rsidRPr="00667B0B">
              <w:rPr>
                <w:rFonts w:ascii="Calibri" w:hAnsi="Calibri" w:cs="Calibri"/>
                <w:color w:val="000000"/>
                <w:sz w:val="20"/>
                <w:szCs w:val="20"/>
              </w:rPr>
              <w:t xml:space="preserve">Indication </w:t>
            </w:r>
          </w:p>
        </w:tc>
        <w:tc>
          <w:tcPr>
            <w:tcW w:w="2552" w:type="dxa"/>
            <w:tcBorders>
              <w:top w:val="nil"/>
              <w:left w:val="nil"/>
              <w:bottom w:val="single" w:sz="4" w:space="0" w:color="auto"/>
              <w:right w:val="single" w:sz="8" w:space="0" w:color="auto"/>
            </w:tcBorders>
            <w:shd w:val="clear" w:color="auto" w:fill="auto"/>
            <w:noWrap/>
            <w:vAlign w:val="center"/>
            <w:hideMark/>
          </w:tcPr>
          <w:p w:rsidR="00752812" w:rsidRPr="00667B0B" w:rsidRDefault="00752812" w:rsidP="00667B0B">
            <w:pPr>
              <w:spacing w:before="0" w:after="0"/>
              <w:jc w:val="center"/>
              <w:rPr>
                <w:rFonts w:ascii="Calibri" w:hAnsi="Calibri" w:cs="Calibri"/>
                <w:color w:val="000000"/>
                <w:sz w:val="20"/>
                <w:szCs w:val="20"/>
              </w:rPr>
            </w:pPr>
            <w:r w:rsidRPr="00667B0B">
              <w:rPr>
                <w:rFonts w:ascii="Calibri" w:hAnsi="Calibri" w:cs="Calibri"/>
                <w:color w:val="000000"/>
                <w:sz w:val="20"/>
                <w:szCs w:val="20"/>
              </w:rPr>
              <w:t>Course Length</w:t>
            </w:r>
            <w:r>
              <w:rPr>
                <w:rFonts w:ascii="Calibri" w:hAnsi="Calibri" w:cs="Calibri"/>
                <w:color w:val="000000"/>
                <w:sz w:val="20"/>
                <w:szCs w:val="20"/>
              </w:rPr>
              <w:t>/Review Date</w:t>
            </w:r>
          </w:p>
        </w:tc>
      </w:tr>
      <w:tr w:rsidR="00752812" w:rsidRPr="00667B0B" w:rsidTr="00752812">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752812" w:rsidRPr="00667B0B" w:rsidRDefault="00752812" w:rsidP="00667B0B">
            <w:pPr>
              <w:spacing w:before="0" w:after="0"/>
              <w:jc w:val="left"/>
              <w:rPr>
                <w:rFonts w:ascii="Calibri" w:hAnsi="Calibri" w:cs="Calibri"/>
                <w:color w:val="000000"/>
                <w:sz w:val="20"/>
                <w:szCs w:val="20"/>
              </w:rPr>
            </w:pPr>
            <w:r>
              <w:rPr>
                <w:rFonts w:ascii="Calibri" w:hAnsi="Calibri" w:cs="Calibri"/>
                <w:color w:val="000000"/>
                <w:sz w:val="20"/>
                <w:szCs w:val="20"/>
              </w:rPr>
              <w:t xml:space="preserve">Bedfordshire &amp; Luton </w:t>
            </w:r>
          </w:p>
        </w:tc>
        <w:tc>
          <w:tcPr>
            <w:tcW w:w="850" w:type="dxa"/>
            <w:tcBorders>
              <w:top w:val="nil"/>
              <w:left w:val="nil"/>
              <w:bottom w:val="single" w:sz="4" w:space="0" w:color="auto"/>
              <w:right w:val="single" w:sz="4" w:space="0" w:color="auto"/>
            </w:tcBorders>
            <w:shd w:val="clear" w:color="auto" w:fill="auto"/>
            <w:noWrap/>
            <w:vAlign w:val="bottom"/>
          </w:tcPr>
          <w:p w:rsidR="00752812" w:rsidRPr="00667B0B" w:rsidRDefault="00752812" w:rsidP="00667B0B">
            <w:pPr>
              <w:spacing w:before="0" w:after="0"/>
              <w:jc w:val="center"/>
              <w:rPr>
                <w:rFonts w:ascii="Calibri" w:hAnsi="Calibri" w:cs="Calibri"/>
                <w:color w:val="000000"/>
                <w:sz w:val="20"/>
                <w:szCs w:val="20"/>
              </w:rPr>
            </w:pPr>
            <w:r>
              <w:rPr>
                <w:rFonts w:ascii="Calibri" w:hAnsi="Calibri" w:cs="Calibri"/>
                <w:color w:val="000000"/>
                <w:sz w:val="20"/>
                <w:szCs w:val="20"/>
              </w:rPr>
              <w:t>10</w:t>
            </w:r>
          </w:p>
        </w:tc>
        <w:tc>
          <w:tcPr>
            <w:tcW w:w="1551" w:type="dxa"/>
            <w:tcBorders>
              <w:top w:val="nil"/>
              <w:left w:val="nil"/>
              <w:bottom w:val="single" w:sz="4" w:space="0" w:color="auto"/>
              <w:right w:val="single" w:sz="4" w:space="0" w:color="auto"/>
            </w:tcBorders>
            <w:shd w:val="clear" w:color="auto" w:fill="00B050"/>
            <w:noWrap/>
            <w:vAlign w:val="bottom"/>
          </w:tcPr>
          <w:p w:rsidR="00752812" w:rsidRPr="00667B0B" w:rsidRDefault="00752812" w:rsidP="00667B0B">
            <w:pPr>
              <w:spacing w:before="0" w:after="0"/>
              <w:jc w:val="center"/>
              <w:rPr>
                <w:rFonts w:ascii="Calibri" w:hAnsi="Calibri" w:cs="Calibri"/>
                <w:b/>
                <w:color w:val="000000"/>
                <w:sz w:val="20"/>
                <w:szCs w:val="20"/>
              </w:rPr>
            </w:pPr>
            <w:r w:rsidRPr="00667B0B">
              <w:rPr>
                <w:rFonts w:ascii="Calibri" w:hAnsi="Calibri" w:cs="Calibri"/>
                <w:b/>
                <w:color w:val="000000"/>
                <w:sz w:val="20"/>
                <w:szCs w:val="20"/>
              </w:rPr>
              <w:t>100%</w:t>
            </w:r>
          </w:p>
        </w:tc>
        <w:tc>
          <w:tcPr>
            <w:tcW w:w="2276" w:type="dxa"/>
            <w:tcBorders>
              <w:top w:val="nil"/>
              <w:left w:val="nil"/>
              <w:bottom w:val="single" w:sz="4" w:space="0" w:color="auto"/>
              <w:right w:val="single" w:sz="4" w:space="0" w:color="auto"/>
            </w:tcBorders>
            <w:shd w:val="clear" w:color="auto" w:fill="00B050"/>
            <w:noWrap/>
            <w:vAlign w:val="bottom"/>
          </w:tcPr>
          <w:p w:rsidR="00752812" w:rsidRPr="00667B0B" w:rsidRDefault="00752812" w:rsidP="00667B0B">
            <w:pPr>
              <w:spacing w:before="0" w:after="0"/>
              <w:jc w:val="center"/>
              <w:rPr>
                <w:rFonts w:ascii="Calibri" w:hAnsi="Calibri" w:cs="Calibri"/>
                <w:b/>
                <w:color w:val="000000"/>
                <w:sz w:val="20"/>
                <w:szCs w:val="20"/>
              </w:rPr>
            </w:pPr>
            <w:r w:rsidRPr="00667B0B">
              <w:rPr>
                <w:rFonts w:ascii="Calibri" w:hAnsi="Calibri" w:cs="Calibri"/>
                <w:b/>
                <w:color w:val="000000"/>
                <w:sz w:val="20"/>
                <w:szCs w:val="20"/>
              </w:rPr>
              <w:t>100%</w:t>
            </w:r>
          </w:p>
        </w:tc>
        <w:tc>
          <w:tcPr>
            <w:tcW w:w="2552" w:type="dxa"/>
            <w:tcBorders>
              <w:top w:val="nil"/>
              <w:left w:val="nil"/>
              <w:bottom w:val="single" w:sz="4" w:space="0" w:color="auto"/>
              <w:right w:val="single" w:sz="8" w:space="0" w:color="auto"/>
            </w:tcBorders>
            <w:shd w:val="clear" w:color="auto" w:fill="00B050"/>
            <w:noWrap/>
            <w:vAlign w:val="bottom"/>
          </w:tcPr>
          <w:p w:rsidR="00752812" w:rsidRPr="00667B0B" w:rsidRDefault="00752812" w:rsidP="00667B0B">
            <w:pPr>
              <w:spacing w:before="0" w:after="0"/>
              <w:jc w:val="center"/>
              <w:rPr>
                <w:rFonts w:ascii="Calibri" w:hAnsi="Calibri" w:cs="Calibri"/>
                <w:b/>
                <w:color w:val="000000"/>
                <w:sz w:val="20"/>
                <w:szCs w:val="20"/>
              </w:rPr>
            </w:pPr>
            <w:r w:rsidRPr="00667B0B">
              <w:rPr>
                <w:rFonts w:ascii="Calibri" w:hAnsi="Calibri" w:cs="Calibri"/>
                <w:b/>
                <w:color w:val="000000"/>
                <w:sz w:val="20"/>
                <w:szCs w:val="20"/>
              </w:rPr>
              <w:t>100%</w:t>
            </w:r>
          </w:p>
        </w:tc>
      </w:tr>
      <w:tr w:rsidR="00752812" w:rsidRPr="00667B0B" w:rsidTr="00752812">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752812" w:rsidRPr="00667B0B" w:rsidRDefault="00752812" w:rsidP="00752812">
            <w:pPr>
              <w:spacing w:before="0" w:after="0"/>
              <w:jc w:val="left"/>
              <w:rPr>
                <w:rFonts w:ascii="Calibri" w:hAnsi="Calibri" w:cs="Calibri"/>
                <w:color w:val="000000"/>
                <w:sz w:val="20"/>
                <w:szCs w:val="20"/>
              </w:rPr>
            </w:pPr>
            <w:r>
              <w:rPr>
                <w:rFonts w:ascii="Calibri" w:hAnsi="Calibri" w:cs="Calibri"/>
                <w:color w:val="000000"/>
                <w:sz w:val="20"/>
                <w:szCs w:val="20"/>
              </w:rPr>
              <w:t>Tower Hamlets</w:t>
            </w:r>
          </w:p>
        </w:tc>
        <w:tc>
          <w:tcPr>
            <w:tcW w:w="850" w:type="dxa"/>
            <w:tcBorders>
              <w:top w:val="nil"/>
              <w:left w:val="nil"/>
              <w:bottom w:val="single" w:sz="4" w:space="0" w:color="auto"/>
              <w:right w:val="single" w:sz="4" w:space="0" w:color="auto"/>
            </w:tcBorders>
            <w:shd w:val="clear" w:color="auto" w:fill="auto"/>
            <w:noWrap/>
            <w:vAlign w:val="bottom"/>
          </w:tcPr>
          <w:p w:rsidR="00752812" w:rsidRPr="00667B0B" w:rsidRDefault="00752812" w:rsidP="00752812">
            <w:pPr>
              <w:spacing w:before="0" w:after="0"/>
              <w:jc w:val="center"/>
              <w:rPr>
                <w:rFonts w:ascii="Calibri" w:hAnsi="Calibri" w:cs="Calibri"/>
                <w:color w:val="000000"/>
                <w:sz w:val="20"/>
                <w:szCs w:val="20"/>
              </w:rPr>
            </w:pPr>
            <w:r>
              <w:rPr>
                <w:rFonts w:ascii="Calibri" w:hAnsi="Calibri" w:cs="Calibri"/>
                <w:color w:val="000000"/>
                <w:sz w:val="20"/>
                <w:szCs w:val="20"/>
              </w:rPr>
              <w:t>7</w:t>
            </w:r>
          </w:p>
        </w:tc>
        <w:tc>
          <w:tcPr>
            <w:tcW w:w="1551" w:type="dxa"/>
            <w:tcBorders>
              <w:top w:val="nil"/>
              <w:left w:val="nil"/>
              <w:bottom w:val="single" w:sz="4" w:space="0" w:color="auto"/>
              <w:right w:val="single" w:sz="4" w:space="0" w:color="auto"/>
            </w:tcBorders>
            <w:shd w:val="clear" w:color="auto" w:fill="00B050"/>
            <w:noWrap/>
            <w:vAlign w:val="bottom"/>
          </w:tcPr>
          <w:p w:rsidR="00752812" w:rsidRPr="00667B0B" w:rsidRDefault="00752812" w:rsidP="00752812">
            <w:pPr>
              <w:spacing w:before="0" w:after="0"/>
              <w:jc w:val="center"/>
              <w:rPr>
                <w:rFonts w:ascii="Calibri" w:hAnsi="Calibri" w:cs="Calibri"/>
                <w:b/>
                <w:color w:val="000000"/>
                <w:sz w:val="20"/>
                <w:szCs w:val="20"/>
              </w:rPr>
            </w:pPr>
            <w:r w:rsidRPr="00667B0B">
              <w:rPr>
                <w:rFonts w:ascii="Calibri" w:hAnsi="Calibri" w:cs="Calibri"/>
                <w:b/>
                <w:color w:val="000000"/>
                <w:sz w:val="20"/>
                <w:szCs w:val="20"/>
              </w:rPr>
              <w:t>100%</w:t>
            </w:r>
          </w:p>
        </w:tc>
        <w:tc>
          <w:tcPr>
            <w:tcW w:w="2276" w:type="dxa"/>
            <w:tcBorders>
              <w:top w:val="nil"/>
              <w:left w:val="nil"/>
              <w:bottom w:val="single" w:sz="4" w:space="0" w:color="auto"/>
              <w:right w:val="single" w:sz="4" w:space="0" w:color="auto"/>
            </w:tcBorders>
            <w:shd w:val="clear" w:color="auto" w:fill="00B050"/>
            <w:noWrap/>
            <w:vAlign w:val="bottom"/>
          </w:tcPr>
          <w:p w:rsidR="00752812" w:rsidRPr="00667B0B" w:rsidRDefault="00752812" w:rsidP="00752812">
            <w:pPr>
              <w:spacing w:before="0" w:after="0"/>
              <w:jc w:val="center"/>
              <w:rPr>
                <w:rFonts w:ascii="Calibri" w:hAnsi="Calibri" w:cs="Calibri"/>
                <w:b/>
                <w:color w:val="000000"/>
                <w:sz w:val="20"/>
                <w:szCs w:val="20"/>
              </w:rPr>
            </w:pPr>
            <w:r w:rsidRPr="00667B0B">
              <w:rPr>
                <w:rFonts w:ascii="Calibri" w:hAnsi="Calibri" w:cs="Calibri"/>
                <w:b/>
                <w:color w:val="000000"/>
                <w:sz w:val="20"/>
                <w:szCs w:val="20"/>
              </w:rPr>
              <w:t>100%</w:t>
            </w:r>
          </w:p>
        </w:tc>
        <w:tc>
          <w:tcPr>
            <w:tcW w:w="2552" w:type="dxa"/>
            <w:tcBorders>
              <w:top w:val="nil"/>
              <w:left w:val="nil"/>
              <w:bottom w:val="single" w:sz="4" w:space="0" w:color="auto"/>
              <w:right w:val="single" w:sz="8" w:space="0" w:color="auto"/>
            </w:tcBorders>
            <w:shd w:val="clear" w:color="auto" w:fill="FFC000"/>
            <w:noWrap/>
            <w:vAlign w:val="bottom"/>
          </w:tcPr>
          <w:p w:rsidR="00752812" w:rsidRPr="00667B0B" w:rsidRDefault="00752812" w:rsidP="00752812">
            <w:pPr>
              <w:spacing w:before="0" w:after="0"/>
              <w:jc w:val="center"/>
              <w:rPr>
                <w:rFonts w:ascii="Calibri" w:hAnsi="Calibri" w:cs="Calibri"/>
                <w:b/>
                <w:color w:val="000000"/>
                <w:sz w:val="20"/>
                <w:szCs w:val="20"/>
              </w:rPr>
            </w:pPr>
            <w:r>
              <w:rPr>
                <w:rFonts w:ascii="Calibri" w:hAnsi="Calibri" w:cs="Calibri"/>
                <w:b/>
                <w:color w:val="000000"/>
                <w:sz w:val="20"/>
                <w:szCs w:val="20"/>
              </w:rPr>
              <w:t>86%</w:t>
            </w:r>
          </w:p>
        </w:tc>
      </w:tr>
      <w:tr w:rsidR="00752812" w:rsidRPr="00667B0B" w:rsidTr="00752812">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tcPr>
          <w:p w:rsidR="00752812" w:rsidRPr="00667B0B" w:rsidRDefault="00752812" w:rsidP="00752812">
            <w:pPr>
              <w:spacing w:before="0" w:after="0"/>
              <w:jc w:val="left"/>
              <w:rPr>
                <w:rFonts w:ascii="Calibri" w:hAnsi="Calibri" w:cs="Calibri"/>
                <w:color w:val="000000"/>
                <w:sz w:val="20"/>
                <w:szCs w:val="20"/>
              </w:rPr>
            </w:pPr>
            <w:r>
              <w:rPr>
                <w:rFonts w:ascii="Calibri" w:hAnsi="Calibri" w:cs="Calibri"/>
                <w:color w:val="000000"/>
                <w:sz w:val="20"/>
                <w:szCs w:val="20"/>
              </w:rPr>
              <w:t>Newham</w:t>
            </w:r>
          </w:p>
        </w:tc>
        <w:tc>
          <w:tcPr>
            <w:tcW w:w="850" w:type="dxa"/>
            <w:tcBorders>
              <w:top w:val="nil"/>
              <w:left w:val="nil"/>
              <w:bottom w:val="single" w:sz="4" w:space="0" w:color="auto"/>
              <w:right w:val="single" w:sz="4" w:space="0" w:color="auto"/>
            </w:tcBorders>
            <w:shd w:val="clear" w:color="auto" w:fill="auto"/>
            <w:noWrap/>
            <w:vAlign w:val="bottom"/>
          </w:tcPr>
          <w:p w:rsidR="00752812" w:rsidRPr="00667B0B" w:rsidRDefault="00752812" w:rsidP="00752812">
            <w:pPr>
              <w:spacing w:before="0" w:after="0"/>
              <w:jc w:val="center"/>
              <w:rPr>
                <w:rFonts w:ascii="Calibri" w:hAnsi="Calibri" w:cs="Calibri"/>
                <w:color w:val="000000"/>
                <w:sz w:val="20"/>
                <w:szCs w:val="20"/>
              </w:rPr>
            </w:pPr>
            <w:r w:rsidRPr="00667B0B">
              <w:rPr>
                <w:rFonts w:ascii="Calibri" w:hAnsi="Calibri" w:cs="Calibri"/>
                <w:color w:val="000000"/>
                <w:sz w:val="20"/>
                <w:szCs w:val="20"/>
              </w:rPr>
              <w:t>0</w:t>
            </w:r>
          </w:p>
        </w:tc>
        <w:tc>
          <w:tcPr>
            <w:tcW w:w="1551" w:type="dxa"/>
            <w:tcBorders>
              <w:top w:val="nil"/>
              <w:left w:val="nil"/>
              <w:bottom w:val="single" w:sz="4" w:space="0" w:color="auto"/>
              <w:right w:val="single" w:sz="4" w:space="0" w:color="auto"/>
            </w:tcBorders>
            <w:shd w:val="clear" w:color="auto" w:fill="auto"/>
            <w:noWrap/>
            <w:vAlign w:val="bottom"/>
          </w:tcPr>
          <w:p w:rsidR="00752812" w:rsidRPr="00667B0B" w:rsidRDefault="00752812" w:rsidP="00752812">
            <w:pPr>
              <w:spacing w:before="0" w:after="0"/>
              <w:jc w:val="center"/>
              <w:rPr>
                <w:rFonts w:ascii="Calibri" w:hAnsi="Calibri" w:cs="Calibri"/>
                <w:b/>
                <w:color w:val="000000"/>
                <w:sz w:val="20"/>
                <w:szCs w:val="20"/>
              </w:rPr>
            </w:pPr>
            <w:r w:rsidRPr="00667B0B">
              <w:rPr>
                <w:rFonts w:ascii="Calibri" w:hAnsi="Calibri" w:cs="Calibri"/>
                <w:b/>
                <w:color w:val="000000"/>
                <w:sz w:val="20"/>
                <w:szCs w:val="20"/>
              </w:rPr>
              <w:t>-</w:t>
            </w:r>
          </w:p>
        </w:tc>
        <w:tc>
          <w:tcPr>
            <w:tcW w:w="2276" w:type="dxa"/>
            <w:tcBorders>
              <w:top w:val="nil"/>
              <w:left w:val="nil"/>
              <w:bottom w:val="single" w:sz="4" w:space="0" w:color="auto"/>
              <w:right w:val="single" w:sz="4" w:space="0" w:color="auto"/>
            </w:tcBorders>
            <w:shd w:val="clear" w:color="auto" w:fill="auto"/>
            <w:noWrap/>
            <w:vAlign w:val="bottom"/>
          </w:tcPr>
          <w:p w:rsidR="00752812" w:rsidRPr="00667B0B" w:rsidRDefault="00752812" w:rsidP="00752812">
            <w:pPr>
              <w:spacing w:before="0" w:after="0"/>
              <w:jc w:val="center"/>
              <w:rPr>
                <w:rFonts w:ascii="Calibri" w:hAnsi="Calibri" w:cs="Calibri"/>
                <w:b/>
                <w:color w:val="000000"/>
                <w:sz w:val="20"/>
                <w:szCs w:val="20"/>
              </w:rPr>
            </w:pPr>
            <w:r w:rsidRPr="00667B0B">
              <w:rPr>
                <w:rFonts w:ascii="Calibri" w:hAnsi="Calibri" w:cs="Calibri"/>
                <w:b/>
                <w:color w:val="000000"/>
                <w:sz w:val="20"/>
                <w:szCs w:val="20"/>
              </w:rPr>
              <w:t>-</w:t>
            </w:r>
          </w:p>
        </w:tc>
        <w:tc>
          <w:tcPr>
            <w:tcW w:w="2552" w:type="dxa"/>
            <w:tcBorders>
              <w:top w:val="nil"/>
              <w:left w:val="nil"/>
              <w:bottom w:val="single" w:sz="4" w:space="0" w:color="auto"/>
              <w:right w:val="single" w:sz="8" w:space="0" w:color="auto"/>
            </w:tcBorders>
            <w:shd w:val="clear" w:color="auto" w:fill="auto"/>
            <w:noWrap/>
            <w:vAlign w:val="bottom"/>
          </w:tcPr>
          <w:p w:rsidR="00752812" w:rsidRPr="00667B0B" w:rsidRDefault="00752812" w:rsidP="00752812">
            <w:pPr>
              <w:spacing w:before="0" w:after="0"/>
              <w:jc w:val="center"/>
              <w:rPr>
                <w:rFonts w:ascii="Calibri" w:hAnsi="Calibri" w:cs="Calibri"/>
                <w:b/>
                <w:color w:val="000000"/>
                <w:sz w:val="20"/>
                <w:szCs w:val="20"/>
              </w:rPr>
            </w:pPr>
            <w:r w:rsidRPr="00667B0B">
              <w:rPr>
                <w:rFonts w:ascii="Calibri" w:hAnsi="Calibri" w:cs="Calibri"/>
                <w:b/>
                <w:color w:val="000000"/>
                <w:sz w:val="20"/>
                <w:szCs w:val="20"/>
              </w:rPr>
              <w:t>-</w:t>
            </w:r>
          </w:p>
        </w:tc>
      </w:tr>
      <w:tr w:rsidR="00752812" w:rsidRPr="00667B0B" w:rsidTr="00752812">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752812" w:rsidRPr="00667B0B" w:rsidRDefault="00752812" w:rsidP="00752812">
            <w:pPr>
              <w:spacing w:before="0" w:after="0"/>
              <w:jc w:val="left"/>
              <w:rPr>
                <w:rFonts w:ascii="Calibri" w:hAnsi="Calibri" w:cs="Calibri"/>
                <w:color w:val="000000"/>
                <w:sz w:val="20"/>
                <w:szCs w:val="20"/>
              </w:rPr>
            </w:pPr>
            <w:r>
              <w:rPr>
                <w:rFonts w:ascii="Calibri" w:hAnsi="Calibri" w:cs="Calibri"/>
                <w:color w:val="000000"/>
                <w:sz w:val="20"/>
                <w:szCs w:val="20"/>
              </w:rPr>
              <w:t>City &amp; Hackney</w:t>
            </w:r>
          </w:p>
        </w:tc>
        <w:tc>
          <w:tcPr>
            <w:tcW w:w="850" w:type="dxa"/>
            <w:tcBorders>
              <w:top w:val="nil"/>
              <w:left w:val="nil"/>
              <w:bottom w:val="single" w:sz="4" w:space="0" w:color="auto"/>
              <w:right w:val="single" w:sz="4" w:space="0" w:color="auto"/>
            </w:tcBorders>
            <w:shd w:val="clear" w:color="auto" w:fill="auto"/>
            <w:noWrap/>
            <w:vAlign w:val="bottom"/>
          </w:tcPr>
          <w:p w:rsidR="00752812" w:rsidRPr="00667B0B" w:rsidRDefault="00752812" w:rsidP="00752812">
            <w:pPr>
              <w:spacing w:before="0" w:after="0"/>
              <w:jc w:val="center"/>
              <w:rPr>
                <w:rFonts w:ascii="Calibri" w:hAnsi="Calibri" w:cs="Calibri"/>
                <w:color w:val="000000"/>
                <w:sz w:val="20"/>
                <w:szCs w:val="20"/>
              </w:rPr>
            </w:pPr>
            <w:r>
              <w:rPr>
                <w:rFonts w:ascii="Calibri" w:hAnsi="Calibri" w:cs="Calibri"/>
                <w:color w:val="000000"/>
                <w:sz w:val="20"/>
                <w:szCs w:val="20"/>
              </w:rPr>
              <w:t>2</w:t>
            </w:r>
          </w:p>
        </w:tc>
        <w:tc>
          <w:tcPr>
            <w:tcW w:w="1551" w:type="dxa"/>
            <w:tcBorders>
              <w:top w:val="nil"/>
              <w:left w:val="nil"/>
              <w:bottom w:val="single" w:sz="4" w:space="0" w:color="auto"/>
              <w:right w:val="single" w:sz="4" w:space="0" w:color="auto"/>
            </w:tcBorders>
            <w:shd w:val="clear" w:color="auto" w:fill="00B050"/>
            <w:noWrap/>
            <w:vAlign w:val="bottom"/>
          </w:tcPr>
          <w:p w:rsidR="00752812" w:rsidRPr="00667B0B" w:rsidRDefault="00752812" w:rsidP="00752812">
            <w:pPr>
              <w:spacing w:before="0" w:after="0"/>
              <w:jc w:val="center"/>
              <w:rPr>
                <w:rFonts w:ascii="Calibri" w:hAnsi="Calibri" w:cs="Calibri"/>
                <w:b/>
                <w:color w:val="000000"/>
                <w:sz w:val="20"/>
                <w:szCs w:val="20"/>
              </w:rPr>
            </w:pPr>
            <w:r w:rsidRPr="00667B0B">
              <w:rPr>
                <w:rFonts w:ascii="Calibri" w:hAnsi="Calibri" w:cs="Calibri"/>
                <w:b/>
                <w:color w:val="000000"/>
                <w:sz w:val="20"/>
                <w:szCs w:val="20"/>
              </w:rPr>
              <w:t>100%</w:t>
            </w:r>
          </w:p>
        </w:tc>
        <w:tc>
          <w:tcPr>
            <w:tcW w:w="2276" w:type="dxa"/>
            <w:tcBorders>
              <w:top w:val="nil"/>
              <w:left w:val="nil"/>
              <w:bottom w:val="single" w:sz="4" w:space="0" w:color="auto"/>
              <w:right w:val="single" w:sz="4" w:space="0" w:color="auto"/>
            </w:tcBorders>
            <w:shd w:val="clear" w:color="auto" w:fill="00B050"/>
            <w:noWrap/>
            <w:vAlign w:val="bottom"/>
          </w:tcPr>
          <w:p w:rsidR="00752812" w:rsidRPr="00667B0B" w:rsidRDefault="00752812" w:rsidP="00752812">
            <w:pPr>
              <w:spacing w:before="0" w:after="0"/>
              <w:jc w:val="center"/>
              <w:rPr>
                <w:rFonts w:ascii="Calibri" w:hAnsi="Calibri" w:cs="Calibri"/>
                <w:b/>
                <w:color w:val="000000"/>
                <w:sz w:val="20"/>
                <w:szCs w:val="20"/>
              </w:rPr>
            </w:pPr>
            <w:r w:rsidRPr="00667B0B">
              <w:rPr>
                <w:rFonts w:ascii="Calibri" w:hAnsi="Calibri" w:cs="Calibri"/>
                <w:b/>
                <w:color w:val="000000"/>
                <w:sz w:val="20"/>
                <w:szCs w:val="20"/>
              </w:rPr>
              <w:t>100%</w:t>
            </w:r>
          </w:p>
        </w:tc>
        <w:tc>
          <w:tcPr>
            <w:tcW w:w="2552" w:type="dxa"/>
            <w:tcBorders>
              <w:top w:val="nil"/>
              <w:left w:val="nil"/>
              <w:bottom w:val="single" w:sz="4" w:space="0" w:color="auto"/>
              <w:right w:val="single" w:sz="8" w:space="0" w:color="auto"/>
            </w:tcBorders>
            <w:shd w:val="clear" w:color="auto" w:fill="00B050"/>
            <w:noWrap/>
            <w:vAlign w:val="bottom"/>
          </w:tcPr>
          <w:p w:rsidR="00752812" w:rsidRPr="00667B0B" w:rsidRDefault="00752812" w:rsidP="00752812">
            <w:pPr>
              <w:spacing w:before="0" w:after="0"/>
              <w:jc w:val="center"/>
              <w:rPr>
                <w:rFonts w:ascii="Calibri" w:hAnsi="Calibri" w:cs="Calibri"/>
                <w:b/>
                <w:color w:val="000000"/>
                <w:sz w:val="20"/>
                <w:szCs w:val="20"/>
              </w:rPr>
            </w:pPr>
            <w:r w:rsidRPr="00667B0B">
              <w:rPr>
                <w:rFonts w:ascii="Calibri" w:hAnsi="Calibri" w:cs="Calibri"/>
                <w:b/>
                <w:color w:val="000000"/>
                <w:sz w:val="20"/>
                <w:szCs w:val="20"/>
              </w:rPr>
              <w:t>100%</w:t>
            </w:r>
          </w:p>
        </w:tc>
      </w:tr>
      <w:tr w:rsidR="00752812" w:rsidRPr="00667B0B" w:rsidTr="00752812">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752812" w:rsidRPr="00667B0B" w:rsidRDefault="00752812" w:rsidP="00752812">
            <w:pPr>
              <w:spacing w:before="0" w:after="0"/>
              <w:jc w:val="left"/>
              <w:rPr>
                <w:rFonts w:ascii="Calibri" w:hAnsi="Calibri" w:cs="Calibri"/>
                <w:color w:val="000000"/>
                <w:sz w:val="20"/>
                <w:szCs w:val="20"/>
              </w:rPr>
            </w:pPr>
            <w:r>
              <w:rPr>
                <w:rFonts w:ascii="Calibri" w:hAnsi="Calibri" w:cs="Calibri"/>
                <w:color w:val="000000"/>
                <w:sz w:val="20"/>
                <w:szCs w:val="20"/>
              </w:rPr>
              <w:t>CAMHS</w:t>
            </w:r>
          </w:p>
        </w:tc>
        <w:tc>
          <w:tcPr>
            <w:tcW w:w="850" w:type="dxa"/>
            <w:tcBorders>
              <w:top w:val="nil"/>
              <w:left w:val="nil"/>
              <w:bottom w:val="single" w:sz="4" w:space="0" w:color="auto"/>
              <w:right w:val="single" w:sz="4" w:space="0" w:color="auto"/>
            </w:tcBorders>
            <w:shd w:val="clear" w:color="auto" w:fill="auto"/>
            <w:noWrap/>
            <w:vAlign w:val="bottom"/>
          </w:tcPr>
          <w:p w:rsidR="00752812" w:rsidRPr="00667B0B" w:rsidRDefault="00752812" w:rsidP="00752812">
            <w:pPr>
              <w:spacing w:before="0" w:after="0"/>
              <w:jc w:val="center"/>
              <w:rPr>
                <w:rFonts w:ascii="Calibri" w:hAnsi="Calibri" w:cs="Calibri"/>
                <w:color w:val="000000"/>
                <w:sz w:val="20"/>
                <w:szCs w:val="20"/>
              </w:rPr>
            </w:pPr>
            <w:r>
              <w:rPr>
                <w:rFonts w:ascii="Calibri" w:hAnsi="Calibri" w:cs="Calibri"/>
                <w:color w:val="000000"/>
                <w:sz w:val="20"/>
                <w:szCs w:val="20"/>
              </w:rPr>
              <w:t>0</w:t>
            </w:r>
          </w:p>
        </w:tc>
        <w:tc>
          <w:tcPr>
            <w:tcW w:w="1551" w:type="dxa"/>
            <w:tcBorders>
              <w:top w:val="nil"/>
              <w:left w:val="nil"/>
              <w:bottom w:val="single" w:sz="4" w:space="0" w:color="auto"/>
              <w:right w:val="single" w:sz="4" w:space="0" w:color="auto"/>
            </w:tcBorders>
            <w:shd w:val="clear" w:color="auto" w:fill="auto"/>
            <w:noWrap/>
            <w:vAlign w:val="bottom"/>
          </w:tcPr>
          <w:p w:rsidR="00752812" w:rsidRPr="00667B0B" w:rsidRDefault="00752812" w:rsidP="00752812">
            <w:pPr>
              <w:spacing w:before="0" w:after="0"/>
              <w:jc w:val="center"/>
              <w:rPr>
                <w:rFonts w:ascii="Calibri" w:hAnsi="Calibri" w:cs="Calibri"/>
                <w:b/>
                <w:color w:val="000000"/>
                <w:sz w:val="20"/>
                <w:szCs w:val="20"/>
              </w:rPr>
            </w:pPr>
            <w:r w:rsidRPr="00667B0B">
              <w:rPr>
                <w:rFonts w:ascii="Calibri" w:hAnsi="Calibri" w:cs="Calibri"/>
                <w:b/>
                <w:color w:val="000000"/>
                <w:sz w:val="20"/>
                <w:szCs w:val="20"/>
              </w:rPr>
              <w:t>-</w:t>
            </w:r>
          </w:p>
        </w:tc>
        <w:tc>
          <w:tcPr>
            <w:tcW w:w="2276" w:type="dxa"/>
            <w:tcBorders>
              <w:top w:val="nil"/>
              <w:left w:val="nil"/>
              <w:bottom w:val="single" w:sz="4" w:space="0" w:color="auto"/>
              <w:right w:val="single" w:sz="4" w:space="0" w:color="auto"/>
            </w:tcBorders>
            <w:shd w:val="clear" w:color="auto" w:fill="auto"/>
            <w:noWrap/>
            <w:vAlign w:val="bottom"/>
          </w:tcPr>
          <w:p w:rsidR="00752812" w:rsidRPr="00667B0B" w:rsidRDefault="00752812" w:rsidP="00752812">
            <w:pPr>
              <w:spacing w:before="0" w:after="0"/>
              <w:jc w:val="center"/>
              <w:rPr>
                <w:rFonts w:ascii="Calibri" w:hAnsi="Calibri" w:cs="Calibri"/>
                <w:b/>
                <w:color w:val="000000"/>
                <w:sz w:val="20"/>
                <w:szCs w:val="20"/>
              </w:rPr>
            </w:pPr>
            <w:r w:rsidRPr="00667B0B">
              <w:rPr>
                <w:rFonts w:ascii="Calibri" w:hAnsi="Calibri" w:cs="Calibri"/>
                <w:b/>
                <w:color w:val="000000"/>
                <w:sz w:val="20"/>
                <w:szCs w:val="20"/>
              </w:rPr>
              <w:t>-</w:t>
            </w:r>
          </w:p>
        </w:tc>
        <w:tc>
          <w:tcPr>
            <w:tcW w:w="2552" w:type="dxa"/>
            <w:tcBorders>
              <w:top w:val="nil"/>
              <w:left w:val="nil"/>
              <w:bottom w:val="single" w:sz="4" w:space="0" w:color="auto"/>
              <w:right w:val="single" w:sz="8" w:space="0" w:color="auto"/>
            </w:tcBorders>
            <w:shd w:val="clear" w:color="auto" w:fill="auto"/>
            <w:noWrap/>
            <w:vAlign w:val="bottom"/>
          </w:tcPr>
          <w:p w:rsidR="00752812" w:rsidRPr="00667B0B" w:rsidRDefault="00752812" w:rsidP="00752812">
            <w:pPr>
              <w:spacing w:before="0" w:after="0"/>
              <w:jc w:val="center"/>
              <w:rPr>
                <w:rFonts w:ascii="Calibri" w:hAnsi="Calibri" w:cs="Calibri"/>
                <w:b/>
                <w:color w:val="000000"/>
                <w:sz w:val="20"/>
                <w:szCs w:val="20"/>
              </w:rPr>
            </w:pPr>
            <w:r w:rsidRPr="00667B0B">
              <w:rPr>
                <w:rFonts w:ascii="Calibri" w:hAnsi="Calibri" w:cs="Calibri"/>
                <w:b/>
                <w:color w:val="000000"/>
                <w:sz w:val="20"/>
                <w:szCs w:val="20"/>
              </w:rPr>
              <w:t>-</w:t>
            </w:r>
          </w:p>
        </w:tc>
      </w:tr>
      <w:tr w:rsidR="00752812" w:rsidRPr="00667B0B" w:rsidTr="00752812">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752812" w:rsidRPr="00667B0B" w:rsidRDefault="00752812" w:rsidP="00752812">
            <w:pPr>
              <w:spacing w:before="0" w:after="0"/>
              <w:jc w:val="left"/>
              <w:rPr>
                <w:rFonts w:ascii="Calibri" w:hAnsi="Calibri" w:cs="Calibri"/>
                <w:color w:val="000000"/>
                <w:sz w:val="20"/>
                <w:szCs w:val="20"/>
                <w:highlight w:val="yellow"/>
              </w:rPr>
            </w:pPr>
            <w:r>
              <w:rPr>
                <w:rFonts w:ascii="Calibri" w:hAnsi="Calibri" w:cs="Calibri"/>
                <w:color w:val="000000"/>
                <w:sz w:val="20"/>
                <w:szCs w:val="20"/>
              </w:rPr>
              <w:t>Forensic</w:t>
            </w:r>
            <w:r w:rsidR="009E1F02">
              <w:rPr>
                <w:rFonts w:ascii="Calibri" w:hAnsi="Calibri" w:cs="Calibri"/>
                <w:color w:val="000000"/>
                <w:sz w:val="20"/>
                <w:szCs w:val="20"/>
              </w:rPr>
              <w:t>s</w:t>
            </w:r>
          </w:p>
        </w:tc>
        <w:tc>
          <w:tcPr>
            <w:tcW w:w="850" w:type="dxa"/>
            <w:tcBorders>
              <w:top w:val="nil"/>
              <w:left w:val="nil"/>
              <w:bottom w:val="single" w:sz="4" w:space="0" w:color="auto"/>
              <w:right w:val="single" w:sz="4" w:space="0" w:color="auto"/>
            </w:tcBorders>
            <w:shd w:val="clear" w:color="auto" w:fill="auto"/>
            <w:noWrap/>
            <w:vAlign w:val="bottom"/>
          </w:tcPr>
          <w:p w:rsidR="00752812" w:rsidRPr="00667B0B" w:rsidRDefault="00752812" w:rsidP="00752812">
            <w:pPr>
              <w:spacing w:before="0" w:after="0"/>
              <w:jc w:val="center"/>
              <w:rPr>
                <w:rFonts w:ascii="Calibri" w:hAnsi="Calibri" w:cs="Calibri"/>
                <w:color w:val="000000"/>
                <w:sz w:val="20"/>
                <w:szCs w:val="20"/>
                <w:highlight w:val="yellow"/>
              </w:rPr>
            </w:pPr>
            <w:r>
              <w:rPr>
                <w:rFonts w:ascii="Calibri" w:hAnsi="Calibri" w:cs="Calibri"/>
                <w:color w:val="000000"/>
                <w:sz w:val="20"/>
                <w:szCs w:val="20"/>
              </w:rPr>
              <w:t>1</w:t>
            </w:r>
          </w:p>
        </w:tc>
        <w:tc>
          <w:tcPr>
            <w:tcW w:w="1551" w:type="dxa"/>
            <w:tcBorders>
              <w:top w:val="nil"/>
              <w:left w:val="nil"/>
              <w:bottom w:val="single" w:sz="4" w:space="0" w:color="auto"/>
              <w:right w:val="single" w:sz="4" w:space="0" w:color="auto"/>
            </w:tcBorders>
            <w:shd w:val="clear" w:color="auto" w:fill="00B050"/>
            <w:noWrap/>
            <w:vAlign w:val="bottom"/>
          </w:tcPr>
          <w:p w:rsidR="00752812" w:rsidRPr="00667B0B" w:rsidRDefault="00752812" w:rsidP="00752812">
            <w:pPr>
              <w:spacing w:before="0" w:after="0"/>
              <w:jc w:val="center"/>
              <w:rPr>
                <w:rFonts w:ascii="Calibri" w:hAnsi="Calibri" w:cs="Calibri"/>
                <w:b/>
                <w:color w:val="000000"/>
                <w:sz w:val="20"/>
                <w:szCs w:val="20"/>
              </w:rPr>
            </w:pPr>
            <w:r w:rsidRPr="00667B0B">
              <w:rPr>
                <w:rFonts w:ascii="Calibri" w:hAnsi="Calibri" w:cs="Calibri"/>
                <w:b/>
                <w:color w:val="000000"/>
                <w:sz w:val="20"/>
                <w:szCs w:val="20"/>
              </w:rPr>
              <w:t>100%</w:t>
            </w:r>
          </w:p>
        </w:tc>
        <w:tc>
          <w:tcPr>
            <w:tcW w:w="2276" w:type="dxa"/>
            <w:tcBorders>
              <w:top w:val="nil"/>
              <w:left w:val="nil"/>
              <w:bottom w:val="single" w:sz="4" w:space="0" w:color="auto"/>
              <w:right w:val="single" w:sz="4" w:space="0" w:color="auto"/>
            </w:tcBorders>
            <w:shd w:val="clear" w:color="auto" w:fill="00B050"/>
            <w:noWrap/>
            <w:vAlign w:val="bottom"/>
          </w:tcPr>
          <w:p w:rsidR="00752812" w:rsidRPr="00667B0B" w:rsidRDefault="00752812" w:rsidP="00752812">
            <w:pPr>
              <w:spacing w:before="0" w:after="0"/>
              <w:jc w:val="center"/>
              <w:rPr>
                <w:rFonts w:ascii="Calibri" w:hAnsi="Calibri" w:cs="Calibri"/>
                <w:b/>
                <w:color w:val="000000"/>
                <w:sz w:val="20"/>
                <w:szCs w:val="20"/>
              </w:rPr>
            </w:pPr>
            <w:r w:rsidRPr="00667B0B">
              <w:rPr>
                <w:rFonts w:ascii="Calibri" w:hAnsi="Calibri" w:cs="Calibri"/>
                <w:b/>
                <w:color w:val="000000"/>
                <w:sz w:val="20"/>
                <w:szCs w:val="20"/>
              </w:rPr>
              <w:t>100%</w:t>
            </w:r>
          </w:p>
        </w:tc>
        <w:tc>
          <w:tcPr>
            <w:tcW w:w="2552" w:type="dxa"/>
            <w:tcBorders>
              <w:top w:val="nil"/>
              <w:left w:val="nil"/>
              <w:bottom w:val="single" w:sz="4" w:space="0" w:color="auto"/>
              <w:right w:val="single" w:sz="8" w:space="0" w:color="auto"/>
            </w:tcBorders>
            <w:shd w:val="clear" w:color="auto" w:fill="00B050"/>
            <w:noWrap/>
            <w:vAlign w:val="bottom"/>
          </w:tcPr>
          <w:p w:rsidR="00752812" w:rsidRPr="00667B0B" w:rsidRDefault="00752812" w:rsidP="00752812">
            <w:pPr>
              <w:spacing w:before="0" w:after="0"/>
              <w:jc w:val="center"/>
              <w:rPr>
                <w:rFonts w:ascii="Calibri" w:hAnsi="Calibri" w:cs="Calibri"/>
                <w:b/>
                <w:color w:val="000000"/>
                <w:sz w:val="20"/>
                <w:szCs w:val="20"/>
              </w:rPr>
            </w:pPr>
            <w:r w:rsidRPr="00667B0B">
              <w:rPr>
                <w:rFonts w:ascii="Calibri" w:hAnsi="Calibri" w:cs="Calibri"/>
                <w:b/>
                <w:color w:val="000000"/>
                <w:sz w:val="20"/>
                <w:szCs w:val="20"/>
              </w:rPr>
              <w:t>100%</w:t>
            </w:r>
          </w:p>
        </w:tc>
      </w:tr>
      <w:tr w:rsidR="00970829" w:rsidRPr="00667B0B" w:rsidTr="00970829">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970829" w:rsidRPr="00667B0B" w:rsidRDefault="00970829" w:rsidP="00970829">
            <w:pPr>
              <w:spacing w:before="0" w:after="0"/>
              <w:jc w:val="left"/>
              <w:rPr>
                <w:rFonts w:ascii="Calibri" w:hAnsi="Calibri" w:cs="Calibri"/>
                <w:color w:val="000000"/>
                <w:sz w:val="20"/>
                <w:szCs w:val="20"/>
              </w:rPr>
            </w:pPr>
            <w:r>
              <w:rPr>
                <w:rFonts w:ascii="Calibri" w:hAnsi="Calibri" w:cs="Calibri"/>
                <w:color w:val="000000"/>
                <w:sz w:val="20"/>
                <w:szCs w:val="20"/>
              </w:rPr>
              <w:t>CHN Adults</w:t>
            </w:r>
          </w:p>
        </w:tc>
        <w:tc>
          <w:tcPr>
            <w:tcW w:w="850" w:type="dxa"/>
            <w:tcBorders>
              <w:top w:val="nil"/>
              <w:left w:val="nil"/>
              <w:bottom w:val="single" w:sz="4" w:space="0" w:color="auto"/>
              <w:right w:val="single" w:sz="4" w:space="0" w:color="auto"/>
            </w:tcBorders>
            <w:shd w:val="clear" w:color="auto" w:fill="auto"/>
            <w:noWrap/>
            <w:vAlign w:val="bottom"/>
          </w:tcPr>
          <w:p w:rsidR="00970829" w:rsidRPr="00667B0B" w:rsidRDefault="00970829" w:rsidP="00970829">
            <w:pPr>
              <w:spacing w:before="0" w:after="0"/>
              <w:jc w:val="center"/>
              <w:rPr>
                <w:rFonts w:ascii="Calibri" w:hAnsi="Calibri" w:cs="Calibri"/>
                <w:color w:val="000000"/>
                <w:sz w:val="20"/>
                <w:szCs w:val="20"/>
              </w:rPr>
            </w:pPr>
            <w:r>
              <w:rPr>
                <w:rFonts w:ascii="Calibri" w:hAnsi="Calibri" w:cs="Calibri"/>
                <w:color w:val="000000"/>
                <w:sz w:val="20"/>
                <w:szCs w:val="20"/>
              </w:rPr>
              <w:t>0</w:t>
            </w:r>
          </w:p>
        </w:tc>
        <w:tc>
          <w:tcPr>
            <w:tcW w:w="1551" w:type="dxa"/>
            <w:tcBorders>
              <w:top w:val="nil"/>
              <w:left w:val="nil"/>
              <w:bottom w:val="single" w:sz="4" w:space="0" w:color="auto"/>
              <w:right w:val="single" w:sz="4" w:space="0" w:color="auto"/>
            </w:tcBorders>
            <w:shd w:val="clear" w:color="auto" w:fill="auto"/>
            <w:noWrap/>
            <w:vAlign w:val="bottom"/>
          </w:tcPr>
          <w:p w:rsidR="00970829" w:rsidRPr="00667B0B" w:rsidRDefault="00970829" w:rsidP="00970829">
            <w:pPr>
              <w:spacing w:before="0" w:after="0"/>
              <w:jc w:val="center"/>
              <w:rPr>
                <w:rFonts w:ascii="Calibri" w:hAnsi="Calibri" w:cs="Calibri"/>
                <w:b/>
                <w:color w:val="000000"/>
                <w:sz w:val="20"/>
                <w:szCs w:val="20"/>
              </w:rPr>
            </w:pPr>
            <w:r w:rsidRPr="00667B0B">
              <w:rPr>
                <w:rFonts w:ascii="Calibri" w:hAnsi="Calibri" w:cs="Calibri"/>
                <w:b/>
                <w:color w:val="000000"/>
                <w:sz w:val="20"/>
                <w:szCs w:val="20"/>
              </w:rPr>
              <w:t>-</w:t>
            </w:r>
          </w:p>
        </w:tc>
        <w:tc>
          <w:tcPr>
            <w:tcW w:w="2276" w:type="dxa"/>
            <w:tcBorders>
              <w:top w:val="nil"/>
              <w:left w:val="nil"/>
              <w:bottom w:val="single" w:sz="4" w:space="0" w:color="auto"/>
              <w:right w:val="single" w:sz="4" w:space="0" w:color="auto"/>
            </w:tcBorders>
            <w:shd w:val="clear" w:color="auto" w:fill="auto"/>
            <w:noWrap/>
            <w:vAlign w:val="bottom"/>
          </w:tcPr>
          <w:p w:rsidR="00970829" w:rsidRPr="00667B0B" w:rsidRDefault="00970829" w:rsidP="00970829">
            <w:pPr>
              <w:spacing w:before="0" w:after="0"/>
              <w:jc w:val="center"/>
              <w:rPr>
                <w:rFonts w:ascii="Calibri" w:hAnsi="Calibri" w:cs="Calibri"/>
                <w:b/>
                <w:color w:val="000000"/>
                <w:sz w:val="20"/>
                <w:szCs w:val="20"/>
              </w:rPr>
            </w:pPr>
            <w:r w:rsidRPr="00667B0B">
              <w:rPr>
                <w:rFonts w:ascii="Calibri" w:hAnsi="Calibri" w:cs="Calibri"/>
                <w:b/>
                <w:color w:val="000000"/>
                <w:sz w:val="20"/>
                <w:szCs w:val="20"/>
              </w:rPr>
              <w:t>-</w:t>
            </w:r>
          </w:p>
        </w:tc>
        <w:tc>
          <w:tcPr>
            <w:tcW w:w="2552" w:type="dxa"/>
            <w:tcBorders>
              <w:top w:val="nil"/>
              <w:left w:val="nil"/>
              <w:bottom w:val="single" w:sz="4" w:space="0" w:color="auto"/>
              <w:right w:val="single" w:sz="8" w:space="0" w:color="auto"/>
            </w:tcBorders>
            <w:shd w:val="clear" w:color="auto" w:fill="auto"/>
            <w:noWrap/>
            <w:vAlign w:val="bottom"/>
          </w:tcPr>
          <w:p w:rsidR="00970829" w:rsidRPr="00667B0B" w:rsidRDefault="00970829" w:rsidP="00970829">
            <w:pPr>
              <w:spacing w:before="0" w:after="0"/>
              <w:jc w:val="center"/>
              <w:rPr>
                <w:rFonts w:ascii="Calibri" w:hAnsi="Calibri" w:cs="Calibri"/>
                <w:b/>
                <w:color w:val="000000"/>
                <w:sz w:val="20"/>
                <w:szCs w:val="20"/>
              </w:rPr>
            </w:pPr>
            <w:r w:rsidRPr="00667B0B">
              <w:rPr>
                <w:rFonts w:ascii="Calibri" w:hAnsi="Calibri" w:cs="Calibri"/>
                <w:b/>
                <w:color w:val="000000"/>
                <w:sz w:val="20"/>
                <w:szCs w:val="20"/>
              </w:rPr>
              <w:t>-</w:t>
            </w:r>
          </w:p>
        </w:tc>
      </w:tr>
      <w:tr w:rsidR="00970829" w:rsidRPr="00667B0B" w:rsidTr="00752812">
        <w:trPr>
          <w:trHeight w:val="315"/>
        </w:trPr>
        <w:tc>
          <w:tcPr>
            <w:tcW w:w="2127" w:type="dxa"/>
            <w:tcBorders>
              <w:top w:val="single" w:sz="4" w:space="0" w:color="auto"/>
              <w:left w:val="single" w:sz="8" w:space="0" w:color="auto"/>
              <w:bottom w:val="single" w:sz="4" w:space="0" w:color="auto"/>
              <w:right w:val="single" w:sz="4" w:space="0" w:color="auto"/>
            </w:tcBorders>
            <w:shd w:val="clear" w:color="auto" w:fill="auto"/>
            <w:noWrap/>
            <w:vAlign w:val="bottom"/>
          </w:tcPr>
          <w:p w:rsidR="00970829" w:rsidRPr="00667B0B" w:rsidRDefault="00970829" w:rsidP="00970829">
            <w:pPr>
              <w:spacing w:before="0" w:after="0"/>
              <w:jc w:val="left"/>
              <w:rPr>
                <w:rFonts w:ascii="Calibri" w:hAnsi="Calibri" w:cs="Calibri"/>
                <w:color w:val="000000"/>
                <w:sz w:val="20"/>
                <w:szCs w:val="20"/>
              </w:rPr>
            </w:pPr>
            <w:r w:rsidRPr="00667B0B">
              <w:rPr>
                <w:rFonts w:ascii="Calibri" w:hAnsi="Calibri" w:cs="Calibri"/>
                <w:color w:val="000000"/>
                <w:sz w:val="20"/>
                <w:szCs w:val="20"/>
              </w:rPr>
              <w:t>TOTAL</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70829" w:rsidRPr="00667B0B" w:rsidRDefault="00970829" w:rsidP="00970829">
            <w:pPr>
              <w:spacing w:before="0" w:after="0"/>
              <w:jc w:val="center"/>
              <w:rPr>
                <w:rFonts w:ascii="Calibri" w:hAnsi="Calibri" w:cs="Calibri"/>
                <w:color w:val="000000"/>
                <w:sz w:val="20"/>
                <w:szCs w:val="20"/>
              </w:rPr>
            </w:pPr>
            <w:r>
              <w:rPr>
                <w:rFonts w:ascii="Calibri" w:hAnsi="Calibri" w:cs="Calibri"/>
                <w:color w:val="000000"/>
                <w:sz w:val="20"/>
                <w:szCs w:val="20"/>
              </w:rPr>
              <w:t>20</w:t>
            </w:r>
          </w:p>
        </w:tc>
        <w:tc>
          <w:tcPr>
            <w:tcW w:w="1551" w:type="dxa"/>
            <w:tcBorders>
              <w:top w:val="single" w:sz="4" w:space="0" w:color="auto"/>
              <w:left w:val="nil"/>
              <w:bottom w:val="single" w:sz="4" w:space="0" w:color="auto"/>
              <w:right w:val="single" w:sz="4" w:space="0" w:color="auto"/>
            </w:tcBorders>
            <w:shd w:val="clear" w:color="auto" w:fill="00B050"/>
            <w:noWrap/>
            <w:vAlign w:val="bottom"/>
          </w:tcPr>
          <w:p w:rsidR="00970829" w:rsidRPr="00667B0B" w:rsidRDefault="00970829" w:rsidP="00970829">
            <w:pPr>
              <w:spacing w:before="0" w:after="0"/>
              <w:jc w:val="center"/>
              <w:rPr>
                <w:rFonts w:ascii="Calibri" w:hAnsi="Calibri" w:cs="Calibri"/>
                <w:b/>
                <w:color w:val="000000"/>
                <w:sz w:val="20"/>
                <w:szCs w:val="20"/>
              </w:rPr>
            </w:pPr>
            <w:r w:rsidRPr="00667B0B">
              <w:rPr>
                <w:rFonts w:ascii="Calibri" w:hAnsi="Calibri" w:cs="Calibri"/>
                <w:b/>
                <w:color w:val="000000"/>
                <w:sz w:val="20"/>
                <w:szCs w:val="20"/>
              </w:rPr>
              <w:t>100%</w:t>
            </w:r>
          </w:p>
        </w:tc>
        <w:tc>
          <w:tcPr>
            <w:tcW w:w="2276" w:type="dxa"/>
            <w:tcBorders>
              <w:top w:val="single" w:sz="4" w:space="0" w:color="auto"/>
              <w:left w:val="nil"/>
              <w:bottom w:val="single" w:sz="4" w:space="0" w:color="auto"/>
              <w:right w:val="single" w:sz="4" w:space="0" w:color="auto"/>
            </w:tcBorders>
            <w:shd w:val="clear" w:color="auto" w:fill="00B050"/>
            <w:noWrap/>
            <w:vAlign w:val="bottom"/>
          </w:tcPr>
          <w:p w:rsidR="00970829" w:rsidRPr="00667B0B" w:rsidRDefault="00970829" w:rsidP="00970829">
            <w:pPr>
              <w:spacing w:before="0" w:after="0"/>
              <w:jc w:val="center"/>
              <w:rPr>
                <w:rFonts w:ascii="Calibri" w:hAnsi="Calibri" w:cs="Calibri"/>
                <w:b/>
                <w:color w:val="000000"/>
                <w:sz w:val="20"/>
                <w:szCs w:val="20"/>
              </w:rPr>
            </w:pPr>
            <w:r w:rsidRPr="00667B0B">
              <w:rPr>
                <w:rFonts w:ascii="Calibri" w:hAnsi="Calibri" w:cs="Calibri"/>
                <w:b/>
                <w:color w:val="000000"/>
                <w:sz w:val="20"/>
                <w:szCs w:val="20"/>
              </w:rPr>
              <w:t>100%</w:t>
            </w:r>
          </w:p>
        </w:tc>
        <w:tc>
          <w:tcPr>
            <w:tcW w:w="2552" w:type="dxa"/>
            <w:tcBorders>
              <w:top w:val="single" w:sz="4" w:space="0" w:color="auto"/>
              <w:left w:val="nil"/>
              <w:bottom w:val="single" w:sz="4" w:space="0" w:color="auto"/>
              <w:right w:val="single" w:sz="4" w:space="0" w:color="auto"/>
            </w:tcBorders>
            <w:shd w:val="clear" w:color="auto" w:fill="00B050"/>
            <w:noWrap/>
            <w:vAlign w:val="bottom"/>
          </w:tcPr>
          <w:p w:rsidR="00970829" w:rsidRPr="00667B0B" w:rsidRDefault="00970829" w:rsidP="00970829">
            <w:pPr>
              <w:spacing w:before="0" w:after="0"/>
              <w:jc w:val="center"/>
              <w:rPr>
                <w:rFonts w:ascii="Calibri" w:hAnsi="Calibri" w:cs="Calibri"/>
                <w:b/>
                <w:color w:val="000000"/>
                <w:sz w:val="20"/>
                <w:szCs w:val="20"/>
              </w:rPr>
            </w:pPr>
            <w:r>
              <w:rPr>
                <w:rFonts w:ascii="Calibri" w:hAnsi="Calibri" w:cs="Calibri"/>
                <w:b/>
                <w:color w:val="000000"/>
                <w:sz w:val="20"/>
                <w:szCs w:val="20"/>
              </w:rPr>
              <w:t>9</w:t>
            </w:r>
            <w:r w:rsidRPr="00667B0B">
              <w:rPr>
                <w:rFonts w:ascii="Calibri" w:hAnsi="Calibri" w:cs="Calibri"/>
                <w:b/>
                <w:color w:val="000000"/>
                <w:sz w:val="20"/>
                <w:szCs w:val="20"/>
              </w:rPr>
              <w:t>0%</w:t>
            </w:r>
          </w:p>
        </w:tc>
      </w:tr>
    </w:tbl>
    <w:p w:rsidR="004E1240" w:rsidRDefault="004E1240" w:rsidP="004E1240">
      <w:pPr>
        <w:rPr>
          <w:rFonts w:cs="Arial"/>
          <w:b/>
          <w:sz w:val="20"/>
          <w:szCs w:val="20"/>
        </w:rPr>
      </w:pPr>
      <w:r>
        <w:rPr>
          <w:rFonts w:cs="Arial"/>
          <w:b/>
          <w:sz w:val="18"/>
          <w:szCs w:val="20"/>
        </w:rPr>
        <w:lastRenderedPageBreak/>
        <w:t xml:space="preserve">Table 2: </w:t>
      </w:r>
      <w:r w:rsidRPr="007454A5">
        <w:rPr>
          <w:rFonts w:cs="Arial"/>
          <w:b/>
          <w:sz w:val="18"/>
          <w:szCs w:val="20"/>
        </w:rPr>
        <w:t>Compliance scores</w:t>
      </w:r>
      <w:r>
        <w:rPr>
          <w:rFonts w:cs="Arial"/>
          <w:b/>
          <w:sz w:val="18"/>
          <w:szCs w:val="20"/>
        </w:rPr>
        <w:t xml:space="preserve"> summary Q4, Q1, Q2 and Q3</w:t>
      </w:r>
    </w:p>
    <w:p w:rsidR="00D761F3" w:rsidRDefault="00D761F3" w:rsidP="00752B70">
      <w:pPr>
        <w:autoSpaceDE w:val="0"/>
        <w:autoSpaceDN w:val="0"/>
        <w:adjustRightInd w:val="0"/>
        <w:spacing w:after="240"/>
        <w:rPr>
          <w:rFonts w:cs="Arial"/>
          <w:sz w:val="20"/>
          <w:szCs w:val="20"/>
        </w:rPr>
      </w:pPr>
      <w:r w:rsidRPr="00D761F3">
        <w:rPr>
          <w:noProof/>
        </w:rPr>
        <w:drawing>
          <wp:inline distT="0" distB="0" distL="0" distR="0">
            <wp:extent cx="5730788" cy="2266950"/>
            <wp:effectExtent l="0" t="0" r="381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0835" cy="2270924"/>
                    </a:xfrm>
                    <a:prstGeom prst="rect">
                      <a:avLst/>
                    </a:prstGeom>
                    <a:noFill/>
                    <a:ln>
                      <a:noFill/>
                    </a:ln>
                  </pic:spPr>
                </pic:pic>
              </a:graphicData>
            </a:graphic>
          </wp:inline>
        </w:drawing>
      </w:r>
    </w:p>
    <w:p w:rsidR="00D761F3" w:rsidRDefault="00D761F3" w:rsidP="00752B70">
      <w:pPr>
        <w:autoSpaceDE w:val="0"/>
        <w:autoSpaceDN w:val="0"/>
        <w:adjustRightInd w:val="0"/>
        <w:spacing w:after="240"/>
        <w:rPr>
          <w:rFonts w:cs="Arial"/>
          <w:sz w:val="20"/>
          <w:szCs w:val="20"/>
        </w:rPr>
      </w:pPr>
      <w:r w:rsidRPr="00D761F3">
        <w:rPr>
          <w:noProof/>
        </w:rPr>
        <w:drawing>
          <wp:inline distT="0" distB="0" distL="0" distR="0">
            <wp:extent cx="5730238" cy="2330450"/>
            <wp:effectExtent l="0" t="0" r="444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0536" cy="2338705"/>
                    </a:xfrm>
                    <a:prstGeom prst="rect">
                      <a:avLst/>
                    </a:prstGeom>
                    <a:noFill/>
                    <a:ln>
                      <a:noFill/>
                    </a:ln>
                  </pic:spPr>
                </pic:pic>
              </a:graphicData>
            </a:graphic>
          </wp:inline>
        </w:drawing>
      </w:r>
    </w:p>
    <w:p w:rsidR="00D761F3" w:rsidRDefault="00D761F3" w:rsidP="00752B70">
      <w:pPr>
        <w:autoSpaceDE w:val="0"/>
        <w:autoSpaceDN w:val="0"/>
        <w:adjustRightInd w:val="0"/>
        <w:spacing w:after="240"/>
        <w:rPr>
          <w:rFonts w:cs="Arial"/>
          <w:sz w:val="20"/>
          <w:szCs w:val="20"/>
        </w:rPr>
      </w:pPr>
      <w:r w:rsidRPr="00D761F3">
        <w:rPr>
          <w:noProof/>
        </w:rPr>
        <w:drawing>
          <wp:inline distT="0" distB="0" distL="0" distR="0">
            <wp:extent cx="5730238" cy="2184400"/>
            <wp:effectExtent l="0" t="0" r="4445"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8631" cy="2191412"/>
                    </a:xfrm>
                    <a:prstGeom prst="rect">
                      <a:avLst/>
                    </a:prstGeom>
                    <a:noFill/>
                    <a:ln>
                      <a:noFill/>
                    </a:ln>
                  </pic:spPr>
                </pic:pic>
              </a:graphicData>
            </a:graphic>
          </wp:inline>
        </w:drawing>
      </w:r>
    </w:p>
    <w:p w:rsidR="004E1240" w:rsidRDefault="004E1240" w:rsidP="00752B70">
      <w:pPr>
        <w:autoSpaceDE w:val="0"/>
        <w:autoSpaceDN w:val="0"/>
        <w:adjustRightInd w:val="0"/>
        <w:spacing w:after="240"/>
        <w:rPr>
          <w:rFonts w:cs="Arial"/>
          <w:sz w:val="20"/>
          <w:szCs w:val="20"/>
        </w:rPr>
      </w:pPr>
      <w:r w:rsidRPr="004E1240">
        <w:rPr>
          <w:noProof/>
        </w:rPr>
        <w:drawing>
          <wp:inline distT="0" distB="0" distL="0" distR="0">
            <wp:extent cx="5729801" cy="1282700"/>
            <wp:effectExtent l="0" t="0" r="444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842" cy="1283829"/>
                    </a:xfrm>
                    <a:prstGeom prst="rect">
                      <a:avLst/>
                    </a:prstGeom>
                    <a:noFill/>
                    <a:ln>
                      <a:noFill/>
                    </a:ln>
                  </pic:spPr>
                </pic:pic>
              </a:graphicData>
            </a:graphic>
          </wp:inline>
        </w:drawing>
      </w:r>
    </w:p>
    <w:p w:rsidR="00AA0732" w:rsidRDefault="004E1240" w:rsidP="004E1240">
      <w:pPr>
        <w:autoSpaceDE w:val="0"/>
        <w:autoSpaceDN w:val="0"/>
        <w:adjustRightInd w:val="0"/>
        <w:spacing w:after="240"/>
        <w:rPr>
          <w:rFonts w:cs="Arial"/>
          <w:sz w:val="20"/>
          <w:szCs w:val="20"/>
        </w:rPr>
      </w:pPr>
      <w:r>
        <w:rPr>
          <w:rFonts w:cs="Arial"/>
          <w:b/>
          <w:sz w:val="20"/>
          <w:szCs w:val="20"/>
        </w:rPr>
        <w:lastRenderedPageBreak/>
        <w:t>Bedfordshire &amp; Luton, City &amp; Hackney and Forensics</w:t>
      </w:r>
      <w:r>
        <w:rPr>
          <w:rFonts w:cs="Arial"/>
          <w:sz w:val="20"/>
          <w:szCs w:val="20"/>
        </w:rPr>
        <w:t xml:space="preserve">: </w:t>
      </w:r>
      <w:r w:rsidRPr="0029423D">
        <w:rPr>
          <w:rFonts w:cs="Arial"/>
          <w:sz w:val="20"/>
          <w:szCs w:val="20"/>
        </w:rPr>
        <w:t>Overall results sho</w:t>
      </w:r>
      <w:r>
        <w:rPr>
          <w:rFonts w:cs="Arial"/>
          <w:sz w:val="20"/>
          <w:szCs w:val="20"/>
        </w:rPr>
        <w:t>wed excellent compliance with audit standards</w:t>
      </w:r>
    </w:p>
    <w:p w:rsidR="004E1240" w:rsidRDefault="004E1240" w:rsidP="004E1240">
      <w:pPr>
        <w:autoSpaceDE w:val="0"/>
        <w:autoSpaceDN w:val="0"/>
        <w:adjustRightInd w:val="0"/>
        <w:spacing w:after="240"/>
        <w:rPr>
          <w:rFonts w:cs="Arial"/>
          <w:sz w:val="20"/>
          <w:szCs w:val="20"/>
        </w:rPr>
      </w:pPr>
      <w:r>
        <w:rPr>
          <w:rFonts w:cs="Arial"/>
          <w:b/>
          <w:sz w:val="20"/>
          <w:szCs w:val="20"/>
        </w:rPr>
        <w:t>Tower Hamlets</w:t>
      </w:r>
      <w:r w:rsidRPr="009B569E">
        <w:rPr>
          <w:rFonts w:cs="Arial"/>
          <w:b/>
          <w:sz w:val="20"/>
          <w:szCs w:val="20"/>
        </w:rPr>
        <w:t xml:space="preserve">: </w:t>
      </w:r>
      <w:r w:rsidRPr="009B569E">
        <w:rPr>
          <w:rFonts w:cs="Arial"/>
          <w:sz w:val="20"/>
          <w:szCs w:val="20"/>
        </w:rPr>
        <w:t>This service has demonstrated good compliance with most audit standards this quarter. Compliance with the appropriate co</w:t>
      </w:r>
      <w:r>
        <w:rPr>
          <w:rFonts w:cs="Arial"/>
          <w:sz w:val="20"/>
          <w:szCs w:val="20"/>
        </w:rPr>
        <w:t>urse length audit standard in Q3 was 86</w:t>
      </w:r>
      <w:r w:rsidRPr="009B569E">
        <w:rPr>
          <w:rFonts w:cs="Arial"/>
          <w:sz w:val="20"/>
          <w:szCs w:val="20"/>
        </w:rPr>
        <w:t>%</w:t>
      </w:r>
      <w:proofErr w:type="gramStart"/>
      <w:r w:rsidRPr="009B569E">
        <w:rPr>
          <w:rFonts w:cs="Arial"/>
          <w:sz w:val="20"/>
          <w:szCs w:val="20"/>
        </w:rPr>
        <w:t>,</w:t>
      </w:r>
      <w:proofErr w:type="gramEnd"/>
      <w:r>
        <w:rPr>
          <w:rFonts w:cs="Arial"/>
          <w:sz w:val="20"/>
          <w:szCs w:val="20"/>
        </w:rPr>
        <w:t xml:space="preserve"> this was due to 1 audit form which was</w:t>
      </w:r>
      <w:r w:rsidRPr="009B569E">
        <w:rPr>
          <w:rFonts w:cs="Arial"/>
          <w:sz w:val="20"/>
          <w:szCs w:val="20"/>
        </w:rPr>
        <w:t xml:space="preserve"> non-compliant</w:t>
      </w:r>
    </w:p>
    <w:p w:rsidR="004E1240" w:rsidRDefault="004E1240" w:rsidP="004E1240">
      <w:pPr>
        <w:autoSpaceDE w:val="0"/>
        <w:autoSpaceDN w:val="0"/>
        <w:adjustRightInd w:val="0"/>
        <w:spacing w:after="240"/>
        <w:rPr>
          <w:rFonts w:cs="Arial"/>
          <w:sz w:val="20"/>
          <w:szCs w:val="20"/>
        </w:rPr>
      </w:pPr>
      <w:r>
        <w:rPr>
          <w:rFonts w:cs="Arial"/>
          <w:b/>
          <w:sz w:val="20"/>
          <w:szCs w:val="20"/>
        </w:rPr>
        <w:t>Newham, CAMHS and CHN Adults</w:t>
      </w:r>
      <w:r>
        <w:rPr>
          <w:rFonts w:cs="Arial"/>
          <w:sz w:val="20"/>
          <w:szCs w:val="20"/>
        </w:rPr>
        <w:t>: No patients on antimicrobials at the time of the audit</w:t>
      </w:r>
    </w:p>
    <w:p w:rsidR="00C51D04" w:rsidRDefault="00C51D04" w:rsidP="004E1240">
      <w:pPr>
        <w:autoSpaceDE w:val="0"/>
        <w:autoSpaceDN w:val="0"/>
        <w:adjustRightInd w:val="0"/>
        <w:spacing w:after="240"/>
        <w:rPr>
          <w:rFonts w:cs="Arial"/>
          <w:sz w:val="20"/>
          <w:szCs w:val="20"/>
        </w:rPr>
      </w:pPr>
    </w:p>
    <w:p w:rsidR="003E5496" w:rsidRPr="003E5496" w:rsidRDefault="003E5496" w:rsidP="003E5496">
      <w:pPr>
        <w:autoSpaceDE w:val="0"/>
        <w:autoSpaceDN w:val="0"/>
        <w:adjustRightInd w:val="0"/>
        <w:spacing w:after="240"/>
        <w:jc w:val="center"/>
        <w:rPr>
          <w:rFonts w:cs="Arial"/>
          <w:b/>
          <w:sz w:val="28"/>
          <w:szCs w:val="28"/>
        </w:rPr>
      </w:pPr>
      <w:r>
        <w:rPr>
          <w:rFonts w:cs="Arial"/>
          <w:b/>
          <w:sz w:val="28"/>
          <w:szCs w:val="28"/>
        </w:rPr>
        <w:t>Top TEN Wards Prescribing Antimicrobials</w:t>
      </w:r>
    </w:p>
    <w:p w:rsidR="003E5496" w:rsidRDefault="003E5496" w:rsidP="004E1240">
      <w:pPr>
        <w:autoSpaceDE w:val="0"/>
        <w:autoSpaceDN w:val="0"/>
        <w:adjustRightInd w:val="0"/>
        <w:spacing w:after="240"/>
        <w:rPr>
          <w:rFonts w:cs="Arial"/>
          <w:sz w:val="20"/>
          <w:szCs w:val="20"/>
        </w:rPr>
      </w:pPr>
      <w:r>
        <w:rPr>
          <w:rFonts w:cs="Arial"/>
          <w:sz w:val="20"/>
          <w:szCs w:val="20"/>
        </w:rPr>
        <w:t>As per attached graphic, the top 10 wards prescribing Antimicrobials were:</w:t>
      </w:r>
    </w:p>
    <w:p w:rsidR="007A1AA4" w:rsidRDefault="003E5496" w:rsidP="003E5496">
      <w:pPr>
        <w:pStyle w:val="ListParagraph"/>
        <w:numPr>
          <w:ilvl w:val="0"/>
          <w:numId w:val="3"/>
        </w:numPr>
        <w:autoSpaceDE w:val="0"/>
        <w:autoSpaceDN w:val="0"/>
        <w:adjustRightInd w:val="0"/>
        <w:spacing w:after="240"/>
        <w:rPr>
          <w:rFonts w:cs="Arial"/>
          <w:sz w:val="20"/>
          <w:szCs w:val="20"/>
        </w:rPr>
      </w:pPr>
      <w:r w:rsidRPr="000F1D69">
        <w:rPr>
          <w:rFonts w:cs="Arial"/>
          <w:b/>
          <w:sz w:val="20"/>
          <w:szCs w:val="20"/>
        </w:rPr>
        <w:t>Lea ward (MEH):</w:t>
      </w:r>
      <w:r>
        <w:rPr>
          <w:rFonts w:cs="Arial"/>
          <w:sz w:val="20"/>
          <w:szCs w:val="20"/>
        </w:rPr>
        <w:t xml:space="preserve"> </w:t>
      </w:r>
    </w:p>
    <w:p w:rsidR="003E5496" w:rsidRDefault="00AF6215" w:rsidP="007A1AA4">
      <w:pPr>
        <w:pStyle w:val="ListParagraph"/>
        <w:autoSpaceDE w:val="0"/>
        <w:autoSpaceDN w:val="0"/>
        <w:adjustRightInd w:val="0"/>
        <w:spacing w:after="240"/>
        <w:rPr>
          <w:rFonts w:cs="Arial"/>
          <w:sz w:val="20"/>
          <w:szCs w:val="20"/>
        </w:rPr>
      </w:pPr>
      <w:r>
        <w:rPr>
          <w:rFonts w:cs="Arial"/>
          <w:sz w:val="20"/>
          <w:szCs w:val="20"/>
        </w:rPr>
        <w:t xml:space="preserve">Details of antimicrobials prescribed: </w:t>
      </w:r>
      <w:r w:rsidR="009C3AC9">
        <w:rPr>
          <w:rFonts w:cs="Arial"/>
          <w:sz w:val="20"/>
          <w:szCs w:val="20"/>
        </w:rPr>
        <w:t>Amoxicillin</w:t>
      </w:r>
      <w:r w:rsidR="000F1D69">
        <w:rPr>
          <w:rFonts w:cs="Arial"/>
          <w:sz w:val="20"/>
          <w:szCs w:val="20"/>
        </w:rPr>
        <w:t xml:space="preserve"> 500mg capsules, Co-</w:t>
      </w:r>
      <w:proofErr w:type="spellStart"/>
      <w:r w:rsidR="000F1D69">
        <w:rPr>
          <w:rFonts w:cs="Arial"/>
          <w:sz w:val="20"/>
          <w:szCs w:val="20"/>
        </w:rPr>
        <w:t>Amoxiclav</w:t>
      </w:r>
      <w:proofErr w:type="spellEnd"/>
      <w:r w:rsidR="000F1D69">
        <w:rPr>
          <w:rFonts w:cs="Arial"/>
          <w:sz w:val="20"/>
          <w:szCs w:val="20"/>
        </w:rPr>
        <w:t xml:space="preserve"> 500/125mg tablets, Ciprofloxacin 500mg tablets, Co-</w:t>
      </w:r>
      <w:proofErr w:type="spellStart"/>
      <w:r w:rsidR="000F1D69">
        <w:rPr>
          <w:rFonts w:cs="Arial"/>
          <w:sz w:val="20"/>
          <w:szCs w:val="20"/>
        </w:rPr>
        <w:t>Trimoxazole</w:t>
      </w:r>
      <w:proofErr w:type="spellEnd"/>
      <w:r w:rsidR="000F1D69">
        <w:rPr>
          <w:rFonts w:cs="Arial"/>
          <w:sz w:val="20"/>
          <w:szCs w:val="20"/>
        </w:rPr>
        <w:t xml:space="preserve"> 480mg tablets, </w:t>
      </w:r>
      <w:proofErr w:type="spellStart"/>
      <w:r w:rsidR="000F1D69">
        <w:rPr>
          <w:rFonts w:cs="Arial"/>
          <w:sz w:val="20"/>
          <w:szCs w:val="20"/>
        </w:rPr>
        <w:t>Dolutegravir</w:t>
      </w:r>
      <w:proofErr w:type="spellEnd"/>
      <w:r w:rsidR="000F1D69">
        <w:rPr>
          <w:rFonts w:cs="Arial"/>
          <w:sz w:val="20"/>
          <w:szCs w:val="20"/>
        </w:rPr>
        <w:t xml:space="preserve"> 50mg tablets, Doxycycline 100mg capsules, </w:t>
      </w:r>
      <w:proofErr w:type="spellStart"/>
      <w:r w:rsidR="000F1D69">
        <w:rPr>
          <w:rFonts w:cs="Arial"/>
          <w:sz w:val="20"/>
          <w:szCs w:val="20"/>
        </w:rPr>
        <w:t>Emtricitabine</w:t>
      </w:r>
      <w:proofErr w:type="spellEnd"/>
      <w:r w:rsidR="000F1D69">
        <w:rPr>
          <w:rFonts w:cs="Arial"/>
          <w:sz w:val="20"/>
          <w:szCs w:val="20"/>
        </w:rPr>
        <w:t xml:space="preserve"> 200mg/</w:t>
      </w:r>
      <w:proofErr w:type="spellStart"/>
      <w:r w:rsidR="000F1D69">
        <w:rPr>
          <w:rFonts w:cs="Arial"/>
          <w:sz w:val="20"/>
          <w:szCs w:val="20"/>
        </w:rPr>
        <w:t>Tenofovir</w:t>
      </w:r>
      <w:proofErr w:type="spellEnd"/>
      <w:r w:rsidR="000F1D69">
        <w:rPr>
          <w:rFonts w:cs="Arial"/>
          <w:sz w:val="20"/>
          <w:szCs w:val="20"/>
        </w:rPr>
        <w:t xml:space="preserve"> 245mg tablets,</w:t>
      </w:r>
      <w:r>
        <w:rPr>
          <w:rFonts w:cs="Arial"/>
          <w:sz w:val="20"/>
          <w:szCs w:val="20"/>
        </w:rPr>
        <w:t xml:space="preserve"> </w:t>
      </w:r>
      <w:proofErr w:type="spellStart"/>
      <w:r w:rsidR="000F1D69">
        <w:rPr>
          <w:rFonts w:cs="Arial"/>
          <w:sz w:val="20"/>
          <w:szCs w:val="20"/>
        </w:rPr>
        <w:t>Eviplera</w:t>
      </w:r>
      <w:proofErr w:type="spellEnd"/>
      <w:r w:rsidR="000F1D69">
        <w:rPr>
          <w:rFonts w:cs="Arial"/>
          <w:sz w:val="20"/>
          <w:szCs w:val="20"/>
        </w:rPr>
        <w:t xml:space="preserve"> tablets</w:t>
      </w:r>
      <w:r w:rsidR="007A1AA4">
        <w:rPr>
          <w:rFonts w:cs="Arial"/>
          <w:sz w:val="20"/>
          <w:szCs w:val="20"/>
        </w:rPr>
        <w:t xml:space="preserve">, </w:t>
      </w:r>
      <w:proofErr w:type="spellStart"/>
      <w:r w:rsidR="007A1AA4">
        <w:rPr>
          <w:rFonts w:cs="Arial"/>
          <w:sz w:val="20"/>
          <w:szCs w:val="20"/>
        </w:rPr>
        <w:t>Evotaz</w:t>
      </w:r>
      <w:proofErr w:type="spellEnd"/>
      <w:r w:rsidR="007A1AA4">
        <w:rPr>
          <w:rFonts w:cs="Arial"/>
          <w:sz w:val="20"/>
          <w:szCs w:val="20"/>
        </w:rPr>
        <w:t xml:space="preserve"> tablets, </w:t>
      </w:r>
      <w:proofErr w:type="spellStart"/>
      <w:r w:rsidR="007A1AA4">
        <w:rPr>
          <w:rFonts w:cs="Arial"/>
          <w:sz w:val="20"/>
          <w:szCs w:val="20"/>
        </w:rPr>
        <w:t>Flucloxacillin</w:t>
      </w:r>
      <w:proofErr w:type="spellEnd"/>
      <w:r w:rsidR="007A1AA4">
        <w:rPr>
          <w:rFonts w:cs="Arial"/>
          <w:sz w:val="20"/>
          <w:szCs w:val="20"/>
        </w:rPr>
        <w:t xml:space="preserve"> 500mg capsules)</w:t>
      </w:r>
    </w:p>
    <w:p w:rsidR="003E5496" w:rsidRPr="001637E1" w:rsidRDefault="003E5496" w:rsidP="003E5496">
      <w:pPr>
        <w:pStyle w:val="ListParagraph"/>
        <w:numPr>
          <w:ilvl w:val="0"/>
          <w:numId w:val="3"/>
        </w:numPr>
        <w:autoSpaceDE w:val="0"/>
        <w:autoSpaceDN w:val="0"/>
        <w:adjustRightInd w:val="0"/>
        <w:spacing w:after="240"/>
        <w:rPr>
          <w:rFonts w:cs="Arial"/>
          <w:b/>
          <w:sz w:val="20"/>
          <w:szCs w:val="20"/>
        </w:rPr>
      </w:pPr>
      <w:proofErr w:type="spellStart"/>
      <w:r w:rsidRPr="000F1D69">
        <w:rPr>
          <w:rFonts w:cs="Arial"/>
          <w:b/>
          <w:sz w:val="20"/>
          <w:szCs w:val="20"/>
        </w:rPr>
        <w:t>Conolly</w:t>
      </w:r>
      <w:proofErr w:type="spellEnd"/>
      <w:r w:rsidRPr="000F1D69">
        <w:rPr>
          <w:rFonts w:cs="Arial"/>
          <w:b/>
          <w:sz w:val="20"/>
          <w:szCs w:val="20"/>
        </w:rPr>
        <w:t xml:space="preserve"> (C&amp;H):</w:t>
      </w:r>
      <w:r w:rsidR="001637E1">
        <w:rPr>
          <w:rFonts w:cs="Arial"/>
          <w:b/>
          <w:sz w:val="20"/>
          <w:szCs w:val="20"/>
        </w:rPr>
        <w:t xml:space="preserve"> </w:t>
      </w:r>
    </w:p>
    <w:p w:rsidR="001637E1" w:rsidRPr="001637E1" w:rsidRDefault="00AF6215" w:rsidP="001637E1">
      <w:pPr>
        <w:pStyle w:val="ListParagraph"/>
        <w:autoSpaceDE w:val="0"/>
        <w:autoSpaceDN w:val="0"/>
        <w:adjustRightInd w:val="0"/>
        <w:spacing w:after="240"/>
        <w:rPr>
          <w:rFonts w:cs="Arial"/>
          <w:sz w:val="20"/>
          <w:szCs w:val="20"/>
        </w:rPr>
      </w:pPr>
      <w:r>
        <w:rPr>
          <w:rFonts w:cs="Arial"/>
          <w:sz w:val="20"/>
          <w:szCs w:val="20"/>
        </w:rPr>
        <w:t xml:space="preserve">Details of antimicrobials prescribed: </w:t>
      </w:r>
      <w:r w:rsidR="009C3AC9">
        <w:rPr>
          <w:rFonts w:cs="Arial"/>
          <w:sz w:val="20"/>
          <w:szCs w:val="20"/>
        </w:rPr>
        <w:t>Amoxicillin</w:t>
      </w:r>
      <w:r w:rsidR="001637E1">
        <w:rPr>
          <w:rFonts w:cs="Arial"/>
          <w:sz w:val="20"/>
          <w:szCs w:val="20"/>
        </w:rPr>
        <w:t xml:space="preserve"> 500mg capsules</w:t>
      </w:r>
      <w:r w:rsidR="009C3AC9">
        <w:rPr>
          <w:rFonts w:cs="Arial"/>
          <w:sz w:val="20"/>
          <w:szCs w:val="20"/>
        </w:rPr>
        <w:t xml:space="preserve">, </w:t>
      </w:r>
      <w:proofErr w:type="spellStart"/>
      <w:r>
        <w:rPr>
          <w:rFonts w:cs="Arial"/>
          <w:sz w:val="20"/>
          <w:szCs w:val="20"/>
        </w:rPr>
        <w:t>Biktarvy</w:t>
      </w:r>
      <w:proofErr w:type="spellEnd"/>
      <w:r w:rsidR="009C3AC9">
        <w:rPr>
          <w:rFonts w:cs="Arial"/>
          <w:sz w:val="20"/>
          <w:szCs w:val="20"/>
        </w:rPr>
        <w:t xml:space="preserve"> 50mg/200mg/25mg tablets, </w:t>
      </w:r>
      <w:r w:rsidR="001637E1">
        <w:rPr>
          <w:rFonts w:cs="Arial"/>
          <w:sz w:val="20"/>
          <w:szCs w:val="20"/>
        </w:rPr>
        <w:t>Co-</w:t>
      </w:r>
      <w:proofErr w:type="spellStart"/>
      <w:r w:rsidR="001637E1">
        <w:rPr>
          <w:rFonts w:cs="Arial"/>
          <w:sz w:val="20"/>
          <w:szCs w:val="20"/>
        </w:rPr>
        <w:t>Trimoxazole</w:t>
      </w:r>
      <w:proofErr w:type="spellEnd"/>
      <w:r w:rsidR="001637E1">
        <w:rPr>
          <w:rFonts w:cs="Arial"/>
          <w:sz w:val="20"/>
          <w:szCs w:val="20"/>
        </w:rPr>
        <w:t xml:space="preserve"> 480mg tablets,</w:t>
      </w:r>
      <w:r w:rsidR="009C3AC9">
        <w:rPr>
          <w:rFonts w:cs="Arial"/>
          <w:sz w:val="20"/>
          <w:szCs w:val="20"/>
        </w:rPr>
        <w:t xml:space="preserve"> </w:t>
      </w:r>
      <w:proofErr w:type="spellStart"/>
      <w:r w:rsidR="00420013">
        <w:rPr>
          <w:rFonts w:cs="Arial"/>
          <w:sz w:val="20"/>
          <w:szCs w:val="20"/>
        </w:rPr>
        <w:t>Emtricitabine</w:t>
      </w:r>
      <w:proofErr w:type="spellEnd"/>
      <w:r w:rsidR="00420013">
        <w:rPr>
          <w:rFonts w:cs="Arial"/>
          <w:sz w:val="20"/>
          <w:szCs w:val="20"/>
        </w:rPr>
        <w:t xml:space="preserve"> 200mg/</w:t>
      </w:r>
      <w:proofErr w:type="spellStart"/>
      <w:r w:rsidR="00420013">
        <w:rPr>
          <w:rFonts w:cs="Arial"/>
          <w:sz w:val="20"/>
          <w:szCs w:val="20"/>
        </w:rPr>
        <w:t>Tenofovir</w:t>
      </w:r>
      <w:proofErr w:type="spellEnd"/>
      <w:r w:rsidR="00420013">
        <w:rPr>
          <w:rFonts w:cs="Arial"/>
          <w:sz w:val="20"/>
          <w:szCs w:val="20"/>
        </w:rPr>
        <w:t xml:space="preserve"> </w:t>
      </w:r>
      <w:r>
        <w:rPr>
          <w:rFonts w:cs="Arial"/>
          <w:sz w:val="20"/>
          <w:szCs w:val="20"/>
        </w:rPr>
        <w:t xml:space="preserve">25mg tablets, </w:t>
      </w:r>
      <w:proofErr w:type="spellStart"/>
      <w:r>
        <w:rPr>
          <w:rFonts w:cs="Arial"/>
          <w:sz w:val="20"/>
          <w:szCs w:val="20"/>
        </w:rPr>
        <w:t>Dolutegravir</w:t>
      </w:r>
      <w:proofErr w:type="spellEnd"/>
      <w:r>
        <w:rPr>
          <w:rFonts w:cs="Arial"/>
          <w:sz w:val="20"/>
          <w:szCs w:val="20"/>
        </w:rPr>
        <w:t xml:space="preserve"> 50mg tablets)</w:t>
      </w:r>
    </w:p>
    <w:p w:rsidR="003E5496" w:rsidRDefault="003E5496" w:rsidP="003E5496">
      <w:pPr>
        <w:pStyle w:val="ListParagraph"/>
        <w:numPr>
          <w:ilvl w:val="0"/>
          <w:numId w:val="3"/>
        </w:numPr>
        <w:autoSpaceDE w:val="0"/>
        <w:autoSpaceDN w:val="0"/>
        <w:adjustRightInd w:val="0"/>
        <w:spacing w:after="240"/>
        <w:rPr>
          <w:rFonts w:cs="Arial"/>
          <w:b/>
          <w:sz w:val="20"/>
          <w:szCs w:val="20"/>
        </w:rPr>
      </w:pPr>
      <w:r w:rsidRPr="000F1D69">
        <w:rPr>
          <w:rFonts w:cs="Arial"/>
          <w:b/>
          <w:sz w:val="20"/>
          <w:szCs w:val="20"/>
        </w:rPr>
        <w:t>Ruby TR (NCMH)</w:t>
      </w:r>
    </w:p>
    <w:p w:rsidR="00936D59" w:rsidRPr="000F1D69" w:rsidRDefault="00936D59" w:rsidP="00936D59">
      <w:pPr>
        <w:pStyle w:val="ListParagraph"/>
        <w:autoSpaceDE w:val="0"/>
        <w:autoSpaceDN w:val="0"/>
        <w:adjustRightInd w:val="0"/>
        <w:spacing w:after="240"/>
        <w:rPr>
          <w:rFonts w:cs="Arial"/>
          <w:b/>
          <w:sz w:val="20"/>
          <w:szCs w:val="20"/>
        </w:rPr>
      </w:pPr>
      <w:r>
        <w:rPr>
          <w:rFonts w:cs="Arial"/>
          <w:sz w:val="20"/>
          <w:szCs w:val="20"/>
        </w:rPr>
        <w:t>Details of antimicrobials prescribed:</w:t>
      </w:r>
      <w:r w:rsidR="00835057">
        <w:rPr>
          <w:rFonts w:cs="Arial"/>
          <w:sz w:val="20"/>
          <w:szCs w:val="20"/>
        </w:rPr>
        <w:t xml:space="preserve"> </w:t>
      </w:r>
      <w:proofErr w:type="spellStart"/>
      <w:r w:rsidR="00835057">
        <w:rPr>
          <w:rFonts w:cs="Arial"/>
          <w:sz w:val="20"/>
          <w:szCs w:val="20"/>
        </w:rPr>
        <w:t>Darunavir</w:t>
      </w:r>
      <w:proofErr w:type="spellEnd"/>
      <w:r w:rsidR="00835057">
        <w:rPr>
          <w:rFonts w:cs="Arial"/>
          <w:sz w:val="20"/>
          <w:szCs w:val="20"/>
        </w:rPr>
        <w:t xml:space="preserve"> 800mg tablets, </w:t>
      </w:r>
      <w:proofErr w:type="spellStart"/>
      <w:r w:rsidR="00835057">
        <w:rPr>
          <w:rFonts w:cs="Arial"/>
          <w:sz w:val="20"/>
          <w:szCs w:val="20"/>
        </w:rPr>
        <w:t>Emtricitabine</w:t>
      </w:r>
      <w:proofErr w:type="spellEnd"/>
      <w:r w:rsidR="00835057">
        <w:rPr>
          <w:rFonts w:cs="Arial"/>
          <w:sz w:val="20"/>
          <w:szCs w:val="20"/>
        </w:rPr>
        <w:t xml:space="preserve"> 200mg/</w:t>
      </w:r>
      <w:proofErr w:type="spellStart"/>
      <w:r w:rsidR="00835057">
        <w:rPr>
          <w:rFonts w:cs="Arial"/>
          <w:sz w:val="20"/>
          <w:szCs w:val="20"/>
        </w:rPr>
        <w:t>Tenofovir</w:t>
      </w:r>
      <w:proofErr w:type="spellEnd"/>
      <w:r w:rsidR="00835057">
        <w:rPr>
          <w:rFonts w:cs="Arial"/>
          <w:sz w:val="20"/>
          <w:szCs w:val="20"/>
        </w:rPr>
        <w:t xml:space="preserve"> 10mg tablets,</w:t>
      </w:r>
      <w:r w:rsidR="00D81214">
        <w:rPr>
          <w:rFonts w:cs="Arial"/>
          <w:sz w:val="20"/>
          <w:szCs w:val="20"/>
        </w:rPr>
        <w:t xml:space="preserve"> Doxycycline 100mg capsules, Nitrofurantoin 50mg tablets, </w:t>
      </w:r>
      <w:proofErr w:type="spellStart"/>
      <w:r w:rsidR="00D81214">
        <w:rPr>
          <w:rFonts w:cs="Arial"/>
          <w:sz w:val="20"/>
          <w:szCs w:val="20"/>
        </w:rPr>
        <w:t>Phenoxymethylpenicillin</w:t>
      </w:r>
      <w:proofErr w:type="spellEnd"/>
      <w:r w:rsidR="00D81214">
        <w:rPr>
          <w:rFonts w:cs="Arial"/>
          <w:sz w:val="20"/>
          <w:szCs w:val="20"/>
        </w:rPr>
        <w:t xml:space="preserve"> 250mg tablets, Ritonav</w:t>
      </w:r>
      <w:r w:rsidR="00211FFD">
        <w:rPr>
          <w:rFonts w:cs="Arial"/>
          <w:sz w:val="20"/>
          <w:szCs w:val="20"/>
        </w:rPr>
        <w:t xml:space="preserve">ir 100mg tablets, </w:t>
      </w:r>
      <w:proofErr w:type="spellStart"/>
      <w:r w:rsidR="00211FFD">
        <w:rPr>
          <w:rFonts w:cs="Arial"/>
          <w:sz w:val="20"/>
          <w:szCs w:val="20"/>
        </w:rPr>
        <w:t>Terbinafine</w:t>
      </w:r>
      <w:proofErr w:type="spellEnd"/>
      <w:r w:rsidR="00211FFD">
        <w:rPr>
          <w:rFonts w:cs="Arial"/>
          <w:sz w:val="20"/>
          <w:szCs w:val="20"/>
        </w:rPr>
        <w:t xml:space="preserve"> 1% cream)</w:t>
      </w:r>
    </w:p>
    <w:p w:rsidR="003E5496" w:rsidRDefault="003E5496" w:rsidP="003E5496">
      <w:pPr>
        <w:pStyle w:val="ListParagraph"/>
        <w:numPr>
          <w:ilvl w:val="0"/>
          <w:numId w:val="3"/>
        </w:numPr>
        <w:autoSpaceDE w:val="0"/>
        <w:autoSpaceDN w:val="0"/>
        <w:adjustRightInd w:val="0"/>
        <w:spacing w:after="240"/>
        <w:rPr>
          <w:rFonts w:cs="Arial"/>
          <w:b/>
          <w:sz w:val="20"/>
          <w:szCs w:val="20"/>
        </w:rPr>
      </w:pPr>
      <w:proofErr w:type="spellStart"/>
      <w:r w:rsidRPr="000F1D69">
        <w:rPr>
          <w:rFonts w:cs="Arial"/>
          <w:b/>
          <w:sz w:val="20"/>
          <w:szCs w:val="20"/>
        </w:rPr>
        <w:t>Leadenhall</w:t>
      </w:r>
      <w:proofErr w:type="spellEnd"/>
      <w:r w:rsidRPr="000F1D69">
        <w:rPr>
          <w:rFonts w:cs="Arial"/>
          <w:b/>
          <w:sz w:val="20"/>
          <w:szCs w:val="20"/>
        </w:rPr>
        <w:t xml:space="preserve"> (MEH)</w:t>
      </w:r>
    </w:p>
    <w:p w:rsidR="00D81214" w:rsidRPr="000F1D69" w:rsidRDefault="00D81214" w:rsidP="00D81214">
      <w:pPr>
        <w:pStyle w:val="ListParagraph"/>
        <w:autoSpaceDE w:val="0"/>
        <w:autoSpaceDN w:val="0"/>
        <w:adjustRightInd w:val="0"/>
        <w:spacing w:after="240"/>
        <w:rPr>
          <w:rFonts w:cs="Arial"/>
          <w:b/>
          <w:sz w:val="20"/>
          <w:szCs w:val="20"/>
        </w:rPr>
      </w:pPr>
      <w:r>
        <w:rPr>
          <w:rFonts w:cs="Arial"/>
          <w:sz w:val="20"/>
          <w:szCs w:val="20"/>
        </w:rPr>
        <w:t>Details of antimicrobials prescribed:</w:t>
      </w:r>
      <w:r w:rsidR="00211FFD">
        <w:rPr>
          <w:rFonts w:cs="Arial"/>
          <w:sz w:val="20"/>
          <w:szCs w:val="20"/>
        </w:rPr>
        <w:t xml:space="preserve"> Azithromycin 500mg tablets, </w:t>
      </w:r>
      <w:proofErr w:type="spellStart"/>
      <w:r w:rsidR="00211FFD">
        <w:rPr>
          <w:rFonts w:cs="Arial"/>
          <w:sz w:val="20"/>
          <w:szCs w:val="20"/>
        </w:rPr>
        <w:t>Cefalexin</w:t>
      </w:r>
      <w:proofErr w:type="spellEnd"/>
      <w:r w:rsidR="00211FFD">
        <w:rPr>
          <w:rFonts w:cs="Arial"/>
          <w:sz w:val="20"/>
          <w:szCs w:val="20"/>
        </w:rPr>
        <w:t xml:space="preserve"> 250mg capsules, Ciprofloxacin 500mg tablets, Co-</w:t>
      </w:r>
      <w:proofErr w:type="spellStart"/>
      <w:r w:rsidR="00211FFD">
        <w:rPr>
          <w:rFonts w:cs="Arial"/>
          <w:sz w:val="20"/>
          <w:szCs w:val="20"/>
        </w:rPr>
        <w:t>Amoxiclav</w:t>
      </w:r>
      <w:proofErr w:type="spellEnd"/>
      <w:r w:rsidR="00211FFD">
        <w:rPr>
          <w:rFonts w:cs="Arial"/>
          <w:sz w:val="20"/>
          <w:szCs w:val="20"/>
        </w:rPr>
        <w:t xml:space="preserve"> 500/125mg tablets, </w:t>
      </w:r>
      <w:proofErr w:type="spellStart"/>
      <w:r w:rsidR="00211FFD">
        <w:rPr>
          <w:rFonts w:cs="Arial"/>
          <w:sz w:val="20"/>
          <w:szCs w:val="20"/>
        </w:rPr>
        <w:t>Flucloxacillin</w:t>
      </w:r>
      <w:proofErr w:type="spellEnd"/>
      <w:r w:rsidR="00211FFD">
        <w:rPr>
          <w:rFonts w:cs="Arial"/>
          <w:sz w:val="20"/>
          <w:szCs w:val="20"/>
        </w:rPr>
        <w:t xml:space="preserve"> 500mg capsules, Nitrofurantoin 50mg tablets, Nitrofurantoin 100mg MR capsules, </w:t>
      </w:r>
      <w:proofErr w:type="spellStart"/>
      <w:r w:rsidR="00211FFD">
        <w:rPr>
          <w:rFonts w:cs="Arial"/>
          <w:sz w:val="20"/>
          <w:szCs w:val="20"/>
        </w:rPr>
        <w:t>Symtuza</w:t>
      </w:r>
      <w:proofErr w:type="spellEnd"/>
      <w:r w:rsidR="00211FFD">
        <w:rPr>
          <w:rFonts w:cs="Arial"/>
          <w:sz w:val="20"/>
          <w:szCs w:val="20"/>
        </w:rPr>
        <w:t xml:space="preserve"> 800mg/150mg/200mg/10mg tablets, Quinine </w:t>
      </w:r>
      <w:proofErr w:type="spellStart"/>
      <w:r w:rsidR="00211FFD">
        <w:rPr>
          <w:rFonts w:cs="Arial"/>
          <w:sz w:val="20"/>
          <w:szCs w:val="20"/>
        </w:rPr>
        <w:t>Sulfate</w:t>
      </w:r>
      <w:proofErr w:type="spellEnd"/>
      <w:r w:rsidR="00211FFD">
        <w:rPr>
          <w:rFonts w:cs="Arial"/>
          <w:sz w:val="20"/>
          <w:szCs w:val="20"/>
        </w:rPr>
        <w:t xml:space="preserve"> 200mg tablets)</w:t>
      </w:r>
    </w:p>
    <w:p w:rsidR="003E5496" w:rsidRDefault="003E5496" w:rsidP="003E5496">
      <w:pPr>
        <w:pStyle w:val="ListParagraph"/>
        <w:numPr>
          <w:ilvl w:val="0"/>
          <w:numId w:val="3"/>
        </w:numPr>
        <w:autoSpaceDE w:val="0"/>
        <w:autoSpaceDN w:val="0"/>
        <w:adjustRightInd w:val="0"/>
        <w:spacing w:after="240"/>
        <w:rPr>
          <w:rFonts w:cs="Arial"/>
          <w:b/>
          <w:sz w:val="20"/>
          <w:szCs w:val="20"/>
        </w:rPr>
      </w:pPr>
      <w:r w:rsidRPr="000F1D69">
        <w:rPr>
          <w:rFonts w:cs="Arial"/>
          <w:b/>
          <w:sz w:val="20"/>
          <w:szCs w:val="20"/>
        </w:rPr>
        <w:t>Globe (MEH)</w:t>
      </w:r>
    </w:p>
    <w:p w:rsidR="00420013" w:rsidRPr="000F1D69" w:rsidRDefault="00420013" w:rsidP="00420013">
      <w:pPr>
        <w:pStyle w:val="ListParagraph"/>
        <w:autoSpaceDE w:val="0"/>
        <w:autoSpaceDN w:val="0"/>
        <w:adjustRightInd w:val="0"/>
        <w:spacing w:after="240"/>
        <w:rPr>
          <w:rFonts w:cs="Arial"/>
          <w:b/>
          <w:sz w:val="20"/>
          <w:szCs w:val="20"/>
        </w:rPr>
      </w:pPr>
      <w:r>
        <w:rPr>
          <w:rFonts w:cs="Arial"/>
          <w:sz w:val="20"/>
          <w:szCs w:val="20"/>
        </w:rPr>
        <w:t>Details of antimicrobials prescribed: Clarithromycin 500mg tablets, Co-</w:t>
      </w:r>
      <w:proofErr w:type="spellStart"/>
      <w:r>
        <w:rPr>
          <w:rFonts w:cs="Arial"/>
          <w:sz w:val="20"/>
          <w:szCs w:val="20"/>
        </w:rPr>
        <w:t>Amoxiclav</w:t>
      </w:r>
      <w:proofErr w:type="spellEnd"/>
      <w:r>
        <w:rPr>
          <w:rFonts w:cs="Arial"/>
          <w:sz w:val="20"/>
          <w:szCs w:val="20"/>
        </w:rPr>
        <w:t xml:space="preserve"> 500/125mg tablets, </w:t>
      </w:r>
      <w:proofErr w:type="spellStart"/>
      <w:r>
        <w:rPr>
          <w:rFonts w:cs="Arial"/>
          <w:sz w:val="20"/>
          <w:szCs w:val="20"/>
        </w:rPr>
        <w:t>Emtricitabine</w:t>
      </w:r>
      <w:proofErr w:type="spellEnd"/>
      <w:r>
        <w:rPr>
          <w:rFonts w:cs="Arial"/>
          <w:sz w:val="20"/>
          <w:szCs w:val="20"/>
        </w:rPr>
        <w:t xml:space="preserve"> 200mg/</w:t>
      </w:r>
      <w:proofErr w:type="spellStart"/>
      <w:r>
        <w:rPr>
          <w:rFonts w:cs="Arial"/>
          <w:sz w:val="20"/>
          <w:szCs w:val="20"/>
        </w:rPr>
        <w:t>Tenofovir</w:t>
      </w:r>
      <w:proofErr w:type="spellEnd"/>
      <w:r>
        <w:rPr>
          <w:rFonts w:cs="Arial"/>
          <w:sz w:val="20"/>
          <w:szCs w:val="20"/>
        </w:rPr>
        <w:t xml:space="preserve"> 245mg tablets, </w:t>
      </w:r>
      <w:proofErr w:type="spellStart"/>
      <w:r>
        <w:rPr>
          <w:rFonts w:cs="Arial"/>
          <w:sz w:val="20"/>
          <w:szCs w:val="20"/>
        </w:rPr>
        <w:t>Eviplera</w:t>
      </w:r>
      <w:proofErr w:type="spellEnd"/>
      <w:r>
        <w:rPr>
          <w:rFonts w:cs="Arial"/>
          <w:sz w:val="20"/>
          <w:szCs w:val="20"/>
        </w:rPr>
        <w:t xml:space="preserve"> tablets, </w:t>
      </w:r>
      <w:proofErr w:type="spellStart"/>
      <w:r>
        <w:rPr>
          <w:rFonts w:cs="Arial"/>
          <w:sz w:val="20"/>
          <w:szCs w:val="20"/>
        </w:rPr>
        <w:t>Dolutegravir</w:t>
      </w:r>
      <w:proofErr w:type="spellEnd"/>
      <w:r>
        <w:rPr>
          <w:rFonts w:cs="Arial"/>
          <w:sz w:val="20"/>
          <w:szCs w:val="20"/>
        </w:rPr>
        <w:t xml:space="preserve"> 50mg tablets, </w:t>
      </w:r>
      <w:proofErr w:type="spellStart"/>
      <w:r>
        <w:rPr>
          <w:rFonts w:cs="Arial"/>
          <w:sz w:val="20"/>
          <w:szCs w:val="20"/>
        </w:rPr>
        <w:t>Rezolsta</w:t>
      </w:r>
      <w:proofErr w:type="spellEnd"/>
      <w:r>
        <w:rPr>
          <w:rFonts w:cs="Arial"/>
          <w:sz w:val="20"/>
          <w:szCs w:val="20"/>
        </w:rPr>
        <w:t xml:space="preserve"> tablets)</w:t>
      </w:r>
    </w:p>
    <w:p w:rsidR="005F74EF" w:rsidRDefault="005F74EF" w:rsidP="003E5496">
      <w:pPr>
        <w:pStyle w:val="ListParagraph"/>
        <w:numPr>
          <w:ilvl w:val="0"/>
          <w:numId w:val="3"/>
        </w:numPr>
        <w:autoSpaceDE w:val="0"/>
        <w:autoSpaceDN w:val="0"/>
        <w:adjustRightInd w:val="0"/>
        <w:spacing w:after="240"/>
        <w:rPr>
          <w:rFonts w:cs="Arial"/>
          <w:b/>
          <w:sz w:val="20"/>
          <w:szCs w:val="20"/>
        </w:rPr>
      </w:pPr>
      <w:r w:rsidRPr="000F1D69">
        <w:rPr>
          <w:rFonts w:cs="Arial"/>
          <w:b/>
          <w:sz w:val="20"/>
          <w:szCs w:val="20"/>
        </w:rPr>
        <w:t>Coral (LTN)</w:t>
      </w:r>
    </w:p>
    <w:p w:rsidR="00F70541" w:rsidRPr="000F1D69" w:rsidRDefault="00F70541" w:rsidP="00F70541">
      <w:pPr>
        <w:pStyle w:val="ListParagraph"/>
        <w:autoSpaceDE w:val="0"/>
        <w:autoSpaceDN w:val="0"/>
        <w:adjustRightInd w:val="0"/>
        <w:spacing w:after="240"/>
        <w:rPr>
          <w:rFonts w:cs="Arial"/>
          <w:b/>
          <w:sz w:val="20"/>
          <w:szCs w:val="20"/>
        </w:rPr>
      </w:pPr>
      <w:r>
        <w:rPr>
          <w:rFonts w:cs="Arial"/>
          <w:sz w:val="20"/>
          <w:szCs w:val="20"/>
        </w:rPr>
        <w:t xml:space="preserve">Details of antimicrobials prescribed: </w:t>
      </w:r>
      <w:proofErr w:type="spellStart"/>
      <w:r>
        <w:rPr>
          <w:rFonts w:cs="Arial"/>
          <w:sz w:val="20"/>
          <w:szCs w:val="20"/>
        </w:rPr>
        <w:t>Aciclovir</w:t>
      </w:r>
      <w:proofErr w:type="spellEnd"/>
      <w:r>
        <w:rPr>
          <w:rFonts w:cs="Arial"/>
          <w:sz w:val="20"/>
          <w:szCs w:val="20"/>
        </w:rPr>
        <w:t xml:space="preserve"> 400mg dispersible tablets, Amoxicillin 500mg capsules, Clarithromycin 500mg tablets, Co-</w:t>
      </w:r>
      <w:proofErr w:type="spellStart"/>
      <w:r>
        <w:rPr>
          <w:rFonts w:cs="Arial"/>
          <w:sz w:val="20"/>
          <w:szCs w:val="20"/>
        </w:rPr>
        <w:t>Amoxiclav</w:t>
      </w:r>
      <w:proofErr w:type="spellEnd"/>
      <w:r>
        <w:rPr>
          <w:rFonts w:cs="Arial"/>
          <w:sz w:val="20"/>
          <w:szCs w:val="20"/>
        </w:rPr>
        <w:t xml:space="preserve"> 500/125mg tablets, </w:t>
      </w:r>
      <w:proofErr w:type="spellStart"/>
      <w:r>
        <w:rPr>
          <w:rFonts w:cs="Arial"/>
          <w:sz w:val="20"/>
          <w:szCs w:val="20"/>
        </w:rPr>
        <w:t>Emtricitabine</w:t>
      </w:r>
      <w:proofErr w:type="spellEnd"/>
      <w:r>
        <w:rPr>
          <w:rFonts w:cs="Arial"/>
          <w:sz w:val="20"/>
          <w:szCs w:val="20"/>
        </w:rPr>
        <w:t xml:space="preserve"> 200mg/</w:t>
      </w:r>
      <w:proofErr w:type="spellStart"/>
      <w:r>
        <w:rPr>
          <w:rFonts w:cs="Arial"/>
          <w:sz w:val="20"/>
          <w:szCs w:val="20"/>
        </w:rPr>
        <w:t>Tenofovir</w:t>
      </w:r>
      <w:proofErr w:type="spellEnd"/>
      <w:r>
        <w:rPr>
          <w:rFonts w:cs="Arial"/>
          <w:sz w:val="20"/>
          <w:szCs w:val="20"/>
        </w:rPr>
        <w:t xml:space="preserve"> 245mg tablets, </w:t>
      </w:r>
      <w:proofErr w:type="spellStart"/>
      <w:r>
        <w:rPr>
          <w:rFonts w:cs="Arial"/>
          <w:sz w:val="20"/>
          <w:szCs w:val="20"/>
        </w:rPr>
        <w:t>Emtricitabine</w:t>
      </w:r>
      <w:proofErr w:type="spellEnd"/>
      <w:r>
        <w:rPr>
          <w:rFonts w:cs="Arial"/>
          <w:sz w:val="20"/>
          <w:szCs w:val="20"/>
        </w:rPr>
        <w:t xml:space="preserve"> 200mg/</w:t>
      </w:r>
      <w:proofErr w:type="spellStart"/>
      <w:r>
        <w:rPr>
          <w:rFonts w:cs="Arial"/>
          <w:sz w:val="20"/>
          <w:szCs w:val="20"/>
        </w:rPr>
        <w:t>Tenofovir</w:t>
      </w:r>
      <w:proofErr w:type="spellEnd"/>
      <w:r>
        <w:rPr>
          <w:rFonts w:cs="Arial"/>
          <w:sz w:val="20"/>
          <w:szCs w:val="20"/>
        </w:rPr>
        <w:t xml:space="preserve"> 25mg tablets, </w:t>
      </w:r>
      <w:proofErr w:type="spellStart"/>
      <w:r>
        <w:rPr>
          <w:rFonts w:cs="Arial"/>
          <w:sz w:val="20"/>
          <w:szCs w:val="20"/>
        </w:rPr>
        <w:t>Flucloxacillin</w:t>
      </w:r>
      <w:proofErr w:type="spellEnd"/>
      <w:r>
        <w:rPr>
          <w:rFonts w:cs="Arial"/>
          <w:sz w:val="20"/>
          <w:szCs w:val="20"/>
        </w:rPr>
        <w:t xml:space="preserve"> 500mg capsules, </w:t>
      </w:r>
      <w:r w:rsidR="00435F75">
        <w:rPr>
          <w:rFonts w:cs="Arial"/>
          <w:sz w:val="20"/>
          <w:szCs w:val="20"/>
        </w:rPr>
        <w:t xml:space="preserve">Fluconazole 150mg capsules, </w:t>
      </w:r>
      <w:proofErr w:type="spellStart"/>
      <w:r>
        <w:rPr>
          <w:rFonts w:cs="Arial"/>
          <w:sz w:val="20"/>
          <w:szCs w:val="20"/>
        </w:rPr>
        <w:t>Raltegravir</w:t>
      </w:r>
      <w:proofErr w:type="spellEnd"/>
      <w:r>
        <w:rPr>
          <w:rFonts w:cs="Arial"/>
          <w:sz w:val="20"/>
          <w:szCs w:val="20"/>
        </w:rPr>
        <w:t xml:space="preserve"> 400mg tablets, </w:t>
      </w:r>
      <w:proofErr w:type="spellStart"/>
      <w:r>
        <w:rPr>
          <w:rFonts w:cs="Arial"/>
          <w:sz w:val="20"/>
          <w:szCs w:val="20"/>
        </w:rPr>
        <w:t>Rezolsta</w:t>
      </w:r>
      <w:proofErr w:type="spellEnd"/>
      <w:r>
        <w:rPr>
          <w:rFonts w:cs="Arial"/>
          <w:sz w:val="20"/>
          <w:szCs w:val="20"/>
        </w:rPr>
        <w:t xml:space="preserve"> tablets)</w:t>
      </w:r>
    </w:p>
    <w:p w:rsidR="005F74EF" w:rsidRDefault="005F74EF" w:rsidP="003E5496">
      <w:pPr>
        <w:pStyle w:val="ListParagraph"/>
        <w:numPr>
          <w:ilvl w:val="0"/>
          <w:numId w:val="3"/>
        </w:numPr>
        <w:autoSpaceDE w:val="0"/>
        <w:autoSpaceDN w:val="0"/>
        <w:adjustRightInd w:val="0"/>
        <w:spacing w:after="240"/>
        <w:rPr>
          <w:rFonts w:cs="Arial"/>
          <w:b/>
          <w:sz w:val="20"/>
          <w:szCs w:val="20"/>
        </w:rPr>
      </w:pPr>
      <w:r w:rsidRPr="000F1D69">
        <w:rPr>
          <w:rFonts w:cs="Arial"/>
          <w:b/>
          <w:sz w:val="20"/>
          <w:szCs w:val="20"/>
        </w:rPr>
        <w:t>ASH (LTN)</w:t>
      </w:r>
    </w:p>
    <w:p w:rsidR="00DA34ED" w:rsidRPr="000F1D69" w:rsidRDefault="00DA34ED" w:rsidP="00DA34ED">
      <w:pPr>
        <w:pStyle w:val="ListParagraph"/>
        <w:autoSpaceDE w:val="0"/>
        <w:autoSpaceDN w:val="0"/>
        <w:adjustRightInd w:val="0"/>
        <w:spacing w:after="240"/>
        <w:rPr>
          <w:rFonts w:cs="Arial"/>
          <w:b/>
          <w:sz w:val="20"/>
          <w:szCs w:val="20"/>
        </w:rPr>
      </w:pPr>
      <w:r>
        <w:rPr>
          <w:rFonts w:cs="Arial"/>
          <w:sz w:val="20"/>
          <w:szCs w:val="20"/>
        </w:rPr>
        <w:t xml:space="preserve">Details of antimicrobials prescribed: </w:t>
      </w:r>
      <w:proofErr w:type="spellStart"/>
      <w:r>
        <w:rPr>
          <w:rFonts w:cs="Arial"/>
          <w:sz w:val="20"/>
          <w:szCs w:val="20"/>
        </w:rPr>
        <w:t>Aciclovir</w:t>
      </w:r>
      <w:proofErr w:type="spellEnd"/>
      <w:r>
        <w:rPr>
          <w:rFonts w:cs="Arial"/>
          <w:sz w:val="20"/>
          <w:szCs w:val="20"/>
        </w:rPr>
        <w:t xml:space="preserve"> 400mg dispersible tablets, Amoxicillin 500mg capsules, Co-</w:t>
      </w:r>
      <w:proofErr w:type="spellStart"/>
      <w:r>
        <w:rPr>
          <w:rFonts w:cs="Arial"/>
          <w:sz w:val="20"/>
          <w:szCs w:val="20"/>
        </w:rPr>
        <w:t>Amoxiclav</w:t>
      </w:r>
      <w:proofErr w:type="spellEnd"/>
      <w:r>
        <w:rPr>
          <w:rFonts w:cs="Arial"/>
          <w:sz w:val="20"/>
          <w:szCs w:val="20"/>
        </w:rPr>
        <w:t xml:space="preserve"> 500/125mg tablets, Doxycycline 100mg capsules,</w:t>
      </w:r>
      <w:r w:rsidR="002F0A59">
        <w:rPr>
          <w:rFonts w:cs="Arial"/>
          <w:sz w:val="20"/>
          <w:szCs w:val="20"/>
        </w:rPr>
        <w:t xml:space="preserve"> </w:t>
      </w:r>
      <w:proofErr w:type="spellStart"/>
      <w:r>
        <w:rPr>
          <w:rFonts w:cs="Arial"/>
          <w:sz w:val="20"/>
          <w:szCs w:val="20"/>
        </w:rPr>
        <w:t>Flucloxacillin</w:t>
      </w:r>
      <w:proofErr w:type="spellEnd"/>
      <w:r>
        <w:rPr>
          <w:rFonts w:cs="Arial"/>
          <w:sz w:val="20"/>
          <w:szCs w:val="20"/>
        </w:rPr>
        <w:t xml:space="preserve"> 500mg capsules, Fluconazole 150mg capsules, Quinine </w:t>
      </w:r>
      <w:proofErr w:type="spellStart"/>
      <w:r>
        <w:rPr>
          <w:rFonts w:cs="Arial"/>
          <w:sz w:val="20"/>
          <w:szCs w:val="20"/>
        </w:rPr>
        <w:t>Sulfate</w:t>
      </w:r>
      <w:proofErr w:type="spellEnd"/>
      <w:r>
        <w:rPr>
          <w:rFonts w:cs="Arial"/>
          <w:sz w:val="20"/>
          <w:szCs w:val="20"/>
        </w:rPr>
        <w:t xml:space="preserve"> 200mg tablets)</w:t>
      </w:r>
    </w:p>
    <w:p w:rsidR="005F74EF" w:rsidRDefault="005F74EF" w:rsidP="003E5496">
      <w:pPr>
        <w:pStyle w:val="ListParagraph"/>
        <w:numPr>
          <w:ilvl w:val="0"/>
          <w:numId w:val="3"/>
        </w:numPr>
        <w:autoSpaceDE w:val="0"/>
        <w:autoSpaceDN w:val="0"/>
        <w:adjustRightInd w:val="0"/>
        <w:spacing w:after="240"/>
        <w:rPr>
          <w:rFonts w:cs="Arial"/>
          <w:b/>
          <w:sz w:val="20"/>
          <w:szCs w:val="20"/>
        </w:rPr>
      </w:pPr>
      <w:r w:rsidRPr="000F1D69">
        <w:rPr>
          <w:rFonts w:cs="Arial"/>
          <w:b/>
          <w:sz w:val="20"/>
          <w:szCs w:val="20"/>
        </w:rPr>
        <w:t>Luton Crystal (LTN)</w:t>
      </w:r>
    </w:p>
    <w:p w:rsidR="001537F5" w:rsidRPr="000F1D69" w:rsidRDefault="001537F5" w:rsidP="001537F5">
      <w:pPr>
        <w:pStyle w:val="ListParagraph"/>
        <w:autoSpaceDE w:val="0"/>
        <w:autoSpaceDN w:val="0"/>
        <w:adjustRightInd w:val="0"/>
        <w:spacing w:after="240"/>
        <w:rPr>
          <w:rFonts w:cs="Arial"/>
          <w:b/>
          <w:sz w:val="20"/>
          <w:szCs w:val="20"/>
        </w:rPr>
      </w:pPr>
      <w:r>
        <w:rPr>
          <w:rFonts w:cs="Arial"/>
          <w:sz w:val="20"/>
          <w:szCs w:val="20"/>
        </w:rPr>
        <w:t xml:space="preserve">Details of antimicrobials prescribed: </w:t>
      </w:r>
      <w:proofErr w:type="spellStart"/>
      <w:r>
        <w:rPr>
          <w:rFonts w:cs="Arial"/>
          <w:sz w:val="20"/>
          <w:szCs w:val="20"/>
        </w:rPr>
        <w:t>Biktarvy</w:t>
      </w:r>
      <w:proofErr w:type="spellEnd"/>
      <w:r>
        <w:rPr>
          <w:rFonts w:cs="Arial"/>
          <w:sz w:val="20"/>
          <w:szCs w:val="20"/>
        </w:rPr>
        <w:t xml:space="preserve"> 50mg/200mg/25mg tablets, Clindamycin 150mg capsules, Co-</w:t>
      </w:r>
      <w:proofErr w:type="spellStart"/>
      <w:r>
        <w:rPr>
          <w:rFonts w:cs="Arial"/>
          <w:sz w:val="20"/>
          <w:szCs w:val="20"/>
        </w:rPr>
        <w:t>Amoxiclav</w:t>
      </w:r>
      <w:proofErr w:type="spellEnd"/>
      <w:r>
        <w:rPr>
          <w:rFonts w:cs="Arial"/>
          <w:sz w:val="20"/>
          <w:szCs w:val="20"/>
        </w:rPr>
        <w:t xml:space="preserve"> 500/125mg tablets, Co-</w:t>
      </w:r>
      <w:proofErr w:type="spellStart"/>
      <w:r>
        <w:rPr>
          <w:rFonts w:cs="Arial"/>
          <w:sz w:val="20"/>
          <w:szCs w:val="20"/>
        </w:rPr>
        <w:t>Trimoxazole</w:t>
      </w:r>
      <w:proofErr w:type="spellEnd"/>
      <w:r>
        <w:rPr>
          <w:rFonts w:cs="Arial"/>
          <w:sz w:val="20"/>
          <w:szCs w:val="20"/>
        </w:rPr>
        <w:t xml:space="preserve"> 480mg tablets,</w:t>
      </w:r>
      <w:r w:rsidR="001F0775">
        <w:rPr>
          <w:rFonts w:cs="Arial"/>
          <w:sz w:val="20"/>
          <w:szCs w:val="20"/>
        </w:rPr>
        <w:t xml:space="preserve"> Metronidazole 200mg/5ml suspension, Nitrofurantoin 50mg tablets, Nitrofurantoin 100mg MR capsules)</w:t>
      </w:r>
    </w:p>
    <w:p w:rsidR="005F74EF" w:rsidRDefault="005F74EF" w:rsidP="003E5496">
      <w:pPr>
        <w:pStyle w:val="ListParagraph"/>
        <w:numPr>
          <w:ilvl w:val="0"/>
          <w:numId w:val="3"/>
        </w:numPr>
        <w:autoSpaceDE w:val="0"/>
        <w:autoSpaceDN w:val="0"/>
        <w:adjustRightInd w:val="0"/>
        <w:spacing w:after="240"/>
        <w:rPr>
          <w:rFonts w:cs="Arial"/>
          <w:b/>
          <w:sz w:val="20"/>
          <w:szCs w:val="20"/>
        </w:rPr>
      </w:pPr>
      <w:proofErr w:type="spellStart"/>
      <w:r w:rsidRPr="000F1D69">
        <w:rPr>
          <w:rFonts w:cs="Arial"/>
          <w:b/>
          <w:sz w:val="20"/>
          <w:szCs w:val="20"/>
        </w:rPr>
        <w:t>Cazaubon</w:t>
      </w:r>
      <w:proofErr w:type="spellEnd"/>
      <w:r w:rsidRPr="000F1D69">
        <w:rPr>
          <w:rFonts w:cs="Arial"/>
          <w:b/>
          <w:sz w:val="20"/>
          <w:szCs w:val="20"/>
        </w:rPr>
        <w:t xml:space="preserve"> (EHCC)</w:t>
      </w:r>
    </w:p>
    <w:p w:rsidR="002F0A59" w:rsidRPr="000F1D69" w:rsidRDefault="002F0A59" w:rsidP="002F0A59">
      <w:pPr>
        <w:pStyle w:val="ListParagraph"/>
        <w:autoSpaceDE w:val="0"/>
        <w:autoSpaceDN w:val="0"/>
        <w:adjustRightInd w:val="0"/>
        <w:spacing w:after="240"/>
        <w:rPr>
          <w:rFonts w:cs="Arial"/>
          <w:b/>
          <w:sz w:val="20"/>
          <w:szCs w:val="20"/>
        </w:rPr>
      </w:pPr>
      <w:r>
        <w:rPr>
          <w:rFonts w:cs="Arial"/>
          <w:sz w:val="20"/>
          <w:szCs w:val="20"/>
        </w:rPr>
        <w:t>Details of antimicrobials prescribed: Ciprofloxacin 250mg and 500mg tablets, Co-</w:t>
      </w:r>
      <w:proofErr w:type="spellStart"/>
      <w:r>
        <w:rPr>
          <w:rFonts w:cs="Arial"/>
          <w:sz w:val="20"/>
          <w:szCs w:val="20"/>
        </w:rPr>
        <w:t>Amoxiclav</w:t>
      </w:r>
      <w:proofErr w:type="spellEnd"/>
      <w:r>
        <w:rPr>
          <w:rFonts w:cs="Arial"/>
          <w:sz w:val="20"/>
          <w:szCs w:val="20"/>
        </w:rPr>
        <w:t xml:space="preserve"> 500/125mg tablets, Doxycycline 100mg capsules, </w:t>
      </w:r>
      <w:proofErr w:type="spellStart"/>
      <w:r>
        <w:rPr>
          <w:rFonts w:cs="Arial"/>
          <w:sz w:val="20"/>
          <w:szCs w:val="20"/>
        </w:rPr>
        <w:t>Flucloxacillin</w:t>
      </w:r>
      <w:proofErr w:type="spellEnd"/>
      <w:r>
        <w:rPr>
          <w:rFonts w:cs="Arial"/>
          <w:sz w:val="20"/>
          <w:szCs w:val="20"/>
        </w:rPr>
        <w:t xml:space="preserve"> 250mg/5ml SF liquid, Nitrofurantoin 100mg MR capsules, </w:t>
      </w:r>
      <w:proofErr w:type="spellStart"/>
      <w:r>
        <w:rPr>
          <w:rFonts w:cs="Arial"/>
          <w:sz w:val="20"/>
          <w:szCs w:val="20"/>
        </w:rPr>
        <w:t>Pivmecillinam</w:t>
      </w:r>
      <w:proofErr w:type="spellEnd"/>
      <w:r>
        <w:rPr>
          <w:rFonts w:cs="Arial"/>
          <w:sz w:val="20"/>
          <w:szCs w:val="20"/>
        </w:rPr>
        <w:t xml:space="preserve"> 200mg tablets)</w:t>
      </w:r>
    </w:p>
    <w:p w:rsidR="003E5496" w:rsidRDefault="005F74EF" w:rsidP="003E5496">
      <w:pPr>
        <w:pStyle w:val="ListParagraph"/>
        <w:numPr>
          <w:ilvl w:val="0"/>
          <w:numId w:val="3"/>
        </w:numPr>
        <w:autoSpaceDE w:val="0"/>
        <w:autoSpaceDN w:val="0"/>
        <w:adjustRightInd w:val="0"/>
        <w:spacing w:after="240"/>
        <w:rPr>
          <w:rFonts w:cs="Arial"/>
          <w:b/>
          <w:sz w:val="20"/>
          <w:szCs w:val="20"/>
        </w:rPr>
      </w:pPr>
      <w:r w:rsidRPr="000F1D69">
        <w:rPr>
          <w:rFonts w:cs="Arial"/>
          <w:b/>
          <w:sz w:val="20"/>
          <w:szCs w:val="20"/>
        </w:rPr>
        <w:t>Emerald (NCMH)</w:t>
      </w:r>
    </w:p>
    <w:p w:rsidR="001736E9" w:rsidRPr="000F1D69" w:rsidRDefault="001736E9" w:rsidP="00296F6C">
      <w:pPr>
        <w:pStyle w:val="ListParagraph"/>
        <w:autoSpaceDE w:val="0"/>
        <w:autoSpaceDN w:val="0"/>
        <w:adjustRightInd w:val="0"/>
        <w:spacing w:after="240"/>
        <w:rPr>
          <w:rFonts w:cs="Arial"/>
          <w:b/>
          <w:sz w:val="20"/>
          <w:szCs w:val="20"/>
        </w:rPr>
      </w:pPr>
      <w:r>
        <w:rPr>
          <w:rFonts w:cs="Arial"/>
          <w:sz w:val="20"/>
          <w:szCs w:val="20"/>
        </w:rPr>
        <w:t xml:space="preserve">Details of antimicrobials prescribed: </w:t>
      </w:r>
      <w:proofErr w:type="spellStart"/>
      <w:r>
        <w:rPr>
          <w:rFonts w:cs="Arial"/>
          <w:sz w:val="20"/>
          <w:szCs w:val="20"/>
        </w:rPr>
        <w:t>Atazanavir</w:t>
      </w:r>
      <w:proofErr w:type="spellEnd"/>
      <w:r>
        <w:rPr>
          <w:rFonts w:cs="Arial"/>
          <w:sz w:val="20"/>
          <w:szCs w:val="20"/>
        </w:rPr>
        <w:t xml:space="preserve"> 300mg tablets, </w:t>
      </w:r>
      <w:proofErr w:type="spellStart"/>
      <w:r>
        <w:rPr>
          <w:rFonts w:cs="Arial"/>
          <w:sz w:val="20"/>
          <w:szCs w:val="20"/>
        </w:rPr>
        <w:t>Cefalexin</w:t>
      </w:r>
      <w:proofErr w:type="spellEnd"/>
      <w:r>
        <w:rPr>
          <w:rFonts w:cs="Arial"/>
          <w:sz w:val="20"/>
          <w:szCs w:val="20"/>
        </w:rPr>
        <w:t xml:space="preserve"> 250mg capsules, Co-</w:t>
      </w:r>
      <w:proofErr w:type="spellStart"/>
      <w:r>
        <w:rPr>
          <w:rFonts w:cs="Arial"/>
          <w:sz w:val="20"/>
          <w:szCs w:val="20"/>
        </w:rPr>
        <w:t>Amoxiclav</w:t>
      </w:r>
      <w:proofErr w:type="spellEnd"/>
      <w:r>
        <w:rPr>
          <w:rFonts w:cs="Arial"/>
          <w:sz w:val="20"/>
          <w:szCs w:val="20"/>
        </w:rPr>
        <w:t xml:space="preserve"> 500/125mg tablets, Doxycycline 100mg capsules, </w:t>
      </w:r>
      <w:proofErr w:type="spellStart"/>
      <w:r>
        <w:rPr>
          <w:rFonts w:cs="Arial"/>
          <w:sz w:val="20"/>
          <w:szCs w:val="20"/>
        </w:rPr>
        <w:t>Emtricitabine</w:t>
      </w:r>
      <w:proofErr w:type="spellEnd"/>
      <w:r>
        <w:rPr>
          <w:rFonts w:cs="Arial"/>
          <w:sz w:val="20"/>
          <w:szCs w:val="20"/>
        </w:rPr>
        <w:t xml:space="preserve"> 200mg/</w:t>
      </w:r>
      <w:proofErr w:type="spellStart"/>
      <w:r>
        <w:rPr>
          <w:rFonts w:cs="Arial"/>
          <w:sz w:val="20"/>
          <w:szCs w:val="20"/>
        </w:rPr>
        <w:t>Tenofovir</w:t>
      </w:r>
      <w:proofErr w:type="spellEnd"/>
      <w:r>
        <w:rPr>
          <w:rFonts w:cs="Arial"/>
          <w:sz w:val="20"/>
          <w:szCs w:val="20"/>
        </w:rPr>
        <w:t xml:space="preserve"> 245mg tablets,</w:t>
      </w:r>
      <w:r w:rsidR="00296F6C">
        <w:rPr>
          <w:rFonts w:cs="Arial"/>
          <w:sz w:val="20"/>
          <w:szCs w:val="20"/>
        </w:rPr>
        <w:t xml:space="preserve"> Ritonavir 100mg tablets)</w:t>
      </w:r>
    </w:p>
    <w:p w:rsidR="003E5496" w:rsidRDefault="003E5496" w:rsidP="003E5496">
      <w:pPr>
        <w:autoSpaceDE w:val="0"/>
        <w:autoSpaceDN w:val="0"/>
        <w:adjustRightInd w:val="0"/>
        <w:spacing w:after="240"/>
        <w:rPr>
          <w:rFonts w:cs="Arial"/>
          <w:b/>
          <w:sz w:val="20"/>
          <w:szCs w:val="20"/>
        </w:rPr>
      </w:pPr>
      <w:r w:rsidRPr="003E5496">
        <w:rPr>
          <w:rFonts w:cs="Arial"/>
          <w:b/>
          <w:noProof/>
          <w:sz w:val="20"/>
          <w:szCs w:val="20"/>
        </w:rPr>
        <w:lastRenderedPageBreak/>
        <w:drawing>
          <wp:inline distT="0" distB="0" distL="0" distR="0">
            <wp:extent cx="5731220" cy="2969260"/>
            <wp:effectExtent l="0" t="0" r="3175" b="2540"/>
            <wp:docPr id="2" name="Picture 2" descr="C:\Users\ContinoR\Desktop\Roberta\Antimicrobial\Top 10 Wards Prescribing Antimicrobials Q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tinoR\Desktop\Roberta\Antimicrobial\Top 10 Wards Prescribing Antimicrobials Q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0829" cy="2974238"/>
                    </a:xfrm>
                    <a:prstGeom prst="rect">
                      <a:avLst/>
                    </a:prstGeom>
                    <a:noFill/>
                    <a:ln>
                      <a:noFill/>
                    </a:ln>
                  </pic:spPr>
                </pic:pic>
              </a:graphicData>
            </a:graphic>
          </wp:inline>
        </w:drawing>
      </w:r>
    </w:p>
    <w:p w:rsidR="00DE1290" w:rsidRDefault="00DE1290" w:rsidP="003E5496">
      <w:pPr>
        <w:autoSpaceDE w:val="0"/>
        <w:autoSpaceDN w:val="0"/>
        <w:adjustRightInd w:val="0"/>
        <w:spacing w:after="240"/>
        <w:rPr>
          <w:rFonts w:cs="Arial"/>
          <w:b/>
          <w:sz w:val="20"/>
          <w:szCs w:val="20"/>
        </w:rPr>
      </w:pPr>
    </w:p>
    <w:p w:rsidR="00DE1290" w:rsidRDefault="00DE1290" w:rsidP="003E5496">
      <w:pPr>
        <w:autoSpaceDE w:val="0"/>
        <w:autoSpaceDN w:val="0"/>
        <w:adjustRightInd w:val="0"/>
        <w:spacing w:after="240"/>
        <w:rPr>
          <w:rFonts w:cs="Arial"/>
          <w:b/>
          <w:szCs w:val="22"/>
        </w:rPr>
      </w:pPr>
      <w:r>
        <w:rPr>
          <w:rFonts w:cs="Arial"/>
          <w:b/>
          <w:szCs w:val="22"/>
        </w:rPr>
        <w:t>Action Plan</w:t>
      </w:r>
    </w:p>
    <w:p w:rsidR="00DE1290" w:rsidRDefault="00DE1290" w:rsidP="00DE1290">
      <w:pPr>
        <w:autoSpaceDE w:val="0"/>
        <w:autoSpaceDN w:val="0"/>
        <w:adjustRightInd w:val="0"/>
        <w:spacing w:after="240"/>
        <w:rPr>
          <w:rFonts w:cs="Arial"/>
          <w:sz w:val="20"/>
          <w:szCs w:val="20"/>
        </w:rPr>
      </w:pPr>
      <w:r w:rsidRPr="00DE1290">
        <w:rPr>
          <w:rFonts w:cs="Arial"/>
          <w:sz w:val="20"/>
          <w:szCs w:val="20"/>
        </w:rPr>
        <w:t xml:space="preserve">The following action plan </w:t>
      </w:r>
      <w:proofErr w:type="gramStart"/>
      <w:r w:rsidRPr="00DE1290">
        <w:rPr>
          <w:rFonts w:cs="Arial"/>
          <w:sz w:val="20"/>
          <w:szCs w:val="20"/>
        </w:rPr>
        <w:t>has been formulated</w:t>
      </w:r>
      <w:proofErr w:type="gramEnd"/>
      <w:r w:rsidRPr="00DE1290">
        <w:rPr>
          <w:rFonts w:cs="Arial"/>
          <w:sz w:val="20"/>
          <w:szCs w:val="20"/>
        </w:rPr>
        <w:t xml:space="preserve"> to address areas of non-compliance and concern as well as some overarching antimicrobial stewardship objectives in order to improve use of antimicrobials</w:t>
      </w:r>
      <w:r>
        <w:rPr>
          <w:rFonts w:cs="Arial"/>
          <w:sz w:val="20"/>
          <w:szCs w:val="20"/>
        </w:rPr>
        <w:t>.</w:t>
      </w:r>
    </w:p>
    <w:tbl>
      <w:tblPr>
        <w:tblStyle w:val="TableGrid"/>
        <w:tblW w:w="0" w:type="auto"/>
        <w:tblLook w:val="04A0" w:firstRow="1" w:lastRow="0" w:firstColumn="1" w:lastColumn="0" w:noHBand="0" w:noVBand="1"/>
      </w:tblPr>
      <w:tblGrid>
        <w:gridCol w:w="1129"/>
        <w:gridCol w:w="6521"/>
        <w:gridCol w:w="1366"/>
      </w:tblGrid>
      <w:tr w:rsidR="00DE1290" w:rsidTr="00DE1290">
        <w:trPr>
          <w:trHeight w:val="495"/>
        </w:trPr>
        <w:tc>
          <w:tcPr>
            <w:tcW w:w="1129" w:type="dxa"/>
          </w:tcPr>
          <w:p w:rsidR="00DE1290" w:rsidRDefault="00DE1290" w:rsidP="00DE1290">
            <w:pPr>
              <w:autoSpaceDE w:val="0"/>
              <w:autoSpaceDN w:val="0"/>
              <w:adjustRightInd w:val="0"/>
              <w:spacing w:after="240"/>
              <w:rPr>
                <w:rFonts w:cs="Arial"/>
                <w:sz w:val="20"/>
                <w:szCs w:val="20"/>
              </w:rPr>
            </w:pPr>
            <w:r>
              <w:rPr>
                <w:rFonts w:cs="Arial"/>
                <w:sz w:val="20"/>
                <w:szCs w:val="20"/>
              </w:rPr>
              <w:t>Action No</w:t>
            </w:r>
          </w:p>
        </w:tc>
        <w:tc>
          <w:tcPr>
            <w:tcW w:w="6521" w:type="dxa"/>
          </w:tcPr>
          <w:p w:rsidR="00DE1290" w:rsidRDefault="00DE1290" w:rsidP="00DE1290">
            <w:pPr>
              <w:autoSpaceDE w:val="0"/>
              <w:autoSpaceDN w:val="0"/>
              <w:adjustRightInd w:val="0"/>
              <w:spacing w:after="240"/>
              <w:rPr>
                <w:rFonts w:cs="Arial"/>
                <w:sz w:val="20"/>
                <w:szCs w:val="20"/>
              </w:rPr>
            </w:pPr>
            <w:r>
              <w:rPr>
                <w:rFonts w:cs="Arial"/>
                <w:sz w:val="20"/>
                <w:szCs w:val="20"/>
              </w:rPr>
              <w:t xml:space="preserve">Action </w:t>
            </w:r>
          </w:p>
        </w:tc>
        <w:tc>
          <w:tcPr>
            <w:tcW w:w="1366" w:type="dxa"/>
          </w:tcPr>
          <w:p w:rsidR="00DE1290" w:rsidRDefault="00DE1290" w:rsidP="00DE1290">
            <w:pPr>
              <w:autoSpaceDE w:val="0"/>
              <w:autoSpaceDN w:val="0"/>
              <w:adjustRightInd w:val="0"/>
              <w:spacing w:after="240"/>
              <w:rPr>
                <w:rFonts w:cs="Arial"/>
                <w:sz w:val="20"/>
                <w:szCs w:val="20"/>
              </w:rPr>
            </w:pPr>
            <w:r>
              <w:rPr>
                <w:rFonts w:cs="Arial"/>
                <w:sz w:val="20"/>
                <w:szCs w:val="20"/>
              </w:rPr>
              <w:t>By When</w:t>
            </w:r>
          </w:p>
        </w:tc>
      </w:tr>
      <w:tr w:rsidR="00DE1290" w:rsidTr="00DE1290">
        <w:trPr>
          <w:trHeight w:val="495"/>
        </w:trPr>
        <w:tc>
          <w:tcPr>
            <w:tcW w:w="1129" w:type="dxa"/>
          </w:tcPr>
          <w:p w:rsidR="00DE1290" w:rsidRDefault="00DE1290" w:rsidP="00DE1290">
            <w:pPr>
              <w:autoSpaceDE w:val="0"/>
              <w:autoSpaceDN w:val="0"/>
              <w:adjustRightInd w:val="0"/>
              <w:spacing w:after="240"/>
              <w:rPr>
                <w:rFonts w:cs="Arial"/>
                <w:sz w:val="20"/>
                <w:szCs w:val="20"/>
              </w:rPr>
            </w:pPr>
            <w:r>
              <w:rPr>
                <w:rFonts w:cs="Arial"/>
                <w:sz w:val="20"/>
                <w:szCs w:val="20"/>
              </w:rPr>
              <w:t>1</w:t>
            </w:r>
          </w:p>
        </w:tc>
        <w:tc>
          <w:tcPr>
            <w:tcW w:w="6521" w:type="dxa"/>
          </w:tcPr>
          <w:p w:rsidR="00DE1290" w:rsidRDefault="00DE1290" w:rsidP="00DE1290">
            <w:pPr>
              <w:autoSpaceDE w:val="0"/>
              <w:autoSpaceDN w:val="0"/>
              <w:adjustRightInd w:val="0"/>
              <w:spacing w:after="240"/>
              <w:rPr>
                <w:rFonts w:cs="Arial"/>
                <w:sz w:val="20"/>
                <w:szCs w:val="20"/>
              </w:rPr>
            </w:pPr>
            <w:r>
              <w:rPr>
                <w:sz w:val="20"/>
                <w:szCs w:val="20"/>
              </w:rPr>
              <w:t>Circulate report to all Pharmacists, Prescribers, and Divisional Medical Directors to discuss at respective quality and governance meetings. Present findings of the audit to each divisional IPC subgroup and IPC Committee.</w:t>
            </w:r>
          </w:p>
        </w:tc>
        <w:tc>
          <w:tcPr>
            <w:tcW w:w="1366" w:type="dxa"/>
          </w:tcPr>
          <w:p w:rsidR="00DE1290" w:rsidRDefault="00DE1290" w:rsidP="00DE1290">
            <w:pPr>
              <w:autoSpaceDE w:val="0"/>
              <w:autoSpaceDN w:val="0"/>
              <w:adjustRightInd w:val="0"/>
              <w:spacing w:after="240"/>
              <w:rPr>
                <w:rFonts w:cs="Arial"/>
                <w:sz w:val="20"/>
                <w:szCs w:val="20"/>
              </w:rPr>
            </w:pPr>
            <w:r>
              <w:rPr>
                <w:rFonts w:cs="Arial"/>
                <w:sz w:val="20"/>
                <w:szCs w:val="20"/>
              </w:rPr>
              <w:t>Feb 2022</w:t>
            </w:r>
          </w:p>
        </w:tc>
      </w:tr>
      <w:tr w:rsidR="00DE1290" w:rsidTr="00DE1290">
        <w:trPr>
          <w:trHeight w:val="495"/>
        </w:trPr>
        <w:tc>
          <w:tcPr>
            <w:tcW w:w="1129" w:type="dxa"/>
          </w:tcPr>
          <w:p w:rsidR="00DE1290" w:rsidRDefault="00DE1290" w:rsidP="00DE1290">
            <w:pPr>
              <w:autoSpaceDE w:val="0"/>
              <w:autoSpaceDN w:val="0"/>
              <w:adjustRightInd w:val="0"/>
              <w:spacing w:after="240"/>
              <w:rPr>
                <w:rFonts w:cs="Arial"/>
                <w:sz w:val="20"/>
                <w:szCs w:val="20"/>
              </w:rPr>
            </w:pPr>
            <w:r>
              <w:rPr>
                <w:rFonts w:cs="Arial"/>
                <w:sz w:val="20"/>
                <w:szCs w:val="20"/>
              </w:rPr>
              <w:t>2</w:t>
            </w:r>
          </w:p>
        </w:tc>
        <w:tc>
          <w:tcPr>
            <w:tcW w:w="6521" w:type="dxa"/>
          </w:tcPr>
          <w:p w:rsidR="00DE1290" w:rsidRDefault="00DE1290" w:rsidP="00DE1290">
            <w:pPr>
              <w:autoSpaceDE w:val="0"/>
              <w:autoSpaceDN w:val="0"/>
              <w:adjustRightInd w:val="0"/>
              <w:spacing w:after="240"/>
              <w:rPr>
                <w:sz w:val="20"/>
                <w:szCs w:val="20"/>
              </w:rPr>
            </w:pPr>
            <w:r w:rsidRPr="00DE1290">
              <w:rPr>
                <w:sz w:val="20"/>
                <w:szCs w:val="20"/>
              </w:rPr>
              <w:t xml:space="preserve">Services with good to poor compliance (RAG rated as amber or red) will be asked to develop local action plans to improve antimicrobial prescribing. </w:t>
            </w:r>
            <w:r>
              <w:rPr>
                <w:sz w:val="20"/>
                <w:szCs w:val="20"/>
              </w:rPr>
              <w:t>This will involve close working between local prescribers, pharmacy teams and the antimicrobial pharmacist.</w:t>
            </w:r>
          </w:p>
        </w:tc>
        <w:tc>
          <w:tcPr>
            <w:tcW w:w="1366" w:type="dxa"/>
          </w:tcPr>
          <w:p w:rsidR="00DE1290" w:rsidRDefault="00DE1290" w:rsidP="00DE1290">
            <w:pPr>
              <w:autoSpaceDE w:val="0"/>
              <w:autoSpaceDN w:val="0"/>
              <w:adjustRightInd w:val="0"/>
              <w:spacing w:after="240"/>
              <w:rPr>
                <w:rFonts w:cs="Arial"/>
                <w:sz w:val="20"/>
                <w:szCs w:val="20"/>
              </w:rPr>
            </w:pPr>
            <w:r>
              <w:rPr>
                <w:rFonts w:cs="Arial"/>
                <w:sz w:val="20"/>
                <w:szCs w:val="20"/>
              </w:rPr>
              <w:t>Feb 2022</w:t>
            </w:r>
          </w:p>
        </w:tc>
      </w:tr>
      <w:tr w:rsidR="00DE1290" w:rsidTr="00DE1290">
        <w:trPr>
          <w:trHeight w:val="495"/>
        </w:trPr>
        <w:tc>
          <w:tcPr>
            <w:tcW w:w="1129" w:type="dxa"/>
          </w:tcPr>
          <w:p w:rsidR="00DE1290" w:rsidRDefault="00DE1290" w:rsidP="00DE1290">
            <w:pPr>
              <w:autoSpaceDE w:val="0"/>
              <w:autoSpaceDN w:val="0"/>
              <w:adjustRightInd w:val="0"/>
              <w:spacing w:after="240"/>
              <w:rPr>
                <w:rFonts w:cs="Arial"/>
                <w:sz w:val="20"/>
                <w:szCs w:val="20"/>
              </w:rPr>
            </w:pPr>
            <w:r>
              <w:rPr>
                <w:rFonts w:cs="Arial"/>
                <w:sz w:val="20"/>
                <w:szCs w:val="20"/>
              </w:rPr>
              <w:t>3</w:t>
            </w:r>
          </w:p>
        </w:tc>
        <w:tc>
          <w:tcPr>
            <w:tcW w:w="6521" w:type="dxa"/>
          </w:tcPr>
          <w:p w:rsidR="00DE1290" w:rsidRPr="00DE1290" w:rsidRDefault="00DE1290" w:rsidP="00DE1290">
            <w:pPr>
              <w:autoSpaceDE w:val="0"/>
              <w:autoSpaceDN w:val="0"/>
              <w:adjustRightInd w:val="0"/>
              <w:spacing w:after="240"/>
              <w:rPr>
                <w:sz w:val="20"/>
                <w:szCs w:val="20"/>
              </w:rPr>
            </w:pPr>
            <w:r>
              <w:rPr>
                <w:sz w:val="20"/>
                <w:szCs w:val="20"/>
              </w:rPr>
              <w:t>Review audit report/tool to ensure it captures key antimicrobial data as part of antimicrobial stewardship policy</w:t>
            </w:r>
          </w:p>
        </w:tc>
        <w:tc>
          <w:tcPr>
            <w:tcW w:w="1366" w:type="dxa"/>
          </w:tcPr>
          <w:p w:rsidR="00DE1290" w:rsidRDefault="00DE1290" w:rsidP="00DE1290">
            <w:pPr>
              <w:autoSpaceDE w:val="0"/>
              <w:autoSpaceDN w:val="0"/>
              <w:adjustRightInd w:val="0"/>
              <w:spacing w:after="240"/>
              <w:rPr>
                <w:rFonts w:cs="Arial"/>
                <w:sz w:val="20"/>
                <w:szCs w:val="20"/>
              </w:rPr>
            </w:pPr>
            <w:r>
              <w:rPr>
                <w:rFonts w:cs="Arial"/>
                <w:sz w:val="20"/>
                <w:szCs w:val="20"/>
              </w:rPr>
              <w:t>Mar 2022</w:t>
            </w:r>
          </w:p>
        </w:tc>
      </w:tr>
    </w:tbl>
    <w:p w:rsidR="004E1240" w:rsidRPr="00752B70" w:rsidRDefault="004E1240" w:rsidP="00752B70">
      <w:pPr>
        <w:autoSpaceDE w:val="0"/>
        <w:autoSpaceDN w:val="0"/>
        <w:adjustRightInd w:val="0"/>
        <w:spacing w:after="240"/>
        <w:rPr>
          <w:rFonts w:cs="Arial"/>
          <w:sz w:val="20"/>
          <w:szCs w:val="20"/>
        </w:rPr>
      </w:pPr>
    </w:p>
    <w:sectPr w:rsidR="004E1240" w:rsidRPr="00752B70" w:rsidSect="00385C1C">
      <w:headerReference w:type="default" r:id="rId13"/>
      <w:footerReference w:type="even" r:id="rId14"/>
      <w:footerReference w:type="default" r:id="rId15"/>
      <w:headerReference w:type="first" r:id="rId16"/>
      <w:footerReference w:type="first" r:id="rId17"/>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F28" w:rsidRDefault="00145F28" w:rsidP="006F3719">
      <w:pPr>
        <w:spacing w:before="0" w:after="0"/>
      </w:pPr>
      <w:r>
        <w:separator/>
      </w:r>
    </w:p>
  </w:endnote>
  <w:endnote w:type="continuationSeparator" w:id="0">
    <w:p w:rsidR="00145F28" w:rsidRDefault="00145F28"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D8A" w:rsidRDefault="0075297B" w:rsidP="00266359">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end"/>
    </w:r>
  </w:p>
  <w:p w:rsidR="00217D8A" w:rsidRDefault="00145F28"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877464"/>
      <w:docPartObj>
        <w:docPartGallery w:val="Page Numbers (Bottom of Page)"/>
        <w:docPartUnique/>
      </w:docPartObj>
    </w:sdtPr>
    <w:sdtEndPr>
      <w:rPr>
        <w:noProof/>
      </w:rPr>
    </w:sdtEndPr>
    <w:sdtContent>
      <w:p w:rsidR="002A36B5" w:rsidRPr="00C32316" w:rsidRDefault="002A36B5" w:rsidP="002A36B5"/>
      <w:sdt>
        <w:sdtPr>
          <w:id w:val="2141447022"/>
          <w:docPartObj>
            <w:docPartGallery w:val="Page Numbers (Bottom of Page)"/>
            <w:docPartUnique/>
          </w:docPartObj>
        </w:sdtPr>
        <w:sdtEndPr>
          <w:rPr>
            <w:noProof/>
          </w:rPr>
        </w:sdtEndPr>
        <w:sdtContent>
          <w:p w:rsidR="002A36B5" w:rsidRPr="00C32316" w:rsidRDefault="002A36B5" w:rsidP="002A36B5">
            <w:pPr>
              <w:ind w:right="-897"/>
            </w:pPr>
            <w:r w:rsidRPr="00324A6D">
              <w:rPr>
                <w:rFonts w:eastAsiaTheme="minorHAnsi" w:cs="Arial"/>
                <w:sz w:val="20"/>
                <w:szCs w:val="20"/>
                <w:lang w:eastAsia="en-US"/>
              </w:rPr>
              <w:t xml:space="preserve">Written by:  </w:t>
            </w:r>
            <w:r>
              <w:rPr>
                <w:rFonts w:cs="Arial"/>
                <w:bCs/>
                <w:sz w:val="20"/>
                <w:szCs w:val="20"/>
                <w:lang w:val="en-US"/>
              </w:rPr>
              <w:t>Roberta Contino</w:t>
            </w:r>
            <w:r w:rsidRPr="00324A6D">
              <w:rPr>
                <w:rFonts w:cs="Arial"/>
                <w:bCs/>
                <w:sz w:val="20"/>
                <w:szCs w:val="20"/>
                <w:lang w:val="en-US"/>
              </w:rPr>
              <w:t xml:space="preserve"> </w:t>
            </w:r>
            <w:r>
              <w:rPr>
                <w:rFonts w:cs="Arial"/>
                <w:bCs/>
                <w:sz w:val="20"/>
                <w:szCs w:val="20"/>
                <w:lang w:val="en-US"/>
              </w:rPr>
              <w:t>–</w:t>
            </w:r>
            <w:r w:rsidRPr="00324A6D">
              <w:rPr>
                <w:rFonts w:cs="Arial"/>
                <w:bCs/>
                <w:sz w:val="20"/>
                <w:szCs w:val="20"/>
                <w:lang w:val="en-US"/>
              </w:rPr>
              <w:t xml:space="preserve"> </w:t>
            </w:r>
            <w:r>
              <w:rPr>
                <w:rFonts w:cs="Arial"/>
                <w:sz w:val="20"/>
                <w:szCs w:val="20"/>
                <w:lang w:val="en-US"/>
              </w:rPr>
              <w:t>Lead Pharmacist</w:t>
            </w:r>
            <w:r w:rsidRPr="00324A6D">
              <w:rPr>
                <w:rFonts w:cs="Arial"/>
                <w:sz w:val="20"/>
                <w:szCs w:val="20"/>
                <w:lang w:val="en-US"/>
              </w:rPr>
              <w:t xml:space="preserve"> </w:t>
            </w:r>
            <w:r>
              <w:rPr>
                <w:rFonts w:cs="Arial"/>
                <w:sz w:val="20"/>
                <w:szCs w:val="20"/>
                <w:lang w:val="en-US"/>
              </w:rPr>
              <w:t>Vaccinations and Antimicrobials</w:t>
            </w:r>
            <w:r w:rsidR="00C32316">
              <w:rPr>
                <w:rFonts w:cs="Arial"/>
                <w:sz w:val="20"/>
                <w:szCs w:val="20"/>
                <w:lang w:val="en-US"/>
              </w:rPr>
              <w:t xml:space="preserve">                  05.01.2022</w:t>
            </w:r>
          </w:p>
        </w:sdtContent>
      </w:sdt>
    </w:sdtContent>
  </w:sdt>
  <w:p w:rsidR="00217D8A" w:rsidRDefault="00145F28" w:rsidP="002A36B5">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D8A" w:rsidRDefault="0075297B" w:rsidP="001C3088">
    <w:pPr>
      <w:pStyle w:val="Footer"/>
      <w:framePr w:wrap="around" w:vAnchor="text" w:hAnchor="margin" w:xAlign="right"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667B0B">
      <w:rPr>
        <w:rStyle w:val="PageNumber"/>
        <w:noProof/>
      </w:rPr>
      <w:t>1</w:t>
    </w:r>
    <w:r>
      <w:rPr>
        <w:rStyle w:val="PageNumber"/>
      </w:rPr>
      <w:fldChar w:fldCharType="end"/>
    </w:r>
  </w:p>
  <w:p w:rsidR="00217D8A" w:rsidRDefault="00145F28"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F28" w:rsidRDefault="00145F28" w:rsidP="006F3719">
      <w:pPr>
        <w:spacing w:before="0" w:after="0"/>
      </w:pPr>
      <w:r>
        <w:separator/>
      </w:r>
    </w:p>
  </w:footnote>
  <w:footnote w:type="continuationSeparator" w:id="0">
    <w:p w:rsidR="00145F28" w:rsidRDefault="00145F28"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748" w:rsidRDefault="003C6748" w:rsidP="003C6748">
    <w:pPr>
      <w:pStyle w:val="Header"/>
      <w:jc w:val="right"/>
      <w:rPr>
        <w:noProof/>
      </w:rPr>
    </w:pPr>
  </w:p>
  <w:p w:rsidR="003C6748" w:rsidRDefault="003C6748" w:rsidP="003C6748">
    <w:pPr>
      <w:pStyle w:val="Header"/>
      <w:jc w:val="right"/>
    </w:pPr>
    <w:r>
      <w:rPr>
        <w:noProof/>
      </w:rPr>
      <w:drawing>
        <wp:inline distT="0" distB="0" distL="0" distR="0" wp14:anchorId="7BBD14F5" wp14:editId="1FDA03FA">
          <wp:extent cx="1479550" cy="666750"/>
          <wp:effectExtent l="0" t="0" r="6350" b="0"/>
          <wp:docPr id="3" name="Picture 3"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66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19" w:rsidRDefault="00742373" w:rsidP="00742373">
    <w:pPr>
      <w:pStyle w:val="Header"/>
      <w:tabs>
        <w:tab w:val="clear" w:pos="4513"/>
        <w:tab w:val="clear" w:pos="9026"/>
        <w:tab w:val="left" w:pos="6420"/>
      </w:tabs>
    </w:pPr>
    <w:r>
      <w:tab/>
    </w:r>
    <w:r>
      <w:rPr>
        <w:noProof/>
      </w:rPr>
      <w:drawing>
        <wp:inline distT="0" distB="0" distL="0" distR="0" wp14:anchorId="0E580080" wp14:editId="6117E293">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37B8"/>
    <w:multiLevelType w:val="hybridMultilevel"/>
    <w:tmpl w:val="334E8AE2"/>
    <w:lvl w:ilvl="0" w:tplc="67F0D8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EF6D7C"/>
    <w:multiLevelType w:val="hybridMultilevel"/>
    <w:tmpl w:val="5D9E0F42"/>
    <w:lvl w:ilvl="0" w:tplc="D6F876C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4985610"/>
    <w:multiLevelType w:val="hybridMultilevel"/>
    <w:tmpl w:val="7BFCD60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19"/>
    <w:rsid w:val="000A4F93"/>
    <w:rsid w:val="000F1D69"/>
    <w:rsid w:val="001105E2"/>
    <w:rsid w:val="00145F28"/>
    <w:rsid w:val="001537F5"/>
    <w:rsid w:val="001637E1"/>
    <w:rsid w:val="001736E9"/>
    <w:rsid w:val="001F0775"/>
    <w:rsid w:val="00211FFD"/>
    <w:rsid w:val="002229ED"/>
    <w:rsid w:val="002408E9"/>
    <w:rsid w:val="00296F6C"/>
    <w:rsid w:val="00297572"/>
    <w:rsid w:val="002A36B5"/>
    <w:rsid w:val="002F068F"/>
    <w:rsid w:val="002F0A59"/>
    <w:rsid w:val="002F3FE6"/>
    <w:rsid w:val="00385C1C"/>
    <w:rsid w:val="00386F0D"/>
    <w:rsid w:val="003A0503"/>
    <w:rsid w:val="003C4408"/>
    <w:rsid w:val="003C6748"/>
    <w:rsid w:val="003E5496"/>
    <w:rsid w:val="00420013"/>
    <w:rsid w:val="00435F75"/>
    <w:rsid w:val="004B0B6B"/>
    <w:rsid w:val="004E1240"/>
    <w:rsid w:val="00501F57"/>
    <w:rsid w:val="005F74EF"/>
    <w:rsid w:val="00662EA3"/>
    <w:rsid w:val="006671B8"/>
    <w:rsid w:val="00667B0B"/>
    <w:rsid w:val="006714DC"/>
    <w:rsid w:val="006A2750"/>
    <w:rsid w:val="006D6E97"/>
    <w:rsid w:val="006E2B94"/>
    <w:rsid w:val="006F3719"/>
    <w:rsid w:val="00742373"/>
    <w:rsid w:val="00752812"/>
    <w:rsid w:val="0075297B"/>
    <w:rsid w:val="00752B70"/>
    <w:rsid w:val="007600AB"/>
    <w:rsid w:val="007843D8"/>
    <w:rsid w:val="00784CC9"/>
    <w:rsid w:val="007A1AA4"/>
    <w:rsid w:val="007B5CC0"/>
    <w:rsid w:val="00835057"/>
    <w:rsid w:val="0084474D"/>
    <w:rsid w:val="008D37A9"/>
    <w:rsid w:val="00936D59"/>
    <w:rsid w:val="009435E0"/>
    <w:rsid w:val="00970829"/>
    <w:rsid w:val="009C3AC9"/>
    <w:rsid w:val="009E1F02"/>
    <w:rsid w:val="009F562C"/>
    <w:rsid w:val="00A22E9E"/>
    <w:rsid w:val="00A41DAA"/>
    <w:rsid w:val="00A930C9"/>
    <w:rsid w:val="00A9433B"/>
    <w:rsid w:val="00AA0732"/>
    <w:rsid w:val="00AA760B"/>
    <w:rsid w:val="00AF6215"/>
    <w:rsid w:val="00B53B80"/>
    <w:rsid w:val="00BB1DF5"/>
    <w:rsid w:val="00C32316"/>
    <w:rsid w:val="00C51D04"/>
    <w:rsid w:val="00CF2550"/>
    <w:rsid w:val="00D53C7D"/>
    <w:rsid w:val="00D761F3"/>
    <w:rsid w:val="00D81214"/>
    <w:rsid w:val="00DA34ED"/>
    <w:rsid w:val="00DA3EC9"/>
    <w:rsid w:val="00DE1290"/>
    <w:rsid w:val="00E12A38"/>
    <w:rsid w:val="00E16FAA"/>
    <w:rsid w:val="00E919C9"/>
    <w:rsid w:val="00EC671E"/>
    <w:rsid w:val="00F42177"/>
    <w:rsid w:val="00F70541"/>
    <w:rsid w:val="00FF5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5EDB3"/>
  <w15:docId w15:val="{31BD90C0-BDE4-4BB1-A077-00EB88E3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3719"/>
    <w:pPr>
      <w:tabs>
        <w:tab w:val="center" w:pos="4153"/>
        <w:tab w:val="right" w:pos="8306"/>
      </w:tabs>
    </w:pPr>
  </w:style>
  <w:style w:type="character" w:customStyle="1" w:styleId="FooterChar">
    <w:name w:val="Footer Char"/>
    <w:basedOn w:val="DefaultParagraphFont"/>
    <w:link w:val="Footer"/>
    <w:uiPriority w:val="99"/>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5E2"/>
    <w:pPr>
      <w:ind w:left="720"/>
      <w:contextualSpacing/>
    </w:pPr>
  </w:style>
  <w:style w:type="paragraph" w:customStyle="1" w:styleId="Default">
    <w:name w:val="Default"/>
    <w:rsid w:val="00DE129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360397">
      <w:bodyDiv w:val="1"/>
      <w:marLeft w:val="0"/>
      <w:marRight w:val="0"/>
      <w:marTop w:val="0"/>
      <w:marBottom w:val="0"/>
      <w:divBdr>
        <w:top w:val="none" w:sz="0" w:space="0" w:color="auto"/>
        <w:left w:val="none" w:sz="0" w:space="0" w:color="auto"/>
        <w:bottom w:val="none" w:sz="0" w:space="0" w:color="auto"/>
        <w:right w:val="none" w:sz="0" w:space="0" w:color="auto"/>
      </w:divBdr>
    </w:div>
    <w:div w:id="867792189">
      <w:bodyDiv w:val="1"/>
      <w:marLeft w:val="0"/>
      <w:marRight w:val="0"/>
      <w:marTop w:val="0"/>
      <w:marBottom w:val="0"/>
      <w:divBdr>
        <w:top w:val="none" w:sz="0" w:space="0" w:color="auto"/>
        <w:left w:val="none" w:sz="0" w:space="0" w:color="auto"/>
        <w:bottom w:val="none" w:sz="0" w:space="0" w:color="auto"/>
        <w:right w:val="none" w:sz="0" w:space="0" w:color="auto"/>
      </w:divBdr>
    </w:div>
    <w:div w:id="951089655">
      <w:bodyDiv w:val="1"/>
      <w:marLeft w:val="0"/>
      <w:marRight w:val="0"/>
      <w:marTop w:val="0"/>
      <w:marBottom w:val="0"/>
      <w:divBdr>
        <w:top w:val="none" w:sz="0" w:space="0" w:color="auto"/>
        <w:left w:val="none" w:sz="0" w:space="0" w:color="auto"/>
        <w:bottom w:val="none" w:sz="0" w:space="0" w:color="auto"/>
        <w:right w:val="none" w:sz="0" w:space="0" w:color="auto"/>
      </w:divBdr>
    </w:div>
    <w:div w:id="1234436130">
      <w:bodyDiv w:val="1"/>
      <w:marLeft w:val="0"/>
      <w:marRight w:val="0"/>
      <w:marTop w:val="0"/>
      <w:marBottom w:val="0"/>
      <w:divBdr>
        <w:top w:val="none" w:sz="0" w:space="0" w:color="auto"/>
        <w:left w:val="none" w:sz="0" w:space="0" w:color="auto"/>
        <w:bottom w:val="none" w:sz="0" w:space="0" w:color="auto"/>
        <w:right w:val="none" w:sz="0" w:space="0" w:color="auto"/>
      </w:divBdr>
    </w:div>
    <w:div w:id="1425030176">
      <w:bodyDiv w:val="1"/>
      <w:marLeft w:val="0"/>
      <w:marRight w:val="0"/>
      <w:marTop w:val="0"/>
      <w:marBottom w:val="0"/>
      <w:divBdr>
        <w:top w:val="none" w:sz="0" w:space="0" w:color="auto"/>
        <w:left w:val="none" w:sz="0" w:space="0" w:color="auto"/>
        <w:bottom w:val="none" w:sz="0" w:space="0" w:color="auto"/>
        <w:right w:val="none" w:sz="0" w:space="0" w:color="auto"/>
      </w:divBdr>
    </w:div>
    <w:div w:id="1605530937">
      <w:bodyDiv w:val="1"/>
      <w:marLeft w:val="0"/>
      <w:marRight w:val="0"/>
      <w:marTop w:val="0"/>
      <w:marBottom w:val="0"/>
      <w:divBdr>
        <w:top w:val="none" w:sz="0" w:space="0" w:color="auto"/>
        <w:left w:val="none" w:sz="0" w:space="0" w:color="auto"/>
        <w:bottom w:val="none" w:sz="0" w:space="0" w:color="auto"/>
        <w:right w:val="none" w:sz="0" w:space="0" w:color="auto"/>
      </w:divBdr>
    </w:div>
    <w:div w:id="1982343377">
      <w:bodyDiv w:val="1"/>
      <w:marLeft w:val="0"/>
      <w:marRight w:val="0"/>
      <w:marTop w:val="0"/>
      <w:marBottom w:val="0"/>
      <w:divBdr>
        <w:top w:val="none" w:sz="0" w:space="0" w:color="auto"/>
        <w:left w:val="none" w:sz="0" w:space="0" w:color="auto"/>
        <w:bottom w:val="none" w:sz="0" w:space="0" w:color="auto"/>
        <w:right w:val="none" w:sz="0" w:space="0" w:color="auto"/>
      </w:divBdr>
    </w:div>
    <w:div w:id="2016836856">
      <w:bodyDiv w:val="1"/>
      <w:marLeft w:val="0"/>
      <w:marRight w:val="0"/>
      <w:marTop w:val="0"/>
      <w:marBottom w:val="0"/>
      <w:divBdr>
        <w:top w:val="none" w:sz="0" w:space="0" w:color="auto"/>
        <w:left w:val="none" w:sz="0" w:space="0" w:color="auto"/>
        <w:bottom w:val="none" w:sz="0" w:space="0" w:color="auto"/>
        <w:right w:val="none" w:sz="0" w:space="0" w:color="auto"/>
      </w:divBdr>
    </w:div>
    <w:div w:id="2086220669">
      <w:bodyDiv w:val="1"/>
      <w:marLeft w:val="0"/>
      <w:marRight w:val="0"/>
      <w:marTop w:val="0"/>
      <w:marBottom w:val="0"/>
      <w:divBdr>
        <w:top w:val="none" w:sz="0" w:space="0" w:color="auto"/>
        <w:left w:val="none" w:sz="0" w:space="0" w:color="auto"/>
        <w:bottom w:val="none" w:sz="0" w:space="0" w:color="auto"/>
        <w:right w:val="none" w:sz="0" w:space="0" w:color="auto"/>
      </w:divBdr>
    </w:div>
    <w:div w:id="209867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91A88-9051-4C44-8154-3067A126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fitzgeraldm</dc:creator>
  <cp:keywords/>
  <dc:description/>
  <cp:lastModifiedBy>Contino Roberta</cp:lastModifiedBy>
  <cp:revision>56</cp:revision>
  <dcterms:created xsi:type="dcterms:W3CDTF">2022-01-05T10:31:00Z</dcterms:created>
  <dcterms:modified xsi:type="dcterms:W3CDTF">2022-01-12T10:06:00Z</dcterms:modified>
</cp:coreProperties>
</file>