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48" w:rsidRPr="00A4745D" w:rsidRDefault="001F1CE5" w:rsidP="001F1CE5">
      <w:pPr>
        <w:pStyle w:val="Heading1"/>
        <w:jc w:val="right"/>
        <w:rPr>
          <w:rFonts w:ascii="Arial" w:hAnsi="Arial" w:cs="Arial"/>
          <w:sz w:val="22"/>
          <w:szCs w:val="22"/>
        </w:rPr>
      </w:pPr>
      <w:r w:rsidRPr="001F1CE5">
        <w:rPr>
          <w:rFonts w:ascii="Arial" w:hAnsi="Arial"/>
          <w:b w:val="0"/>
          <w:bCs w:val="0"/>
          <w:noProof/>
          <w:sz w:val="22"/>
          <w:szCs w:val="24"/>
          <w:lang w:eastAsia="en-GB"/>
        </w:rPr>
        <w:drawing>
          <wp:inline distT="0" distB="0" distL="0" distR="0" wp14:anchorId="58B56362" wp14:editId="41B28F20">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DA063E" w:rsidRPr="00A4745D" w:rsidRDefault="00DA063E" w:rsidP="00A54C48">
      <w:pPr>
        <w:rPr>
          <w:rFonts w:ascii="Arial" w:hAnsi="Arial" w:cs="Arial"/>
          <w:sz w:val="22"/>
          <w:szCs w:val="22"/>
        </w:rPr>
      </w:pPr>
    </w:p>
    <w:p w:rsidR="00A54C48" w:rsidRPr="001F1CE5" w:rsidRDefault="001F1CE5" w:rsidP="00A54C48">
      <w:pPr>
        <w:jc w:val="center"/>
        <w:rPr>
          <w:rFonts w:ascii="Arial" w:hAnsi="Arial" w:cs="Arial"/>
          <w:b/>
          <w:sz w:val="40"/>
          <w:szCs w:val="22"/>
        </w:rPr>
      </w:pPr>
      <w:r w:rsidRPr="001F1CE5">
        <w:rPr>
          <w:rFonts w:ascii="Arial" w:hAnsi="Arial" w:cs="Arial"/>
          <w:b/>
          <w:sz w:val="40"/>
          <w:szCs w:val="22"/>
        </w:rPr>
        <w:t xml:space="preserve">Multi Agency Public Protection Arrangements </w:t>
      </w:r>
      <w:r w:rsidR="00A54C48" w:rsidRPr="001F1CE5">
        <w:rPr>
          <w:rFonts w:ascii="Arial" w:hAnsi="Arial" w:cs="Arial"/>
          <w:b/>
          <w:sz w:val="40"/>
          <w:szCs w:val="22"/>
        </w:rPr>
        <w:t>(MAPPA)</w:t>
      </w:r>
    </w:p>
    <w:p w:rsidR="00A54C48" w:rsidRPr="00A4745D" w:rsidRDefault="00A54C48" w:rsidP="00A54C48">
      <w:pPr>
        <w:jc w:val="both"/>
        <w:rPr>
          <w:rFonts w:ascii="Arial" w:hAnsi="Arial" w:cs="Arial"/>
          <w:b/>
          <w:sz w:val="22"/>
          <w:szCs w:val="22"/>
        </w:rPr>
      </w:pPr>
    </w:p>
    <w:p w:rsidR="00A54C48" w:rsidRPr="00A4745D" w:rsidRDefault="00A54C48" w:rsidP="00A54C48">
      <w:pPr>
        <w:jc w:val="center"/>
        <w:rPr>
          <w:rFonts w:ascii="Arial" w:hAnsi="Arial" w:cs="Arial"/>
          <w:b/>
          <w:sz w:val="22"/>
          <w:szCs w:val="22"/>
        </w:rPr>
      </w:pPr>
      <w:r w:rsidRPr="00A4745D">
        <w:rPr>
          <w:rFonts w:ascii="Arial" w:hAnsi="Arial" w:cs="Arial"/>
          <w:b/>
          <w:sz w:val="22"/>
          <w:szCs w:val="22"/>
        </w:rPr>
        <w:t>Trust-Wide Clinical Policy</w:t>
      </w:r>
    </w:p>
    <w:p w:rsidR="00A54C48" w:rsidRPr="00A4745D" w:rsidRDefault="00A54C48" w:rsidP="00A54C48">
      <w:pPr>
        <w:rPr>
          <w:rFonts w:ascii="Arial" w:hAnsi="Arial" w:cs="Arial"/>
          <w:sz w:val="22"/>
          <w:szCs w:val="22"/>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Version number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Pr>
                <w:rFonts w:ascii="Arial" w:hAnsi="Arial"/>
                <w:sz w:val="22"/>
                <w:szCs w:val="24"/>
                <w:lang w:eastAsia="en-GB"/>
              </w:rPr>
              <w:t>7.0</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Consultation Groups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Dr Richard Latham, Catherine McElroy, Fenno </w:t>
            </w:r>
            <w:proofErr w:type="spellStart"/>
            <w:r w:rsidRPr="001F1CE5">
              <w:rPr>
                <w:rFonts w:ascii="Arial" w:hAnsi="Arial"/>
                <w:sz w:val="22"/>
                <w:szCs w:val="24"/>
                <w:lang w:eastAsia="en-GB"/>
              </w:rPr>
              <w:t>Outen</w:t>
            </w:r>
            <w:proofErr w:type="spellEnd"/>
            <w:r w:rsidRPr="001F1CE5">
              <w:rPr>
                <w:rFonts w:ascii="Arial" w:hAnsi="Arial"/>
                <w:sz w:val="22"/>
                <w:szCs w:val="24"/>
                <w:lang w:eastAsia="en-GB"/>
              </w:rPr>
              <w:t xml:space="preserve">, Gareth Richards, Rebekah </w:t>
            </w:r>
            <w:proofErr w:type="spellStart"/>
            <w:r w:rsidRPr="001F1CE5">
              <w:rPr>
                <w:rFonts w:ascii="Arial" w:hAnsi="Arial"/>
                <w:sz w:val="22"/>
                <w:szCs w:val="24"/>
                <w:lang w:eastAsia="en-GB"/>
              </w:rPr>
              <w:t>Rawding</w:t>
            </w:r>
            <w:proofErr w:type="spellEnd"/>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Approved by (Sponsor Group)</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Lead nurses group</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Ratified by:</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Quality Committee</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Date ratified:</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30</w:t>
            </w:r>
            <w:r w:rsidRPr="001F1CE5">
              <w:rPr>
                <w:rFonts w:ascii="Arial" w:hAnsi="Arial"/>
                <w:sz w:val="22"/>
                <w:szCs w:val="24"/>
                <w:vertAlign w:val="superscript"/>
                <w:lang w:eastAsia="en-GB"/>
              </w:rPr>
              <w:t>th</w:t>
            </w:r>
            <w:r w:rsidRPr="001F1CE5">
              <w:rPr>
                <w:rFonts w:ascii="Arial" w:hAnsi="Arial"/>
                <w:sz w:val="22"/>
                <w:szCs w:val="24"/>
                <w:lang w:eastAsia="en-GB"/>
              </w:rPr>
              <w:t xml:space="preserve"> 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Name of originator/author:</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Denis Thompson</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Executive Director lead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Lorraine </w:t>
            </w:r>
            <w:proofErr w:type="spellStart"/>
            <w:r w:rsidRPr="001F1CE5">
              <w:rPr>
                <w:rFonts w:ascii="Arial" w:hAnsi="Arial"/>
                <w:sz w:val="22"/>
                <w:szCs w:val="24"/>
                <w:lang w:eastAsia="en-GB"/>
              </w:rPr>
              <w:t>Sunduza</w:t>
            </w:r>
            <w:proofErr w:type="spellEnd"/>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Implementation Date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Last Review Date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Next Review date:</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w:t>
            </w:r>
            <w:r>
              <w:rPr>
                <w:rFonts w:ascii="Arial" w:hAnsi="Arial"/>
                <w:sz w:val="22"/>
                <w:szCs w:val="24"/>
                <w:lang w:eastAsia="en-GB"/>
              </w:rPr>
              <w:t xml:space="preserve"> 2025</w:t>
            </w:r>
          </w:p>
        </w:tc>
      </w:tr>
    </w:tbl>
    <w:p w:rsidR="00A4745D" w:rsidRPr="00A4745D" w:rsidRDefault="00A4745D" w:rsidP="00A4745D">
      <w:pPr>
        <w:rPr>
          <w:rFonts w:ascii="Arial" w:hAnsi="Arial" w:cs="Arial"/>
          <w:sz w:val="22"/>
          <w:szCs w:val="22"/>
        </w:rPr>
      </w:pPr>
    </w:p>
    <w:p w:rsidR="00A4745D" w:rsidRPr="00A4745D" w:rsidRDefault="00A4745D" w:rsidP="00A4745D">
      <w:pPr>
        <w:rPr>
          <w:rFonts w:ascii="Arial" w:hAnsi="Arial" w:cs="Arial"/>
          <w:sz w:val="22"/>
          <w:szCs w:val="22"/>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tbl>
      <w:tblPr>
        <w:tblStyle w:val="TableGrid1"/>
        <w:tblW w:w="0" w:type="auto"/>
        <w:tblLook w:val="04A0" w:firstRow="1" w:lastRow="0" w:firstColumn="1" w:lastColumn="0" w:noHBand="0" w:noVBand="1"/>
      </w:tblPr>
      <w:tblGrid>
        <w:gridCol w:w="4507"/>
        <w:gridCol w:w="4503"/>
      </w:tblGrid>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Services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Applicable </w:t>
            </w: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roofErr w:type="spellStart"/>
            <w:r w:rsidRPr="001F1CE5">
              <w:rPr>
                <w:rFonts w:ascii="Arial" w:hAnsi="Arial"/>
                <w:szCs w:val="24"/>
                <w:lang w:eastAsia="en-GB"/>
              </w:rPr>
              <w:t>Trustwide</w:t>
            </w:r>
            <w:proofErr w:type="spellEnd"/>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Pr>
                <w:rFonts w:ascii="Arial" w:hAnsi="Arial"/>
                <w:szCs w:val="24"/>
                <w:lang w:eastAsia="en-GB"/>
              </w:rPr>
              <w:t>X</w:t>
            </w: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Mental Health and LD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Community Health Services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
        </w:tc>
      </w:tr>
    </w:tbl>
    <w:p w:rsidR="00A4745D" w:rsidRPr="00A4745D" w:rsidRDefault="00A4745D" w:rsidP="00A4745D">
      <w:pPr>
        <w:rPr>
          <w:rFonts w:ascii="Arial" w:hAnsi="Arial" w:cs="Arial"/>
          <w:sz w:val="22"/>
          <w:szCs w:val="22"/>
        </w:rPr>
      </w:pPr>
    </w:p>
    <w:p w:rsidR="00A4745D" w:rsidRPr="00A4745D" w:rsidRDefault="00A4745D" w:rsidP="00A4745D">
      <w:pPr>
        <w:rPr>
          <w:rFonts w:ascii="Arial" w:hAnsi="Arial" w:cs="Arial"/>
          <w:sz w:val="22"/>
          <w:szCs w:val="22"/>
        </w:rPr>
      </w:pPr>
    </w:p>
    <w:p w:rsidR="00A54C48" w:rsidRPr="00A4745D" w:rsidRDefault="00A54C48" w:rsidP="00A54C48">
      <w:pPr>
        <w:rPr>
          <w:rFonts w:ascii="Arial" w:hAnsi="Arial" w:cs="Arial"/>
          <w:sz w:val="22"/>
          <w:szCs w:val="22"/>
        </w:rPr>
      </w:pPr>
    </w:p>
    <w:p w:rsidR="00DA063E" w:rsidRPr="00A4745D" w:rsidRDefault="00DA063E" w:rsidP="00A54C48">
      <w:pPr>
        <w:rPr>
          <w:rFonts w:ascii="Arial" w:hAnsi="Arial" w:cs="Arial"/>
          <w:sz w:val="22"/>
          <w:szCs w:val="22"/>
        </w:rPr>
      </w:pPr>
    </w:p>
    <w:p w:rsidR="00DA063E" w:rsidRPr="00A4745D" w:rsidRDefault="00DA063E"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F1281F" w:rsidRPr="00A4745D" w:rsidRDefault="00F1281F" w:rsidP="00F1281F">
      <w:pPr>
        <w:rPr>
          <w:rFonts w:ascii="Arial" w:hAnsi="Arial" w:cs="Arial"/>
          <w:b/>
          <w:sz w:val="22"/>
          <w:szCs w:val="22"/>
        </w:rPr>
      </w:pPr>
    </w:p>
    <w:p w:rsidR="00F1281F" w:rsidRPr="00A4745D" w:rsidRDefault="00F1281F" w:rsidP="00F1281F">
      <w:pPr>
        <w:pStyle w:val="Heading1"/>
        <w:pBdr>
          <w:top w:val="single" w:sz="4" w:space="0" w:color="auto"/>
          <w:left w:val="single" w:sz="4" w:space="4" w:color="auto"/>
          <w:bottom w:val="single" w:sz="4" w:space="21" w:color="auto"/>
          <w:right w:val="single" w:sz="4" w:space="0" w:color="auto"/>
        </w:pBdr>
        <w:rPr>
          <w:rFonts w:ascii="Arial" w:hAnsi="Arial" w:cs="Arial"/>
          <w:b w:val="0"/>
          <w:sz w:val="22"/>
          <w:szCs w:val="22"/>
        </w:rPr>
      </w:pPr>
    </w:p>
    <w:p w:rsidR="00F1281F" w:rsidRPr="00A4745D" w:rsidRDefault="00F1281F" w:rsidP="001F1CE5">
      <w:pPr>
        <w:pStyle w:val="Heading1"/>
        <w:pBdr>
          <w:top w:val="single" w:sz="4" w:space="0" w:color="auto"/>
          <w:left w:val="single" w:sz="4" w:space="4" w:color="auto"/>
          <w:bottom w:val="single" w:sz="4" w:space="21" w:color="auto"/>
          <w:right w:val="single" w:sz="4" w:space="0" w:color="auto"/>
        </w:pBdr>
        <w:jc w:val="center"/>
        <w:rPr>
          <w:rFonts w:ascii="Arial" w:hAnsi="Arial" w:cs="Arial"/>
          <w:sz w:val="22"/>
          <w:szCs w:val="22"/>
        </w:rPr>
      </w:pPr>
      <w:r w:rsidRPr="00A4745D">
        <w:rPr>
          <w:rFonts w:ascii="Arial" w:hAnsi="Arial" w:cs="Arial"/>
          <w:sz w:val="22"/>
          <w:szCs w:val="22"/>
        </w:rPr>
        <w:t>VERSION CONTROL SUMMARY</w:t>
      </w:r>
    </w:p>
    <w:p w:rsidR="00F1281F" w:rsidRPr="00A4745D" w:rsidRDefault="00F1281F" w:rsidP="00F1281F">
      <w:pPr>
        <w:numPr>
          <w:ilvl w:val="12"/>
          <w:numId w:val="0"/>
        </w:numPr>
        <w:jc w:val="center"/>
        <w:rPr>
          <w:rFonts w:ascii="Arial" w:hAnsi="Arial" w:cs="Arial"/>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1980"/>
        <w:gridCol w:w="2784"/>
      </w:tblGrid>
      <w:tr w:rsidR="00F1281F" w:rsidRPr="00A4745D" w:rsidTr="006E37E7">
        <w:tc>
          <w:tcPr>
            <w:tcW w:w="1908"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Version </w:t>
            </w:r>
          </w:p>
        </w:tc>
        <w:tc>
          <w:tcPr>
            <w:tcW w:w="1800"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Date </w:t>
            </w:r>
          </w:p>
        </w:tc>
        <w:tc>
          <w:tcPr>
            <w:tcW w:w="1980"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Status </w:t>
            </w:r>
          </w:p>
        </w:tc>
        <w:tc>
          <w:tcPr>
            <w:tcW w:w="2784"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Comments/ Changes</w:t>
            </w: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1</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January 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 xml:space="preserve">2 </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April 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3</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June 2009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4</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August 2009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5</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September 09</w:t>
            </w:r>
          </w:p>
          <w:p w:rsidR="001F1CE5" w:rsidRPr="00A4745D" w:rsidRDefault="001F1CE5" w:rsidP="006E37E7">
            <w:pPr>
              <w:numPr>
                <w:ilvl w:val="12"/>
                <w:numId w:val="0"/>
              </w:numPr>
              <w:jc w:val="both"/>
              <w:rPr>
                <w:rFonts w:ascii="Arial" w:hAnsi="Arial" w:cs="Arial"/>
                <w:sz w:val="22"/>
                <w:szCs w:val="22"/>
              </w:rPr>
            </w:pPr>
            <w:bookmarkStart w:id="0" w:name="_GoBack"/>
            <w:bookmarkEnd w:id="0"/>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Final Version</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6</w:t>
            </w:r>
          </w:p>
        </w:tc>
        <w:tc>
          <w:tcPr>
            <w:tcW w:w="1800" w:type="dxa"/>
          </w:tcPr>
          <w:p w:rsidR="00F1281F" w:rsidRPr="00A4745D" w:rsidRDefault="00CC6EB4" w:rsidP="00D54525">
            <w:pPr>
              <w:numPr>
                <w:ilvl w:val="12"/>
                <w:numId w:val="0"/>
              </w:numPr>
              <w:jc w:val="both"/>
              <w:rPr>
                <w:rFonts w:ascii="Arial" w:hAnsi="Arial" w:cs="Arial"/>
                <w:sz w:val="22"/>
                <w:szCs w:val="22"/>
              </w:rPr>
            </w:pPr>
            <w:r w:rsidRPr="00A4745D">
              <w:rPr>
                <w:rFonts w:ascii="Arial" w:hAnsi="Arial" w:cs="Arial"/>
                <w:sz w:val="22"/>
                <w:szCs w:val="22"/>
              </w:rPr>
              <w:t>J</w:t>
            </w:r>
            <w:r w:rsidR="00D54525" w:rsidRPr="00A4745D">
              <w:rPr>
                <w:rFonts w:ascii="Arial" w:hAnsi="Arial" w:cs="Arial"/>
                <w:sz w:val="22"/>
                <w:szCs w:val="22"/>
              </w:rPr>
              <w:t>uly</w:t>
            </w:r>
            <w:r w:rsidRPr="00A4745D">
              <w:rPr>
                <w:rFonts w:ascii="Arial" w:hAnsi="Arial" w:cs="Arial"/>
                <w:sz w:val="22"/>
                <w:szCs w:val="22"/>
              </w:rPr>
              <w:t xml:space="preserve"> 2019</w:t>
            </w: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r w:rsidRPr="00A4745D">
              <w:rPr>
                <w:rFonts w:ascii="Arial" w:hAnsi="Arial" w:cs="Arial"/>
                <w:sz w:val="22"/>
                <w:szCs w:val="22"/>
              </w:rPr>
              <w:t>Major changes to</w:t>
            </w:r>
            <w:r w:rsidR="008C0282" w:rsidRPr="00A4745D">
              <w:rPr>
                <w:rFonts w:ascii="Arial" w:hAnsi="Arial" w:cs="Arial"/>
                <w:sz w:val="22"/>
                <w:szCs w:val="22"/>
              </w:rPr>
              <w:t xml:space="preserve"> update policy in line with revised </w:t>
            </w:r>
            <w:r w:rsidRPr="00A4745D">
              <w:rPr>
                <w:rFonts w:ascii="Arial" w:hAnsi="Arial" w:cs="Arial"/>
                <w:sz w:val="22"/>
                <w:szCs w:val="22"/>
              </w:rPr>
              <w:t>national and local guidance</w:t>
            </w:r>
          </w:p>
        </w:tc>
      </w:tr>
      <w:tr w:rsidR="00C31BB2" w:rsidRPr="00A4745D" w:rsidTr="006E37E7">
        <w:tc>
          <w:tcPr>
            <w:tcW w:w="1908" w:type="dxa"/>
          </w:tcPr>
          <w:p w:rsidR="00C31BB2" w:rsidRPr="00A4745D" w:rsidRDefault="00C31BB2" w:rsidP="006E37E7">
            <w:pPr>
              <w:numPr>
                <w:ilvl w:val="12"/>
                <w:numId w:val="0"/>
              </w:numPr>
              <w:jc w:val="both"/>
              <w:rPr>
                <w:rFonts w:ascii="Arial" w:hAnsi="Arial" w:cs="Arial"/>
                <w:sz w:val="22"/>
                <w:szCs w:val="22"/>
              </w:rPr>
            </w:pPr>
            <w:r>
              <w:rPr>
                <w:rFonts w:ascii="Arial" w:hAnsi="Arial" w:cs="Arial"/>
                <w:sz w:val="22"/>
                <w:szCs w:val="22"/>
              </w:rPr>
              <w:t>7</w:t>
            </w:r>
          </w:p>
        </w:tc>
        <w:tc>
          <w:tcPr>
            <w:tcW w:w="1800" w:type="dxa"/>
          </w:tcPr>
          <w:p w:rsidR="00C31BB2" w:rsidRPr="00A4745D" w:rsidRDefault="00C31BB2" w:rsidP="00D54525">
            <w:pPr>
              <w:numPr>
                <w:ilvl w:val="12"/>
                <w:numId w:val="0"/>
              </w:numPr>
              <w:jc w:val="both"/>
              <w:rPr>
                <w:rFonts w:ascii="Arial" w:hAnsi="Arial" w:cs="Arial"/>
                <w:sz w:val="22"/>
                <w:szCs w:val="22"/>
              </w:rPr>
            </w:pPr>
            <w:r>
              <w:rPr>
                <w:rFonts w:ascii="Arial" w:hAnsi="Arial" w:cs="Arial"/>
                <w:sz w:val="22"/>
                <w:szCs w:val="22"/>
              </w:rPr>
              <w:t>July 2022</w:t>
            </w:r>
          </w:p>
        </w:tc>
        <w:tc>
          <w:tcPr>
            <w:tcW w:w="1980" w:type="dxa"/>
          </w:tcPr>
          <w:p w:rsidR="00C31BB2" w:rsidRPr="00A4745D" w:rsidRDefault="00C31BB2" w:rsidP="006E37E7">
            <w:pPr>
              <w:numPr>
                <w:ilvl w:val="12"/>
                <w:numId w:val="0"/>
              </w:numPr>
              <w:jc w:val="both"/>
              <w:rPr>
                <w:rFonts w:ascii="Arial" w:hAnsi="Arial" w:cs="Arial"/>
                <w:sz w:val="22"/>
                <w:szCs w:val="22"/>
              </w:rPr>
            </w:pPr>
            <w:r>
              <w:rPr>
                <w:rFonts w:ascii="Arial" w:hAnsi="Arial" w:cs="Arial"/>
                <w:sz w:val="22"/>
                <w:szCs w:val="22"/>
              </w:rPr>
              <w:t>Draft</w:t>
            </w:r>
          </w:p>
        </w:tc>
        <w:tc>
          <w:tcPr>
            <w:tcW w:w="2784" w:type="dxa"/>
          </w:tcPr>
          <w:p w:rsidR="00C31BB2" w:rsidRDefault="00C31BB2" w:rsidP="006E37E7">
            <w:pPr>
              <w:numPr>
                <w:ilvl w:val="12"/>
                <w:numId w:val="0"/>
              </w:numPr>
              <w:rPr>
                <w:rFonts w:ascii="Arial" w:hAnsi="Arial" w:cs="Arial"/>
                <w:sz w:val="22"/>
                <w:szCs w:val="22"/>
              </w:rPr>
            </w:pPr>
            <w:r>
              <w:rPr>
                <w:rFonts w:ascii="Arial" w:hAnsi="Arial" w:cs="Arial"/>
                <w:sz w:val="22"/>
                <w:szCs w:val="22"/>
              </w:rPr>
              <w:t>Addition of category 4.</w:t>
            </w:r>
          </w:p>
          <w:p w:rsidR="00106711" w:rsidRDefault="00C31BB2" w:rsidP="006E37E7">
            <w:pPr>
              <w:numPr>
                <w:ilvl w:val="12"/>
                <w:numId w:val="0"/>
              </w:numPr>
              <w:rPr>
                <w:rFonts w:ascii="Arial" w:hAnsi="Arial" w:cs="Arial"/>
                <w:sz w:val="22"/>
                <w:szCs w:val="22"/>
              </w:rPr>
            </w:pPr>
            <w:r>
              <w:rPr>
                <w:rFonts w:ascii="Arial" w:hAnsi="Arial" w:cs="Arial"/>
                <w:sz w:val="22"/>
                <w:szCs w:val="22"/>
              </w:rPr>
              <w:t>Removal of MAPPA forms from policy document in favour of website link.</w:t>
            </w:r>
          </w:p>
          <w:p w:rsidR="00106711" w:rsidRPr="00A4745D" w:rsidRDefault="00106711" w:rsidP="006E37E7">
            <w:pPr>
              <w:numPr>
                <w:ilvl w:val="12"/>
                <w:numId w:val="0"/>
              </w:numPr>
              <w:rPr>
                <w:rFonts w:ascii="Arial" w:hAnsi="Arial" w:cs="Arial"/>
                <w:sz w:val="22"/>
                <w:szCs w:val="22"/>
              </w:rPr>
            </w:pPr>
            <w:r>
              <w:rPr>
                <w:rFonts w:ascii="Arial" w:hAnsi="Arial" w:cs="Arial"/>
                <w:sz w:val="22"/>
                <w:szCs w:val="22"/>
              </w:rPr>
              <w:t>Advice about recording MAPPA level 1 reviews.</w:t>
            </w:r>
          </w:p>
        </w:tc>
      </w:tr>
    </w:tbl>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6E37E7" w:rsidRPr="00A4745D" w:rsidRDefault="006E37E7">
      <w:pPr>
        <w:rPr>
          <w:rFonts w:ascii="Arial" w:hAnsi="Arial" w:cs="Arial"/>
          <w:sz w:val="22"/>
          <w:szCs w:val="22"/>
        </w:rPr>
      </w:pPr>
    </w:p>
    <w:p w:rsidR="00C55C03" w:rsidRPr="00A4745D" w:rsidRDefault="00C55C03">
      <w:pPr>
        <w:rPr>
          <w:rFonts w:ascii="Arial" w:hAnsi="Arial" w:cs="Arial"/>
          <w:sz w:val="22"/>
          <w:szCs w:val="22"/>
        </w:rPr>
      </w:pPr>
    </w:p>
    <w:p w:rsidR="00C55C03" w:rsidRPr="00A4745D" w:rsidRDefault="00C55C03">
      <w:pPr>
        <w:rPr>
          <w:rFonts w:ascii="Arial" w:hAnsi="Arial" w:cs="Arial"/>
          <w:sz w:val="22"/>
          <w:szCs w:val="22"/>
        </w:rPr>
      </w:pPr>
    </w:p>
    <w:p w:rsidR="004675D9" w:rsidRDefault="004675D9">
      <w:pPr>
        <w:overflowPunct/>
        <w:autoSpaceDE/>
        <w:autoSpaceDN/>
        <w:adjustRightInd/>
        <w:textAlignment w:val="auto"/>
        <w:rPr>
          <w:rFonts w:ascii="Arial" w:hAnsi="Arial" w:cs="Arial"/>
          <w:sz w:val="22"/>
          <w:szCs w:val="22"/>
        </w:rPr>
      </w:pPr>
      <w:r>
        <w:rPr>
          <w:rFonts w:ascii="Arial" w:hAnsi="Arial" w:cs="Arial"/>
          <w:sz w:val="22"/>
          <w:szCs w:val="22"/>
        </w:rPr>
        <w:br w:type="page"/>
      </w:r>
    </w:p>
    <w:p w:rsidR="00A4745D" w:rsidRDefault="00A4745D" w:rsidP="0024035A">
      <w:pPr>
        <w:pStyle w:val="DocumentControlRight"/>
        <w:jc w:val="left"/>
        <w:rPr>
          <w:rFonts w:ascii="Arial" w:hAnsi="Arial" w:cs="Arial"/>
          <w:sz w:val="22"/>
          <w:szCs w:val="22"/>
        </w:rPr>
      </w:pPr>
    </w:p>
    <w:p w:rsidR="002B0E9D" w:rsidRPr="00A4745D" w:rsidRDefault="002B0E9D" w:rsidP="0024035A">
      <w:pPr>
        <w:pStyle w:val="DocumentControlRight"/>
        <w:jc w:val="left"/>
        <w:rPr>
          <w:rFonts w:ascii="Arial" w:hAnsi="Arial" w:cs="Arial"/>
          <w:b/>
          <w:sz w:val="22"/>
          <w:szCs w:val="22"/>
        </w:rPr>
      </w:pPr>
      <w:r w:rsidRPr="00A4745D">
        <w:rPr>
          <w:rFonts w:ascii="Arial" w:hAnsi="Arial" w:cs="Arial"/>
          <w:b/>
          <w:sz w:val="22"/>
          <w:szCs w:val="22"/>
        </w:rPr>
        <w:t>C</w:t>
      </w:r>
      <w:r w:rsidR="00D77DD6" w:rsidRPr="00A4745D">
        <w:rPr>
          <w:rFonts w:ascii="Arial" w:hAnsi="Arial" w:cs="Arial"/>
          <w:b/>
          <w:sz w:val="22"/>
          <w:szCs w:val="22"/>
        </w:rPr>
        <w:t xml:space="preserve">ontents </w:t>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Pr="00A4745D">
        <w:rPr>
          <w:rFonts w:ascii="Arial" w:hAnsi="Arial" w:cs="Arial"/>
          <w:b/>
          <w:sz w:val="22"/>
          <w:szCs w:val="22"/>
        </w:rPr>
        <w:t xml:space="preserve">      </w:t>
      </w:r>
      <w:r w:rsidR="004D16DE" w:rsidRPr="00A4745D">
        <w:rPr>
          <w:rFonts w:ascii="Arial" w:hAnsi="Arial" w:cs="Arial"/>
          <w:b/>
          <w:sz w:val="22"/>
          <w:szCs w:val="22"/>
        </w:rPr>
        <w:t xml:space="preserve">           </w:t>
      </w:r>
      <w:r w:rsidRPr="00A4745D">
        <w:rPr>
          <w:rFonts w:ascii="Arial" w:hAnsi="Arial" w:cs="Arial"/>
          <w:b/>
          <w:sz w:val="22"/>
          <w:szCs w:val="22"/>
        </w:rPr>
        <w:t xml:space="preserve"> Page Number</w:t>
      </w:r>
    </w:p>
    <w:p w:rsidR="002B0E9D" w:rsidRPr="00A4745D" w:rsidRDefault="002B0E9D" w:rsidP="0024035A">
      <w:pPr>
        <w:pStyle w:val="DocumentControlRight"/>
        <w:jc w:val="left"/>
        <w:rPr>
          <w:rFonts w:ascii="Arial" w:hAnsi="Arial" w:cs="Arial"/>
          <w:sz w:val="22"/>
          <w:szCs w:val="22"/>
        </w:rPr>
      </w:pP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Executive Summary</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Introduction</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Purpose</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MAPPA Framework</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Identification of Mental Health Cases under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5</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Role of NHS Trusts within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5</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Review of MAPPA Level 1 Cases in the C</w:t>
      </w:r>
      <w:r w:rsidR="004B23C6" w:rsidRPr="00A4745D">
        <w:rPr>
          <w:rFonts w:ascii="Arial" w:hAnsi="Arial" w:cs="Arial"/>
          <w:sz w:val="22"/>
          <w:szCs w:val="22"/>
        </w:rPr>
        <w:t>ommunity</w:t>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Exit from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Information Storage</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Associated Documentation</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8</w:t>
      </w:r>
    </w:p>
    <w:p w:rsidR="002B0E9D" w:rsidRPr="00A4745D" w:rsidRDefault="002B0E9D" w:rsidP="0024035A">
      <w:pPr>
        <w:pStyle w:val="DocumentControlRight"/>
        <w:jc w:val="left"/>
        <w:rPr>
          <w:rFonts w:ascii="Arial" w:hAnsi="Arial" w:cs="Arial"/>
          <w:sz w:val="22"/>
          <w:szCs w:val="22"/>
        </w:rPr>
      </w:pPr>
    </w:p>
    <w:p w:rsidR="004B23C6" w:rsidRPr="00A4745D" w:rsidRDefault="004B23C6" w:rsidP="0024035A">
      <w:pPr>
        <w:pStyle w:val="DocumentControlRight"/>
        <w:jc w:val="left"/>
        <w:rPr>
          <w:rFonts w:ascii="Arial" w:hAnsi="Arial" w:cs="Arial"/>
          <w:sz w:val="22"/>
          <w:szCs w:val="22"/>
        </w:rPr>
      </w:pPr>
    </w:p>
    <w:p w:rsidR="00C55C03" w:rsidRPr="00A4745D" w:rsidRDefault="00C55C03" w:rsidP="0024035A">
      <w:pPr>
        <w:pStyle w:val="DocumentControlRight"/>
        <w:jc w:val="left"/>
        <w:rPr>
          <w:rFonts w:ascii="Arial" w:hAnsi="Arial" w:cs="Arial"/>
          <w:sz w:val="22"/>
          <w:szCs w:val="22"/>
        </w:rPr>
      </w:pPr>
      <w:r w:rsidRPr="00A4745D">
        <w:rPr>
          <w:rFonts w:ascii="Arial" w:hAnsi="Arial" w:cs="Arial"/>
          <w:sz w:val="22"/>
          <w:szCs w:val="22"/>
        </w:rPr>
        <w:br w:type="page"/>
      </w:r>
    </w:p>
    <w:p w:rsidR="00C55C03" w:rsidRPr="00A4745D" w:rsidRDefault="00C55C03" w:rsidP="002B3975">
      <w:pPr>
        <w:pStyle w:val="Heading1"/>
        <w:numPr>
          <w:ilvl w:val="0"/>
          <w:numId w:val="5"/>
        </w:numPr>
        <w:rPr>
          <w:rFonts w:ascii="Arial" w:hAnsi="Arial" w:cs="Arial"/>
          <w:sz w:val="22"/>
          <w:szCs w:val="22"/>
        </w:rPr>
      </w:pPr>
      <w:r w:rsidRPr="00A4745D">
        <w:rPr>
          <w:rFonts w:ascii="Arial" w:hAnsi="Arial" w:cs="Arial"/>
          <w:sz w:val="22"/>
          <w:szCs w:val="22"/>
        </w:rPr>
        <w:lastRenderedPageBreak/>
        <w:t>Executive Summary</w:t>
      </w:r>
    </w:p>
    <w:p w:rsidR="00C55C03" w:rsidRPr="00A4745D" w:rsidRDefault="00C55C03" w:rsidP="00C55C03">
      <w:pPr>
        <w:jc w:val="both"/>
        <w:rPr>
          <w:rFonts w:ascii="Arial" w:hAnsi="Arial" w:cs="Arial"/>
          <w:sz w:val="22"/>
          <w:szCs w:val="22"/>
        </w:rPr>
      </w:pPr>
    </w:p>
    <w:p w:rsidR="00C55C03" w:rsidRPr="00A4745D" w:rsidRDefault="00A5657E" w:rsidP="00C55C03">
      <w:pPr>
        <w:jc w:val="both"/>
        <w:rPr>
          <w:rFonts w:ascii="Arial" w:hAnsi="Arial" w:cs="Arial"/>
          <w:sz w:val="22"/>
          <w:szCs w:val="22"/>
        </w:rPr>
      </w:pPr>
      <w:r w:rsidRPr="00A4745D">
        <w:rPr>
          <w:rFonts w:ascii="Arial" w:hAnsi="Arial" w:cs="Arial"/>
          <w:sz w:val="22"/>
          <w:szCs w:val="22"/>
        </w:rPr>
        <w:t xml:space="preserve">NHS Mental Health Trusts have </w:t>
      </w:r>
      <w:r w:rsidR="00C55C03" w:rsidRPr="00A4745D">
        <w:rPr>
          <w:rFonts w:ascii="Arial" w:hAnsi="Arial" w:cs="Arial"/>
          <w:sz w:val="22"/>
          <w:szCs w:val="22"/>
        </w:rPr>
        <w:t xml:space="preserve">a duty to co-operate with the </w:t>
      </w:r>
      <w:r w:rsidR="00B8369A" w:rsidRPr="00A4745D">
        <w:rPr>
          <w:rFonts w:ascii="Arial" w:hAnsi="Arial" w:cs="Arial"/>
          <w:sz w:val="22"/>
          <w:szCs w:val="22"/>
        </w:rPr>
        <w:t>police;</w:t>
      </w:r>
      <w:r w:rsidR="00C55C03" w:rsidRPr="00A4745D">
        <w:rPr>
          <w:rFonts w:ascii="Arial" w:hAnsi="Arial" w:cs="Arial"/>
          <w:sz w:val="22"/>
          <w:szCs w:val="22"/>
        </w:rPr>
        <w:t xml:space="preserve"> prisons and probation </w:t>
      </w:r>
      <w:r w:rsidR="00494EF7" w:rsidRPr="00A4745D">
        <w:rPr>
          <w:rFonts w:ascii="Arial" w:hAnsi="Arial" w:cs="Arial"/>
          <w:sz w:val="22"/>
          <w:szCs w:val="22"/>
        </w:rPr>
        <w:t xml:space="preserve">services </w:t>
      </w:r>
      <w:r w:rsidR="00C55C03" w:rsidRPr="00A4745D">
        <w:rPr>
          <w:rFonts w:ascii="Arial" w:hAnsi="Arial" w:cs="Arial"/>
          <w:sz w:val="22"/>
          <w:szCs w:val="22"/>
        </w:rPr>
        <w:t>in a way set out in the Criminal Justice and Court Services Act (2000) and later strengthened by the Criminal Justice Act (2003).</w:t>
      </w:r>
    </w:p>
    <w:p w:rsidR="00C55C03" w:rsidRPr="00A4745D" w:rsidRDefault="00C55C03" w:rsidP="00C55C03">
      <w:pPr>
        <w:jc w:val="both"/>
        <w:rPr>
          <w:rFonts w:ascii="Arial" w:hAnsi="Arial" w:cs="Arial"/>
          <w:sz w:val="22"/>
          <w:szCs w:val="22"/>
        </w:rPr>
      </w:pPr>
    </w:p>
    <w:p w:rsidR="00370A6E" w:rsidRPr="00A4745D" w:rsidRDefault="00C55C03" w:rsidP="001B7691">
      <w:pPr>
        <w:jc w:val="both"/>
        <w:rPr>
          <w:rFonts w:ascii="Arial" w:hAnsi="Arial" w:cs="Arial"/>
          <w:sz w:val="22"/>
          <w:szCs w:val="22"/>
        </w:rPr>
      </w:pPr>
      <w:r w:rsidRPr="00A4745D">
        <w:rPr>
          <w:rFonts w:ascii="Arial" w:hAnsi="Arial" w:cs="Arial"/>
          <w:sz w:val="22"/>
          <w:szCs w:val="22"/>
        </w:rPr>
        <w:t>This policy sets out the background to Multi-</w:t>
      </w:r>
      <w:r w:rsidR="00CA5391" w:rsidRPr="00A4745D">
        <w:rPr>
          <w:rFonts w:ascii="Arial" w:hAnsi="Arial" w:cs="Arial"/>
          <w:sz w:val="22"/>
          <w:szCs w:val="22"/>
        </w:rPr>
        <w:t>A</w:t>
      </w:r>
      <w:r w:rsidRPr="00A4745D">
        <w:rPr>
          <w:rFonts w:ascii="Arial" w:hAnsi="Arial" w:cs="Arial"/>
          <w:sz w:val="22"/>
          <w:szCs w:val="22"/>
        </w:rPr>
        <w:t xml:space="preserve">gency Public Protection Arrangements (MAPPA), </w:t>
      </w:r>
      <w:r w:rsidR="001B7691" w:rsidRPr="00A4745D">
        <w:rPr>
          <w:rFonts w:ascii="Arial" w:hAnsi="Arial" w:cs="Arial"/>
          <w:sz w:val="22"/>
          <w:szCs w:val="22"/>
        </w:rPr>
        <w:t>and</w:t>
      </w:r>
      <w:r w:rsidRPr="00A4745D">
        <w:rPr>
          <w:rFonts w:ascii="Arial" w:hAnsi="Arial" w:cs="Arial"/>
          <w:sz w:val="22"/>
          <w:szCs w:val="22"/>
        </w:rPr>
        <w:t xml:space="preserve"> provides a framework for working with and referring to MAPPA.</w:t>
      </w:r>
    </w:p>
    <w:p w:rsidR="00370A6E" w:rsidRPr="00A4745D" w:rsidRDefault="00370A6E" w:rsidP="00C55C03">
      <w:pPr>
        <w:rPr>
          <w:rFonts w:ascii="Arial" w:hAnsi="Arial" w:cs="Arial"/>
          <w:sz w:val="22"/>
          <w:szCs w:val="22"/>
        </w:rPr>
      </w:pPr>
    </w:p>
    <w:p w:rsidR="00370A6E" w:rsidRPr="00A4745D" w:rsidRDefault="00370A6E" w:rsidP="00A95C18">
      <w:pPr>
        <w:rPr>
          <w:rFonts w:ascii="Arial" w:hAnsi="Arial" w:cs="Arial"/>
          <w:b/>
          <w:sz w:val="22"/>
          <w:szCs w:val="22"/>
        </w:rPr>
      </w:pPr>
    </w:p>
    <w:p w:rsidR="00370A6E" w:rsidRPr="00A4745D" w:rsidRDefault="00370A6E" w:rsidP="002B3975">
      <w:pPr>
        <w:pStyle w:val="ListParagraph"/>
        <w:numPr>
          <w:ilvl w:val="0"/>
          <w:numId w:val="5"/>
        </w:numPr>
        <w:rPr>
          <w:rFonts w:ascii="Arial" w:hAnsi="Arial" w:cs="Arial"/>
          <w:b/>
          <w:sz w:val="22"/>
          <w:szCs w:val="22"/>
        </w:rPr>
      </w:pPr>
      <w:r w:rsidRPr="00A4745D">
        <w:rPr>
          <w:rFonts w:ascii="Arial" w:hAnsi="Arial" w:cs="Arial"/>
          <w:b/>
          <w:sz w:val="22"/>
          <w:szCs w:val="22"/>
        </w:rPr>
        <w:t>Introduction</w:t>
      </w:r>
    </w:p>
    <w:p w:rsidR="001B7691" w:rsidRPr="00A4745D" w:rsidRDefault="001B7691" w:rsidP="00C55C03">
      <w:pPr>
        <w:rPr>
          <w:rFonts w:ascii="Arial" w:hAnsi="Arial" w:cs="Arial"/>
          <w:b/>
          <w:sz w:val="22"/>
          <w:szCs w:val="22"/>
        </w:rPr>
      </w:pPr>
    </w:p>
    <w:p w:rsidR="003E7089" w:rsidRPr="00A4745D" w:rsidRDefault="003520AF" w:rsidP="003520AF">
      <w:pPr>
        <w:rPr>
          <w:rFonts w:ascii="Arial" w:hAnsi="Arial" w:cs="Arial"/>
          <w:sz w:val="22"/>
          <w:szCs w:val="22"/>
        </w:rPr>
      </w:pPr>
      <w:r w:rsidRPr="00A4745D">
        <w:rPr>
          <w:rFonts w:ascii="Arial" w:hAnsi="Arial" w:cs="Arial"/>
          <w:sz w:val="22"/>
          <w:szCs w:val="22"/>
        </w:rPr>
        <w:t xml:space="preserve">MAPPA is a framework of statutory arrangements introduced by the Criminal Justice Act (CJA) 2003, through which the Police, Probation and Prison Services (jointly comprising the MAPPA Responsible Authority) work together with other agencies to manage the risks posed by violent and sexual offenders, in order that re-offending is reduced and the public are protected. </w:t>
      </w:r>
      <w:r w:rsidR="003E7089" w:rsidRPr="00A4745D">
        <w:rPr>
          <w:rFonts w:ascii="Arial" w:hAnsi="Arial" w:cs="Arial"/>
          <w:sz w:val="22"/>
          <w:szCs w:val="22"/>
        </w:rPr>
        <w:t>MAPPA is not a statutory body in itself, but is a mechanism through which agencies can better discharge their statutory responsibilities and protect the public in a coordinated way.  Agencies at all times retain their full statutory responsibilities and obligations.</w:t>
      </w:r>
    </w:p>
    <w:p w:rsidR="003520AF" w:rsidRPr="00A4745D" w:rsidRDefault="003520AF" w:rsidP="003520AF">
      <w:pPr>
        <w:rPr>
          <w:rFonts w:ascii="Arial" w:hAnsi="Arial" w:cs="Arial"/>
          <w:sz w:val="22"/>
          <w:szCs w:val="22"/>
        </w:rPr>
      </w:pPr>
    </w:p>
    <w:p w:rsidR="003520AF" w:rsidRPr="00A4745D" w:rsidRDefault="003520AF" w:rsidP="003520AF">
      <w:pPr>
        <w:rPr>
          <w:rFonts w:ascii="Arial" w:hAnsi="Arial" w:cs="Arial"/>
          <w:sz w:val="22"/>
          <w:szCs w:val="22"/>
        </w:rPr>
      </w:pPr>
      <w:r w:rsidRPr="00A4745D">
        <w:rPr>
          <w:rFonts w:ascii="Arial" w:hAnsi="Arial" w:cs="Arial"/>
          <w:sz w:val="22"/>
          <w:szCs w:val="22"/>
        </w:rPr>
        <w:t xml:space="preserve">Under section 325(3) of the </w:t>
      </w:r>
      <w:r w:rsidR="006B0058" w:rsidRPr="00A4745D">
        <w:rPr>
          <w:rFonts w:ascii="Arial" w:hAnsi="Arial" w:cs="Arial"/>
          <w:sz w:val="22"/>
          <w:szCs w:val="22"/>
        </w:rPr>
        <w:t>CJA</w:t>
      </w:r>
      <w:r w:rsidRPr="00A4745D">
        <w:rPr>
          <w:rFonts w:ascii="Arial" w:hAnsi="Arial" w:cs="Arial"/>
          <w:sz w:val="22"/>
          <w:szCs w:val="22"/>
        </w:rPr>
        <w:t xml:space="preserve"> (2003) </w:t>
      </w:r>
      <w:r w:rsidR="006B0058" w:rsidRPr="00A4745D">
        <w:rPr>
          <w:rFonts w:ascii="Arial" w:hAnsi="Arial" w:cs="Arial"/>
          <w:sz w:val="22"/>
          <w:szCs w:val="22"/>
        </w:rPr>
        <w:t xml:space="preserve">certain </w:t>
      </w:r>
      <w:r w:rsidRPr="00A4745D">
        <w:rPr>
          <w:rFonts w:ascii="Arial" w:hAnsi="Arial" w:cs="Arial"/>
          <w:sz w:val="22"/>
          <w:szCs w:val="22"/>
        </w:rPr>
        <w:t>agencies have a “duty to co-operate” with the Responsible Authority, for the purpose of assessing and managing the risks posed by MAPPA offenders.  NHS Trust</w:t>
      </w:r>
      <w:r w:rsidR="006B0058" w:rsidRPr="00A4745D">
        <w:rPr>
          <w:rFonts w:ascii="Arial" w:hAnsi="Arial" w:cs="Arial"/>
          <w:sz w:val="22"/>
          <w:szCs w:val="22"/>
        </w:rPr>
        <w:t>s</w:t>
      </w:r>
      <w:r w:rsidRPr="00A4745D">
        <w:rPr>
          <w:rFonts w:ascii="Arial" w:hAnsi="Arial" w:cs="Arial"/>
          <w:sz w:val="22"/>
          <w:szCs w:val="22"/>
        </w:rPr>
        <w:t xml:space="preserve"> are one of th</w:t>
      </w:r>
      <w:r w:rsidR="006B0058" w:rsidRPr="00A4745D">
        <w:rPr>
          <w:rFonts w:ascii="Arial" w:hAnsi="Arial" w:cs="Arial"/>
          <w:sz w:val="22"/>
          <w:szCs w:val="22"/>
        </w:rPr>
        <w:t>e</w:t>
      </w:r>
      <w:r w:rsidRPr="00A4745D">
        <w:rPr>
          <w:rFonts w:ascii="Arial" w:hAnsi="Arial" w:cs="Arial"/>
          <w:sz w:val="22"/>
          <w:szCs w:val="22"/>
        </w:rPr>
        <w:t>se ag</w:t>
      </w:r>
      <w:r w:rsidR="005717D1" w:rsidRPr="00A4745D">
        <w:rPr>
          <w:rFonts w:ascii="Arial" w:hAnsi="Arial" w:cs="Arial"/>
          <w:sz w:val="22"/>
          <w:szCs w:val="22"/>
        </w:rPr>
        <w:t xml:space="preserve">encies and </w:t>
      </w:r>
      <w:r w:rsidR="00B110C5" w:rsidRPr="00A4745D">
        <w:rPr>
          <w:rFonts w:ascii="Arial" w:hAnsi="Arial" w:cs="Arial"/>
          <w:sz w:val="22"/>
          <w:szCs w:val="22"/>
        </w:rPr>
        <w:t>are therefore required to co-</w:t>
      </w:r>
      <w:r w:rsidR="00CA5391" w:rsidRPr="00A4745D">
        <w:rPr>
          <w:rFonts w:ascii="Arial" w:hAnsi="Arial" w:cs="Arial"/>
          <w:sz w:val="22"/>
          <w:szCs w:val="22"/>
        </w:rPr>
        <w:t>o</w:t>
      </w:r>
      <w:r w:rsidR="00B110C5" w:rsidRPr="00A4745D">
        <w:rPr>
          <w:rFonts w:ascii="Arial" w:hAnsi="Arial" w:cs="Arial"/>
          <w:sz w:val="22"/>
          <w:szCs w:val="22"/>
        </w:rPr>
        <w:t xml:space="preserve">perate as far as they can do so, consistent with the exercise of their other statutory functions.  </w:t>
      </w:r>
    </w:p>
    <w:p w:rsidR="001026F3" w:rsidRPr="00A4745D" w:rsidRDefault="001026F3" w:rsidP="003520AF">
      <w:pPr>
        <w:rPr>
          <w:rFonts w:ascii="Arial" w:hAnsi="Arial" w:cs="Arial"/>
          <w:sz w:val="22"/>
          <w:szCs w:val="22"/>
        </w:rPr>
      </w:pPr>
    </w:p>
    <w:p w:rsidR="001026F3" w:rsidRPr="00A4745D" w:rsidRDefault="001026F3" w:rsidP="003520AF">
      <w:pPr>
        <w:rPr>
          <w:rFonts w:ascii="Arial" w:hAnsi="Arial" w:cs="Arial"/>
          <w:sz w:val="22"/>
          <w:szCs w:val="22"/>
        </w:rPr>
      </w:pPr>
    </w:p>
    <w:p w:rsidR="00C510BC" w:rsidRPr="00A4745D" w:rsidRDefault="001026F3" w:rsidP="002B3975">
      <w:pPr>
        <w:pStyle w:val="ListParagraph"/>
        <w:numPr>
          <w:ilvl w:val="0"/>
          <w:numId w:val="5"/>
        </w:numPr>
        <w:rPr>
          <w:rFonts w:ascii="Arial" w:hAnsi="Arial" w:cs="Arial"/>
          <w:b/>
          <w:sz w:val="22"/>
          <w:szCs w:val="22"/>
        </w:rPr>
      </w:pPr>
      <w:r w:rsidRPr="00A4745D">
        <w:rPr>
          <w:rFonts w:ascii="Arial" w:hAnsi="Arial" w:cs="Arial"/>
          <w:b/>
          <w:sz w:val="22"/>
          <w:szCs w:val="22"/>
        </w:rPr>
        <w:t>Purpose</w:t>
      </w:r>
    </w:p>
    <w:p w:rsidR="00C510BC" w:rsidRPr="00A4745D" w:rsidRDefault="00C510BC" w:rsidP="00C510BC">
      <w:pPr>
        <w:rPr>
          <w:rFonts w:ascii="Arial" w:hAnsi="Arial" w:cs="Arial"/>
          <w:b/>
          <w:sz w:val="22"/>
          <w:szCs w:val="22"/>
        </w:rPr>
      </w:pPr>
    </w:p>
    <w:p w:rsidR="00150721" w:rsidRPr="00A4745D" w:rsidRDefault="00F3377C" w:rsidP="00C510BC">
      <w:pPr>
        <w:rPr>
          <w:rFonts w:ascii="Arial" w:hAnsi="Arial" w:cs="Arial"/>
          <w:sz w:val="22"/>
          <w:szCs w:val="22"/>
        </w:rPr>
      </w:pPr>
      <w:r w:rsidRPr="00A4745D">
        <w:rPr>
          <w:rFonts w:ascii="Arial" w:hAnsi="Arial" w:cs="Arial"/>
          <w:sz w:val="22"/>
          <w:szCs w:val="22"/>
        </w:rPr>
        <w:t xml:space="preserve">The purpose of this </w:t>
      </w:r>
      <w:r w:rsidR="00E022B4" w:rsidRPr="00A4745D">
        <w:rPr>
          <w:rFonts w:ascii="Arial" w:hAnsi="Arial" w:cs="Arial"/>
          <w:sz w:val="22"/>
          <w:szCs w:val="22"/>
        </w:rPr>
        <w:t xml:space="preserve">policy </w:t>
      </w:r>
      <w:r w:rsidRPr="00A4745D">
        <w:rPr>
          <w:rFonts w:ascii="Arial" w:hAnsi="Arial" w:cs="Arial"/>
          <w:sz w:val="22"/>
          <w:szCs w:val="22"/>
        </w:rPr>
        <w:t xml:space="preserve">document is to </w:t>
      </w:r>
      <w:r w:rsidR="00150721" w:rsidRPr="00A4745D">
        <w:rPr>
          <w:rFonts w:ascii="Arial" w:hAnsi="Arial" w:cs="Arial"/>
          <w:sz w:val="22"/>
          <w:szCs w:val="22"/>
        </w:rPr>
        <w:t xml:space="preserve">provide </w:t>
      </w:r>
      <w:r w:rsidRPr="00A4745D">
        <w:rPr>
          <w:rFonts w:ascii="Arial" w:hAnsi="Arial" w:cs="Arial"/>
          <w:sz w:val="22"/>
          <w:szCs w:val="22"/>
        </w:rPr>
        <w:t xml:space="preserve">staff working for the Trust </w:t>
      </w:r>
      <w:r w:rsidR="00150721" w:rsidRPr="00A4745D">
        <w:rPr>
          <w:rFonts w:ascii="Arial" w:hAnsi="Arial" w:cs="Arial"/>
          <w:sz w:val="22"/>
          <w:szCs w:val="22"/>
        </w:rPr>
        <w:t xml:space="preserve">with an </w:t>
      </w:r>
      <w:r w:rsidRPr="00A4745D">
        <w:rPr>
          <w:rFonts w:ascii="Arial" w:hAnsi="Arial" w:cs="Arial"/>
          <w:sz w:val="22"/>
          <w:szCs w:val="22"/>
        </w:rPr>
        <w:t>understand</w:t>
      </w:r>
      <w:r w:rsidR="00150721" w:rsidRPr="00A4745D">
        <w:rPr>
          <w:rFonts w:ascii="Arial" w:hAnsi="Arial" w:cs="Arial"/>
          <w:sz w:val="22"/>
          <w:szCs w:val="22"/>
        </w:rPr>
        <w:t xml:space="preserve">ing of </w:t>
      </w:r>
      <w:r w:rsidRPr="00A4745D">
        <w:rPr>
          <w:rFonts w:ascii="Arial" w:hAnsi="Arial" w:cs="Arial"/>
          <w:sz w:val="22"/>
          <w:szCs w:val="22"/>
        </w:rPr>
        <w:t xml:space="preserve">the MAPPA framework and the duties </w:t>
      </w:r>
      <w:r w:rsidR="0008146B" w:rsidRPr="00A4745D">
        <w:rPr>
          <w:rFonts w:ascii="Arial" w:hAnsi="Arial" w:cs="Arial"/>
          <w:sz w:val="22"/>
          <w:szCs w:val="22"/>
        </w:rPr>
        <w:t>imposed</w:t>
      </w:r>
      <w:r w:rsidRPr="00A4745D">
        <w:rPr>
          <w:rFonts w:ascii="Arial" w:hAnsi="Arial" w:cs="Arial"/>
          <w:sz w:val="22"/>
          <w:szCs w:val="22"/>
        </w:rPr>
        <w:t xml:space="preserve"> on </w:t>
      </w:r>
      <w:r w:rsidR="002423E9" w:rsidRPr="00A4745D">
        <w:rPr>
          <w:rFonts w:ascii="Arial" w:hAnsi="Arial" w:cs="Arial"/>
          <w:sz w:val="22"/>
          <w:szCs w:val="22"/>
        </w:rPr>
        <w:t xml:space="preserve">Trust staff </w:t>
      </w:r>
      <w:r w:rsidRPr="00A4745D">
        <w:rPr>
          <w:rFonts w:ascii="Arial" w:hAnsi="Arial" w:cs="Arial"/>
          <w:sz w:val="22"/>
          <w:szCs w:val="22"/>
        </w:rPr>
        <w:t>working with MAPPA</w:t>
      </w:r>
      <w:r w:rsidR="00150721" w:rsidRPr="00A4745D">
        <w:rPr>
          <w:rFonts w:ascii="Arial" w:hAnsi="Arial" w:cs="Arial"/>
          <w:sz w:val="22"/>
          <w:szCs w:val="22"/>
        </w:rPr>
        <w:t>-</w:t>
      </w:r>
      <w:r w:rsidRPr="00A4745D">
        <w:rPr>
          <w:rFonts w:ascii="Arial" w:hAnsi="Arial" w:cs="Arial"/>
          <w:sz w:val="22"/>
          <w:szCs w:val="22"/>
        </w:rPr>
        <w:t xml:space="preserve">eligible offenders.  This includes identifying MAPPA-eligible offenders, notification and referral requirements, and </w:t>
      </w:r>
      <w:r w:rsidR="00150721" w:rsidRPr="00A4745D">
        <w:rPr>
          <w:rFonts w:ascii="Arial" w:hAnsi="Arial" w:cs="Arial"/>
          <w:sz w:val="22"/>
          <w:szCs w:val="22"/>
        </w:rPr>
        <w:t>termination of MAPPA status.</w:t>
      </w:r>
    </w:p>
    <w:p w:rsidR="0008146B" w:rsidRPr="00A4745D" w:rsidRDefault="0008146B" w:rsidP="00C510BC">
      <w:pPr>
        <w:rPr>
          <w:rFonts w:ascii="Arial" w:hAnsi="Arial" w:cs="Arial"/>
          <w:sz w:val="22"/>
          <w:szCs w:val="22"/>
        </w:rPr>
      </w:pPr>
    </w:p>
    <w:p w:rsidR="00150721" w:rsidRPr="00A4745D" w:rsidRDefault="0008146B" w:rsidP="00C510BC">
      <w:pPr>
        <w:rPr>
          <w:rFonts w:ascii="Arial" w:hAnsi="Arial" w:cs="Arial"/>
          <w:sz w:val="22"/>
          <w:szCs w:val="22"/>
        </w:rPr>
      </w:pPr>
      <w:r w:rsidRPr="00A4745D">
        <w:rPr>
          <w:rFonts w:ascii="Arial" w:hAnsi="Arial" w:cs="Arial"/>
          <w:sz w:val="22"/>
          <w:szCs w:val="22"/>
        </w:rPr>
        <w:t xml:space="preserve">The policy </w:t>
      </w:r>
      <w:r w:rsidR="00E022B4" w:rsidRPr="00A4745D">
        <w:rPr>
          <w:rFonts w:ascii="Arial" w:hAnsi="Arial" w:cs="Arial"/>
          <w:sz w:val="22"/>
          <w:szCs w:val="22"/>
        </w:rPr>
        <w:t xml:space="preserve">should be considered in conjunction with the Care Programme Approach and Clinical Risk Assessment and Management policies of the Trust, and with domestic abuse, child and adult safeguarding procedures. </w:t>
      </w:r>
    </w:p>
    <w:p w:rsidR="00E022B4" w:rsidRPr="00A4745D" w:rsidRDefault="00E022B4" w:rsidP="00C510BC">
      <w:pPr>
        <w:rPr>
          <w:rFonts w:ascii="Arial" w:hAnsi="Arial" w:cs="Arial"/>
          <w:sz w:val="22"/>
          <w:szCs w:val="22"/>
        </w:rPr>
      </w:pPr>
    </w:p>
    <w:p w:rsidR="001026F3" w:rsidRPr="00A4745D" w:rsidRDefault="001026F3" w:rsidP="003520AF">
      <w:pPr>
        <w:rPr>
          <w:rFonts w:ascii="Arial" w:hAnsi="Arial" w:cs="Arial"/>
          <w:b/>
          <w:sz w:val="22"/>
          <w:szCs w:val="22"/>
        </w:rPr>
      </w:pPr>
    </w:p>
    <w:p w:rsidR="001026F3" w:rsidRPr="00A4745D" w:rsidRDefault="001026F3" w:rsidP="00FE5BEA">
      <w:pPr>
        <w:pStyle w:val="ListParagraph"/>
        <w:numPr>
          <w:ilvl w:val="0"/>
          <w:numId w:val="5"/>
        </w:numPr>
        <w:rPr>
          <w:rFonts w:ascii="Arial" w:hAnsi="Arial" w:cs="Arial"/>
          <w:b/>
          <w:sz w:val="22"/>
          <w:szCs w:val="22"/>
        </w:rPr>
      </w:pPr>
      <w:r w:rsidRPr="00A4745D">
        <w:rPr>
          <w:rFonts w:ascii="Arial" w:hAnsi="Arial" w:cs="Arial"/>
          <w:b/>
          <w:sz w:val="22"/>
          <w:szCs w:val="22"/>
        </w:rPr>
        <w:t>MAPPA framework</w:t>
      </w:r>
    </w:p>
    <w:p w:rsidR="001026F3" w:rsidRPr="00A4745D" w:rsidRDefault="001026F3" w:rsidP="003520AF">
      <w:pPr>
        <w:rPr>
          <w:rFonts w:ascii="Arial" w:hAnsi="Arial" w:cs="Arial"/>
          <w:b/>
          <w:sz w:val="22"/>
          <w:szCs w:val="22"/>
        </w:rPr>
      </w:pPr>
    </w:p>
    <w:p w:rsidR="001026F3" w:rsidRPr="00A4745D" w:rsidRDefault="001026F3" w:rsidP="003520AF">
      <w:pPr>
        <w:rPr>
          <w:rFonts w:ascii="Arial" w:hAnsi="Arial" w:cs="Arial"/>
          <w:sz w:val="22"/>
          <w:szCs w:val="22"/>
        </w:rPr>
      </w:pPr>
      <w:r w:rsidRPr="00A4745D">
        <w:rPr>
          <w:rFonts w:ascii="Arial" w:hAnsi="Arial" w:cs="Arial"/>
          <w:sz w:val="22"/>
          <w:szCs w:val="22"/>
        </w:rPr>
        <w:t xml:space="preserve">The types of offenders who are managed within MAPPA are organised into </w:t>
      </w:r>
      <w:r w:rsidR="00B35B34">
        <w:rPr>
          <w:rFonts w:ascii="Arial" w:hAnsi="Arial" w:cs="Arial"/>
          <w:sz w:val="22"/>
          <w:szCs w:val="22"/>
        </w:rPr>
        <w:t xml:space="preserve">four </w:t>
      </w:r>
      <w:r w:rsidRPr="00A4745D">
        <w:rPr>
          <w:rFonts w:ascii="Arial" w:hAnsi="Arial" w:cs="Arial"/>
          <w:sz w:val="22"/>
          <w:szCs w:val="22"/>
        </w:rPr>
        <w:t>categories</w:t>
      </w:r>
      <w:r w:rsidR="00AB437E" w:rsidRPr="00A4745D">
        <w:rPr>
          <w:rFonts w:ascii="Arial" w:hAnsi="Arial" w:cs="Arial"/>
          <w:sz w:val="22"/>
          <w:szCs w:val="22"/>
        </w:rPr>
        <w:t xml:space="preserve"> according to their offence and sentence</w:t>
      </w:r>
      <w:r w:rsidRPr="00A4745D">
        <w:rPr>
          <w:rFonts w:ascii="Arial" w:hAnsi="Arial" w:cs="Arial"/>
          <w:sz w:val="22"/>
          <w:szCs w:val="22"/>
        </w:rPr>
        <w:t xml:space="preserve">:  </w:t>
      </w:r>
    </w:p>
    <w:p w:rsidR="00AB437E" w:rsidRPr="00A4745D" w:rsidRDefault="00AB437E" w:rsidP="003520AF">
      <w:pPr>
        <w:rPr>
          <w:rFonts w:ascii="Arial" w:hAnsi="Arial" w:cs="Arial"/>
          <w:sz w:val="22"/>
          <w:szCs w:val="22"/>
        </w:rPr>
      </w:pPr>
    </w:p>
    <w:p w:rsidR="00AB437E" w:rsidRPr="00A4745D" w:rsidRDefault="00AB437E" w:rsidP="003520AF">
      <w:pPr>
        <w:rPr>
          <w:rFonts w:ascii="Arial" w:hAnsi="Arial" w:cs="Arial"/>
          <w:sz w:val="22"/>
          <w:szCs w:val="22"/>
        </w:rPr>
      </w:pPr>
      <w:r w:rsidRPr="00A4745D">
        <w:rPr>
          <w:rFonts w:ascii="Arial" w:hAnsi="Arial" w:cs="Arial"/>
          <w:b/>
          <w:sz w:val="22"/>
          <w:szCs w:val="22"/>
        </w:rPr>
        <w:t>Category 1:</w:t>
      </w:r>
      <w:r w:rsidRPr="00A4745D">
        <w:rPr>
          <w:rFonts w:ascii="Arial" w:hAnsi="Arial" w:cs="Arial"/>
          <w:sz w:val="22"/>
          <w:szCs w:val="22"/>
        </w:rPr>
        <w:t xml:space="preserve"> Registered sexual offenders (RSOs).  T</w:t>
      </w:r>
      <w:r w:rsidR="00CD0383" w:rsidRPr="00A4745D">
        <w:rPr>
          <w:rFonts w:ascii="Arial" w:hAnsi="Arial" w:cs="Arial"/>
          <w:sz w:val="22"/>
          <w:szCs w:val="22"/>
        </w:rPr>
        <w:t xml:space="preserve">hose offenders convicted of </w:t>
      </w:r>
      <w:r w:rsidRPr="00A4745D">
        <w:rPr>
          <w:rFonts w:ascii="Arial" w:hAnsi="Arial" w:cs="Arial"/>
          <w:sz w:val="22"/>
          <w:szCs w:val="22"/>
        </w:rPr>
        <w:t>a sexual offence since 01/09/1997, and subject</w:t>
      </w:r>
      <w:r w:rsidR="00CD0383" w:rsidRPr="00A4745D">
        <w:rPr>
          <w:rFonts w:ascii="Arial" w:hAnsi="Arial" w:cs="Arial"/>
          <w:sz w:val="22"/>
          <w:szCs w:val="22"/>
        </w:rPr>
        <w:t xml:space="preserve"> to the notification requirements of part 2 of the </w:t>
      </w:r>
      <w:r w:rsidRPr="00A4745D">
        <w:rPr>
          <w:rFonts w:ascii="Arial" w:hAnsi="Arial" w:cs="Arial"/>
          <w:sz w:val="22"/>
          <w:szCs w:val="22"/>
        </w:rPr>
        <w:t>Sexual Offences Act 2003.</w:t>
      </w:r>
    </w:p>
    <w:p w:rsidR="00AB437E" w:rsidRPr="00A4745D" w:rsidRDefault="00AB437E" w:rsidP="003520AF">
      <w:pPr>
        <w:rPr>
          <w:rFonts w:ascii="Arial" w:hAnsi="Arial" w:cs="Arial"/>
          <w:sz w:val="22"/>
          <w:szCs w:val="22"/>
        </w:rPr>
      </w:pPr>
    </w:p>
    <w:p w:rsidR="00AB437E" w:rsidRPr="00A4745D" w:rsidRDefault="00AB437E" w:rsidP="003520AF">
      <w:pPr>
        <w:rPr>
          <w:rFonts w:ascii="Arial" w:hAnsi="Arial" w:cs="Arial"/>
          <w:sz w:val="22"/>
          <w:szCs w:val="22"/>
        </w:rPr>
      </w:pPr>
      <w:r w:rsidRPr="00A4745D">
        <w:rPr>
          <w:rFonts w:ascii="Arial" w:hAnsi="Arial" w:cs="Arial"/>
          <w:b/>
          <w:sz w:val="22"/>
          <w:szCs w:val="22"/>
        </w:rPr>
        <w:t xml:space="preserve">Category 2: </w:t>
      </w:r>
      <w:r w:rsidRPr="00A4745D">
        <w:rPr>
          <w:rFonts w:ascii="Arial" w:hAnsi="Arial" w:cs="Arial"/>
          <w:sz w:val="22"/>
          <w:szCs w:val="22"/>
        </w:rPr>
        <w:t>Violent a</w:t>
      </w:r>
      <w:r w:rsidR="00180387" w:rsidRPr="00A4745D">
        <w:rPr>
          <w:rFonts w:ascii="Arial" w:hAnsi="Arial" w:cs="Arial"/>
          <w:sz w:val="22"/>
          <w:szCs w:val="22"/>
        </w:rPr>
        <w:t xml:space="preserve">nd other sexual offenders.  </w:t>
      </w:r>
      <w:r w:rsidR="00CD0383" w:rsidRPr="00A4745D">
        <w:rPr>
          <w:rFonts w:ascii="Arial" w:hAnsi="Arial" w:cs="Arial"/>
          <w:sz w:val="22"/>
          <w:szCs w:val="22"/>
        </w:rPr>
        <w:t xml:space="preserve">Those offenders convicted of an offence listed under the Criminal Justice Act 2003 schedule 15 who </w:t>
      </w:r>
      <w:r w:rsidR="0075213B" w:rsidRPr="00A4745D">
        <w:rPr>
          <w:rFonts w:ascii="Arial" w:hAnsi="Arial" w:cs="Arial"/>
          <w:sz w:val="22"/>
          <w:szCs w:val="22"/>
        </w:rPr>
        <w:t>received a custodial sentence of 12 months or more, or were sentenced to hospital or guardianship orders under s37 of the Mental Health Act 1983.</w:t>
      </w:r>
      <w:r w:rsidR="00CD0383" w:rsidRPr="00A4745D">
        <w:rPr>
          <w:rFonts w:ascii="Arial" w:hAnsi="Arial" w:cs="Arial"/>
          <w:sz w:val="22"/>
          <w:szCs w:val="22"/>
        </w:rPr>
        <w:t xml:space="preserve"> </w:t>
      </w:r>
    </w:p>
    <w:p w:rsidR="0075213B" w:rsidRPr="00A4745D" w:rsidRDefault="0075213B" w:rsidP="003520AF">
      <w:pPr>
        <w:rPr>
          <w:rFonts w:ascii="Arial" w:hAnsi="Arial" w:cs="Arial"/>
          <w:sz w:val="22"/>
          <w:szCs w:val="22"/>
        </w:rPr>
      </w:pPr>
    </w:p>
    <w:p w:rsidR="00CD0383" w:rsidRPr="006224C0" w:rsidRDefault="0075213B" w:rsidP="003520AF">
      <w:pPr>
        <w:rPr>
          <w:rFonts w:ascii="Arial" w:hAnsi="Arial" w:cs="Arial"/>
          <w:sz w:val="22"/>
          <w:szCs w:val="22"/>
        </w:rPr>
      </w:pPr>
      <w:r w:rsidRPr="00A4745D">
        <w:rPr>
          <w:rFonts w:ascii="Arial" w:hAnsi="Arial" w:cs="Arial"/>
          <w:b/>
          <w:sz w:val="22"/>
          <w:szCs w:val="22"/>
        </w:rPr>
        <w:lastRenderedPageBreak/>
        <w:t xml:space="preserve">Category 3: </w:t>
      </w:r>
      <w:r w:rsidRPr="00A4745D">
        <w:rPr>
          <w:rFonts w:ascii="Arial" w:hAnsi="Arial" w:cs="Arial"/>
          <w:sz w:val="22"/>
          <w:szCs w:val="22"/>
        </w:rPr>
        <w:t xml:space="preserve">Other offenders.  </w:t>
      </w:r>
      <w:r w:rsidR="00D61922" w:rsidRPr="00A4745D">
        <w:rPr>
          <w:rFonts w:ascii="Arial" w:hAnsi="Arial" w:cs="Arial"/>
          <w:sz w:val="22"/>
          <w:szCs w:val="22"/>
        </w:rPr>
        <w:t>These are offenders who do not qualify under categories 1 or 2 but are considered by the referring agency to pose a</w:t>
      </w:r>
      <w:r w:rsidR="00CD0383" w:rsidRPr="00A4745D">
        <w:rPr>
          <w:rFonts w:ascii="Arial" w:hAnsi="Arial" w:cs="Arial"/>
          <w:sz w:val="22"/>
          <w:szCs w:val="22"/>
        </w:rPr>
        <w:t xml:space="preserve"> risk of serious harm that requires active inter-agency management</w:t>
      </w:r>
      <w:r w:rsidR="003721C8" w:rsidRPr="00A4745D">
        <w:rPr>
          <w:rFonts w:ascii="Arial" w:hAnsi="Arial" w:cs="Arial"/>
          <w:sz w:val="22"/>
          <w:szCs w:val="22"/>
        </w:rPr>
        <w:t xml:space="preserve"> at level 2 or 3 (see below)</w:t>
      </w:r>
      <w:r w:rsidR="00CD0383" w:rsidRPr="00A4745D">
        <w:rPr>
          <w:rFonts w:ascii="Arial" w:hAnsi="Arial" w:cs="Arial"/>
          <w:sz w:val="22"/>
          <w:szCs w:val="22"/>
        </w:rPr>
        <w:t>.</w:t>
      </w:r>
    </w:p>
    <w:p w:rsidR="00B35B34" w:rsidRPr="006224C0" w:rsidRDefault="00B35B34" w:rsidP="003520AF">
      <w:pPr>
        <w:rPr>
          <w:rFonts w:ascii="Arial" w:hAnsi="Arial" w:cs="Arial"/>
          <w:sz w:val="22"/>
          <w:szCs w:val="22"/>
        </w:rPr>
      </w:pPr>
    </w:p>
    <w:p w:rsidR="00B35B34" w:rsidRPr="006224C0" w:rsidRDefault="00B35B34" w:rsidP="003520AF">
      <w:pPr>
        <w:rPr>
          <w:rFonts w:ascii="Arial" w:hAnsi="Arial" w:cs="Arial"/>
          <w:sz w:val="22"/>
          <w:szCs w:val="22"/>
        </w:rPr>
      </w:pPr>
      <w:r w:rsidRPr="00057605">
        <w:rPr>
          <w:rFonts w:ascii="Arial" w:hAnsi="Arial" w:cs="Arial"/>
          <w:sz w:val="22"/>
          <w:szCs w:val="22"/>
        </w:rPr>
        <w:t>Category 4: Terrorist or terrorist risk offender. Those offenders convicted of a terrorist offence or of an offen</w:t>
      </w:r>
      <w:r w:rsidR="004B2AAC" w:rsidRPr="00057605">
        <w:rPr>
          <w:rFonts w:ascii="Arial" w:hAnsi="Arial" w:cs="Arial"/>
          <w:sz w:val="22"/>
          <w:szCs w:val="22"/>
        </w:rPr>
        <w:t xml:space="preserve">ce with a terrorist connection, and those offenders who have committed an offence and may be at risk of involvement in terrorism-related activity. Offenders in this category will be identified by Counter-Terrorism Police and the Probation Service National Security Division. </w:t>
      </w:r>
    </w:p>
    <w:p w:rsidR="003721C8" w:rsidRPr="00A4745D" w:rsidRDefault="003721C8" w:rsidP="003520AF">
      <w:pPr>
        <w:rPr>
          <w:rFonts w:ascii="Arial" w:hAnsi="Arial" w:cs="Arial"/>
          <w:sz w:val="22"/>
          <w:szCs w:val="22"/>
        </w:rPr>
      </w:pPr>
    </w:p>
    <w:p w:rsidR="003721C8" w:rsidRPr="00A4745D" w:rsidRDefault="003721C8" w:rsidP="003520AF">
      <w:pPr>
        <w:rPr>
          <w:rFonts w:ascii="Arial" w:hAnsi="Arial" w:cs="Arial"/>
          <w:sz w:val="22"/>
          <w:szCs w:val="22"/>
        </w:rPr>
      </w:pPr>
      <w:r w:rsidRPr="00A4745D">
        <w:rPr>
          <w:rFonts w:ascii="Arial" w:hAnsi="Arial" w:cs="Arial"/>
          <w:sz w:val="22"/>
          <w:szCs w:val="22"/>
        </w:rPr>
        <w:t>The MAPPA framework identifies three different levels at which offenders are managed, according to the resources needed to manage the risks they present.</w:t>
      </w:r>
    </w:p>
    <w:p w:rsidR="003721C8" w:rsidRPr="00A4745D" w:rsidRDefault="003721C8" w:rsidP="003520AF">
      <w:pPr>
        <w:rPr>
          <w:rFonts w:ascii="Arial" w:hAnsi="Arial" w:cs="Arial"/>
          <w:sz w:val="22"/>
          <w:szCs w:val="22"/>
        </w:rPr>
      </w:pPr>
    </w:p>
    <w:p w:rsidR="00FA1598" w:rsidRPr="00A4745D" w:rsidRDefault="003721C8" w:rsidP="003520AF">
      <w:pPr>
        <w:rPr>
          <w:rFonts w:ascii="Arial" w:hAnsi="Arial" w:cs="Arial"/>
          <w:sz w:val="22"/>
          <w:szCs w:val="22"/>
        </w:rPr>
      </w:pPr>
      <w:r w:rsidRPr="00A4745D">
        <w:rPr>
          <w:rFonts w:ascii="Arial" w:hAnsi="Arial" w:cs="Arial"/>
          <w:b/>
          <w:sz w:val="22"/>
          <w:szCs w:val="22"/>
        </w:rPr>
        <w:t xml:space="preserve">Level 1: </w:t>
      </w:r>
      <w:r w:rsidRPr="00A4745D">
        <w:rPr>
          <w:rFonts w:ascii="Arial" w:hAnsi="Arial" w:cs="Arial"/>
          <w:sz w:val="22"/>
          <w:szCs w:val="22"/>
        </w:rPr>
        <w:t>Ordinary agency management. Th</w:t>
      </w:r>
      <w:r w:rsidR="00FA1598" w:rsidRPr="00A4745D">
        <w:rPr>
          <w:rFonts w:ascii="Arial" w:hAnsi="Arial" w:cs="Arial"/>
          <w:sz w:val="22"/>
          <w:szCs w:val="22"/>
        </w:rPr>
        <w:t>is is where the risks posed by the offender can be managed by the agency responsible for the supervision or case management of the offender</w:t>
      </w:r>
      <w:r w:rsidR="00C225BD" w:rsidRPr="00A4745D">
        <w:rPr>
          <w:rFonts w:ascii="Arial" w:hAnsi="Arial" w:cs="Arial"/>
          <w:sz w:val="22"/>
          <w:szCs w:val="22"/>
        </w:rPr>
        <w:t xml:space="preserve"> (e.g. mental health services)</w:t>
      </w:r>
      <w:r w:rsidR="00FA1598" w:rsidRPr="00A4745D">
        <w:rPr>
          <w:rFonts w:ascii="Arial" w:hAnsi="Arial" w:cs="Arial"/>
          <w:sz w:val="22"/>
          <w:szCs w:val="22"/>
        </w:rPr>
        <w:t xml:space="preserve">.  This does not mean that other agencies will not be </w:t>
      </w:r>
      <w:r w:rsidR="00A95C18" w:rsidRPr="00A4745D">
        <w:rPr>
          <w:rFonts w:ascii="Arial" w:hAnsi="Arial" w:cs="Arial"/>
          <w:sz w:val="22"/>
          <w:szCs w:val="22"/>
        </w:rPr>
        <w:t>involved;</w:t>
      </w:r>
      <w:r w:rsidR="00FA1598" w:rsidRPr="00A4745D">
        <w:rPr>
          <w:rFonts w:ascii="Arial" w:hAnsi="Arial" w:cs="Arial"/>
          <w:sz w:val="22"/>
          <w:szCs w:val="22"/>
        </w:rPr>
        <w:t xml:space="preserve"> only that it is not considered necessary to actively manage through multi-agency meetings.  </w:t>
      </w:r>
      <w:r w:rsidR="007834F5" w:rsidRPr="00A4745D">
        <w:rPr>
          <w:rFonts w:ascii="Arial" w:hAnsi="Arial" w:cs="Arial"/>
          <w:sz w:val="22"/>
          <w:szCs w:val="22"/>
        </w:rPr>
        <w:t>The great majority of offenders are managed at this level.</w:t>
      </w:r>
    </w:p>
    <w:p w:rsidR="00FA1598" w:rsidRPr="00A4745D" w:rsidRDefault="00FA1598" w:rsidP="003520AF">
      <w:pPr>
        <w:rPr>
          <w:rFonts w:ascii="Arial" w:hAnsi="Arial" w:cs="Arial"/>
          <w:sz w:val="22"/>
          <w:szCs w:val="22"/>
        </w:rPr>
      </w:pPr>
    </w:p>
    <w:p w:rsidR="00E22A1D" w:rsidRPr="00A4745D" w:rsidRDefault="00E22A1D" w:rsidP="003520AF">
      <w:pPr>
        <w:rPr>
          <w:rFonts w:ascii="Arial" w:hAnsi="Arial" w:cs="Arial"/>
          <w:sz w:val="22"/>
          <w:szCs w:val="22"/>
        </w:rPr>
      </w:pPr>
      <w:r w:rsidRPr="00A4745D">
        <w:rPr>
          <w:rFonts w:ascii="Arial" w:hAnsi="Arial" w:cs="Arial"/>
          <w:b/>
          <w:sz w:val="22"/>
          <w:szCs w:val="22"/>
        </w:rPr>
        <w:t xml:space="preserve">Level 2: </w:t>
      </w:r>
      <w:r w:rsidRPr="00A4745D">
        <w:rPr>
          <w:rFonts w:ascii="Arial" w:hAnsi="Arial" w:cs="Arial"/>
          <w:sz w:val="22"/>
          <w:szCs w:val="22"/>
        </w:rPr>
        <w:t xml:space="preserve">Active multi-agency management. Risk management plans for these offenders require the active involvement of </w:t>
      </w:r>
      <w:r w:rsidR="00C225BD" w:rsidRPr="00A4745D">
        <w:rPr>
          <w:rFonts w:ascii="Arial" w:hAnsi="Arial" w:cs="Arial"/>
          <w:sz w:val="22"/>
          <w:szCs w:val="22"/>
        </w:rPr>
        <w:t>other agencies</w:t>
      </w:r>
      <w:r w:rsidRPr="00A4745D">
        <w:rPr>
          <w:rFonts w:ascii="Arial" w:hAnsi="Arial" w:cs="Arial"/>
          <w:sz w:val="22"/>
          <w:szCs w:val="22"/>
        </w:rPr>
        <w:t xml:space="preserve"> via multi-agency public protection meetings.  </w:t>
      </w:r>
    </w:p>
    <w:p w:rsidR="00E22A1D" w:rsidRPr="00A4745D" w:rsidRDefault="00E22A1D" w:rsidP="003520AF">
      <w:pPr>
        <w:rPr>
          <w:rFonts w:ascii="Arial" w:hAnsi="Arial" w:cs="Arial"/>
          <w:sz w:val="22"/>
          <w:szCs w:val="22"/>
        </w:rPr>
      </w:pPr>
    </w:p>
    <w:p w:rsidR="00E22A1D" w:rsidRPr="00A4745D" w:rsidRDefault="00E22A1D" w:rsidP="003520AF">
      <w:pPr>
        <w:rPr>
          <w:rFonts w:ascii="Arial" w:hAnsi="Arial" w:cs="Arial"/>
          <w:sz w:val="22"/>
          <w:szCs w:val="22"/>
        </w:rPr>
      </w:pPr>
      <w:r w:rsidRPr="00A4745D">
        <w:rPr>
          <w:rFonts w:ascii="Arial" w:hAnsi="Arial" w:cs="Arial"/>
          <w:b/>
          <w:sz w:val="22"/>
          <w:szCs w:val="22"/>
        </w:rPr>
        <w:t xml:space="preserve">Level 3: </w:t>
      </w:r>
      <w:r w:rsidR="00C77233" w:rsidRPr="00A4745D">
        <w:rPr>
          <w:rFonts w:ascii="Arial" w:hAnsi="Arial" w:cs="Arial"/>
          <w:sz w:val="22"/>
          <w:szCs w:val="22"/>
        </w:rPr>
        <w:t xml:space="preserve">Active enhanced multi-agency management.  As for level 2, but in addition these cases require the involvement of senior officers from the relevant agencies in order to be able to commit significant resources at short notice </w:t>
      </w:r>
      <w:r w:rsidR="00552880" w:rsidRPr="00A4745D">
        <w:rPr>
          <w:rFonts w:ascii="Arial" w:hAnsi="Arial" w:cs="Arial"/>
          <w:sz w:val="22"/>
          <w:szCs w:val="22"/>
        </w:rPr>
        <w:t>and/or where there are significant media issues and/or public interest in the case.</w:t>
      </w:r>
    </w:p>
    <w:p w:rsidR="00552880" w:rsidRPr="00A4745D" w:rsidRDefault="00552880" w:rsidP="003520AF">
      <w:pPr>
        <w:rPr>
          <w:rFonts w:ascii="Arial" w:hAnsi="Arial" w:cs="Arial"/>
          <w:sz w:val="22"/>
          <w:szCs w:val="22"/>
        </w:rPr>
      </w:pPr>
    </w:p>
    <w:p w:rsidR="00976610" w:rsidRPr="00A4745D" w:rsidRDefault="00976610" w:rsidP="003520AF">
      <w:pPr>
        <w:rPr>
          <w:rFonts w:ascii="Arial" w:hAnsi="Arial" w:cs="Arial"/>
          <w:sz w:val="22"/>
          <w:szCs w:val="22"/>
        </w:rPr>
      </w:pPr>
    </w:p>
    <w:p w:rsidR="00552880" w:rsidRPr="00A4745D" w:rsidRDefault="00360581" w:rsidP="00FE5BEA">
      <w:pPr>
        <w:pStyle w:val="ListParagraph"/>
        <w:numPr>
          <w:ilvl w:val="0"/>
          <w:numId w:val="5"/>
        </w:numPr>
        <w:rPr>
          <w:rFonts w:ascii="Arial" w:hAnsi="Arial" w:cs="Arial"/>
          <w:b/>
          <w:sz w:val="22"/>
          <w:szCs w:val="22"/>
        </w:rPr>
      </w:pPr>
      <w:r w:rsidRPr="00A4745D">
        <w:rPr>
          <w:rFonts w:ascii="Arial" w:hAnsi="Arial" w:cs="Arial"/>
          <w:b/>
          <w:sz w:val="22"/>
          <w:szCs w:val="22"/>
        </w:rPr>
        <w:t>Identification of Mental Health Cases under MAPPA</w:t>
      </w:r>
    </w:p>
    <w:p w:rsidR="00360581" w:rsidRPr="00A4745D" w:rsidRDefault="00360581" w:rsidP="003520AF">
      <w:pPr>
        <w:rPr>
          <w:rFonts w:ascii="Arial" w:hAnsi="Arial" w:cs="Arial"/>
          <w:b/>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Mental Health Trusts act as the lead agency under MAPPA for patients who are detained in hospital under a Hospital Order (s.37 Mental Health Act 1983) with or without a Restriction Order (s.41 MHA 1983) and for those who remain in hospital as a “notional s37” after their custodial sentence has expired.  These patients remain subject to MAPPA</w:t>
      </w:r>
      <w:r w:rsidR="006B0058" w:rsidRPr="00A4745D">
        <w:rPr>
          <w:rFonts w:ascii="Arial" w:hAnsi="Arial" w:cs="Arial"/>
          <w:sz w:val="22"/>
          <w:szCs w:val="22"/>
        </w:rPr>
        <w:t>, and the Trust continues to act as lead agency,</w:t>
      </w:r>
      <w:r w:rsidRPr="00A4745D">
        <w:rPr>
          <w:rFonts w:ascii="Arial" w:hAnsi="Arial" w:cs="Arial"/>
          <w:sz w:val="22"/>
          <w:szCs w:val="22"/>
        </w:rPr>
        <w:t xml:space="preserve"> until they are absolutely discharged from a Restriction Order or any Community Treatment Order ends. </w:t>
      </w:r>
    </w:p>
    <w:p w:rsidR="00360581" w:rsidRPr="00A4745D" w:rsidRDefault="00360581" w:rsidP="00360581">
      <w:pPr>
        <w:rPr>
          <w:rFonts w:ascii="Arial" w:hAnsi="Arial" w:cs="Arial"/>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 xml:space="preserve">The National Probation Service (NPS) or Youth Offending Team acts as the lead agency for patients detained in hospital under a Hospital and Limitation Direction (s.45A MHA 1983) or a Transfer Direction (s.47 MHA 1983) with or without a Restriction Order (s.49 MHA 1983).  Although the Trust is not the lead agency for these patients, it is necessary for the Trust to co-operate with the NPS and other agencies to facilitate public safety.  </w:t>
      </w:r>
    </w:p>
    <w:p w:rsidR="00360581" w:rsidRPr="00A4745D" w:rsidRDefault="00360581" w:rsidP="00360581">
      <w:pPr>
        <w:rPr>
          <w:rFonts w:ascii="Arial" w:hAnsi="Arial" w:cs="Arial"/>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 xml:space="preserve">Existing MAPPA offenders may also be admitted to hospital through a civil route.  These patients will continue to be managed by the lead agency that had responsibility for them before admission.  </w:t>
      </w:r>
    </w:p>
    <w:p w:rsidR="00360581" w:rsidRPr="00A4745D" w:rsidRDefault="00360581" w:rsidP="003520AF">
      <w:pPr>
        <w:rPr>
          <w:rFonts w:ascii="Arial" w:hAnsi="Arial" w:cs="Arial"/>
          <w:sz w:val="22"/>
          <w:szCs w:val="22"/>
        </w:rPr>
      </w:pPr>
    </w:p>
    <w:p w:rsidR="00976610" w:rsidRPr="00A4745D" w:rsidRDefault="00976610" w:rsidP="003520AF">
      <w:pPr>
        <w:rPr>
          <w:rFonts w:ascii="Arial" w:hAnsi="Arial" w:cs="Arial"/>
          <w:sz w:val="22"/>
          <w:szCs w:val="22"/>
        </w:rPr>
      </w:pPr>
    </w:p>
    <w:p w:rsidR="00EC6ABB" w:rsidRPr="00A4745D" w:rsidRDefault="00EC6ABB" w:rsidP="00FE5BEA">
      <w:pPr>
        <w:pStyle w:val="ListParagraph"/>
        <w:numPr>
          <w:ilvl w:val="0"/>
          <w:numId w:val="5"/>
        </w:numPr>
        <w:rPr>
          <w:rFonts w:ascii="Arial" w:hAnsi="Arial" w:cs="Arial"/>
          <w:b/>
          <w:sz w:val="22"/>
          <w:szCs w:val="22"/>
        </w:rPr>
      </w:pPr>
      <w:r w:rsidRPr="00A4745D">
        <w:rPr>
          <w:rFonts w:ascii="Arial" w:hAnsi="Arial" w:cs="Arial"/>
          <w:b/>
          <w:sz w:val="22"/>
          <w:szCs w:val="22"/>
        </w:rPr>
        <w:t>Role of NHS Trusts within MAPPA</w:t>
      </w:r>
    </w:p>
    <w:p w:rsidR="00EC6ABB" w:rsidRPr="00A4745D" w:rsidRDefault="00EC6ABB" w:rsidP="00EC6ABB">
      <w:pPr>
        <w:rPr>
          <w:rFonts w:ascii="Arial" w:hAnsi="Arial" w:cs="Arial"/>
          <w:b/>
          <w:sz w:val="22"/>
          <w:szCs w:val="22"/>
        </w:rPr>
      </w:pPr>
    </w:p>
    <w:p w:rsidR="00EC6ABB" w:rsidRPr="00A4745D" w:rsidRDefault="00EC6ABB" w:rsidP="00EC6ABB">
      <w:pPr>
        <w:rPr>
          <w:rFonts w:ascii="Arial" w:hAnsi="Arial" w:cs="Arial"/>
          <w:sz w:val="22"/>
          <w:szCs w:val="22"/>
        </w:rPr>
      </w:pPr>
      <w:r w:rsidRPr="00A4745D">
        <w:rPr>
          <w:rFonts w:ascii="Arial" w:hAnsi="Arial" w:cs="Arial"/>
          <w:sz w:val="22"/>
          <w:szCs w:val="22"/>
        </w:rPr>
        <w:t xml:space="preserve">The role of NHS </w:t>
      </w:r>
      <w:r w:rsidR="0022154F" w:rsidRPr="00A4745D">
        <w:rPr>
          <w:rFonts w:ascii="Arial" w:hAnsi="Arial" w:cs="Arial"/>
          <w:sz w:val="22"/>
          <w:szCs w:val="22"/>
        </w:rPr>
        <w:t xml:space="preserve">mental health </w:t>
      </w:r>
      <w:r w:rsidRPr="00A4745D">
        <w:rPr>
          <w:rFonts w:ascii="Arial" w:hAnsi="Arial" w:cs="Arial"/>
          <w:sz w:val="22"/>
          <w:szCs w:val="22"/>
        </w:rPr>
        <w:t>Trusts is outlined in Chapter 26 of the Statutory MAPPA Guidan</w:t>
      </w:r>
      <w:r w:rsidR="004A20CC" w:rsidRPr="00A4745D">
        <w:rPr>
          <w:rFonts w:ascii="Arial" w:hAnsi="Arial" w:cs="Arial"/>
          <w:sz w:val="22"/>
          <w:szCs w:val="22"/>
        </w:rPr>
        <w:t>ce, which was updated in 20</w:t>
      </w:r>
      <w:r w:rsidR="003770F4">
        <w:rPr>
          <w:rFonts w:ascii="Arial" w:hAnsi="Arial" w:cs="Arial"/>
          <w:sz w:val="22"/>
          <w:szCs w:val="22"/>
        </w:rPr>
        <w:t>22</w:t>
      </w:r>
      <w:r w:rsidR="004A20CC" w:rsidRPr="00A4745D">
        <w:rPr>
          <w:rFonts w:ascii="Arial" w:hAnsi="Arial" w:cs="Arial"/>
          <w:sz w:val="22"/>
          <w:szCs w:val="22"/>
        </w:rPr>
        <w:t xml:space="preserve"> and can be found </w:t>
      </w:r>
      <w:r w:rsidR="003770F4">
        <w:rPr>
          <w:rFonts w:ascii="Arial" w:hAnsi="Arial" w:cs="Arial"/>
          <w:sz w:val="22"/>
          <w:szCs w:val="22"/>
        </w:rPr>
        <w:t xml:space="preserve">on the national MAPPA website </w:t>
      </w:r>
      <w:r w:rsidR="004A20CC" w:rsidRPr="00A4745D">
        <w:rPr>
          <w:rFonts w:ascii="Arial" w:hAnsi="Arial" w:cs="Arial"/>
          <w:sz w:val="22"/>
          <w:szCs w:val="22"/>
        </w:rPr>
        <w:t xml:space="preserve">at </w:t>
      </w:r>
      <w:hyperlink r:id="rId9" w:history="1">
        <w:r w:rsidR="004A20CC" w:rsidRPr="00A4745D">
          <w:rPr>
            <w:rStyle w:val="Hyperlink"/>
            <w:rFonts w:ascii="Arial" w:hAnsi="Arial" w:cs="Arial"/>
            <w:sz w:val="22"/>
            <w:szCs w:val="22"/>
          </w:rPr>
          <w:t>www.mappa.justice.gov.uk</w:t>
        </w:r>
      </w:hyperlink>
      <w:r w:rsidR="004A20CC" w:rsidRPr="00A4745D">
        <w:rPr>
          <w:rFonts w:ascii="Arial" w:hAnsi="Arial" w:cs="Arial"/>
          <w:sz w:val="22"/>
          <w:szCs w:val="22"/>
        </w:rPr>
        <w:t xml:space="preserve">.  </w:t>
      </w:r>
      <w:r w:rsidRPr="00A4745D">
        <w:rPr>
          <w:rFonts w:ascii="Arial" w:hAnsi="Arial" w:cs="Arial"/>
          <w:sz w:val="22"/>
          <w:szCs w:val="22"/>
        </w:rPr>
        <w:t>Th</w:t>
      </w:r>
      <w:r w:rsidR="00FE5BEA" w:rsidRPr="00A4745D">
        <w:rPr>
          <w:rFonts w:ascii="Arial" w:hAnsi="Arial" w:cs="Arial"/>
          <w:sz w:val="22"/>
          <w:szCs w:val="22"/>
        </w:rPr>
        <w:t>is</w:t>
      </w:r>
      <w:r w:rsidR="004A20CC" w:rsidRPr="00A4745D">
        <w:rPr>
          <w:rFonts w:ascii="Arial" w:hAnsi="Arial" w:cs="Arial"/>
          <w:sz w:val="22"/>
          <w:szCs w:val="22"/>
        </w:rPr>
        <w:t xml:space="preserve"> role</w:t>
      </w:r>
      <w:r w:rsidRPr="00A4745D">
        <w:rPr>
          <w:rFonts w:ascii="Arial" w:hAnsi="Arial" w:cs="Arial"/>
          <w:sz w:val="22"/>
          <w:szCs w:val="22"/>
        </w:rPr>
        <w:t xml:space="preserve"> includes:</w:t>
      </w:r>
    </w:p>
    <w:p w:rsidR="00EC6ABB" w:rsidRPr="00A4745D" w:rsidRDefault="00EC6ABB" w:rsidP="00EC6ABB">
      <w:pPr>
        <w:rPr>
          <w:rFonts w:ascii="Arial" w:hAnsi="Arial" w:cs="Arial"/>
          <w:sz w:val="22"/>
          <w:szCs w:val="22"/>
        </w:rPr>
      </w:pPr>
    </w:p>
    <w:p w:rsidR="00FE5BEA" w:rsidRPr="00A4745D" w:rsidRDefault="00A95C18" w:rsidP="00FE5BEA">
      <w:pPr>
        <w:ind w:left="360"/>
        <w:rPr>
          <w:rFonts w:ascii="Arial" w:hAnsi="Arial" w:cs="Arial"/>
          <w:sz w:val="22"/>
          <w:szCs w:val="22"/>
        </w:rPr>
      </w:pPr>
      <w:r w:rsidRPr="00A4745D">
        <w:rPr>
          <w:rFonts w:ascii="Arial" w:hAnsi="Arial" w:cs="Arial"/>
          <w:sz w:val="22"/>
          <w:szCs w:val="22"/>
        </w:rPr>
        <w:lastRenderedPageBreak/>
        <w:t>6</w:t>
      </w:r>
      <w:r w:rsidR="00FE5BEA" w:rsidRPr="00A4745D">
        <w:rPr>
          <w:rFonts w:ascii="Arial" w:hAnsi="Arial" w:cs="Arial"/>
          <w:sz w:val="22"/>
          <w:szCs w:val="22"/>
        </w:rPr>
        <w:t xml:space="preserve">.1 </w:t>
      </w:r>
      <w:r w:rsidR="00EC6ABB" w:rsidRPr="00A4745D">
        <w:rPr>
          <w:rFonts w:ascii="Arial" w:hAnsi="Arial" w:cs="Arial"/>
          <w:sz w:val="22"/>
          <w:szCs w:val="22"/>
        </w:rPr>
        <w:t>Identifying patients subject to MAPPA within three days of admission to hospital via a criminal justice route.</w:t>
      </w:r>
      <w:r w:rsidR="00FE5BEA" w:rsidRPr="00A4745D">
        <w:rPr>
          <w:rFonts w:ascii="Arial" w:hAnsi="Arial" w:cs="Arial"/>
          <w:sz w:val="22"/>
          <w:szCs w:val="22"/>
        </w:rPr>
        <w:t xml:space="preserve">  There is no expectation that NHS staff check whether patients admitted through a civil route (i.e. sections 2 or 3 of the Mental Health Act) are subject to MAPPA, unless staff are made aware of the fact or the patient’s behaviour gives cause for concern.  </w:t>
      </w:r>
    </w:p>
    <w:p w:rsidR="00FE5BEA" w:rsidRPr="00A4745D" w:rsidRDefault="00FE5BEA" w:rsidP="00FE5BEA">
      <w:pPr>
        <w:ind w:left="360"/>
        <w:rPr>
          <w:rFonts w:ascii="Arial" w:hAnsi="Arial" w:cs="Arial"/>
          <w:sz w:val="22"/>
          <w:szCs w:val="22"/>
        </w:rPr>
      </w:pPr>
    </w:p>
    <w:p w:rsidR="00EC6ABB" w:rsidRPr="00A4745D" w:rsidRDefault="00A95C18" w:rsidP="00FE5BEA">
      <w:pPr>
        <w:ind w:left="360"/>
        <w:rPr>
          <w:rFonts w:ascii="Arial" w:hAnsi="Arial" w:cs="Arial"/>
          <w:sz w:val="22"/>
          <w:szCs w:val="22"/>
        </w:rPr>
      </w:pPr>
      <w:r w:rsidRPr="00A4745D">
        <w:rPr>
          <w:rFonts w:ascii="Arial" w:hAnsi="Arial" w:cs="Arial"/>
          <w:sz w:val="22"/>
          <w:szCs w:val="22"/>
        </w:rPr>
        <w:t>6</w:t>
      </w:r>
      <w:r w:rsidR="00FE5BEA" w:rsidRPr="00A4745D">
        <w:rPr>
          <w:rFonts w:ascii="Arial" w:hAnsi="Arial" w:cs="Arial"/>
          <w:sz w:val="22"/>
          <w:szCs w:val="22"/>
        </w:rPr>
        <w:t xml:space="preserve">.2 </w:t>
      </w:r>
      <w:r w:rsidR="00EC6ABB" w:rsidRPr="00A4745D">
        <w:rPr>
          <w:rFonts w:ascii="Arial" w:hAnsi="Arial" w:cs="Arial"/>
          <w:sz w:val="22"/>
          <w:szCs w:val="22"/>
        </w:rPr>
        <w:t>Notifying th</w:t>
      </w:r>
      <w:r w:rsidR="00D52ED8" w:rsidRPr="00A4745D">
        <w:rPr>
          <w:rFonts w:ascii="Arial" w:hAnsi="Arial" w:cs="Arial"/>
          <w:sz w:val="22"/>
          <w:szCs w:val="22"/>
        </w:rPr>
        <w:t xml:space="preserve">e relevant MAPPA administrator </w:t>
      </w:r>
      <w:r w:rsidR="00EC6ABB" w:rsidRPr="00A4745D">
        <w:rPr>
          <w:rFonts w:ascii="Arial" w:hAnsi="Arial" w:cs="Arial"/>
          <w:sz w:val="22"/>
          <w:szCs w:val="22"/>
        </w:rPr>
        <w:t xml:space="preserve">(for the patient’s home address) at various points using the MAPPA I form </w:t>
      </w:r>
      <w:r w:rsidR="00CF7588" w:rsidRPr="00A4745D">
        <w:rPr>
          <w:rFonts w:ascii="Arial" w:hAnsi="Arial" w:cs="Arial"/>
          <w:sz w:val="22"/>
          <w:szCs w:val="22"/>
        </w:rPr>
        <w:t>(</w:t>
      </w:r>
      <w:r w:rsidR="007E59FC">
        <w:rPr>
          <w:rFonts w:ascii="Arial" w:hAnsi="Arial" w:cs="Arial"/>
          <w:sz w:val="22"/>
          <w:szCs w:val="22"/>
        </w:rPr>
        <w:t>all MAPPA forms can be found on the MAPPA website</w:t>
      </w:r>
      <w:r w:rsidR="00CF7588" w:rsidRPr="00A4745D">
        <w:rPr>
          <w:rFonts w:ascii="Arial" w:hAnsi="Arial" w:cs="Arial"/>
          <w:sz w:val="22"/>
          <w:szCs w:val="22"/>
        </w:rPr>
        <w:t>)</w:t>
      </w:r>
      <w:r w:rsidR="001E01A1" w:rsidRPr="00A4745D">
        <w:rPr>
          <w:rFonts w:ascii="Arial" w:hAnsi="Arial" w:cs="Arial"/>
          <w:sz w:val="22"/>
          <w:szCs w:val="22"/>
        </w:rPr>
        <w:t>.</w:t>
      </w:r>
      <w:r w:rsidR="00242D8A">
        <w:rPr>
          <w:rFonts w:ascii="Arial" w:hAnsi="Arial" w:cs="Arial"/>
          <w:color w:val="FF0000"/>
          <w:sz w:val="22"/>
          <w:szCs w:val="22"/>
        </w:rPr>
        <w:t xml:space="preserve"> </w:t>
      </w:r>
      <w:r w:rsidR="000E300C" w:rsidRPr="00A4745D">
        <w:rPr>
          <w:rFonts w:ascii="Arial" w:hAnsi="Arial" w:cs="Arial"/>
          <w:color w:val="000000" w:themeColor="text1"/>
          <w:sz w:val="22"/>
          <w:szCs w:val="22"/>
        </w:rPr>
        <w:t xml:space="preserve">These points </w:t>
      </w:r>
      <w:r w:rsidR="00EC6ABB" w:rsidRPr="00A4745D">
        <w:rPr>
          <w:rFonts w:ascii="Arial" w:hAnsi="Arial" w:cs="Arial"/>
          <w:color w:val="000000" w:themeColor="text1"/>
          <w:sz w:val="22"/>
          <w:szCs w:val="22"/>
        </w:rPr>
        <w:t>includ</w:t>
      </w:r>
      <w:r w:rsidR="000E300C" w:rsidRPr="00A4745D">
        <w:rPr>
          <w:rFonts w:ascii="Arial" w:hAnsi="Arial" w:cs="Arial"/>
          <w:color w:val="000000" w:themeColor="text1"/>
          <w:sz w:val="22"/>
          <w:szCs w:val="22"/>
        </w:rPr>
        <w:t>e</w:t>
      </w:r>
      <w:r w:rsidR="00EC6ABB" w:rsidRPr="00A4745D">
        <w:rPr>
          <w:rFonts w:ascii="Arial" w:hAnsi="Arial" w:cs="Arial"/>
          <w:color w:val="000000" w:themeColor="text1"/>
          <w:sz w:val="22"/>
          <w:szCs w:val="22"/>
        </w:rPr>
        <w:t xml:space="preserve"> admission, first unescorted leave, discharge and exit from MAPPA.</w:t>
      </w:r>
      <w:r w:rsidR="000E300C" w:rsidRPr="00A4745D">
        <w:rPr>
          <w:rFonts w:ascii="Arial" w:hAnsi="Arial" w:cs="Arial"/>
          <w:color w:val="000000" w:themeColor="text1"/>
          <w:sz w:val="22"/>
          <w:szCs w:val="22"/>
        </w:rPr>
        <w:t xml:space="preserve"> In addition, it may be appropriate to complete the MAPPA I at first escorted leave if there is an identified risk of absconding</w:t>
      </w:r>
      <w:r w:rsidR="00726420">
        <w:rPr>
          <w:rFonts w:ascii="Arial" w:hAnsi="Arial" w:cs="Arial"/>
          <w:color w:val="000000" w:themeColor="text1"/>
          <w:sz w:val="22"/>
          <w:szCs w:val="22"/>
        </w:rPr>
        <w:t>.  T</w:t>
      </w:r>
      <w:r w:rsidR="00954612">
        <w:rPr>
          <w:rFonts w:ascii="Arial" w:hAnsi="Arial" w:cs="Arial"/>
          <w:color w:val="000000" w:themeColor="text1"/>
          <w:sz w:val="22"/>
          <w:szCs w:val="22"/>
        </w:rPr>
        <w:t xml:space="preserve">he Ministry of Justice Mental Health Casework Section </w:t>
      </w:r>
      <w:r w:rsidR="00726420">
        <w:rPr>
          <w:rFonts w:ascii="Arial" w:hAnsi="Arial" w:cs="Arial"/>
          <w:color w:val="000000" w:themeColor="text1"/>
          <w:sz w:val="22"/>
          <w:szCs w:val="22"/>
        </w:rPr>
        <w:t xml:space="preserve">has an additional expectation </w:t>
      </w:r>
      <w:r w:rsidR="00954612" w:rsidRPr="00954612">
        <w:rPr>
          <w:rFonts w:ascii="Arial" w:hAnsi="Arial" w:cs="Arial"/>
          <w:color w:val="000000" w:themeColor="text1"/>
          <w:sz w:val="22"/>
          <w:szCs w:val="22"/>
        </w:rPr>
        <w:t xml:space="preserve">that the MDT will inform the MAPPA </w:t>
      </w:r>
      <w:r w:rsidR="00726420">
        <w:rPr>
          <w:rFonts w:ascii="Arial" w:hAnsi="Arial" w:cs="Arial"/>
          <w:color w:val="000000" w:themeColor="text1"/>
          <w:sz w:val="22"/>
          <w:szCs w:val="22"/>
        </w:rPr>
        <w:t xml:space="preserve">administrator </w:t>
      </w:r>
      <w:r w:rsidR="00954612" w:rsidRPr="00954612">
        <w:rPr>
          <w:rFonts w:ascii="Arial" w:hAnsi="Arial" w:cs="Arial"/>
          <w:color w:val="000000" w:themeColor="text1"/>
          <w:sz w:val="22"/>
          <w:szCs w:val="22"/>
        </w:rPr>
        <w:t xml:space="preserve">when </w:t>
      </w:r>
      <w:r w:rsidR="00726420">
        <w:rPr>
          <w:rFonts w:ascii="Arial" w:hAnsi="Arial" w:cs="Arial"/>
          <w:color w:val="000000" w:themeColor="text1"/>
          <w:sz w:val="22"/>
          <w:szCs w:val="22"/>
        </w:rPr>
        <w:t xml:space="preserve">it intends </w:t>
      </w:r>
      <w:r w:rsidR="00954612" w:rsidRPr="00954612">
        <w:rPr>
          <w:rFonts w:ascii="Arial" w:hAnsi="Arial" w:cs="Arial"/>
          <w:color w:val="000000" w:themeColor="text1"/>
          <w:sz w:val="22"/>
          <w:szCs w:val="22"/>
        </w:rPr>
        <w:t xml:space="preserve">to submit an application to MHCS for </w:t>
      </w:r>
      <w:r w:rsidR="00726420">
        <w:rPr>
          <w:rFonts w:ascii="Arial" w:hAnsi="Arial" w:cs="Arial"/>
          <w:color w:val="000000" w:themeColor="text1"/>
          <w:sz w:val="22"/>
          <w:szCs w:val="22"/>
        </w:rPr>
        <w:t xml:space="preserve">any </w:t>
      </w:r>
      <w:r w:rsidR="00954612" w:rsidRPr="00954612">
        <w:rPr>
          <w:rFonts w:ascii="Arial" w:hAnsi="Arial" w:cs="Arial"/>
          <w:color w:val="000000" w:themeColor="text1"/>
          <w:sz w:val="22"/>
          <w:szCs w:val="22"/>
        </w:rPr>
        <w:t>community leave</w:t>
      </w:r>
      <w:r w:rsidR="009D0541">
        <w:rPr>
          <w:rFonts w:ascii="Arial" w:hAnsi="Arial" w:cs="Arial"/>
          <w:color w:val="000000" w:themeColor="text1"/>
          <w:sz w:val="22"/>
          <w:szCs w:val="22"/>
        </w:rPr>
        <w:t xml:space="preserve"> (see Associated Documentation below)</w:t>
      </w:r>
      <w:r w:rsidR="00FE5BEA" w:rsidRPr="00A4745D">
        <w:rPr>
          <w:rFonts w:ascii="Arial" w:hAnsi="Arial" w:cs="Arial"/>
          <w:color w:val="000000" w:themeColor="text1"/>
          <w:sz w:val="22"/>
          <w:szCs w:val="22"/>
        </w:rPr>
        <w:t xml:space="preserve"> </w:t>
      </w:r>
    </w:p>
    <w:p w:rsidR="00FE5BEA" w:rsidRPr="00A4745D" w:rsidRDefault="00FE5BEA" w:rsidP="00FE5BEA">
      <w:pPr>
        <w:ind w:left="360"/>
        <w:rPr>
          <w:rFonts w:ascii="Arial" w:hAnsi="Arial" w:cs="Arial"/>
          <w:color w:val="000000" w:themeColor="text1"/>
          <w:sz w:val="22"/>
          <w:szCs w:val="22"/>
        </w:rPr>
      </w:pPr>
    </w:p>
    <w:p w:rsidR="00C70C29" w:rsidRPr="00A4745D" w:rsidRDefault="00A95C18" w:rsidP="00C70C29">
      <w:pPr>
        <w:ind w:left="360"/>
        <w:rPr>
          <w:rFonts w:ascii="Arial" w:hAnsi="Arial" w:cs="Arial"/>
          <w:sz w:val="22"/>
          <w:szCs w:val="22"/>
        </w:rPr>
      </w:pPr>
      <w:r w:rsidRPr="00A4745D">
        <w:rPr>
          <w:rFonts w:ascii="Arial" w:hAnsi="Arial" w:cs="Arial"/>
          <w:color w:val="000000" w:themeColor="text1"/>
          <w:sz w:val="22"/>
          <w:szCs w:val="22"/>
        </w:rPr>
        <w:t>6</w:t>
      </w:r>
      <w:r w:rsidR="00FE5BEA" w:rsidRPr="00A4745D">
        <w:rPr>
          <w:rFonts w:ascii="Arial" w:hAnsi="Arial" w:cs="Arial"/>
          <w:color w:val="000000" w:themeColor="text1"/>
          <w:sz w:val="22"/>
          <w:szCs w:val="22"/>
        </w:rPr>
        <w:t xml:space="preserve">.3 </w:t>
      </w:r>
      <w:r w:rsidR="004A20CC" w:rsidRPr="00A4745D">
        <w:rPr>
          <w:rFonts w:ascii="Arial" w:hAnsi="Arial" w:cs="Arial"/>
          <w:color w:val="000000" w:themeColor="text1"/>
          <w:sz w:val="22"/>
          <w:szCs w:val="22"/>
        </w:rPr>
        <w:t>R</w:t>
      </w:r>
      <w:r w:rsidR="00EC6ABB" w:rsidRPr="00A4745D">
        <w:rPr>
          <w:rFonts w:ascii="Arial" w:hAnsi="Arial" w:cs="Arial"/>
          <w:color w:val="000000" w:themeColor="text1"/>
          <w:sz w:val="22"/>
          <w:szCs w:val="22"/>
        </w:rPr>
        <w:t>eferring patients to Level 2 or 3 MAPPA meeting</w:t>
      </w:r>
      <w:r w:rsidR="000E300C" w:rsidRPr="00A4745D">
        <w:rPr>
          <w:rFonts w:ascii="Arial" w:hAnsi="Arial" w:cs="Arial"/>
          <w:color w:val="000000" w:themeColor="text1"/>
          <w:sz w:val="22"/>
          <w:szCs w:val="22"/>
        </w:rPr>
        <w:t xml:space="preserve">s. </w:t>
      </w:r>
      <w:r w:rsidR="00F74852" w:rsidRPr="00A4745D">
        <w:rPr>
          <w:rFonts w:ascii="Arial" w:hAnsi="Arial" w:cs="Arial"/>
          <w:color w:val="000000" w:themeColor="text1"/>
          <w:sz w:val="22"/>
          <w:szCs w:val="22"/>
        </w:rPr>
        <w:t xml:space="preserve">When planning first unescorted leave or when discharge plans are being made, the CPA meeting should consider the appropriate level of MAPPA management. </w:t>
      </w:r>
      <w:r w:rsidR="00D52ED8" w:rsidRPr="00A4745D">
        <w:rPr>
          <w:rFonts w:ascii="Arial" w:hAnsi="Arial" w:cs="Arial"/>
          <w:color w:val="000000" w:themeColor="text1"/>
          <w:sz w:val="22"/>
          <w:szCs w:val="22"/>
        </w:rPr>
        <w:t xml:space="preserve">The MAPPA Q screening form should be used for this purpose.  </w:t>
      </w:r>
      <w:r w:rsidR="00F74852" w:rsidRPr="00A4745D">
        <w:rPr>
          <w:rFonts w:ascii="Arial" w:hAnsi="Arial" w:cs="Arial"/>
          <w:color w:val="000000" w:themeColor="text1"/>
          <w:sz w:val="22"/>
          <w:szCs w:val="22"/>
        </w:rPr>
        <w:t xml:space="preserve">If MAPPA management at level 2 or 3 is believed to be required, a formal referral </w:t>
      </w:r>
      <w:r w:rsidR="00F74852" w:rsidRPr="00A4745D">
        <w:rPr>
          <w:rFonts w:ascii="Arial" w:hAnsi="Arial" w:cs="Arial"/>
          <w:b/>
          <w:color w:val="000000" w:themeColor="text1"/>
          <w:sz w:val="22"/>
          <w:szCs w:val="22"/>
        </w:rPr>
        <w:t xml:space="preserve">must </w:t>
      </w:r>
      <w:r w:rsidR="00F74852" w:rsidRPr="00A4745D">
        <w:rPr>
          <w:rFonts w:ascii="Arial" w:hAnsi="Arial" w:cs="Arial"/>
          <w:color w:val="000000" w:themeColor="text1"/>
          <w:sz w:val="22"/>
          <w:szCs w:val="22"/>
        </w:rPr>
        <w:t>be made</w:t>
      </w:r>
      <w:r w:rsidR="00632E47">
        <w:rPr>
          <w:rFonts w:ascii="Arial" w:hAnsi="Arial" w:cs="Arial"/>
          <w:color w:val="000000" w:themeColor="text1"/>
          <w:sz w:val="22"/>
          <w:szCs w:val="22"/>
        </w:rPr>
        <w:t xml:space="preserve">. </w:t>
      </w:r>
      <w:r w:rsidR="00D52ED8" w:rsidRPr="00A4745D">
        <w:rPr>
          <w:rFonts w:ascii="Arial" w:hAnsi="Arial" w:cs="Arial"/>
          <w:color w:val="000000" w:themeColor="text1"/>
          <w:sz w:val="22"/>
          <w:szCs w:val="22"/>
        </w:rPr>
        <w:t>, using the MAPPA A form</w:t>
      </w:r>
      <w:r w:rsidR="000E06EA">
        <w:rPr>
          <w:rFonts w:ascii="Arial" w:hAnsi="Arial" w:cs="Arial"/>
          <w:color w:val="000000" w:themeColor="text1"/>
          <w:sz w:val="22"/>
          <w:szCs w:val="22"/>
        </w:rPr>
        <w:t>. I</w:t>
      </w:r>
      <w:r w:rsidR="000C5406">
        <w:rPr>
          <w:rFonts w:ascii="Arial" w:hAnsi="Arial" w:cs="Arial"/>
          <w:color w:val="000000" w:themeColor="text1"/>
          <w:sz w:val="22"/>
          <w:szCs w:val="22"/>
        </w:rPr>
        <w:t>n London the MAPPA A/B form is used. This can be found on the MAPPA website on the ‘Variant Documents’</w:t>
      </w:r>
      <w:r w:rsidR="00436003">
        <w:rPr>
          <w:rFonts w:ascii="Arial" w:hAnsi="Arial" w:cs="Arial"/>
          <w:color w:val="000000" w:themeColor="text1"/>
          <w:sz w:val="22"/>
          <w:szCs w:val="22"/>
        </w:rPr>
        <w:t xml:space="preserve"> page</w:t>
      </w:r>
      <w:r w:rsidR="000C5406">
        <w:rPr>
          <w:rFonts w:ascii="Arial" w:hAnsi="Arial" w:cs="Arial"/>
          <w:color w:val="000000" w:themeColor="text1"/>
          <w:sz w:val="22"/>
          <w:szCs w:val="22"/>
        </w:rPr>
        <w:t>.</w:t>
      </w:r>
      <w:r w:rsidR="00EC6ABB" w:rsidRPr="00A4745D">
        <w:rPr>
          <w:rFonts w:ascii="Arial" w:hAnsi="Arial" w:cs="Arial"/>
          <w:color w:val="000000" w:themeColor="text1"/>
          <w:sz w:val="22"/>
          <w:szCs w:val="22"/>
        </w:rPr>
        <w:t xml:space="preserve"> </w:t>
      </w:r>
      <w:r w:rsidR="00132105" w:rsidRPr="00A4745D">
        <w:rPr>
          <w:rFonts w:ascii="Arial" w:hAnsi="Arial" w:cs="Arial"/>
          <w:color w:val="000000" w:themeColor="text1"/>
          <w:sz w:val="22"/>
          <w:szCs w:val="22"/>
        </w:rPr>
        <w:t>A</w:t>
      </w:r>
      <w:r w:rsidR="00EC6ABB" w:rsidRPr="00A4745D">
        <w:rPr>
          <w:rFonts w:ascii="Arial" w:hAnsi="Arial" w:cs="Arial"/>
          <w:color w:val="000000" w:themeColor="text1"/>
          <w:sz w:val="22"/>
          <w:szCs w:val="22"/>
        </w:rPr>
        <w:t>ttendance at MAPPA meetings</w:t>
      </w:r>
      <w:r w:rsidR="00132105" w:rsidRPr="00A4745D">
        <w:rPr>
          <w:rFonts w:ascii="Arial" w:hAnsi="Arial" w:cs="Arial"/>
          <w:color w:val="000000" w:themeColor="text1"/>
          <w:sz w:val="22"/>
          <w:szCs w:val="22"/>
        </w:rPr>
        <w:t xml:space="preserve">. </w:t>
      </w:r>
      <w:r w:rsidR="00C70C29" w:rsidRPr="00A4745D">
        <w:rPr>
          <w:rFonts w:ascii="Arial" w:hAnsi="Arial" w:cs="Arial"/>
          <w:color w:val="000000" w:themeColor="text1"/>
          <w:sz w:val="22"/>
          <w:szCs w:val="22"/>
        </w:rPr>
        <w:t xml:space="preserve">It is good practice for each MAPPA area to have a mental health representative, who is a 'core' MAPPA </w:t>
      </w:r>
      <w:r w:rsidR="002423E9" w:rsidRPr="00A4745D">
        <w:rPr>
          <w:rFonts w:ascii="Arial" w:hAnsi="Arial" w:cs="Arial"/>
          <w:color w:val="000000" w:themeColor="text1"/>
          <w:sz w:val="22"/>
          <w:szCs w:val="22"/>
        </w:rPr>
        <w:t xml:space="preserve">panel </w:t>
      </w:r>
      <w:r w:rsidR="00C70C29" w:rsidRPr="00A4745D">
        <w:rPr>
          <w:rFonts w:ascii="Arial" w:hAnsi="Arial" w:cs="Arial"/>
          <w:color w:val="000000" w:themeColor="text1"/>
          <w:sz w:val="22"/>
          <w:szCs w:val="22"/>
        </w:rPr>
        <w:t xml:space="preserve">member to meet the general duty to co-operate. This person should have the authority to commit resources on behalf of the Trust and should possess relevant experience of risk / needs assessment, as well as analytical and team-working skills. In this Trust </w:t>
      </w:r>
      <w:r w:rsidR="00C70C29" w:rsidRPr="00A4745D">
        <w:rPr>
          <w:rFonts w:ascii="Arial" w:hAnsi="Arial" w:cs="Arial"/>
          <w:sz w:val="22"/>
          <w:szCs w:val="22"/>
        </w:rPr>
        <w:t>Service Directors are responsible for appointing the mental health representative.</w:t>
      </w:r>
    </w:p>
    <w:p w:rsidR="00C70C29" w:rsidRPr="00A4745D" w:rsidRDefault="00C70C29" w:rsidP="00C70C29">
      <w:pPr>
        <w:ind w:left="360"/>
        <w:rPr>
          <w:rFonts w:ascii="Arial" w:hAnsi="Arial" w:cs="Arial"/>
          <w:color w:val="000000" w:themeColor="text1"/>
          <w:sz w:val="22"/>
          <w:szCs w:val="22"/>
        </w:rPr>
      </w:pPr>
    </w:p>
    <w:p w:rsidR="00C70C29" w:rsidRPr="00A4745D" w:rsidRDefault="00C70C29" w:rsidP="00C70C29">
      <w:pPr>
        <w:ind w:left="360"/>
        <w:rPr>
          <w:rFonts w:ascii="Arial" w:hAnsi="Arial" w:cs="Arial"/>
          <w:color w:val="000000" w:themeColor="text1"/>
          <w:sz w:val="22"/>
          <w:szCs w:val="22"/>
        </w:rPr>
      </w:pPr>
      <w:r w:rsidRPr="00A4745D">
        <w:rPr>
          <w:rFonts w:ascii="Arial" w:hAnsi="Arial" w:cs="Arial"/>
          <w:color w:val="000000" w:themeColor="text1"/>
          <w:sz w:val="22"/>
          <w:szCs w:val="22"/>
        </w:rPr>
        <w:t>In individual cases a representative from the patient’s clinical team should also attend MAPPA meetings - attendance in person is the normal expectation when mental health services are the lead agency.</w:t>
      </w:r>
    </w:p>
    <w:p w:rsidR="00FE5BEA" w:rsidRPr="00A4745D" w:rsidRDefault="00FE5BEA" w:rsidP="00282DBF">
      <w:pPr>
        <w:rPr>
          <w:rFonts w:ascii="Arial" w:hAnsi="Arial" w:cs="Arial"/>
          <w:sz w:val="22"/>
          <w:szCs w:val="22"/>
        </w:rPr>
      </w:pPr>
    </w:p>
    <w:p w:rsidR="00AF3F01" w:rsidRPr="00A4745D" w:rsidRDefault="00A95C18"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82DBF" w:rsidRPr="00A4745D">
        <w:rPr>
          <w:rFonts w:ascii="Arial" w:hAnsi="Arial" w:cs="Arial"/>
          <w:color w:val="000000" w:themeColor="text1"/>
          <w:sz w:val="22"/>
          <w:szCs w:val="22"/>
        </w:rPr>
        <w:t>.5</w:t>
      </w:r>
      <w:r w:rsidR="00FE5BEA" w:rsidRPr="00A4745D">
        <w:rPr>
          <w:rFonts w:ascii="Arial" w:hAnsi="Arial" w:cs="Arial"/>
          <w:color w:val="000000" w:themeColor="text1"/>
          <w:sz w:val="22"/>
          <w:szCs w:val="22"/>
        </w:rPr>
        <w:t xml:space="preserve"> </w:t>
      </w:r>
      <w:r w:rsidR="00EC6ABB" w:rsidRPr="00A4745D">
        <w:rPr>
          <w:rFonts w:ascii="Arial" w:hAnsi="Arial" w:cs="Arial"/>
          <w:color w:val="000000" w:themeColor="text1"/>
          <w:sz w:val="22"/>
          <w:szCs w:val="22"/>
        </w:rPr>
        <w:t>Sharing patient information.</w:t>
      </w:r>
      <w:r w:rsidR="00282DBF" w:rsidRPr="00A4745D">
        <w:rPr>
          <w:rFonts w:ascii="Arial" w:hAnsi="Arial" w:cs="Arial"/>
          <w:color w:val="000000" w:themeColor="text1"/>
          <w:sz w:val="22"/>
          <w:szCs w:val="22"/>
        </w:rPr>
        <w:t xml:space="preserve"> Mental health practitioners have a duty to co-operate with MAPPA and share information about patients which is relevant to the statutory purposes of assessing and managing risk, even where the patient does not consent. </w:t>
      </w:r>
    </w:p>
    <w:p w:rsidR="00AF3F01" w:rsidRPr="00A4745D" w:rsidRDefault="00AF3F01" w:rsidP="00FE5BEA">
      <w:pPr>
        <w:ind w:left="360"/>
        <w:rPr>
          <w:rFonts w:ascii="Arial" w:hAnsi="Arial" w:cs="Arial"/>
          <w:color w:val="000000" w:themeColor="text1"/>
          <w:sz w:val="22"/>
          <w:szCs w:val="22"/>
        </w:rPr>
      </w:pPr>
    </w:p>
    <w:p w:rsidR="00AF3F01" w:rsidRPr="00A4745D" w:rsidRDefault="00AF3F01"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The practice of information-sharing between agencies is governed by the Data Protection Principles set out in The Data Protection Act 2018. The primary legislation authorising information</w:t>
      </w:r>
      <w:r w:rsidR="002423E9" w:rsidRPr="00A4745D">
        <w:rPr>
          <w:rFonts w:ascii="Arial" w:hAnsi="Arial" w:cs="Arial"/>
          <w:color w:val="000000" w:themeColor="text1"/>
          <w:sz w:val="22"/>
          <w:szCs w:val="22"/>
        </w:rPr>
        <w:t>-</w:t>
      </w:r>
      <w:r w:rsidRPr="00A4745D">
        <w:rPr>
          <w:rFonts w:ascii="Arial" w:hAnsi="Arial" w:cs="Arial"/>
          <w:color w:val="000000" w:themeColor="text1"/>
          <w:sz w:val="22"/>
          <w:szCs w:val="22"/>
        </w:rPr>
        <w:t>sharing is the Criminal Justice Act 2003 for agencies with a duty to co-operate with MAPPA. General Medical Council guidance on sharing information is available at</w:t>
      </w:r>
      <w:r w:rsidR="00976610" w:rsidRPr="00A4745D">
        <w:rPr>
          <w:rFonts w:ascii="Arial" w:hAnsi="Arial" w:cs="Arial"/>
          <w:color w:val="000000" w:themeColor="text1"/>
          <w:sz w:val="22"/>
          <w:szCs w:val="22"/>
        </w:rPr>
        <w:t xml:space="preserve">  </w:t>
      </w:r>
      <w:r w:rsidRPr="00A4745D">
        <w:rPr>
          <w:rFonts w:ascii="Arial" w:hAnsi="Arial" w:cs="Arial"/>
          <w:color w:val="000000" w:themeColor="text1"/>
          <w:sz w:val="22"/>
          <w:szCs w:val="22"/>
        </w:rPr>
        <w:t xml:space="preserve"> </w:t>
      </w:r>
      <w:hyperlink r:id="rId10" w:history="1">
        <w:r w:rsidRPr="00A4745D">
          <w:rPr>
            <w:rStyle w:val="Hyperlink"/>
            <w:rFonts w:ascii="Arial" w:hAnsi="Arial" w:cs="Arial"/>
            <w:sz w:val="22"/>
            <w:szCs w:val="22"/>
          </w:rPr>
          <w:t>https://www.gmc-uk.org/guidance/ethical_guidance/30608.asp</w:t>
        </w:r>
      </w:hyperlink>
      <w:r w:rsidRPr="00A4745D">
        <w:rPr>
          <w:rFonts w:ascii="Arial" w:hAnsi="Arial" w:cs="Arial"/>
          <w:color w:val="000000" w:themeColor="text1"/>
          <w:sz w:val="22"/>
          <w:szCs w:val="22"/>
        </w:rPr>
        <w:t>.</w:t>
      </w:r>
    </w:p>
    <w:p w:rsidR="00AF3F01" w:rsidRPr="00A4745D" w:rsidRDefault="00AF3F01" w:rsidP="00FE5BEA">
      <w:pPr>
        <w:ind w:left="360"/>
        <w:rPr>
          <w:rFonts w:ascii="Arial" w:hAnsi="Arial" w:cs="Arial"/>
          <w:color w:val="000000" w:themeColor="text1"/>
          <w:sz w:val="22"/>
          <w:szCs w:val="22"/>
        </w:rPr>
      </w:pPr>
    </w:p>
    <w:p w:rsidR="00FE5BEA" w:rsidRPr="00A4745D" w:rsidRDefault="00282DBF"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Patients should know that they are being managed through MAPPA, what MAPPA i</w:t>
      </w:r>
      <w:r w:rsidR="004919B2" w:rsidRPr="00A4745D">
        <w:rPr>
          <w:rFonts w:ascii="Arial" w:hAnsi="Arial" w:cs="Arial"/>
          <w:color w:val="000000" w:themeColor="text1"/>
          <w:sz w:val="22"/>
          <w:szCs w:val="22"/>
        </w:rPr>
        <w:t xml:space="preserve">s, and what this means for them.  However, there may be exceptional cases where information about MAPPA should be withheld from the patient on the grounds that it may increase his or her risk.  This is a decision for the lead agency and must be discussed at a MAPPA meeting.  </w:t>
      </w:r>
    </w:p>
    <w:p w:rsidR="00EC6ABB" w:rsidRPr="00A4745D" w:rsidRDefault="00EC6ABB" w:rsidP="00FE5BEA">
      <w:pPr>
        <w:ind w:left="360"/>
        <w:rPr>
          <w:rFonts w:ascii="Arial" w:hAnsi="Arial" w:cs="Arial"/>
          <w:sz w:val="22"/>
          <w:szCs w:val="22"/>
        </w:rPr>
      </w:pPr>
      <w:r w:rsidRPr="00A4745D">
        <w:rPr>
          <w:rFonts w:ascii="Arial" w:hAnsi="Arial" w:cs="Arial"/>
          <w:color w:val="000000" w:themeColor="text1"/>
          <w:sz w:val="22"/>
          <w:szCs w:val="22"/>
        </w:rPr>
        <w:t xml:space="preserve"> </w:t>
      </w:r>
    </w:p>
    <w:p w:rsidR="00EC6ABB" w:rsidRPr="00A4745D" w:rsidRDefault="00A95C18"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82DBF" w:rsidRPr="00A4745D">
        <w:rPr>
          <w:rFonts w:ascii="Arial" w:hAnsi="Arial" w:cs="Arial"/>
          <w:color w:val="000000" w:themeColor="text1"/>
          <w:sz w:val="22"/>
          <w:szCs w:val="22"/>
        </w:rPr>
        <w:t>.6</w:t>
      </w:r>
      <w:r w:rsidR="00FE5BEA" w:rsidRPr="00A4745D">
        <w:rPr>
          <w:rFonts w:ascii="Arial" w:hAnsi="Arial" w:cs="Arial"/>
          <w:color w:val="000000" w:themeColor="text1"/>
          <w:sz w:val="22"/>
          <w:szCs w:val="22"/>
        </w:rPr>
        <w:t xml:space="preserve"> </w:t>
      </w:r>
      <w:r w:rsidR="004919B2" w:rsidRPr="00A4745D">
        <w:rPr>
          <w:rFonts w:ascii="Arial" w:hAnsi="Arial" w:cs="Arial"/>
          <w:color w:val="000000" w:themeColor="text1"/>
          <w:sz w:val="22"/>
          <w:szCs w:val="22"/>
        </w:rPr>
        <w:t>Data. MAPPA Strategic</w:t>
      </w:r>
      <w:r w:rsidR="00494EF7" w:rsidRPr="00A4745D">
        <w:rPr>
          <w:rFonts w:ascii="Arial" w:hAnsi="Arial" w:cs="Arial"/>
          <w:color w:val="000000" w:themeColor="text1"/>
          <w:sz w:val="22"/>
          <w:szCs w:val="22"/>
        </w:rPr>
        <w:t xml:space="preserve"> Management Boards</w:t>
      </w:r>
      <w:r w:rsidR="002F38B6" w:rsidRPr="00A4745D">
        <w:rPr>
          <w:rFonts w:ascii="Arial" w:hAnsi="Arial" w:cs="Arial"/>
          <w:color w:val="000000" w:themeColor="text1"/>
          <w:sz w:val="22"/>
          <w:szCs w:val="22"/>
        </w:rPr>
        <w:t xml:space="preserve"> (SMBs)</w:t>
      </w:r>
      <w:r w:rsidR="00494EF7" w:rsidRPr="00A4745D">
        <w:rPr>
          <w:rFonts w:ascii="Arial" w:hAnsi="Arial" w:cs="Arial"/>
          <w:color w:val="000000" w:themeColor="text1"/>
          <w:sz w:val="22"/>
          <w:szCs w:val="22"/>
        </w:rPr>
        <w:t xml:space="preserve"> need information about the number of MAPPA Level 1 cases being managed by mental health services in the community, for the MAPPA Annual Report.  This information is requested annually </w:t>
      </w:r>
      <w:r w:rsidR="00564722" w:rsidRPr="00A4745D">
        <w:rPr>
          <w:rFonts w:ascii="Arial" w:hAnsi="Arial" w:cs="Arial"/>
          <w:color w:val="000000" w:themeColor="text1"/>
          <w:sz w:val="22"/>
          <w:szCs w:val="22"/>
        </w:rPr>
        <w:t xml:space="preserve">(in March) </w:t>
      </w:r>
      <w:r w:rsidR="00494EF7" w:rsidRPr="00A4745D">
        <w:rPr>
          <w:rFonts w:ascii="Arial" w:hAnsi="Arial" w:cs="Arial"/>
          <w:color w:val="000000" w:themeColor="text1"/>
          <w:sz w:val="22"/>
          <w:szCs w:val="22"/>
        </w:rPr>
        <w:t xml:space="preserve">in individual MAPPA areas.  </w:t>
      </w:r>
    </w:p>
    <w:p w:rsidR="002F38B6" w:rsidRPr="00A4745D" w:rsidRDefault="002F38B6" w:rsidP="00FE5BEA">
      <w:pPr>
        <w:ind w:left="360"/>
        <w:rPr>
          <w:rFonts w:ascii="Arial" w:hAnsi="Arial" w:cs="Arial"/>
          <w:color w:val="000000" w:themeColor="text1"/>
          <w:sz w:val="22"/>
          <w:szCs w:val="22"/>
        </w:rPr>
      </w:pPr>
    </w:p>
    <w:p w:rsidR="008464F4" w:rsidRDefault="00A95C18" w:rsidP="00EF1675">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F38B6" w:rsidRPr="00A4745D">
        <w:rPr>
          <w:rFonts w:ascii="Arial" w:hAnsi="Arial" w:cs="Arial"/>
          <w:color w:val="000000" w:themeColor="text1"/>
          <w:sz w:val="22"/>
          <w:szCs w:val="22"/>
        </w:rPr>
        <w:t xml:space="preserve">.7 Serious incident reviews.  At the request of the SMB, </w:t>
      </w:r>
      <w:r w:rsidR="00EF1675" w:rsidRPr="00A4745D">
        <w:rPr>
          <w:rFonts w:ascii="Arial" w:hAnsi="Arial" w:cs="Arial"/>
          <w:color w:val="000000" w:themeColor="text1"/>
          <w:sz w:val="22"/>
          <w:szCs w:val="22"/>
        </w:rPr>
        <w:t xml:space="preserve">the Trust may be required to </w:t>
      </w:r>
      <w:r w:rsidR="002F38B6" w:rsidRPr="00A4745D">
        <w:rPr>
          <w:rFonts w:ascii="Arial" w:hAnsi="Arial" w:cs="Arial"/>
          <w:color w:val="000000" w:themeColor="text1"/>
          <w:sz w:val="22"/>
          <w:szCs w:val="22"/>
        </w:rPr>
        <w:t>contribut</w:t>
      </w:r>
      <w:r w:rsidR="00EF1675" w:rsidRPr="00A4745D">
        <w:rPr>
          <w:rFonts w:ascii="Arial" w:hAnsi="Arial" w:cs="Arial"/>
          <w:color w:val="000000" w:themeColor="text1"/>
          <w:sz w:val="22"/>
          <w:szCs w:val="22"/>
        </w:rPr>
        <w:t>e</w:t>
      </w:r>
      <w:r w:rsidR="002F38B6" w:rsidRPr="00A4745D">
        <w:rPr>
          <w:rFonts w:ascii="Arial" w:hAnsi="Arial" w:cs="Arial"/>
          <w:color w:val="000000" w:themeColor="text1"/>
          <w:sz w:val="22"/>
          <w:szCs w:val="22"/>
        </w:rPr>
        <w:t xml:space="preserve"> to MAPPA Serious Case Reviews in relevant cases.  This may be in the form </w:t>
      </w:r>
      <w:r w:rsidR="002F38B6" w:rsidRPr="00A4745D">
        <w:rPr>
          <w:rFonts w:ascii="Arial" w:hAnsi="Arial" w:cs="Arial"/>
          <w:color w:val="000000" w:themeColor="text1"/>
          <w:sz w:val="22"/>
          <w:szCs w:val="22"/>
        </w:rPr>
        <w:lastRenderedPageBreak/>
        <w:t>of providing evidence/case chronology to the independent review panel or by partic</w:t>
      </w:r>
      <w:r w:rsidR="00EF1675" w:rsidRPr="00A4745D">
        <w:rPr>
          <w:rFonts w:ascii="Arial" w:hAnsi="Arial" w:cs="Arial"/>
          <w:color w:val="000000" w:themeColor="text1"/>
          <w:sz w:val="22"/>
          <w:szCs w:val="22"/>
        </w:rPr>
        <w:t>ipating as a member of the panel.</w:t>
      </w:r>
    </w:p>
    <w:p w:rsidR="00C31BB2" w:rsidRDefault="00C31BB2" w:rsidP="00EF1675">
      <w:pPr>
        <w:ind w:left="360"/>
        <w:rPr>
          <w:rFonts w:ascii="Arial" w:hAnsi="Arial" w:cs="Arial"/>
          <w:color w:val="000000" w:themeColor="text1"/>
          <w:sz w:val="22"/>
          <w:szCs w:val="22"/>
        </w:rPr>
      </w:pPr>
    </w:p>
    <w:p w:rsidR="00C31BB2" w:rsidRPr="00A4745D" w:rsidRDefault="00C31BB2" w:rsidP="00EF1675">
      <w:pPr>
        <w:ind w:left="360"/>
        <w:rPr>
          <w:rFonts w:ascii="Arial" w:hAnsi="Arial" w:cs="Arial"/>
          <w:color w:val="000000" w:themeColor="text1"/>
          <w:sz w:val="22"/>
          <w:szCs w:val="22"/>
        </w:rPr>
      </w:pPr>
    </w:p>
    <w:p w:rsidR="00A666FA" w:rsidRPr="00A4745D" w:rsidRDefault="00A666FA" w:rsidP="00150721">
      <w:pPr>
        <w:pStyle w:val="ListParagraph"/>
        <w:numPr>
          <w:ilvl w:val="0"/>
          <w:numId w:val="5"/>
        </w:numPr>
        <w:rPr>
          <w:rFonts w:ascii="Arial" w:hAnsi="Arial" w:cs="Arial"/>
          <w:b/>
          <w:sz w:val="22"/>
          <w:szCs w:val="22"/>
        </w:rPr>
      </w:pPr>
      <w:r w:rsidRPr="00A4745D">
        <w:rPr>
          <w:rFonts w:ascii="Arial" w:hAnsi="Arial" w:cs="Arial"/>
          <w:b/>
          <w:sz w:val="22"/>
          <w:szCs w:val="22"/>
        </w:rPr>
        <w:t xml:space="preserve">Review of MAPPA Level 1 </w:t>
      </w:r>
      <w:r w:rsidR="007A468C" w:rsidRPr="00A4745D">
        <w:rPr>
          <w:rFonts w:ascii="Arial" w:hAnsi="Arial" w:cs="Arial"/>
          <w:b/>
          <w:sz w:val="22"/>
          <w:szCs w:val="22"/>
        </w:rPr>
        <w:t>C</w:t>
      </w:r>
      <w:r w:rsidRPr="00A4745D">
        <w:rPr>
          <w:rFonts w:ascii="Arial" w:hAnsi="Arial" w:cs="Arial"/>
          <w:b/>
          <w:sz w:val="22"/>
          <w:szCs w:val="22"/>
        </w:rPr>
        <w:t>ases</w:t>
      </w:r>
      <w:r w:rsidR="007A468C" w:rsidRPr="00A4745D">
        <w:rPr>
          <w:rFonts w:ascii="Arial" w:hAnsi="Arial" w:cs="Arial"/>
          <w:b/>
          <w:sz w:val="22"/>
          <w:szCs w:val="22"/>
        </w:rPr>
        <w:t xml:space="preserve"> in the Community</w:t>
      </w:r>
    </w:p>
    <w:p w:rsidR="007A468C" w:rsidRPr="00A4745D" w:rsidRDefault="007A468C" w:rsidP="007A468C">
      <w:pPr>
        <w:rPr>
          <w:rFonts w:ascii="Arial" w:hAnsi="Arial" w:cs="Arial"/>
          <w:b/>
          <w:sz w:val="22"/>
          <w:szCs w:val="22"/>
        </w:rPr>
      </w:pPr>
    </w:p>
    <w:p w:rsidR="00DF071E" w:rsidRPr="00A4745D" w:rsidRDefault="007A468C" w:rsidP="007A468C">
      <w:pPr>
        <w:rPr>
          <w:rFonts w:ascii="Arial" w:hAnsi="Arial" w:cs="Arial"/>
          <w:sz w:val="22"/>
          <w:szCs w:val="22"/>
        </w:rPr>
      </w:pPr>
      <w:r w:rsidRPr="00A4745D">
        <w:rPr>
          <w:rFonts w:ascii="Arial" w:hAnsi="Arial" w:cs="Arial"/>
          <w:sz w:val="22"/>
          <w:szCs w:val="22"/>
        </w:rPr>
        <w:t xml:space="preserve">The Trust is the lead agency for conditionally discharged restricted patients under its care, and also for community patients subject to a Community Treatment Order following an unrestricted s37 Hospital Order.  Most of these </w:t>
      </w:r>
      <w:r w:rsidR="00DF071E" w:rsidRPr="00A4745D">
        <w:rPr>
          <w:rFonts w:ascii="Arial" w:hAnsi="Arial" w:cs="Arial"/>
          <w:sz w:val="22"/>
          <w:szCs w:val="22"/>
        </w:rPr>
        <w:t xml:space="preserve">cases </w:t>
      </w:r>
      <w:r w:rsidRPr="00A4745D">
        <w:rPr>
          <w:rFonts w:ascii="Arial" w:hAnsi="Arial" w:cs="Arial"/>
          <w:sz w:val="22"/>
          <w:szCs w:val="22"/>
        </w:rPr>
        <w:t xml:space="preserve">will be managed under MAPPA Level 1 (‘single agency management’).  </w:t>
      </w:r>
    </w:p>
    <w:p w:rsidR="00DF071E" w:rsidRPr="00A4745D" w:rsidRDefault="00DF071E" w:rsidP="007A468C">
      <w:pPr>
        <w:rPr>
          <w:rFonts w:ascii="Arial" w:hAnsi="Arial" w:cs="Arial"/>
          <w:sz w:val="22"/>
          <w:szCs w:val="22"/>
        </w:rPr>
      </w:pPr>
    </w:p>
    <w:p w:rsidR="007A468C" w:rsidRPr="00A4745D" w:rsidRDefault="00286E12" w:rsidP="007A468C">
      <w:pPr>
        <w:rPr>
          <w:rFonts w:ascii="Arial" w:hAnsi="Arial" w:cs="Arial"/>
          <w:sz w:val="22"/>
          <w:szCs w:val="22"/>
        </w:rPr>
      </w:pPr>
      <w:r w:rsidRPr="00A4745D">
        <w:rPr>
          <w:rFonts w:ascii="Arial" w:hAnsi="Arial" w:cs="Arial"/>
          <w:sz w:val="22"/>
          <w:szCs w:val="22"/>
        </w:rPr>
        <w:t xml:space="preserve">Clinical teams should have a system for reviewing the MAPPA status of these cases.  </w:t>
      </w:r>
      <w:r w:rsidR="007A468C" w:rsidRPr="00A4745D">
        <w:rPr>
          <w:rFonts w:ascii="Arial" w:hAnsi="Arial" w:cs="Arial"/>
          <w:sz w:val="22"/>
          <w:szCs w:val="22"/>
        </w:rPr>
        <w:t xml:space="preserve">It is good practice for clinical teams to review MAPPA status at each CPA meeting – the MAPPA Q screening form can be used for this purpose – and to refer in to Level 2 or 3 MAPPA if active multi-agency management is required to manage the risk.  </w:t>
      </w:r>
      <w:r w:rsidR="00C31BB2">
        <w:rPr>
          <w:rFonts w:ascii="Arial" w:hAnsi="Arial" w:cs="Arial"/>
          <w:sz w:val="22"/>
          <w:szCs w:val="22"/>
        </w:rPr>
        <w:t xml:space="preserve">A note should be made on the patient’s clinical record that the review of MAPPA status has taken place. </w:t>
      </w:r>
    </w:p>
    <w:p w:rsidR="007A468C" w:rsidRPr="00A4745D" w:rsidRDefault="007A468C" w:rsidP="007A468C">
      <w:pPr>
        <w:rPr>
          <w:rFonts w:ascii="Arial" w:hAnsi="Arial" w:cs="Arial"/>
          <w:sz w:val="22"/>
          <w:szCs w:val="22"/>
        </w:rPr>
      </w:pPr>
    </w:p>
    <w:p w:rsidR="007A468C" w:rsidRPr="00A4745D" w:rsidRDefault="007A468C" w:rsidP="00A666FA">
      <w:pPr>
        <w:pStyle w:val="ListParagraph"/>
        <w:ind w:left="0"/>
        <w:rPr>
          <w:rFonts w:ascii="Arial" w:hAnsi="Arial" w:cs="Arial"/>
          <w:sz w:val="22"/>
          <w:szCs w:val="22"/>
        </w:rPr>
      </w:pPr>
    </w:p>
    <w:p w:rsidR="00281667" w:rsidRPr="00A4745D" w:rsidRDefault="00281667" w:rsidP="00281667">
      <w:pPr>
        <w:pStyle w:val="ListParagraph"/>
        <w:numPr>
          <w:ilvl w:val="0"/>
          <w:numId w:val="5"/>
        </w:numPr>
        <w:rPr>
          <w:rFonts w:ascii="Arial" w:hAnsi="Arial" w:cs="Arial"/>
          <w:b/>
          <w:sz w:val="22"/>
          <w:szCs w:val="22"/>
        </w:rPr>
      </w:pPr>
      <w:r w:rsidRPr="00A4745D">
        <w:rPr>
          <w:rFonts w:ascii="Arial" w:hAnsi="Arial" w:cs="Arial"/>
          <w:b/>
          <w:sz w:val="22"/>
          <w:szCs w:val="22"/>
        </w:rPr>
        <w:t>Restrictions on Employment</w:t>
      </w:r>
    </w:p>
    <w:p w:rsidR="00281667" w:rsidRPr="00A4745D" w:rsidRDefault="00281667" w:rsidP="00281667">
      <w:pPr>
        <w:pStyle w:val="ListParagraph"/>
        <w:rPr>
          <w:rFonts w:ascii="Arial" w:hAnsi="Arial" w:cs="Arial"/>
          <w:b/>
          <w:sz w:val="22"/>
          <w:szCs w:val="22"/>
        </w:rPr>
      </w:pPr>
    </w:p>
    <w:p w:rsidR="00281667" w:rsidRPr="00A4745D" w:rsidRDefault="00281667" w:rsidP="00281667">
      <w:pPr>
        <w:pStyle w:val="ListParagraph"/>
        <w:ind w:left="0"/>
        <w:rPr>
          <w:rFonts w:ascii="Arial" w:hAnsi="Arial" w:cs="Arial"/>
          <w:sz w:val="22"/>
          <w:szCs w:val="22"/>
        </w:rPr>
      </w:pPr>
      <w:r w:rsidRPr="00A4745D">
        <w:rPr>
          <w:rFonts w:ascii="Arial" w:hAnsi="Arial" w:cs="Arial"/>
          <w:sz w:val="22"/>
          <w:szCs w:val="22"/>
        </w:rPr>
        <w:t>In the case of a level 1 offender where the Trust is the lead agency, the clinical team may need to inform Jobcentre Plus of any restrictions on employment, such as a legally imposed exclusion zone, or any risk of serious harm to Jobcentre Plus staff, using form MAPPA J.</w:t>
      </w:r>
    </w:p>
    <w:p w:rsidR="00281667" w:rsidRPr="00A4745D" w:rsidRDefault="00281667" w:rsidP="00281667">
      <w:pPr>
        <w:pStyle w:val="ListParagraph"/>
        <w:ind w:left="0"/>
        <w:rPr>
          <w:rFonts w:ascii="Arial" w:hAnsi="Arial" w:cs="Arial"/>
          <w:sz w:val="22"/>
          <w:szCs w:val="22"/>
        </w:rPr>
      </w:pPr>
    </w:p>
    <w:p w:rsidR="00281667" w:rsidRPr="00A4745D" w:rsidRDefault="00281667" w:rsidP="00281667">
      <w:pPr>
        <w:pStyle w:val="ListParagraph"/>
        <w:rPr>
          <w:rFonts w:ascii="Arial" w:hAnsi="Arial" w:cs="Arial"/>
          <w:sz w:val="22"/>
          <w:szCs w:val="22"/>
        </w:rPr>
      </w:pPr>
    </w:p>
    <w:p w:rsidR="00764CE6" w:rsidRPr="00A4745D" w:rsidRDefault="003141E6" w:rsidP="00150721">
      <w:pPr>
        <w:pStyle w:val="ListParagraph"/>
        <w:numPr>
          <w:ilvl w:val="0"/>
          <w:numId w:val="5"/>
        </w:numPr>
        <w:rPr>
          <w:rFonts w:ascii="Arial" w:hAnsi="Arial" w:cs="Arial"/>
          <w:b/>
          <w:sz w:val="22"/>
          <w:szCs w:val="22"/>
        </w:rPr>
      </w:pPr>
      <w:r w:rsidRPr="00A4745D">
        <w:rPr>
          <w:rFonts w:ascii="Arial" w:hAnsi="Arial" w:cs="Arial"/>
          <w:b/>
          <w:sz w:val="22"/>
          <w:szCs w:val="22"/>
        </w:rPr>
        <w:t>Exit from MAPP</w:t>
      </w:r>
      <w:r w:rsidR="00032524" w:rsidRPr="00A4745D">
        <w:rPr>
          <w:rFonts w:ascii="Arial" w:hAnsi="Arial" w:cs="Arial"/>
          <w:b/>
          <w:sz w:val="22"/>
          <w:szCs w:val="22"/>
        </w:rPr>
        <w:t>A</w:t>
      </w:r>
    </w:p>
    <w:p w:rsidR="006B0058" w:rsidRPr="00A4745D" w:rsidRDefault="006B0058" w:rsidP="006B0058">
      <w:pPr>
        <w:rPr>
          <w:rFonts w:ascii="Arial" w:hAnsi="Arial" w:cs="Arial"/>
          <w:sz w:val="22"/>
          <w:szCs w:val="22"/>
        </w:rPr>
      </w:pPr>
    </w:p>
    <w:p w:rsidR="002630BD" w:rsidRPr="00A4745D" w:rsidRDefault="002630BD" w:rsidP="006B0058">
      <w:pPr>
        <w:rPr>
          <w:rFonts w:ascii="Arial" w:hAnsi="Arial" w:cs="Arial"/>
          <w:sz w:val="22"/>
          <w:szCs w:val="22"/>
        </w:rPr>
      </w:pPr>
      <w:r w:rsidRPr="00A4745D">
        <w:rPr>
          <w:rFonts w:ascii="Arial" w:hAnsi="Arial" w:cs="Arial"/>
          <w:sz w:val="22"/>
          <w:szCs w:val="22"/>
        </w:rPr>
        <w:t xml:space="preserve">Offenders cease to be </w:t>
      </w:r>
      <w:r w:rsidR="006B0058" w:rsidRPr="00A4745D">
        <w:rPr>
          <w:rFonts w:ascii="Arial" w:hAnsi="Arial" w:cs="Arial"/>
          <w:sz w:val="22"/>
          <w:szCs w:val="22"/>
        </w:rPr>
        <w:t>subject to MAPPA</w:t>
      </w:r>
      <w:r w:rsidRPr="00A4745D">
        <w:rPr>
          <w:rFonts w:ascii="Arial" w:hAnsi="Arial" w:cs="Arial"/>
          <w:sz w:val="22"/>
          <w:szCs w:val="22"/>
        </w:rPr>
        <w:t xml:space="preserve"> in the following circumstances:</w:t>
      </w:r>
    </w:p>
    <w:p w:rsidR="006554F9" w:rsidRPr="00A4745D" w:rsidRDefault="006554F9"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Category 1 offenders: when their period of registration expires. In the most serious cases registration is for life. However, following a ruling of the Supreme Court in 2010, RSOs can seek a review of registration 15 years from the date of their first notification.</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 xml:space="preserve">Category 2 offenders: where </w:t>
      </w:r>
      <w:proofErr w:type="gramStart"/>
      <w:r w:rsidRPr="00A4745D">
        <w:rPr>
          <w:rFonts w:ascii="Arial" w:hAnsi="Arial" w:cs="Arial"/>
          <w:sz w:val="22"/>
          <w:szCs w:val="22"/>
        </w:rPr>
        <w:t>a</w:t>
      </w:r>
      <w:proofErr w:type="gramEnd"/>
      <w:r w:rsidRPr="00A4745D">
        <w:rPr>
          <w:rFonts w:ascii="Arial" w:hAnsi="Arial" w:cs="Arial"/>
          <w:sz w:val="22"/>
          <w:szCs w:val="22"/>
        </w:rPr>
        <w:t xml:space="preserve"> s.45A or s.47 patient no longer requires treatment in hospital, and they are not remitted back to prison, they may be released on licence. MAPPA ceases to apply when the licence expires (unless referred into category 3). S.37 patients exit MAPPA on absolute discharge </w:t>
      </w:r>
      <w:r w:rsidR="006554F9" w:rsidRPr="00A4745D">
        <w:rPr>
          <w:rFonts w:ascii="Arial" w:hAnsi="Arial" w:cs="Arial"/>
          <w:sz w:val="22"/>
          <w:szCs w:val="22"/>
        </w:rPr>
        <w:t xml:space="preserve">(for conditionally discharged restricted patients) </w:t>
      </w:r>
      <w:r w:rsidRPr="00A4745D">
        <w:rPr>
          <w:rFonts w:ascii="Arial" w:hAnsi="Arial" w:cs="Arial"/>
          <w:sz w:val="22"/>
          <w:szCs w:val="22"/>
        </w:rPr>
        <w:t>or expiry of their Community Treatment Order.</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Category 3 offenders: whe</w:t>
      </w:r>
      <w:r w:rsidR="002630BD" w:rsidRPr="00A4745D">
        <w:rPr>
          <w:rFonts w:ascii="Arial" w:hAnsi="Arial" w:cs="Arial"/>
          <w:sz w:val="22"/>
          <w:szCs w:val="22"/>
        </w:rPr>
        <w:t xml:space="preserve">n a level 2 or 3 MAPP meeting decides that </w:t>
      </w:r>
      <w:r w:rsidRPr="00A4745D">
        <w:rPr>
          <w:rFonts w:ascii="Arial" w:hAnsi="Arial" w:cs="Arial"/>
          <w:sz w:val="22"/>
          <w:szCs w:val="22"/>
        </w:rPr>
        <w:t>the case no longer requires active multi-agency management at level 2 or 3.</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 xml:space="preserve">Part </w:t>
      </w:r>
      <w:r w:rsidR="009B5150">
        <w:rPr>
          <w:rFonts w:ascii="Arial" w:hAnsi="Arial" w:cs="Arial"/>
          <w:sz w:val="22"/>
          <w:szCs w:val="22"/>
        </w:rPr>
        <w:t>5</w:t>
      </w:r>
      <w:r w:rsidRPr="00A4745D">
        <w:rPr>
          <w:rFonts w:ascii="Arial" w:hAnsi="Arial" w:cs="Arial"/>
          <w:sz w:val="22"/>
          <w:szCs w:val="22"/>
        </w:rPr>
        <w:t xml:space="preserve"> of the MAPPA I </w:t>
      </w:r>
      <w:r w:rsidR="002630BD" w:rsidRPr="00A4745D">
        <w:rPr>
          <w:rFonts w:ascii="Arial" w:hAnsi="Arial" w:cs="Arial"/>
          <w:sz w:val="22"/>
          <w:szCs w:val="22"/>
        </w:rPr>
        <w:t>form</w:t>
      </w:r>
      <w:r w:rsidR="00D54525" w:rsidRPr="00A4745D">
        <w:rPr>
          <w:rFonts w:ascii="Arial" w:hAnsi="Arial" w:cs="Arial"/>
          <w:sz w:val="22"/>
          <w:szCs w:val="22"/>
        </w:rPr>
        <w:t xml:space="preserve"> </w:t>
      </w:r>
      <w:r w:rsidRPr="00A4745D">
        <w:rPr>
          <w:rFonts w:ascii="Arial" w:hAnsi="Arial" w:cs="Arial"/>
          <w:sz w:val="22"/>
          <w:szCs w:val="22"/>
        </w:rPr>
        <w:t>should be completed by the Responsible Clinician</w:t>
      </w:r>
      <w:r w:rsidR="002630BD" w:rsidRPr="00A4745D">
        <w:rPr>
          <w:rFonts w:ascii="Arial" w:hAnsi="Arial" w:cs="Arial"/>
          <w:sz w:val="22"/>
          <w:szCs w:val="22"/>
        </w:rPr>
        <w:t xml:space="preserve"> or care co-ordinator </w:t>
      </w:r>
      <w:r w:rsidRPr="00A4745D">
        <w:rPr>
          <w:rFonts w:ascii="Arial" w:hAnsi="Arial" w:cs="Arial"/>
          <w:sz w:val="22"/>
          <w:szCs w:val="22"/>
        </w:rPr>
        <w:t xml:space="preserve">and forwarded to the relevant MAPPA </w:t>
      </w:r>
      <w:r w:rsidR="002630BD" w:rsidRPr="00A4745D">
        <w:rPr>
          <w:rFonts w:ascii="Arial" w:hAnsi="Arial" w:cs="Arial"/>
          <w:sz w:val="22"/>
          <w:szCs w:val="22"/>
        </w:rPr>
        <w:t xml:space="preserve">administrator </w:t>
      </w:r>
      <w:r w:rsidRPr="00A4745D">
        <w:rPr>
          <w:rFonts w:ascii="Arial" w:hAnsi="Arial" w:cs="Arial"/>
          <w:sz w:val="22"/>
          <w:szCs w:val="22"/>
        </w:rPr>
        <w:t>when the patient is no longer subject to MAPPA supervision.</w:t>
      </w:r>
    </w:p>
    <w:p w:rsidR="00150721" w:rsidRPr="00A4745D" w:rsidRDefault="00150721" w:rsidP="006B0058">
      <w:pPr>
        <w:rPr>
          <w:rFonts w:ascii="Arial" w:hAnsi="Arial" w:cs="Arial"/>
          <w:sz w:val="22"/>
          <w:szCs w:val="22"/>
        </w:rPr>
      </w:pPr>
    </w:p>
    <w:p w:rsidR="00150721" w:rsidRPr="00A4745D" w:rsidRDefault="00150721" w:rsidP="006B0058">
      <w:pPr>
        <w:rPr>
          <w:rFonts w:ascii="Arial" w:hAnsi="Arial" w:cs="Arial"/>
          <w:sz w:val="22"/>
          <w:szCs w:val="22"/>
        </w:rPr>
      </w:pPr>
    </w:p>
    <w:p w:rsidR="00150721" w:rsidRPr="00A4745D" w:rsidRDefault="0022154F" w:rsidP="00150721">
      <w:pPr>
        <w:pStyle w:val="ListParagraph"/>
        <w:numPr>
          <w:ilvl w:val="0"/>
          <w:numId w:val="5"/>
        </w:numPr>
        <w:rPr>
          <w:rFonts w:ascii="Arial" w:hAnsi="Arial" w:cs="Arial"/>
          <w:b/>
          <w:sz w:val="22"/>
          <w:szCs w:val="22"/>
        </w:rPr>
      </w:pPr>
      <w:r w:rsidRPr="00A4745D">
        <w:rPr>
          <w:rFonts w:ascii="Arial" w:hAnsi="Arial" w:cs="Arial"/>
          <w:b/>
          <w:sz w:val="22"/>
          <w:szCs w:val="22"/>
        </w:rPr>
        <w:t>Information Storage</w:t>
      </w:r>
    </w:p>
    <w:p w:rsidR="0022154F" w:rsidRPr="00A4745D" w:rsidRDefault="0022154F" w:rsidP="0022154F">
      <w:pPr>
        <w:rPr>
          <w:rFonts w:ascii="Arial" w:hAnsi="Arial" w:cs="Arial"/>
          <w:b/>
          <w:sz w:val="22"/>
          <w:szCs w:val="22"/>
        </w:rPr>
      </w:pPr>
    </w:p>
    <w:p w:rsidR="0022154F" w:rsidRPr="00A4745D" w:rsidRDefault="0022154F" w:rsidP="0022154F">
      <w:pPr>
        <w:rPr>
          <w:rFonts w:ascii="Arial" w:hAnsi="Arial" w:cs="Arial"/>
          <w:sz w:val="22"/>
          <w:szCs w:val="22"/>
        </w:rPr>
      </w:pPr>
      <w:r w:rsidRPr="00A4745D">
        <w:rPr>
          <w:rFonts w:ascii="Arial" w:hAnsi="Arial" w:cs="Arial"/>
          <w:sz w:val="22"/>
          <w:szCs w:val="22"/>
        </w:rPr>
        <w:t xml:space="preserve">Information relating to a patient’s MAPPA status must be kept securely and confidentially.  It is vitally important that </w:t>
      </w:r>
      <w:r w:rsidR="00A666FA" w:rsidRPr="00A4745D">
        <w:rPr>
          <w:rFonts w:ascii="Arial" w:hAnsi="Arial" w:cs="Arial"/>
          <w:sz w:val="22"/>
          <w:szCs w:val="22"/>
        </w:rPr>
        <w:t xml:space="preserve">no third party </w:t>
      </w:r>
      <w:r w:rsidR="004E364D" w:rsidRPr="00A4745D">
        <w:rPr>
          <w:rFonts w:ascii="Arial" w:hAnsi="Arial" w:cs="Arial"/>
          <w:sz w:val="22"/>
          <w:szCs w:val="22"/>
        </w:rPr>
        <w:t>information</w:t>
      </w:r>
      <w:r w:rsidR="00A666FA" w:rsidRPr="00A4745D">
        <w:rPr>
          <w:rFonts w:ascii="Arial" w:hAnsi="Arial" w:cs="Arial"/>
          <w:sz w:val="22"/>
          <w:szCs w:val="22"/>
        </w:rPr>
        <w:t xml:space="preserve"> relating to victims, for example,</w:t>
      </w:r>
      <w:r w:rsidR="007429A6" w:rsidRPr="00A4745D">
        <w:rPr>
          <w:rFonts w:ascii="Arial" w:hAnsi="Arial" w:cs="Arial"/>
          <w:sz w:val="22"/>
          <w:szCs w:val="22"/>
        </w:rPr>
        <w:t xml:space="preserve"> is disclosed inappropriately. </w:t>
      </w:r>
      <w:r w:rsidR="00A666FA" w:rsidRPr="00A4745D">
        <w:rPr>
          <w:rFonts w:ascii="Arial" w:hAnsi="Arial" w:cs="Arial"/>
          <w:sz w:val="22"/>
          <w:szCs w:val="22"/>
        </w:rPr>
        <w:t xml:space="preserve">MAPPA </w:t>
      </w:r>
      <w:r w:rsidR="0029050E" w:rsidRPr="00A4745D">
        <w:rPr>
          <w:rFonts w:ascii="Arial" w:hAnsi="Arial" w:cs="Arial"/>
          <w:sz w:val="22"/>
          <w:szCs w:val="22"/>
        </w:rPr>
        <w:t>documentation should be kept</w:t>
      </w:r>
      <w:r w:rsidR="002A5B1C" w:rsidRPr="00A4745D">
        <w:rPr>
          <w:rFonts w:ascii="Arial" w:hAnsi="Arial" w:cs="Arial"/>
          <w:sz w:val="22"/>
          <w:szCs w:val="22"/>
        </w:rPr>
        <w:t xml:space="preserve"> separately from </w:t>
      </w:r>
      <w:r w:rsidR="00A666FA" w:rsidRPr="00A4745D">
        <w:rPr>
          <w:rFonts w:ascii="Arial" w:hAnsi="Arial" w:cs="Arial"/>
          <w:sz w:val="22"/>
          <w:szCs w:val="22"/>
        </w:rPr>
        <w:t xml:space="preserve">the </w:t>
      </w:r>
      <w:r w:rsidR="00903D41" w:rsidRPr="00A4745D">
        <w:rPr>
          <w:rFonts w:ascii="Arial" w:hAnsi="Arial" w:cs="Arial"/>
          <w:sz w:val="22"/>
          <w:szCs w:val="22"/>
        </w:rPr>
        <w:t xml:space="preserve">clinical </w:t>
      </w:r>
      <w:r w:rsidR="00A666FA" w:rsidRPr="00A4745D">
        <w:rPr>
          <w:rFonts w:ascii="Arial" w:hAnsi="Arial" w:cs="Arial"/>
          <w:sz w:val="22"/>
          <w:szCs w:val="22"/>
        </w:rPr>
        <w:t xml:space="preserve">record. </w:t>
      </w:r>
      <w:r w:rsidR="004E364D" w:rsidRPr="00A4745D">
        <w:rPr>
          <w:rFonts w:ascii="Arial" w:hAnsi="Arial" w:cs="Arial"/>
          <w:sz w:val="22"/>
          <w:szCs w:val="22"/>
        </w:rPr>
        <w:t xml:space="preserve"> </w:t>
      </w:r>
    </w:p>
    <w:p w:rsidR="00903D41" w:rsidRPr="00A4745D" w:rsidRDefault="00903D41"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903D41" w:rsidRPr="00A4745D" w:rsidRDefault="00903D41" w:rsidP="00190079">
      <w:pPr>
        <w:pStyle w:val="ListParagraph"/>
        <w:rPr>
          <w:rFonts w:ascii="Arial" w:hAnsi="Arial" w:cs="Arial"/>
          <w:b/>
          <w:sz w:val="22"/>
          <w:szCs w:val="22"/>
        </w:rPr>
      </w:pPr>
    </w:p>
    <w:p w:rsidR="00132FCC" w:rsidRPr="00A4745D" w:rsidRDefault="00132FCC" w:rsidP="00190079">
      <w:pPr>
        <w:pStyle w:val="ListParagraph"/>
        <w:numPr>
          <w:ilvl w:val="0"/>
          <w:numId w:val="5"/>
        </w:numPr>
        <w:rPr>
          <w:rFonts w:ascii="Arial" w:hAnsi="Arial" w:cs="Arial"/>
          <w:b/>
          <w:sz w:val="22"/>
          <w:szCs w:val="22"/>
        </w:rPr>
      </w:pPr>
      <w:r w:rsidRPr="00A4745D">
        <w:rPr>
          <w:rFonts w:ascii="Arial" w:hAnsi="Arial" w:cs="Arial"/>
          <w:b/>
          <w:sz w:val="22"/>
          <w:szCs w:val="22"/>
        </w:rPr>
        <w:t>Associated documentation</w:t>
      </w:r>
    </w:p>
    <w:p w:rsidR="0091232E" w:rsidRPr="00A4745D" w:rsidRDefault="0091232E" w:rsidP="003520AF">
      <w:pPr>
        <w:rPr>
          <w:rFonts w:ascii="Arial" w:hAnsi="Arial" w:cs="Arial"/>
          <w:b/>
          <w:sz w:val="22"/>
          <w:szCs w:val="22"/>
        </w:rPr>
      </w:pPr>
    </w:p>
    <w:tbl>
      <w:tblPr>
        <w:tblStyle w:val="TableGrid"/>
        <w:tblW w:w="0" w:type="auto"/>
        <w:tblLook w:val="04A0" w:firstRow="1" w:lastRow="0" w:firstColumn="1" w:lastColumn="0" w:noHBand="0" w:noVBand="1"/>
      </w:tblPr>
      <w:tblGrid>
        <w:gridCol w:w="385"/>
        <w:gridCol w:w="7911"/>
      </w:tblGrid>
      <w:tr w:rsidR="00014109" w:rsidRPr="00A4745D" w:rsidTr="001E01A1">
        <w:tc>
          <w:tcPr>
            <w:tcW w:w="385" w:type="dxa"/>
          </w:tcPr>
          <w:p w:rsidR="00014109" w:rsidRPr="00A4745D" w:rsidRDefault="00014109" w:rsidP="003520AF">
            <w:pPr>
              <w:rPr>
                <w:rFonts w:ascii="Arial" w:hAnsi="Arial" w:cs="Arial"/>
                <w:sz w:val="22"/>
                <w:szCs w:val="22"/>
              </w:rPr>
            </w:pPr>
            <w:r w:rsidRPr="00A4745D">
              <w:rPr>
                <w:rFonts w:ascii="Arial" w:hAnsi="Arial" w:cs="Arial"/>
                <w:sz w:val="22"/>
                <w:szCs w:val="22"/>
              </w:rPr>
              <w:t>1</w:t>
            </w:r>
          </w:p>
        </w:tc>
        <w:tc>
          <w:tcPr>
            <w:tcW w:w="7911" w:type="dxa"/>
          </w:tcPr>
          <w:p w:rsidR="00014109" w:rsidRPr="00A4745D" w:rsidRDefault="00014109" w:rsidP="006302ED">
            <w:pPr>
              <w:rPr>
                <w:rFonts w:ascii="Arial" w:hAnsi="Arial" w:cs="Arial"/>
                <w:sz w:val="22"/>
                <w:szCs w:val="22"/>
              </w:rPr>
            </w:pPr>
            <w:r w:rsidRPr="00A4745D">
              <w:rPr>
                <w:rFonts w:ascii="Arial" w:hAnsi="Arial" w:cs="Arial"/>
                <w:sz w:val="22"/>
                <w:szCs w:val="22"/>
              </w:rPr>
              <w:t xml:space="preserve">MAPPA Guidance </w:t>
            </w:r>
            <w:r w:rsidR="006302ED">
              <w:rPr>
                <w:rFonts w:ascii="Arial" w:hAnsi="Arial" w:cs="Arial"/>
                <w:sz w:val="22"/>
                <w:szCs w:val="22"/>
              </w:rPr>
              <w:t xml:space="preserve">updated May 2022 </w:t>
            </w:r>
          </w:p>
        </w:tc>
      </w:tr>
      <w:tr w:rsidR="00014109" w:rsidRPr="00A4745D" w:rsidTr="001E01A1">
        <w:tc>
          <w:tcPr>
            <w:tcW w:w="385" w:type="dxa"/>
          </w:tcPr>
          <w:p w:rsidR="00014109" w:rsidRPr="00A4745D" w:rsidRDefault="00B110C5" w:rsidP="003520AF">
            <w:pPr>
              <w:rPr>
                <w:rFonts w:ascii="Arial" w:hAnsi="Arial" w:cs="Arial"/>
                <w:sz w:val="22"/>
                <w:szCs w:val="22"/>
              </w:rPr>
            </w:pPr>
            <w:r w:rsidRPr="00A4745D">
              <w:rPr>
                <w:rFonts w:ascii="Arial" w:hAnsi="Arial" w:cs="Arial"/>
                <w:sz w:val="22"/>
                <w:szCs w:val="22"/>
              </w:rPr>
              <w:t>2</w:t>
            </w:r>
          </w:p>
        </w:tc>
        <w:tc>
          <w:tcPr>
            <w:tcW w:w="7911" w:type="dxa"/>
          </w:tcPr>
          <w:p w:rsidR="002A7DCC" w:rsidRPr="00A4745D" w:rsidRDefault="00D6758F" w:rsidP="00D6758F">
            <w:pPr>
              <w:rPr>
                <w:rFonts w:ascii="Arial" w:hAnsi="Arial" w:cs="Arial"/>
                <w:sz w:val="22"/>
                <w:szCs w:val="22"/>
              </w:rPr>
            </w:pPr>
            <w:r w:rsidRPr="00A4745D">
              <w:rPr>
                <w:rFonts w:ascii="Arial" w:hAnsi="Arial" w:cs="Arial"/>
                <w:sz w:val="22"/>
                <w:szCs w:val="22"/>
              </w:rPr>
              <w:t>London MAPPA Guidance  January 2019</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3</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Clinical Risk Assessment and Management Policy</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4</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Safeguarding Children</w:t>
            </w:r>
            <w:r w:rsidR="00C23115" w:rsidRPr="00A4745D">
              <w:rPr>
                <w:rFonts w:ascii="Arial" w:hAnsi="Arial" w:cs="Arial"/>
                <w:sz w:val="22"/>
                <w:szCs w:val="22"/>
              </w:rPr>
              <w:t xml:space="preserve"> Policy</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5</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Safeguarding Adults</w:t>
            </w:r>
            <w:r w:rsidR="00C23115" w:rsidRPr="00A4745D">
              <w:rPr>
                <w:rFonts w:ascii="Arial" w:hAnsi="Arial" w:cs="Arial"/>
                <w:sz w:val="22"/>
                <w:szCs w:val="22"/>
              </w:rPr>
              <w:t xml:space="preserve"> Policy</w:t>
            </w:r>
          </w:p>
        </w:tc>
      </w:tr>
      <w:tr w:rsidR="0015443C" w:rsidRPr="00A4745D" w:rsidTr="001E01A1">
        <w:tc>
          <w:tcPr>
            <w:tcW w:w="385" w:type="dxa"/>
          </w:tcPr>
          <w:p w:rsidR="0015443C" w:rsidRPr="00A4745D" w:rsidRDefault="001E01A1" w:rsidP="003520AF">
            <w:pPr>
              <w:rPr>
                <w:rFonts w:ascii="Arial" w:hAnsi="Arial" w:cs="Arial"/>
                <w:sz w:val="22"/>
                <w:szCs w:val="22"/>
              </w:rPr>
            </w:pPr>
            <w:r w:rsidRPr="00A4745D">
              <w:rPr>
                <w:rFonts w:ascii="Arial" w:hAnsi="Arial" w:cs="Arial"/>
                <w:sz w:val="22"/>
                <w:szCs w:val="22"/>
              </w:rPr>
              <w:t>6</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Working with MAPPA: guidance for working with MAPPA in England and Wales, Royal College of Psychiatrists 2013</w:t>
            </w:r>
            <w:r w:rsidR="009D0541">
              <w:rPr>
                <w:rFonts w:ascii="Arial" w:hAnsi="Arial" w:cs="Arial"/>
                <w:sz w:val="22"/>
                <w:szCs w:val="22"/>
              </w:rPr>
              <w:t xml:space="preserve"> </w:t>
            </w:r>
          </w:p>
        </w:tc>
      </w:tr>
      <w:tr w:rsidR="0015443C" w:rsidRPr="00A4745D" w:rsidTr="001E01A1">
        <w:tc>
          <w:tcPr>
            <w:tcW w:w="385" w:type="dxa"/>
          </w:tcPr>
          <w:p w:rsidR="0015443C" w:rsidRPr="00A4745D" w:rsidRDefault="001E01A1" w:rsidP="003520AF">
            <w:pPr>
              <w:rPr>
                <w:rFonts w:ascii="Arial" w:hAnsi="Arial" w:cs="Arial"/>
                <w:sz w:val="22"/>
                <w:szCs w:val="22"/>
              </w:rPr>
            </w:pPr>
            <w:r w:rsidRPr="00A4745D">
              <w:rPr>
                <w:rFonts w:ascii="Arial" w:hAnsi="Arial" w:cs="Arial"/>
                <w:sz w:val="22"/>
                <w:szCs w:val="22"/>
              </w:rPr>
              <w:t>7</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 xml:space="preserve">Confidentiality: good practice in handling patient information (Updated May 2018). General Medical Council </w:t>
            </w:r>
          </w:p>
        </w:tc>
      </w:tr>
      <w:tr w:rsidR="003770F4" w:rsidRPr="00A4745D" w:rsidTr="001E01A1">
        <w:tc>
          <w:tcPr>
            <w:tcW w:w="385" w:type="dxa"/>
          </w:tcPr>
          <w:p w:rsidR="003770F4" w:rsidRPr="00A4745D" w:rsidRDefault="003770F4" w:rsidP="003520AF">
            <w:pPr>
              <w:rPr>
                <w:rFonts w:ascii="Arial" w:hAnsi="Arial" w:cs="Arial"/>
                <w:sz w:val="22"/>
                <w:szCs w:val="22"/>
              </w:rPr>
            </w:pPr>
            <w:r>
              <w:rPr>
                <w:rFonts w:ascii="Arial" w:hAnsi="Arial" w:cs="Arial"/>
                <w:sz w:val="22"/>
                <w:szCs w:val="22"/>
              </w:rPr>
              <w:t>8</w:t>
            </w:r>
          </w:p>
        </w:tc>
        <w:tc>
          <w:tcPr>
            <w:tcW w:w="7911" w:type="dxa"/>
          </w:tcPr>
          <w:p w:rsidR="003770F4" w:rsidRPr="00A4745D" w:rsidRDefault="00106711" w:rsidP="0015443C">
            <w:pPr>
              <w:rPr>
                <w:rFonts w:ascii="Arial" w:hAnsi="Arial" w:cs="Arial"/>
                <w:sz w:val="22"/>
                <w:szCs w:val="22"/>
              </w:rPr>
            </w:pPr>
            <w:r>
              <w:rPr>
                <w:rFonts w:ascii="Arial" w:hAnsi="Arial" w:cs="Arial"/>
                <w:sz w:val="22"/>
                <w:szCs w:val="22"/>
              </w:rPr>
              <w:t xml:space="preserve">Ministry of Justice </w:t>
            </w:r>
            <w:r w:rsidR="009D0541">
              <w:rPr>
                <w:rFonts w:ascii="Arial" w:hAnsi="Arial" w:cs="Arial"/>
                <w:sz w:val="22"/>
                <w:szCs w:val="22"/>
              </w:rPr>
              <w:t>Mental Health Casework Section Guidance: MAPPA and the Restricted Patient System (2021)</w:t>
            </w:r>
          </w:p>
        </w:tc>
      </w:tr>
    </w:tbl>
    <w:p w:rsidR="0091232E" w:rsidRPr="00A4745D" w:rsidRDefault="0091232E" w:rsidP="003520AF">
      <w:pPr>
        <w:rPr>
          <w:rFonts w:ascii="Arial" w:hAnsi="Arial" w:cs="Arial"/>
          <w:sz w:val="22"/>
          <w:szCs w:val="22"/>
        </w:rPr>
      </w:pPr>
    </w:p>
    <w:p w:rsidR="008929B5" w:rsidRPr="00A4745D" w:rsidRDefault="008929B5" w:rsidP="003520AF">
      <w:pPr>
        <w:rPr>
          <w:rFonts w:ascii="Arial" w:hAnsi="Arial" w:cs="Arial"/>
          <w:b/>
          <w:i/>
          <w:sz w:val="22"/>
          <w:szCs w:val="22"/>
        </w:rPr>
      </w:pPr>
    </w:p>
    <w:p w:rsidR="001F1CE5" w:rsidRPr="00A4745D" w:rsidRDefault="001F1CE5" w:rsidP="00D74A08">
      <w:pPr>
        <w:overflowPunct/>
        <w:autoSpaceDE/>
        <w:autoSpaceDN/>
        <w:adjustRightInd/>
        <w:textAlignment w:val="auto"/>
        <w:rPr>
          <w:rFonts w:ascii="Arial" w:hAnsi="Arial" w:cs="Arial"/>
          <w:b/>
          <w:sz w:val="22"/>
          <w:szCs w:val="22"/>
        </w:rPr>
      </w:pPr>
    </w:p>
    <w:p w:rsidR="00C55C03" w:rsidRPr="00A4745D" w:rsidRDefault="00C55C03" w:rsidP="001F1CE5">
      <w:pPr>
        <w:overflowPunct/>
        <w:autoSpaceDE/>
        <w:autoSpaceDN/>
        <w:adjustRightInd/>
        <w:textAlignment w:val="auto"/>
        <w:rPr>
          <w:rFonts w:ascii="Arial" w:hAnsi="Arial" w:cs="Arial"/>
          <w:sz w:val="22"/>
          <w:szCs w:val="22"/>
        </w:rPr>
      </w:pPr>
    </w:p>
    <w:sectPr w:rsidR="00C55C03" w:rsidRPr="00A4745D" w:rsidSect="00B37A67">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F4" w:rsidRDefault="003770F4" w:rsidP="005D52B6">
      <w:r>
        <w:separator/>
      </w:r>
    </w:p>
  </w:endnote>
  <w:endnote w:type="continuationSeparator" w:id="0">
    <w:p w:rsidR="003770F4" w:rsidRDefault="003770F4" w:rsidP="005D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rsidP="006E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0F4" w:rsidRDefault="003770F4" w:rsidP="006E3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rsidP="006E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CE5">
      <w:rPr>
        <w:rStyle w:val="PageNumber"/>
        <w:noProof/>
      </w:rPr>
      <w:t>8</w:t>
    </w:r>
    <w:r>
      <w:rPr>
        <w:rStyle w:val="PageNumber"/>
      </w:rPr>
      <w:fldChar w:fldCharType="end"/>
    </w:r>
  </w:p>
  <w:p w:rsidR="003770F4" w:rsidRDefault="003770F4" w:rsidP="006E3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F4" w:rsidRDefault="003770F4" w:rsidP="005D52B6">
      <w:r>
        <w:separator/>
      </w:r>
    </w:p>
  </w:footnote>
  <w:footnote w:type="continuationSeparator" w:id="0">
    <w:p w:rsidR="003770F4" w:rsidRDefault="003770F4" w:rsidP="005D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1A5"/>
    <w:multiLevelType w:val="multilevel"/>
    <w:tmpl w:val="A26A652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34143"/>
    <w:multiLevelType w:val="multilevel"/>
    <w:tmpl w:val="1DE65E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F406E"/>
    <w:multiLevelType w:val="hybridMultilevel"/>
    <w:tmpl w:val="E920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47612"/>
    <w:multiLevelType w:val="hybridMultilevel"/>
    <w:tmpl w:val="9E6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16DA"/>
    <w:multiLevelType w:val="hybridMultilevel"/>
    <w:tmpl w:val="6910E4F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4E96010"/>
    <w:multiLevelType w:val="hybridMultilevel"/>
    <w:tmpl w:val="91BA14F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65F6BDA"/>
    <w:multiLevelType w:val="hybridMultilevel"/>
    <w:tmpl w:val="A3300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27974"/>
    <w:multiLevelType w:val="hybridMultilevel"/>
    <w:tmpl w:val="6A18844C"/>
    <w:lvl w:ilvl="0" w:tplc="845C1C44">
      <w:start w:val="1"/>
      <w:numFmt w:val="bullet"/>
      <w:pStyle w:val="C2Bullet"/>
      <w:lvlText w:val=""/>
      <w:lvlJc w:val="left"/>
      <w:pPr>
        <w:tabs>
          <w:tab w:val="num" w:pos="360"/>
        </w:tabs>
        <w:ind w:left="360" w:hanging="360"/>
      </w:pPr>
      <w:rPr>
        <w:rFonts w:ascii="Symbol" w:hAnsi="Symbol" w:hint="default"/>
        <w:b/>
        <w:i w:val="0"/>
        <w:color w:val="auto"/>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2A9645E"/>
    <w:multiLevelType w:val="hybridMultilevel"/>
    <w:tmpl w:val="7FB60D40"/>
    <w:lvl w:ilvl="0" w:tplc="B6649E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24274"/>
    <w:multiLevelType w:val="hybridMultilevel"/>
    <w:tmpl w:val="B32E9F92"/>
    <w:lvl w:ilvl="0" w:tplc="D4EA9D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2380E"/>
    <w:multiLevelType w:val="hybridMultilevel"/>
    <w:tmpl w:val="3E1E8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20221"/>
    <w:multiLevelType w:val="hybridMultilevel"/>
    <w:tmpl w:val="DB1A2F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D27F8E"/>
    <w:multiLevelType w:val="hybridMultilevel"/>
    <w:tmpl w:val="A024F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77F0D"/>
    <w:multiLevelType w:val="hybridMultilevel"/>
    <w:tmpl w:val="D98C5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61B8B"/>
    <w:multiLevelType w:val="hybridMultilevel"/>
    <w:tmpl w:val="91948624"/>
    <w:lvl w:ilvl="0" w:tplc="4FB092E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3C055B5"/>
    <w:multiLevelType w:val="hybridMultilevel"/>
    <w:tmpl w:val="75FA5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33F83"/>
    <w:multiLevelType w:val="hybridMultilevel"/>
    <w:tmpl w:val="88C8D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A14A4"/>
    <w:multiLevelType w:val="hybridMultilevel"/>
    <w:tmpl w:val="1300265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C1304C"/>
    <w:multiLevelType w:val="hybridMultilevel"/>
    <w:tmpl w:val="0E1E08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1A6A42"/>
    <w:multiLevelType w:val="hybridMultilevel"/>
    <w:tmpl w:val="153E599A"/>
    <w:lvl w:ilvl="0" w:tplc="08090001">
      <w:start w:val="1"/>
      <w:numFmt w:val="bullet"/>
      <w:lvlText w:val=""/>
      <w:lvlJc w:val="left"/>
      <w:pPr>
        <w:tabs>
          <w:tab w:val="num" w:pos="720"/>
        </w:tabs>
        <w:ind w:left="720" w:hanging="360"/>
      </w:pPr>
      <w:rPr>
        <w:rFonts w:ascii="Symbol" w:hAnsi="Symbol" w:hint="default"/>
      </w:rPr>
    </w:lvl>
    <w:lvl w:ilvl="1" w:tplc="86667160">
      <w:start w:val="7"/>
      <w:numFmt w:val="bullet"/>
      <w:lvlText w:val=""/>
      <w:lvlJc w:val="left"/>
      <w:pPr>
        <w:tabs>
          <w:tab w:val="num" w:pos="1440"/>
        </w:tabs>
        <w:ind w:left="1440" w:hanging="360"/>
      </w:pPr>
      <w:rPr>
        <w:rFonts w:ascii="Symbol" w:eastAsia="Times New Roman" w:hAnsi="Symbol" w:cs="Helv"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23C4D"/>
    <w:multiLevelType w:val="hybridMultilevel"/>
    <w:tmpl w:val="2A0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19BB"/>
    <w:multiLevelType w:val="hybridMultilevel"/>
    <w:tmpl w:val="AEB0379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4A022B9"/>
    <w:multiLevelType w:val="hybridMultilevel"/>
    <w:tmpl w:val="9C34FE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5F46D28"/>
    <w:multiLevelType w:val="hybridMultilevel"/>
    <w:tmpl w:val="D496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A20F8"/>
    <w:multiLevelType w:val="hybridMultilevel"/>
    <w:tmpl w:val="1F6E09FE"/>
    <w:lvl w:ilvl="0" w:tplc="845C1C4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8"/>
  </w:num>
  <w:num w:numId="3">
    <w:abstractNumId w:val="2"/>
  </w:num>
  <w:num w:numId="4">
    <w:abstractNumId w:val="20"/>
  </w:num>
  <w:num w:numId="5">
    <w:abstractNumId w:val="1"/>
  </w:num>
  <w:num w:numId="6">
    <w:abstractNumId w:val="17"/>
  </w:num>
  <w:num w:numId="7">
    <w:abstractNumId w:val="24"/>
  </w:num>
  <w:num w:numId="8">
    <w:abstractNumId w:val="18"/>
  </w:num>
  <w:num w:numId="9">
    <w:abstractNumId w:val="13"/>
  </w:num>
  <w:num w:numId="10">
    <w:abstractNumId w:val="10"/>
  </w:num>
  <w:num w:numId="11">
    <w:abstractNumId w:val="4"/>
  </w:num>
  <w:num w:numId="12">
    <w:abstractNumId w:val="23"/>
  </w:num>
  <w:num w:numId="13">
    <w:abstractNumId w:val="9"/>
  </w:num>
  <w:num w:numId="14">
    <w:abstractNumId w:val="15"/>
  </w:num>
  <w:num w:numId="15">
    <w:abstractNumId w:val="22"/>
  </w:num>
  <w:num w:numId="16">
    <w:abstractNumId w:val="21"/>
  </w:num>
  <w:num w:numId="17">
    <w:abstractNumId w:val="11"/>
  </w:num>
  <w:num w:numId="18">
    <w:abstractNumId w:val="19"/>
  </w:num>
  <w:num w:numId="19">
    <w:abstractNumId w:val="5"/>
  </w:num>
  <w:num w:numId="20">
    <w:abstractNumId w:val="14"/>
  </w:num>
  <w:num w:numId="21">
    <w:abstractNumId w:val="3"/>
  </w:num>
  <w:num w:numId="22">
    <w:abstractNumId w:val="16"/>
  </w:num>
  <w:num w:numId="23">
    <w:abstractNumId w:val="12"/>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48"/>
    <w:rsid w:val="00014109"/>
    <w:rsid w:val="00031D6B"/>
    <w:rsid w:val="00032524"/>
    <w:rsid w:val="0004178E"/>
    <w:rsid w:val="0005353F"/>
    <w:rsid w:val="00057605"/>
    <w:rsid w:val="00064B70"/>
    <w:rsid w:val="00065F60"/>
    <w:rsid w:val="00073992"/>
    <w:rsid w:val="0008146B"/>
    <w:rsid w:val="00083C96"/>
    <w:rsid w:val="000C316F"/>
    <w:rsid w:val="000C5406"/>
    <w:rsid w:val="000D50A5"/>
    <w:rsid w:val="000E06EA"/>
    <w:rsid w:val="000E300C"/>
    <w:rsid w:val="001026F3"/>
    <w:rsid w:val="00104810"/>
    <w:rsid w:val="00106711"/>
    <w:rsid w:val="001070C5"/>
    <w:rsid w:val="00107223"/>
    <w:rsid w:val="001115B1"/>
    <w:rsid w:val="00112994"/>
    <w:rsid w:val="00132105"/>
    <w:rsid w:val="00132FCC"/>
    <w:rsid w:val="0013512E"/>
    <w:rsid w:val="00150721"/>
    <w:rsid w:val="0015443C"/>
    <w:rsid w:val="00176AFE"/>
    <w:rsid w:val="00180387"/>
    <w:rsid w:val="00186131"/>
    <w:rsid w:val="00187810"/>
    <w:rsid w:val="00190079"/>
    <w:rsid w:val="001B1B8D"/>
    <w:rsid w:val="001B7691"/>
    <w:rsid w:val="001C07C0"/>
    <w:rsid w:val="001C47C3"/>
    <w:rsid w:val="001E01A1"/>
    <w:rsid w:val="001E1932"/>
    <w:rsid w:val="001E4F94"/>
    <w:rsid w:val="001F1CE5"/>
    <w:rsid w:val="001F4614"/>
    <w:rsid w:val="0022154F"/>
    <w:rsid w:val="0024035A"/>
    <w:rsid w:val="002423E9"/>
    <w:rsid w:val="00242D8A"/>
    <w:rsid w:val="00250028"/>
    <w:rsid w:val="00254E63"/>
    <w:rsid w:val="002630BD"/>
    <w:rsid w:val="00281667"/>
    <w:rsid w:val="00282DBF"/>
    <w:rsid w:val="00286E12"/>
    <w:rsid w:val="0029050E"/>
    <w:rsid w:val="00291CDE"/>
    <w:rsid w:val="002939DC"/>
    <w:rsid w:val="002A5B1C"/>
    <w:rsid w:val="002A7DCC"/>
    <w:rsid w:val="002B0E9D"/>
    <w:rsid w:val="002B3118"/>
    <w:rsid w:val="002B3975"/>
    <w:rsid w:val="002B6EF5"/>
    <w:rsid w:val="002D7851"/>
    <w:rsid w:val="002E3878"/>
    <w:rsid w:val="002F38B6"/>
    <w:rsid w:val="003141E6"/>
    <w:rsid w:val="0031636C"/>
    <w:rsid w:val="003171A7"/>
    <w:rsid w:val="0032107C"/>
    <w:rsid w:val="00335C07"/>
    <w:rsid w:val="003520AF"/>
    <w:rsid w:val="00356EF9"/>
    <w:rsid w:val="00360581"/>
    <w:rsid w:val="00367B80"/>
    <w:rsid w:val="003709D7"/>
    <w:rsid w:val="00370A6E"/>
    <w:rsid w:val="003721C8"/>
    <w:rsid w:val="003729A1"/>
    <w:rsid w:val="003770F4"/>
    <w:rsid w:val="00384EEF"/>
    <w:rsid w:val="0038570C"/>
    <w:rsid w:val="003B7AF3"/>
    <w:rsid w:val="003C5159"/>
    <w:rsid w:val="003E7089"/>
    <w:rsid w:val="003E7542"/>
    <w:rsid w:val="0040263C"/>
    <w:rsid w:val="00416A93"/>
    <w:rsid w:val="00417DB1"/>
    <w:rsid w:val="0042426F"/>
    <w:rsid w:val="00436003"/>
    <w:rsid w:val="004675D9"/>
    <w:rsid w:val="0047149A"/>
    <w:rsid w:val="0047649E"/>
    <w:rsid w:val="004919B2"/>
    <w:rsid w:val="00494EF7"/>
    <w:rsid w:val="004A20CC"/>
    <w:rsid w:val="004A40DE"/>
    <w:rsid w:val="004B23C6"/>
    <w:rsid w:val="004B2AAC"/>
    <w:rsid w:val="004B6DB4"/>
    <w:rsid w:val="004D08E4"/>
    <w:rsid w:val="004D16DE"/>
    <w:rsid w:val="004E364D"/>
    <w:rsid w:val="005062DB"/>
    <w:rsid w:val="005136EF"/>
    <w:rsid w:val="00515B35"/>
    <w:rsid w:val="00533A02"/>
    <w:rsid w:val="00552880"/>
    <w:rsid w:val="0055605C"/>
    <w:rsid w:val="00564722"/>
    <w:rsid w:val="005717D1"/>
    <w:rsid w:val="005B518F"/>
    <w:rsid w:val="005D52B6"/>
    <w:rsid w:val="005F2071"/>
    <w:rsid w:val="005F2160"/>
    <w:rsid w:val="005F3512"/>
    <w:rsid w:val="00602E8D"/>
    <w:rsid w:val="0060346B"/>
    <w:rsid w:val="006224C0"/>
    <w:rsid w:val="006302ED"/>
    <w:rsid w:val="006327EE"/>
    <w:rsid w:val="00632E47"/>
    <w:rsid w:val="00637669"/>
    <w:rsid w:val="00646771"/>
    <w:rsid w:val="006504A4"/>
    <w:rsid w:val="00653805"/>
    <w:rsid w:val="006554F9"/>
    <w:rsid w:val="0067118D"/>
    <w:rsid w:val="00686C4E"/>
    <w:rsid w:val="00693A94"/>
    <w:rsid w:val="00695962"/>
    <w:rsid w:val="00697A1D"/>
    <w:rsid w:val="006A2C8E"/>
    <w:rsid w:val="006B0058"/>
    <w:rsid w:val="006B0A16"/>
    <w:rsid w:val="006B34B9"/>
    <w:rsid w:val="006C0662"/>
    <w:rsid w:val="006C0787"/>
    <w:rsid w:val="006C2FF3"/>
    <w:rsid w:val="006C4384"/>
    <w:rsid w:val="006D1528"/>
    <w:rsid w:val="006E37E7"/>
    <w:rsid w:val="006F02CB"/>
    <w:rsid w:val="00700B7C"/>
    <w:rsid w:val="00707B30"/>
    <w:rsid w:val="007117A3"/>
    <w:rsid w:val="00720D6F"/>
    <w:rsid w:val="00722CBB"/>
    <w:rsid w:val="00726420"/>
    <w:rsid w:val="007305D7"/>
    <w:rsid w:val="00737CBB"/>
    <w:rsid w:val="007429A6"/>
    <w:rsid w:val="0075213B"/>
    <w:rsid w:val="00754D39"/>
    <w:rsid w:val="00764CE6"/>
    <w:rsid w:val="007834F5"/>
    <w:rsid w:val="007A468C"/>
    <w:rsid w:val="007B1310"/>
    <w:rsid w:val="007C0055"/>
    <w:rsid w:val="007D7F1A"/>
    <w:rsid w:val="007E0ECC"/>
    <w:rsid w:val="007E59FC"/>
    <w:rsid w:val="007F0731"/>
    <w:rsid w:val="007F09E3"/>
    <w:rsid w:val="00820154"/>
    <w:rsid w:val="0082370A"/>
    <w:rsid w:val="008464F4"/>
    <w:rsid w:val="008509B0"/>
    <w:rsid w:val="008929B5"/>
    <w:rsid w:val="008B2AA9"/>
    <w:rsid w:val="008C0282"/>
    <w:rsid w:val="00903D41"/>
    <w:rsid w:val="009066DA"/>
    <w:rsid w:val="009103BD"/>
    <w:rsid w:val="0091232E"/>
    <w:rsid w:val="00926CB0"/>
    <w:rsid w:val="00930C0C"/>
    <w:rsid w:val="00936DB6"/>
    <w:rsid w:val="00954612"/>
    <w:rsid w:val="00976610"/>
    <w:rsid w:val="009867C5"/>
    <w:rsid w:val="009A3AD9"/>
    <w:rsid w:val="009B5150"/>
    <w:rsid w:val="009C2556"/>
    <w:rsid w:val="009C6614"/>
    <w:rsid w:val="009D0541"/>
    <w:rsid w:val="009E4397"/>
    <w:rsid w:val="009F1160"/>
    <w:rsid w:val="009F5A73"/>
    <w:rsid w:val="00A4745D"/>
    <w:rsid w:val="00A54C48"/>
    <w:rsid w:val="00A5657E"/>
    <w:rsid w:val="00A65247"/>
    <w:rsid w:val="00A666FA"/>
    <w:rsid w:val="00A870C2"/>
    <w:rsid w:val="00A95C18"/>
    <w:rsid w:val="00AB110E"/>
    <w:rsid w:val="00AB3B70"/>
    <w:rsid w:val="00AB3E3D"/>
    <w:rsid w:val="00AB437E"/>
    <w:rsid w:val="00AD3631"/>
    <w:rsid w:val="00AD3AC6"/>
    <w:rsid w:val="00AD52D8"/>
    <w:rsid w:val="00AF3F01"/>
    <w:rsid w:val="00B06F32"/>
    <w:rsid w:val="00B110C5"/>
    <w:rsid w:val="00B12772"/>
    <w:rsid w:val="00B35B34"/>
    <w:rsid w:val="00B37A67"/>
    <w:rsid w:val="00B57377"/>
    <w:rsid w:val="00B6577A"/>
    <w:rsid w:val="00B76255"/>
    <w:rsid w:val="00B8369A"/>
    <w:rsid w:val="00C150C4"/>
    <w:rsid w:val="00C225BD"/>
    <w:rsid w:val="00C23115"/>
    <w:rsid w:val="00C31BB2"/>
    <w:rsid w:val="00C41920"/>
    <w:rsid w:val="00C464DF"/>
    <w:rsid w:val="00C510BC"/>
    <w:rsid w:val="00C55C03"/>
    <w:rsid w:val="00C70C29"/>
    <w:rsid w:val="00C77233"/>
    <w:rsid w:val="00C8166A"/>
    <w:rsid w:val="00C83772"/>
    <w:rsid w:val="00CA48BD"/>
    <w:rsid w:val="00CA5391"/>
    <w:rsid w:val="00CB1E48"/>
    <w:rsid w:val="00CB1F5E"/>
    <w:rsid w:val="00CC6EB4"/>
    <w:rsid w:val="00CD0383"/>
    <w:rsid w:val="00CD3907"/>
    <w:rsid w:val="00CE6CEB"/>
    <w:rsid w:val="00CF068A"/>
    <w:rsid w:val="00CF7588"/>
    <w:rsid w:val="00D05AC7"/>
    <w:rsid w:val="00D11680"/>
    <w:rsid w:val="00D2214B"/>
    <w:rsid w:val="00D4241F"/>
    <w:rsid w:val="00D446C1"/>
    <w:rsid w:val="00D52ED8"/>
    <w:rsid w:val="00D53380"/>
    <w:rsid w:val="00D54525"/>
    <w:rsid w:val="00D61922"/>
    <w:rsid w:val="00D6267A"/>
    <w:rsid w:val="00D629C4"/>
    <w:rsid w:val="00D6726C"/>
    <w:rsid w:val="00D6758F"/>
    <w:rsid w:val="00D67D28"/>
    <w:rsid w:val="00D74A08"/>
    <w:rsid w:val="00D77A0E"/>
    <w:rsid w:val="00D77B9C"/>
    <w:rsid w:val="00D77DD6"/>
    <w:rsid w:val="00D8379B"/>
    <w:rsid w:val="00DA063E"/>
    <w:rsid w:val="00DA58CD"/>
    <w:rsid w:val="00DF071E"/>
    <w:rsid w:val="00E022B4"/>
    <w:rsid w:val="00E22A1D"/>
    <w:rsid w:val="00E25A0C"/>
    <w:rsid w:val="00E41EB1"/>
    <w:rsid w:val="00E479BE"/>
    <w:rsid w:val="00E503AF"/>
    <w:rsid w:val="00E53B83"/>
    <w:rsid w:val="00EA461C"/>
    <w:rsid w:val="00EB0159"/>
    <w:rsid w:val="00EC1C1A"/>
    <w:rsid w:val="00EC6ABB"/>
    <w:rsid w:val="00EC70DB"/>
    <w:rsid w:val="00EF1675"/>
    <w:rsid w:val="00F1281F"/>
    <w:rsid w:val="00F14A33"/>
    <w:rsid w:val="00F20A12"/>
    <w:rsid w:val="00F3377C"/>
    <w:rsid w:val="00F43353"/>
    <w:rsid w:val="00F53E40"/>
    <w:rsid w:val="00F74852"/>
    <w:rsid w:val="00F936FB"/>
    <w:rsid w:val="00FA1598"/>
    <w:rsid w:val="00FA57EF"/>
    <w:rsid w:val="00FB0284"/>
    <w:rsid w:val="00FB0D48"/>
    <w:rsid w:val="00FB1216"/>
    <w:rsid w:val="00FC785B"/>
    <w:rsid w:val="00FD33DD"/>
    <w:rsid w:val="00FD709D"/>
    <w:rsid w:val="00FE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56062CF5"/>
  <w15:docId w15:val="{E225D33C-367A-4762-B994-59FE827D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48"/>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F1281F"/>
    <w:pPr>
      <w:keepNext/>
      <w:outlineLvl w:val="0"/>
    </w:pPr>
    <w:rPr>
      <w:b/>
      <w:bCs/>
    </w:rPr>
  </w:style>
  <w:style w:type="paragraph" w:styleId="Heading3">
    <w:name w:val="heading 3"/>
    <w:basedOn w:val="Normal"/>
    <w:next w:val="Normal"/>
    <w:link w:val="Heading3Char"/>
    <w:uiPriority w:val="9"/>
    <w:semiHidden/>
    <w:unhideWhenUsed/>
    <w:qFormat/>
    <w:rsid w:val="00C55C0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63E"/>
    <w:pPr>
      <w:tabs>
        <w:tab w:val="center" w:pos="4153"/>
        <w:tab w:val="right" w:pos="8306"/>
      </w:tabs>
    </w:pPr>
  </w:style>
  <w:style w:type="character" w:customStyle="1" w:styleId="FooterChar">
    <w:name w:val="Footer Char"/>
    <w:basedOn w:val="DefaultParagraphFont"/>
    <w:link w:val="Footer"/>
    <w:rsid w:val="00DA063E"/>
    <w:rPr>
      <w:rFonts w:ascii="Times New Roman" w:eastAsia="Times New Roman" w:hAnsi="Times New Roman" w:cs="Times New Roman"/>
      <w:szCs w:val="20"/>
    </w:rPr>
  </w:style>
  <w:style w:type="character" w:customStyle="1" w:styleId="Heading1Char">
    <w:name w:val="Heading 1 Char"/>
    <w:basedOn w:val="DefaultParagraphFont"/>
    <w:link w:val="Heading1"/>
    <w:rsid w:val="00F1281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F1281F"/>
    <w:rPr>
      <w:sz w:val="18"/>
      <w:szCs w:val="18"/>
    </w:rPr>
  </w:style>
  <w:style w:type="character" w:customStyle="1" w:styleId="BalloonTextChar">
    <w:name w:val="Balloon Text Char"/>
    <w:basedOn w:val="DefaultParagraphFont"/>
    <w:link w:val="BalloonText"/>
    <w:uiPriority w:val="99"/>
    <w:semiHidden/>
    <w:rsid w:val="00F1281F"/>
    <w:rPr>
      <w:rFonts w:ascii="Times New Roman" w:eastAsia="Times New Roman" w:hAnsi="Times New Roman" w:cs="Times New Roman"/>
      <w:sz w:val="18"/>
      <w:szCs w:val="18"/>
    </w:rPr>
  </w:style>
  <w:style w:type="character" w:customStyle="1" w:styleId="Heading3Char">
    <w:name w:val="Heading 3 Char"/>
    <w:basedOn w:val="DefaultParagraphFont"/>
    <w:link w:val="Heading3"/>
    <w:uiPriority w:val="9"/>
    <w:semiHidden/>
    <w:rsid w:val="00C55C03"/>
    <w:rPr>
      <w:rFonts w:asciiTheme="majorHAnsi" w:eastAsiaTheme="majorEastAsia" w:hAnsiTheme="majorHAnsi" w:cstheme="majorBidi"/>
      <w:color w:val="1F3763" w:themeColor="accent1" w:themeShade="7F"/>
    </w:rPr>
  </w:style>
  <w:style w:type="paragraph" w:customStyle="1" w:styleId="DocumentControlRight">
    <w:name w:val="Document Control (Right)"/>
    <w:basedOn w:val="Normal"/>
    <w:rsid w:val="00C55C03"/>
    <w:pPr>
      <w:overflowPunct/>
      <w:autoSpaceDE/>
      <w:autoSpaceDN/>
      <w:adjustRightInd/>
      <w:jc w:val="center"/>
      <w:textAlignment w:val="auto"/>
    </w:pPr>
    <w:rPr>
      <w:rFonts w:ascii="Univers" w:hAnsi="Univers"/>
    </w:rPr>
  </w:style>
  <w:style w:type="paragraph" w:styleId="ListParagraph">
    <w:name w:val="List Paragraph"/>
    <w:basedOn w:val="Normal"/>
    <w:uiPriority w:val="34"/>
    <w:qFormat/>
    <w:rsid w:val="003C5159"/>
    <w:pPr>
      <w:ind w:left="720"/>
      <w:contextualSpacing/>
    </w:pPr>
  </w:style>
  <w:style w:type="character" w:styleId="Hyperlink">
    <w:name w:val="Hyperlink"/>
    <w:basedOn w:val="DefaultParagraphFont"/>
    <w:uiPriority w:val="99"/>
    <w:unhideWhenUsed/>
    <w:rsid w:val="004A20CC"/>
    <w:rPr>
      <w:color w:val="0563C1" w:themeColor="hyperlink"/>
      <w:u w:val="single"/>
    </w:rPr>
  </w:style>
  <w:style w:type="character" w:customStyle="1" w:styleId="UnresolvedMention">
    <w:name w:val="Unresolved Mention"/>
    <w:basedOn w:val="DefaultParagraphFont"/>
    <w:uiPriority w:val="99"/>
    <w:semiHidden/>
    <w:unhideWhenUsed/>
    <w:rsid w:val="004A20CC"/>
    <w:rPr>
      <w:color w:val="605E5C"/>
      <w:shd w:val="clear" w:color="auto" w:fill="E1DFDD"/>
    </w:rPr>
  </w:style>
  <w:style w:type="paragraph" w:styleId="NormalWeb">
    <w:name w:val="Normal (Web)"/>
    <w:basedOn w:val="Normal"/>
    <w:uiPriority w:val="99"/>
    <w:unhideWhenUsed/>
    <w:rsid w:val="00F74852"/>
    <w:rPr>
      <w:szCs w:val="24"/>
    </w:rPr>
  </w:style>
  <w:style w:type="character" w:styleId="FollowedHyperlink">
    <w:name w:val="FollowedHyperlink"/>
    <w:basedOn w:val="DefaultParagraphFont"/>
    <w:uiPriority w:val="99"/>
    <w:semiHidden/>
    <w:unhideWhenUsed/>
    <w:rsid w:val="00AF3F01"/>
    <w:rPr>
      <w:color w:val="954F72" w:themeColor="followedHyperlink"/>
      <w:u w:val="single"/>
    </w:rPr>
  </w:style>
  <w:style w:type="table" w:styleId="TableGrid">
    <w:name w:val="Table Grid"/>
    <w:basedOn w:val="TableNormal"/>
    <w:rsid w:val="0001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D52B6"/>
  </w:style>
  <w:style w:type="paragraph" w:styleId="Header">
    <w:name w:val="header"/>
    <w:basedOn w:val="Normal"/>
    <w:link w:val="HeaderChar"/>
    <w:rsid w:val="005D52B6"/>
    <w:pPr>
      <w:tabs>
        <w:tab w:val="center" w:pos="4153"/>
        <w:tab w:val="right" w:pos="8306"/>
      </w:tabs>
      <w:overflowPunct/>
      <w:autoSpaceDE/>
      <w:autoSpaceDN/>
      <w:adjustRightInd/>
      <w:textAlignment w:val="auto"/>
    </w:pPr>
    <w:rPr>
      <w:szCs w:val="24"/>
      <w:lang w:eastAsia="en-GB"/>
    </w:rPr>
  </w:style>
  <w:style w:type="character" w:customStyle="1" w:styleId="HeaderChar">
    <w:name w:val="Header Char"/>
    <w:basedOn w:val="DefaultParagraphFont"/>
    <w:link w:val="Header"/>
    <w:rsid w:val="005D52B6"/>
    <w:rPr>
      <w:rFonts w:ascii="Times New Roman" w:eastAsia="Times New Roman" w:hAnsi="Times New Roman" w:cs="Times New Roman"/>
      <w:lang w:eastAsia="en-GB"/>
    </w:rPr>
  </w:style>
  <w:style w:type="paragraph" w:customStyle="1" w:styleId="C2Bullet">
    <w:name w:val="C2 – Bullet"/>
    <w:basedOn w:val="Normal"/>
    <w:rsid w:val="00EF1675"/>
    <w:pPr>
      <w:numPr>
        <w:numId w:val="25"/>
      </w:numPr>
      <w:overflowPunct/>
      <w:autoSpaceDE/>
      <w:autoSpaceDN/>
      <w:adjustRightInd/>
      <w:textAlignment w:val="auto"/>
    </w:pPr>
    <w:rPr>
      <w:szCs w:val="24"/>
      <w:lang w:eastAsia="en-GB"/>
    </w:rPr>
  </w:style>
  <w:style w:type="paragraph" w:styleId="NoSpacing">
    <w:name w:val="No Spacing"/>
    <w:uiPriority w:val="1"/>
    <w:qFormat/>
    <w:rsid w:val="0024035A"/>
    <w:pPr>
      <w:overflowPunct w:val="0"/>
      <w:autoSpaceDE w:val="0"/>
      <w:autoSpaceDN w:val="0"/>
      <w:adjustRightInd w:val="0"/>
      <w:textAlignment w:val="baseline"/>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1F1C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393">
      <w:bodyDiv w:val="1"/>
      <w:marLeft w:val="0"/>
      <w:marRight w:val="0"/>
      <w:marTop w:val="0"/>
      <w:marBottom w:val="0"/>
      <w:divBdr>
        <w:top w:val="none" w:sz="0" w:space="0" w:color="auto"/>
        <w:left w:val="none" w:sz="0" w:space="0" w:color="auto"/>
        <w:bottom w:val="none" w:sz="0" w:space="0" w:color="auto"/>
        <w:right w:val="none" w:sz="0" w:space="0" w:color="auto"/>
      </w:divBdr>
    </w:div>
    <w:div w:id="154879224">
      <w:bodyDiv w:val="1"/>
      <w:marLeft w:val="0"/>
      <w:marRight w:val="0"/>
      <w:marTop w:val="0"/>
      <w:marBottom w:val="0"/>
      <w:divBdr>
        <w:top w:val="none" w:sz="0" w:space="0" w:color="auto"/>
        <w:left w:val="none" w:sz="0" w:space="0" w:color="auto"/>
        <w:bottom w:val="none" w:sz="0" w:space="0" w:color="auto"/>
        <w:right w:val="none" w:sz="0" w:space="0" w:color="auto"/>
      </w:divBdr>
    </w:div>
    <w:div w:id="703555913">
      <w:bodyDiv w:val="1"/>
      <w:marLeft w:val="0"/>
      <w:marRight w:val="0"/>
      <w:marTop w:val="0"/>
      <w:marBottom w:val="0"/>
      <w:divBdr>
        <w:top w:val="none" w:sz="0" w:space="0" w:color="auto"/>
        <w:left w:val="none" w:sz="0" w:space="0" w:color="auto"/>
        <w:bottom w:val="none" w:sz="0" w:space="0" w:color="auto"/>
        <w:right w:val="none" w:sz="0" w:space="0" w:color="auto"/>
      </w:divBdr>
      <w:divsChild>
        <w:div w:id="1419129670">
          <w:marLeft w:val="0"/>
          <w:marRight w:val="0"/>
          <w:marTop w:val="0"/>
          <w:marBottom w:val="0"/>
          <w:divBdr>
            <w:top w:val="none" w:sz="0" w:space="0" w:color="auto"/>
            <w:left w:val="none" w:sz="0" w:space="0" w:color="auto"/>
            <w:bottom w:val="none" w:sz="0" w:space="0" w:color="auto"/>
            <w:right w:val="none" w:sz="0" w:space="0" w:color="auto"/>
          </w:divBdr>
          <w:divsChild>
            <w:div w:id="1234388439">
              <w:marLeft w:val="0"/>
              <w:marRight w:val="0"/>
              <w:marTop w:val="0"/>
              <w:marBottom w:val="0"/>
              <w:divBdr>
                <w:top w:val="none" w:sz="0" w:space="0" w:color="auto"/>
                <w:left w:val="none" w:sz="0" w:space="0" w:color="auto"/>
                <w:bottom w:val="none" w:sz="0" w:space="0" w:color="auto"/>
                <w:right w:val="none" w:sz="0" w:space="0" w:color="auto"/>
              </w:divBdr>
              <w:divsChild>
                <w:div w:id="3474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39581">
      <w:bodyDiv w:val="1"/>
      <w:marLeft w:val="0"/>
      <w:marRight w:val="0"/>
      <w:marTop w:val="0"/>
      <w:marBottom w:val="0"/>
      <w:divBdr>
        <w:top w:val="none" w:sz="0" w:space="0" w:color="auto"/>
        <w:left w:val="none" w:sz="0" w:space="0" w:color="auto"/>
        <w:bottom w:val="none" w:sz="0" w:space="0" w:color="auto"/>
        <w:right w:val="none" w:sz="0" w:space="0" w:color="auto"/>
      </w:divBdr>
      <w:divsChild>
        <w:div w:id="1686132811">
          <w:marLeft w:val="0"/>
          <w:marRight w:val="0"/>
          <w:marTop w:val="0"/>
          <w:marBottom w:val="0"/>
          <w:divBdr>
            <w:top w:val="none" w:sz="0" w:space="0" w:color="auto"/>
            <w:left w:val="none" w:sz="0" w:space="0" w:color="auto"/>
            <w:bottom w:val="none" w:sz="0" w:space="0" w:color="auto"/>
            <w:right w:val="none" w:sz="0" w:space="0" w:color="auto"/>
          </w:divBdr>
          <w:divsChild>
            <w:div w:id="340208315">
              <w:marLeft w:val="0"/>
              <w:marRight w:val="0"/>
              <w:marTop w:val="0"/>
              <w:marBottom w:val="0"/>
              <w:divBdr>
                <w:top w:val="none" w:sz="0" w:space="0" w:color="auto"/>
                <w:left w:val="none" w:sz="0" w:space="0" w:color="auto"/>
                <w:bottom w:val="none" w:sz="0" w:space="0" w:color="auto"/>
                <w:right w:val="none" w:sz="0" w:space="0" w:color="auto"/>
              </w:divBdr>
              <w:divsChild>
                <w:div w:id="11395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c-uk.org/guidance/ethical_guidance/30608.asp" TargetMode="External"/><Relationship Id="rId4" Type="http://schemas.openxmlformats.org/officeDocument/2006/relationships/settings" Target="settings.xml"/><Relationship Id="rId9" Type="http://schemas.openxmlformats.org/officeDocument/2006/relationships/hyperlink" Target="http://www.mappa.just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91B9-7F49-46F8-A391-43B98BD9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Khatun Rashida</cp:lastModifiedBy>
  <cp:revision>2</cp:revision>
  <dcterms:created xsi:type="dcterms:W3CDTF">2022-11-30T13:32:00Z</dcterms:created>
  <dcterms:modified xsi:type="dcterms:W3CDTF">2022-11-30T13:32:00Z</dcterms:modified>
</cp:coreProperties>
</file>