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D1590" w14:textId="77777777" w:rsidR="00CD6755" w:rsidRDefault="00CD6755" w:rsidP="00B15431">
      <w:pPr>
        <w:spacing w:after="0" w:line="240" w:lineRule="auto"/>
        <w:ind w:left="-567"/>
        <w:rPr>
          <w:rFonts w:ascii="Times New Roman" w:eastAsia="Times New Roman" w:hAnsi="Times New Roman"/>
          <w:sz w:val="24"/>
          <w:szCs w:val="20"/>
        </w:rPr>
      </w:pPr>
      <w:bookmarkStart w:id="0" w:name="_GoBack"/>
      <w:bookmarkEnd w:id="0"/>
    </w:p>
    <w:p w14:paraId="686448BC" w14:textId="3ED41423" w:rsidR="00B15431" w:rsidRPr="00B15431" w:rsidRDefault="00B15431" w:rsidP="00B15431">
      <w:pPr>
        <w:spacing w:after="0" w:line="240" w:lineRule="auto"/>
        <w:ind w:left="-567"/>
        <w:rPr>
          <w:rFonts w:ascii="Times New Roman" w:eastAsia="Times New Roman" w:hAnsi="Times New Roman"/>
          <w:sz w:val="24"/>
          <w:szCs w:val="20"/>
        </w:rPr>
      </w:pPr>
      <w:r w:rsidRPr="00B15431">
        <w:rPr>
          <w:rFonts w:ascii="Times New Roman" w:eastAsia="Times New Roman" w:hAnsi="Times New Roman"/>
          <w:sz w:val="24"/>
          <w:szCs w:val="20"/>
        </w:rPr>
        <w:t xml:space="preserve">    </w:t>
      </w:r>
    </w:p>
    <w:p w14:paraId="6A473853" w14:textId="77777777" w:rsidR="00B15431" w:rsidRPr="00B15431" w:rsidRDefault="00B15431" w:rsidP="00B15431">
      <w:pPr>
        <w:spacing w:after="0" w:line="240" w:lineRule="auto"/>
        <w:ind w:left="-567"/>
        <w:rPr>
          <w:rFonts w:ascii="Times New Roman" w:eastAsia="Times New Roman" w:hAnsi="Times New Roman"/>
          <w:sz w:val="24"/>
          <w:szCs w:val="20"/>
        </w:rPr>
      </w:pPr>
    </w:p>
    <w:p w14:paraId="4948B4CC" w14:textId="77777777" w:rsidR="00B15431" w:rsidRPr="00B15431" w:rsidRDefault="00B15431" w:rsidP="00B15431">
      <w:pPr>
        <w:spacing w:after="0" w:line="240" w:lineRule="auto"/>
        <w:ind w:left="-567"/>
        <w:rPr>
          <w:rFonts w:ascii="Times New Roman" w:eastAsia="Times New Roman" w:hAnsi="Times New Roman"/>
          <w:sz w:val="24"/>
          <w:szCs w:val="20"/>
        </w:rPr>
      </w:pPr>
    </w:p>
    <w:p w14:paraId="054CDE7D" w14:textId="77777777" w:rsidR="00B15431" w:rsidRPr="00B15431" w:rsidRDefault="00B15431" w:rsidP="00B15431">
      <w:pPr>
        <w:spacing w:after="0" w:line="240" w:lineRule="auto"/>
        <w:ind w:left="-567"/>
        <w:rPr>
          <w:rFonts w:ascii="Times New Roman" w:eastAsia="Times New Roman" w:hAnsi="Times New Roman"/>
          <w:sz w:val="24"/>
          <w:szCs w:val="20"/>
        </w:rPr>
      </w:pPr>
    </w:p>
    <w:p w14:paraId="710015DB" w14:textId="77777777" w:rsidR="00B15431" w:rsidRPr="00B15431" w:rsidRDefault="00B15431" w:rsidP="00B15431">
      <w:pPr>
        <w:spacing w:after="0" w:line="240" w:lineRule="auto"/>
        <w:ind w:left="-567"/>
        <w:rPr>
          <w:rFonts w:ascii="Times New Roman" w:eastAsia="Times New Roman" w:hAnsi="Times New Roman"/>
          <w:sz w:val="24"/>
          <w:szCs w:val="20"/>
        </w:rPr>
      </w:pPr>
    </w:p>
    <w:p w14:paraId="2B537875" w14:textId="3EB63E2B" w:rsidR="00B15431" w:rsidRPr="00B15431" w:rsidRDefault="00C336AB" w:rsidP="00B15431">
      <w:pPr>
        <w:spacing w:after="0" w:line="240" w:lineRule="auto"/>
        <w:ind w:left="-567"/>
        <w:rPr>
          <w:rFonts w:ascii="Times New Roman" w:eastAsia="Times New Roman" w:hAnsi="Times New Roman"/>
          <w:sz w:val="24"/>
          <w:szCs w:val="20"/>
        </w:rPr>
      </w:pPr>
      <w:r>
        <w:rPr>
          <w:rFonts w:ascii="Times New Roman" w:eastAsia="Times New Roman" w:hAnsi="Times New Roman"/>
          <w:noProof/>
          <w:sz w:val="24"/>
          <w:szCs w:val="20"/>
          <w:lang w:eastAsia="en-GB"/>
        </w:rPr>
        <mc:AlternateContent>
          <mc:Choice Requires="wps">
            <w:drawing>
              <wp:anchor distT="0" distB="0" distL="114300" distR="114300" simplePos="0" relativeHeight="251658240" behindDoc="0" locked="0" layoutInCell="1" allowOverlap="1" wp14:anchorId="6B0D69DE" wp14:editId="53570D82">
                <wp:simplePos x="0" y="0"/>
                <wp:positionH relativeFrom="column">
                  <wp:posOffset>-387752</wp:posOffset>
                </wp:positionH>
                <wp:positionV relativeFrom="paragraph">
                  <wp:posOffset>189728</wp:posOffset>
                </wp:positionV>
                <wp:extent cx="6282055" cy="3136740"/>
                <wp:effectExtent l="0" t="0" r="0" b="6985"/>
                <wp:wrapNone/>
                <wp:docPr id="9"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282055" cy="313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2AB08" w14:textId="48E61F50" w:rsidR="00795F08" w:rsidRDefault="00795F08" w:rsidP="00B51141">
                            <w:pPr>
                              <w:spacing w:line="360" w:lineRule="auto"/>
                              <w:jc w:val="center"/>
                              <w:rPr>
                                <w:rFonts w:ascii="Arial" w:hAnsi="Arial"/>
                                <w:b/>
                                <w:sz w:val="74"/>
                              </w:rPr>
                            </w:pPr>
                            <w:r>
                              <w:rPr>
                                <w:rFonts w:ascii="Arial" w:hAnsi="Arial"/>
                                <w:b/>
                                <w:sz w:val="40"/>
                                <w:szCs w:val="40"/>
                              </w:rPr>
                              <w:t>Policy</w:t>
                            </w:r>
                          </w:p>
                          <w:p w14:paraId="57E820CE" w14:textId="4BE32881" w:rsidR="00795F08" w:rsidRDefault="00795F08" w:rsidP="00B51141">
                            <w:pPr>
                              <w:spacing w:line="360" w:lineRule="auto"/>
                              <w:jc w:val="center"/>
                              <w:rPr>
                                <w:rFonts w:ascii="Arial" w:hAnsi="Arial"/>
                                <w:b/>
                                <w:sz w:val="74"/>
                              </w:rPr>
                            </w:pPr>
                            <w:r>
                              <w:rPr>
                                <w:rFonts w:ascii="Arial" w:hAnsi="Arial"/>
                                <w:b/>
                                <w:sz w:val="74"/>
                              </w:rPr>
                              <w:t xml:space="preserve"> Clinically Ready for Discharge (CRFD)</w:t>
                            </w:r>
                          </w:p>
                          <w:p w14:paraId="3E762677" w14:textId="0574E4BA" w:rsidR="00795F08" w:rsidRDefault="00795F08" w:rsidP="00B51141">
                            <w:pPr>
                              <w:spacing w:line="360" w:lineRule="auto"/>
                              <w:jc w:val="center"/>
                              <w:rPr>
                                <w:rFonts w:ascii="Arial" w:hAnsi="Arial"/>
                                <w:b/>
                                <w:sz w:val="74"/>
                              </w:rPr>
                            </w:pPr>
                          </w:p>
                          <w:p w14:paraId="7077688B" w14:textId="11E3A2A2" w:rsidR="00795F08" w:rsidRDefault="00795F08" w:rsidP="00B51141">
                            <w:pPr>
                              <w:spacing w:line="360" w:lineRule="auto"/>
                              <w:jc w:val="center"/>
                              <w:rPr>
                                <w:rFonts w:ascii="Arial" w:hAnsi="Arial"/>
                                <w:b/>
                                <w:sz w:val="74"/>
                              </w:rPr>
                            </w:pPr>
                          </w:p>
                          <w:p w14:paraId="64E2EAA7" w14:textId="77777777" w:rsidR="00795F08" w:rsidRPr="00B15431" w:rsidRDefault="00795F08" w:rsidP="00B51141">
                            <w:pPr>
                              <w:spacing w:line="360" w:lineRule="auto"/>
                              <w:jc w:val="center"/>
                              <w:rPr>
                                <w:rFonts w:ascii="Arial" w:hAnsi="Arial"/>
                                <w:b/>
                                <w:sz w:val="74"/>
                              </w:rPr>
                            </w:pPr>
                          </w:p>
                          <w:p w14:paraId="7F3F62F0" w14:textId="77777777" w:rsidR="00795F08" w:rsidRPr="00270857" w:rsidRDefault="00795F08" w:rsidP="00B15431">
                            <w:pPr>
                              <w:spacing w:line="360" w:lineRule="auto"/>
                              <w:rPr>
                                <w:rFonts w:ascii="Arial" w:hAnsi="Arial"/>
                                <w:b/>
                                <w:sz w:val="74"/>
                              </w:rPr>
                            </w:pPr>
                          </w:p>
                          <w:p w14:paraId="3DC384CD" w14:textId="77777777" w:rsidR="00795F08" w:rsidRPr="00270857" w:rsidRDefault="00795F08" w:rsidP="00B15431">
                            <w:pPr>
                              <w:spacing w:line="360" w:lineRule="auto"/>
                              <w:rPr>
                                <w:rFonts w:ascii="Arial" w:hAnsi="Arial"/>
                                <w:sz w:val="36"/>
                              </w:rPr>
                            </w:pPr>
                            <w:r w:rsidRPr="00270857">
                              <w:rPr>
                                <w:rFonts w:ascii="Arial" w:hAnsi="Arial"/>
                                <w:sz w:val="36"/>
                              </w:rPr>
                              <w:t>Sub-heading (click and type over this 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D69DE" id="_x0000_t202" coordsize="21600,21600" o:spt="202" path="m,l,21600r21600,l21600,xe">
                <v:stroke joinstyle="miter"/>
                <v:path gradientshapeok="t" o:connecttype="rect"/>
              </v:shapetype>
              <v:shape id="Text Box 9" o:spid="_x0000_s1026" type="#_x0000_t202" style="position:absolute;left:0;text-align:left;margin-left:-30.55pt;margin-top:14.95pt;width:494.65pt;height:2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" filled="f" stroked="f">
                <o:lock v:ext="edit" aspectratio="t"/>
                <v:textbox>
                  <w:txbxContent>
                    <w:p w14:paraId="4882AB08" w14:textId="48E61F50" w:rsidR="00795F08" w:rsidRDefault="00795F08" w:rsidP="00B51141">
                      <w:pPr>
                        <w:spacing w:line="360" w:lineRule="auto"/>
                        <w:jc w:val="center"/>
                        <w:rPr>
                          <w:rFonts w:ascii="Arial" w:hAnsi="Arial"/>
                          <w:b/>
                          <w:sz w:val="74"/>
                        </w:rPr>
                      </w:pPr>
                      <w:r>
                        <w:rPr>
                          <w:rFonts w:ascii="Arial" w:hAnsi="Arial"/>
                          <w:b/>
                          <w:sz w:val="40"/>
                          <w:szCs w:val="40"/>
                        </w:rPr>
                        <w:t>Policy</w:t>
                      </w:r>
                    </w:p>
                    <w:p w14:paraId="57E820CE" w14:textId="4BE32881" w:rsidR="00795F08" w:rsidRDefault="00795F08" w:rsidP="00B51141">
                      <w:pPr>
                        <w:spacing w:line="360" w:lineRule="auto"/>
                        <w:jc w:val="center"/>
                        <w:rPr>
                          <w:rFonts w:ascii="Arial" w:hAnsi="Arial"/>
                          <w:b/>
                          <w:sz w:val="74"/>
                        </w:rPr>
                      </w:pPr>
                      <w:r>
                        <w:rPr>
                          <w:rFonts w:ascii="Arial" w:hAnsi="Arial"/>
                          <w:b/>
                          <w:sz w:val="74"/>
                        </w:rPr>
                        <w:t xml:space="preserve"> Clinically Ready for Discharge (CRFD)</w:t>
                      </w:r>
                    </w:p>
                    <w:p w14:paraId="3E762677" w14:textId="0574E4BA" w:rsidR="00795F08" w:rsidRDefault="00795F08" w:rsidP="00B51141">
                      <w:pPr>
                        <w:spacing w:line="360" w:lineRule="auto"/>
                        <w:jc w:val="center"/>
                        <w:rPr>
                          <w:rFonts w:ascii="Arial" w:hAnsi="Arial"/>
                          <w:b/>
                          <w:sz w:val="74"/>
                        </w:rPr>
                      </w:pPr>
                    </w:p>
                    <w:p w14:paraId="7077688B" w14:textId="11E3A2A2" w:rsidR="00795F08" w:rsidRDefault="00795F08" w:rsidP="00B51141">
                      <w:pPr>
                        <w:spacing w:line="360" w:lineRule="auto"/>
                        <w:jc w:val="center"/>
                        <w:rPr>
                          <w:rFonts w:ascii="Arial" w:hAnsi="Arial"/>
                          <w:b/>
                          <w:sz w:val="74"/>
                        </w:rPr>
                      </w:pPr>
                    </w:p>
                    <w:p w14:paraId="64E2EAA7" w14:textId="77777777" w:rsidR="00795F08" w:rsidRPr="00B15431" w:rsidRDefault="00795F08" w:rsidP="00B51141">
                      <w:pPr>
                        <w:spacing w:line="360" w:lineRule="auto"/>
                        <w:jc w:val="center"/>
                        <w:rPr>
                          <w:rFonts w:ascii="Arial" w:hAnsi="Arial"/>
                          <w:b/>
                          <w:sz w:val="74"/>
                        </w:rPr>
                      </w:pPr>
                    </w:p>
                    <w:p w14:paraId="7F3F62F0" w14:textId="77777777" w:rsidR="00795F08" w:rsidRPr="00270857" w:rsidRDefault="00795F08" w:rsidP="00B15431">
                      <w:pPr>
                        <w:spacing w:line="360" w:lineRule="auto"/>
                        <w:rPr>
                          <w:rFonts w:ascii="Arial" w:hAnsi="Arial"/>
                          <w:b/>
                          <w:sz w:val="74"/>
                        </w:rPr>
                      </w:pPr>
                    </w:p>
                    <w:p w14:paraId="3DC384CD" w14:textId="77777777" w:rsidR="00795F08" w:rsidRPr="00270857" w:rsidRDefault="00795F08" w:rsidP="00B15431">
                      <w:pPr>
                        <w:spacing w:line="360" w:lineRule="auto"/>
                        <w:rPr>
                          <w:rFonts w:ascii="Arial" w:hAnsi="Arial"/>
                          <w:sz w:val="36"/>
                        </w:rPr>
                      </w:pPr>
                      <w:r w:rsidRPr="00270857">
                        <w:rPr>
                          <w:rFonts w:ascii="Arial" w:hAnsi="Arial"/>
                          <w:sz w:val="36"/>
                        </w:rPr>
                        <w:t>Sub-heading (click and type over this text)</w:t>
                      </w:r>
                    </w:p>
                  </w:txbxContent>
                </v:textbox>
              </v:shape>
            </w:pict>
          </mc:Fallback>
        </mc:AlternateContent>
      </w:r>
    </w:p>
    <w:p w14:paraId="3C40EAC2" w14:textId="4F244D4C" w:rsidR="00B15431" w:rsidRPr="00B15431" w:rsidRDefault="00B15431" w:rsidP="00B15431">
      <w:pPr>
        <w:spacing w:after="0" w:line="240" w:lineRule="auto"/>
        <w:ind w:left="-567"/>
        <w:rPr>
          <w:rFonts w:ascii="Times New Roman" w:eastAsia="Times New Roman" w:hAnsi="Times New Roman"/>
          <w:sz w:val="24"/>
          <w:szCs w:val="20"/>
        </w:rPr>
      </w:pPr>
    </w:p>
    <w:p w14:paraId="217AEE8B" w14:textId="77777777" w:rsidR="00B15431" w:rsidRPr="00B15431" w:rsidRDefault="00B15431" w:rsidP="00B15431">
      <w:pPr>
        <w:spacing w:after="0" w:line="240" w:lineRule="auto"/>
        <w:ind w:left="-567"/>
        <w:rPr>
          <w:rFonts w:ascii="Times New Roman" w:eastAsia="Times New Roman" w:hAnsi="Times New Roman"/>
          <w:sz w:val="24"/>
          <w:szCs w:val="20"/>
        </w:rPr>
      </w:pPr>
    </w:p>
    <w:p w14:paraId="041E0AB7" w14:textId="77777777" w:rsidR="00B15431" w:rsidRPr="00B15431" w:rsidRDefault="00B15431" w:rsidP="00B15431">
      <w:pPr>
        <w:spacing w:after="0" w:line="240" w:lineRule="auto"/>
        <w:ind w:left="-567"/>
        <w:rPr>
          <w:rFonts w:ascii="Times New Roman" w:eastAsia="Times New Roman" w:hAnsi="Times New Roman"/>
          <w:sz w:val="24"/>
          <w:szCs w:val="20"/>
        </w:rPr>
      </w:pPr>
    </w:p>
    <w:p w14:paraId="0F8DB526" w14:textId="77777777" w:rsidR="00B15431" w:rsidRPr="00B15431" w:rsidRDefault="00B15431" w:rsidP="00B15431">
      <w:pPr>
        <w:spacing w:after="0" w:line="240" w:lineRule="auto"/>
        <w:ind w:left="-567"/>
        <w:rPr>
          <w:rFonts w:ascii="Times New Roman" w:eastAsia="Times New Roman" w:hAnsi="Times New Roman"/>
          <w:sz w:val="24"/>
          <w:szCs w:val="20"/>
        </w:rPr>
      </w:pPr>
    </w:p>
    <w:p w14:paraId="4A6B1BCA" w14:textId="77777777" w:rsidR="00B15431" w:rsidRPr="00B15431" w:rsidRDefault="00B15431" w:rsidP="00B15431">
      <w:pPr>
        <w:spacing w:after="0" w:line="240" w:lineRule="auto"/>
        <w:ind w:left="-567"/>
        <w:rPr>
          <w:rFonts w:ascii="Times New Roman" w:eastAsia="Times New Roman" w:hAnsi="Times New Roman"/>
          <w:sz w:val="24"/>
          <w:szCs w:val="20"/>
        </w:rPr>
      </w:pPr>
    </w:p>
    <w:p w14:paraId="0A15FBF0" w14:textId="77777777" w:rsidR="00B15431" w:rsidRDefault="00B15431" w:rsidP="00B15431">
      <w:pPr>
        <w:spacing w:after="0" w:line="240" w:lineRule="auto"/>
        <w:ind w:left="-567"/>
        <w:rPr>
          <w:rFonts w:ascii="Times New Roman" w:eastAsia="Times New Roman" w:hAnsi="Times New Roman"/>
          <w:sz w:val="24"/>
          <w:szCs w:val="20"/>
        </w:rPr>
      </w:pPr>
    </w:p>
    <w:p w14:paraId="086EDAB7" w14:textId="77777777" w:rsidR="00B51141" w:rsidRPr="00B15431" w:rsidRDefault="00B51141" w:rsidP="00B15431">
      <w:pPr>
        <w:spacing w:after="0" w:line="240" w:lineRule="auto"/>
        <w:ind w:left="-567"/>
        <w:rPr>
          <w:rFonts w:ascii="Times New Roman" w:eastAsia="Times New Roman" w:hAnsi="Times New Roman"/>
          <w:sz w:val="24"/>
          <w:szCs w:val="20"/>
        </w:rPr>
      </w:pPr>
    </w:p>
    <w:p w14:paraId="1FC95E9F" w14:textId="77777777" w:rsidR="00B15431" w:rsidRPr="00B15431" w:rsidRDefault="00B15431" w:rsidP="00B15431">
      <w:pPr>
        <w:spacing w:after="0" w:line="240" w:lineRule="auto"/>
        <w:ind w:left="-567"/>
        <w:rPr>
          <w:rFonts w:ascii="Times New Roman" w:eastAsia="Times New Roman" w:hAnsi="Times New Roman"/>
          <w:sz w:val="24"/>
          <w:szCs w:val="20"/>
        </w:rPr>
      </w:pPr>
    </w:p>
    <w:p w14:paraId="0B3FBFD3" w14:textId="77777777" w:rsidR="00B15431" w:rsidRPr="00B15431" w:rsidRDefault="00B15431" w:rsidP="00B15431">
      <w:pPr>
        <w:spacing w:after="0" w:line="240" w:lineRule="auto"/>
        <w:ind w:left="-567"/>
        <w:rPr>
          <w:rFonts w:ascii="Arial" w:eastAsia="Times New Roman" w:hAnsi="Arial" w:cs="Arial"/>
          <w:sz w:val="24"/>
          <w:szCs w:val="20"/>
        </w:rPr>
      </w:pPr>
    </w:p>
    <w:p w14:paraId="27AEAEC3" w14:textId="77777777" w:rsidR="00B15431" w:rsidRPr="00B15431" w:rsidRDefault="00B15431" w:rsidP="00B15431">
      <w:pPr>
        <w:spacing w:after="0" w:line="240" w:lineRule="auto"/>
        <w:ind w:left="-567"/>
        <w:rPr>
          <w:rFonts w:ascii="Times New Roman" w:eastAsia="Times New Roman" w:hAnsi="Times New Roman"/>
          <w:sz w:val="24"/>
          <w:szCs w:val="20"/>
        </w:rPr>
      </w:pPr>
    </w:p>
    <w:p w14:paraId="73732FA6" w14:textId="77777777" w:rsidR="00B15431" w:rsidRPr="00B15431" w:rsidRDefault="00B15431" w:rsidP="00B15431">
      <w:pPr>
        <w:spacing w:after="0" w:line="240" w:lineRule="auto"/>
        <w:ind w:left="-567"/>
        <w:rPr>
          <w:rFonts w:ascii="Times New Roman" w:eastAsia="Times New Roman" w:hAnsi="Times New Roman"/>
          <w:sz w:val="24"/>
          <w:szCs w:val="20"/>
        </w:rPr>
      </w:pPr>
    </w:p>
    <w:p w14:paraId="24F7F814" w14:textId="77777777" w:rsidR="00B15431" w:rsidRPr="00B15431" w:rsidRDefault="00B15431" w:rsidP="00B15431">
      <w:pPr>
        <w:spacing w:after="0" w:line="240" w:lineRule="auto"/>
        <w:ind w:left="-567"/>
        <w:rPr>
          <w:rFonts w:ascii="Times New Roman" w:eastAsia="Times New Roman" w:hAnsi="Times New Roman"/>
          <w:sz w:val="24"/>
          <w:szCs w:val="20"/>
        </w:rPr>
      </w:pPr>
    </w:p>
    <w:p w14:paraId="57F4EC02" w14:textId="77777777" w:rsidR="00B15431" w:rsidRPr="00B15431" w:rsidRDefault="00B15431" w:rsidP="00B15431">
      <w:pPr>
        <w:spacing w:after="0" w:line="240" w:lineRule="auto"/>
        <w:ind w:left="-567"/>
        <w:rPr>
          <w:rFonts w:ascii="Times New Roman" w:eastAsia="Times New Roman" w:hAnsi="Times New Roman"/>
          <w:sz w:val="24"/>
          <w:szCs w:val="20"/>
        </w:rPr>
      </w:pPr>
    </w:p>
    <w:p w14:paraId="6A0EF346" w14:textId="77777777" w:rsidR="00B15431" w:rsidRPr="00B15431" w:rsidRDefault="00B15431" w:rsidP="00B15431">
      <w:pPr>
        <w:spacing w:after="0" w:line="240" w:lineRule="auto"/>
        <w:ind w:left="-567"/>
        <w:rPr>
          <w:rFonts w:ascii="Times New Roman" w:eastAsia="Times New Roman" w:hAnsi="Times New Roman"/>
          <w:sz w:val="24"/>
          <w:szCs w:val="20"/>
        </w:rPr>
      </w:pPr>
    </w:p>
    <w:p w14:paraId="5A97A982" w14:textId="77777777" w:rsidR="00B15431" w:rsidRPr="00B15431" w:rsidRDefault="00B15431" w:rsidP="00B15431">
      <w:pPr>
        <w:spacing w:after="0" w:line="240" w:lineRule="auto"/>
        <w:ind w:left="-567"/>
        <w:rPr>
          <w:rFonts w:ascii="Times New Roman" w:eastAsia="Times New Roman" w:hAnsi="Times New Roman"/>
          <w:sz w:val="24"/>
          <w:szCs w:val="20"/>
        </w:rPr>
      </w:pPr>
    </w:p>
    <w:tbl>
      <w:tblPr>
        <w:tblStyle w:val="TableGrid"/>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7A0" w:firstRow="1" w:lastRow="0" w:firstColumn="1" w:lastColumn="1" w:noHBand="1" w:noVBand="1"/>
        <w:tblCaption w:val="Procedure Title Page"/>
        <w:tblDescription w:val="This table contains information about who wrote trhis document, when it was approved and when it should be reviewed."/>
      </w:tblPr>
      <w:tblGrid>
        <w:gridCol w:w="3215"/>
        <w:gridCol w:w="5810"/>
      </w:tblGrid>
      <w:tr w:rsidR="00102765" w:rsidRPr="00BB662E" w14:paraId="2D8C3DBD" w14:textId="77777777" w:rsidTr="004044A5">
        <w:trPr>
          <w:tblHeader/>
        </w:trPr>
        <w:tc>
          <w:tcPr>
            <w:tcW w:w="1781" w:type="pct"/>
            <w:tcBorders>
              <w:top w:val="single" w:sz="4" w:space="0" w:color="auto"/>
              <w:left w:val="single" w:sz="4" w:space="0" w:color="auto"/>
              <w:bottom w:val="single" w:sz="4" w:space="0" w:color="auto"/>
            </w:tcBorders>
          </w:tcPr>
          <w:p w14:paraId="26097720" w14:textId="77777777" w:rsidR="00102765" w:rsidRPr="00BB662E" w:rsidRDefault="00102765" w:rsidP="004044A5">
            <w:pPr>
              <w:widowControl w:val="0"/>
              <w:autoSpaceDE w:val="0"/>
              <w:autoSpaceDN w:val="0"/>
              <w:adjustRightInd w:val="0"/>
              <w:spacing w:before="20" w:after="20"/>
              <w:rPr>
                <w:rFonts w:cs="Arial"/>
              </w:rPr>
            </w:pPr>
            <w:r w:rsidRPr="00BB662E">
              <w:rPr>
                <w:rFonts w:cs="Arial"/>
                <w:b/>
                <w:bCs/>
              </w:rPr>
              <w:t>Document Control</w:t>
            </w:r>
          </w:p>
        </w:tc>
        <w:tc>
          <w:tcPr>
            <w:tcW w:w="3219" w:type="pct"/>
            <w:tcBorders>
              <w:top w:val="single" w:sz="4" w:space="0" w:color="auto"/>
              <w:bottom w:val="single" w:sz="4" w:space="0" w:color="auto"/>
              <w:right w:val="single" w:sz="4" w:space="0" w:color="auto"/>
            </w:tcBorders>
          </w:tcPr>
          <w:p w14:paraId="542BC0B2" w14:textId="77777777" w:rsidR="00102765" w:rsidRPr="00BB662E" w:rsidRDefault="00102765" w:rsidP="004044A5">
            <w:pPr>
              <w:widowControl w:val="0"/>
              <w:autoSpaceDE w:val="0"/>
              <w:autoSpaceDN w:val="0"/>
              <w:adjustRightInd w:val="0"/>
              <w:spacing w:before="20" w:after="20"/>
              <w:rPr>
                <w:rFonts w:cs="Arial"/>
                <w:bCs/>
                <w:i/>
                <w:color w:val="808080"/>
              </w:rPr>
            </w:pPr>
          </w:p>
        </w:tc>
      </w:tr>
      <w:tr w:rsidR="00102765" w:rsidRPr="00BB662E" w14:paraId="7771BC65" w14:textId="77777777" w:rsidTr="004044A5">
        <w:trPr>
          <w:tblHeader/>
        </w:trPr>
        <w:tc>
          <w:tcPr>
            <w:tcW w:w="1781" w:type="pct"/>
            <w:tcBorders>
              <w:top w:val="single" w:sz="4" w:space="0" w:color="auto"/>
              <w:left w:val="single" w:sz="4" w:space="0" w:color="auto"/>
              <w:bottom w:val="single" w:sz="4" w:space="0" w:color="auto"/>
              <w:right w:val="single" w:sz="4" w:space="0" w:color="auto"/>
            </w:tcBorders>
            <w:hideMark/>
          </w:tcPr>
          <w:p w14:paraId="782943AA" w14:textId="6BFCA397" w:rsidR="00102765" w:rsidRPr="00BB662E" w:rsidRDefault="00102765" w:rsidP="004044A5">
            <w:pPr>
              <w:widowControl w:val="0"/>
              <w:autoSpaceDE w:val="0"/>
              <w:autoSpaceDN w:val="0"/>
              <w:adjustRightInd w:val="0"/>
              <w:spacing w:before="40" w:after="40"/>
              <w:rPr>
                <w:rFonts w:cs="Arial"/>
              </w:rPr>
            </w:pPr>
            <w:r w:rsidRPr="00BB662E">
              <w:rPr>
                <w:rFonts w:cs="Arial"/>
              </w:rPr>
              <w:t>Title:</w:t>
            </w:r>
          </w:p>
        </w:tc>
        <w:tc>
          <w:tcPr>
            <w:tcW w:w="3219" w:type="pct"/>
            <w:tcBorders>
              <w:top w:val="single" w:sz="4" w:space="0" w:color="auto"/>
              <w:left w:val="single" w:sz="4" w:space="0" w:color="auto"/>
              <w:bottom w:val="single" w:sz="4" w:space="0" w:color="auto"/>
              <w:right w:val="single" w:sz="4" w:space="0" w:color="auto"/>
            </w:tcBorders>
            <w:vAlign w:val="center"/>
          </w:tcPr>
          <w:p w14:paraId="6215BFF3" w14:textId="194BF8CF" w:rsidR="00102765" w:rsidRPr="00971CC7" w:rsidRDefault="001F0B48">
            <w:pPr>
              <w:spacing w:before="40" w:after="40"/>
            </w:pPr>
            <w:r>
              <w:t>Clinically Ready f</w:t>
            </w:r>
            <w:r w:rsidR="00DA5C30">
              <w:t>or Discharge (CRFD) formerly known as Delay Transfer of Care (DTOC)</w:t>
            </w:r>
          </w:p>
        </w:tc>
      </w:tr>
      <w:tr w:rsidR="00102765" w:rsidRPr="00BB662E" w14:paraId="445DA883" w14:textId="77777777" w:rsidTr="004044A5">
        <w:trPr>
          <w:tblHeader/>
        </w:trPr>
        <w:tc>
          <w:tcPr>
            <w:tcW w:w="1781" w:type="pct"/>
            <w:tcBorders>
              <w:top w:val="single" w:sz="4" w:space="0" w:color="auto"/>
              <w:left w:val="single" w:sz="4" w:space="0" w:color="auto"/>
              <w:bottom w:val="single" w:sz="4" w:space="0" w:color="auto"/>
              <w:right w:val="single" w:sz="4" w:space="0" w:color="auto"/>
            </w:tcBorders>
            <w:hideMark/>
          </w:tcPr>
          <w:p w14:paraId="615556D7" w14:textId="77777777" w:rsidR="00102765" w:rsidRPr="00BB662E" w:rsidRDefault="00102765" w:rsidP="004044A5">
            <w:pPr>
              <w:widowControl w:val="0"/>
              <w:autoSpaceDE w:val="0"/>
              <w:autoSpaceDN w:val="0"/>
              <w:adjustRightInd w:val="0"/>
              <w:spacing w:before="40" w:after="40"/>
              <w:rPr>
                <w:rFonts w:cs="Arial"/>
              </w:rPr>
            </w:pPr>
            <w:r w:rsidRPr="00BB662E">
              <w:rPr>
                <w:rFonts w:cs="Arial"/>
              </w:rPr>
              <w:t>Version:</w:t>
            </w:r>
          </w:p>
        </w:tc>
        <w:tc>
          <w:tcPr>
            <w:tcW w:w="3219" w:type="pct"/>
            <w:tcBorders>
              <w:top w:val="single" w:sz="4" w:space="0" w:color="auto"/>
              <w:left w:val="single" w:sz="4" w:space="0" w:color="auto"/>
              <w:bottom w:val="single" w:sz="4" w:space="0" w:color="auto"/>
              <w:right w:val="single" w:sz="4" w:space="0" w:color="auto"/>
            </w:tcBorders>
            <w:vAlign w:val="center"/>
          </w:tcPr>
          <w:p w14:paraId="21F16287" w14:textId="6B91BF39" w:rsidR="00102765" w:rsidRPr="00971CC7" w:rsidRDefault="00DA5C30">
            <w:pPr>
              <w:spacing w:before="40" w:after="40"/>
            </w:pPr>
            <w:r>
              <w:t>V2</w:t>
            </w:r>
            <w:r w:rsidR="00102765">
              <w:t>.0</w:t>
            </w:r>
          </w:p>
        </w:tc>
      </w:tr>
      <w:tr w:rsidR="00102765" w:rsidRPr="00BB662E" w14:paraId="009194C9" w14:textId="77777777" w:rsidTr="004044A5">
        <w:trPr>
          <w:tblHeader/>
        </w:trPr>
        <w:tc>
          <w:tcPr>
            <w:tcW w:w="1781" w:type="pct"/>
            <w:tcBorders>
              <w:top w:val="single" w:sz="4" w:space="0" w:color="auto"/>
              <w:left w:val="single" w:sz="4" w:space="0" w:color="auto"/>
              <w:bottom w:val="single" w:sz="4" w:space="0" w:color="auto"/>
              <w:right w:val="single" w:sz="4" w:space="0" w:color="auto"/>
            </w:tcBorders>
            <w:hideMark/>
          </w:tcPr>
          <w:p w14:paraId="581690C4" w14:textId="77777777" w:rsidR="00102765" w:rsidRPr="00BB662E" w:rsidRDefault="00102765" w:rsidP="004044A5">
            <w:pPr>
              <w:widowControl w:val="0"/>
              <w:autoSpaceDE w:val="0"/>
              <w:autoSpaceDN w:val="0"/>
              <w:adjustRightInd w:val="0"/>
              <w:spacing w:before="40" w:after="40"/>
              <w:rPr>
                <w:rFonts w:cs="Arial"/>
              </w:rPr>
            </w:pPr>
            <w:r w:rsidRPr="00BB662E">
              <w:rPr>
                <w:rFonts w:cs="Arial"/>
              </w:rPr>
              <w:t>Replaces / dated:</w:t>
            </w:r>
          </w:p>
        </w:tc>
        <w:tc>
          <w:tcPr>
            <w:tcW w:w="3219" w:type="pct"/>
            <w:tcBorders>
              <w:top w:val="single" w:sz="4" w:space="0" w:color="auto"/>
              <w:left w:val="single" w:sz="4" w:space="0" w:color="auto"/>
              <w:bottom w:val="single" w:sz="4" w:space="0" w:color="auto"/>
              <w:right w:val="single" w:sz="4" w:space="0" w:color="auto"/>
            </w:tcBorders>
            <w:vAlign w:val="center"/>
          </w:tcPr>
          <w:p w14:paraId="74BC8D9C" w14:textId="4BCBAA4F" w:rsidR="00102765" w:rsidRPr="00971CC7" w:rsidRDefault="00DA5C30">
            <w:pPr>
              <w:spacing w:before="40" w:after="40"/>
            </w:pPr>
            <w:r>
              <w:t xml:space="preserve">12 </w:t>
            </w:r>
            <w:r w:rsidR="00102765" w:rsidRPr="00971CC7">
              <w:t>December 20</w:t>
            </w:r>
            <w:r>
              <w:t>18</w:t>
            </w:r>
            <w:r w:rsidR="00102765" w:rsidRPr="00971CC7">
              <w:t xml:space="preserve"> </w:t>
            </w:r>
          </w:p>
        </w:tc>
      </w:tr>
      <w:tr w:rsidR="00DA5C30" w:rsidRPr="00BB662E" w14:paraId="0B42467F" w14:textId="77777777" w:rsidTr="004044A5">
        <w:trPr>
          <w:tblHeader/>
        </w:trPr>
        <w:tc>
          <w:tcPr>
            <w:tcW w:w="1781" w:type="pct"/>
            <w:tcBorders>
              <w:top w:val="single" w:sz="4" w:space="0" w:color="auto"/>
              <w:left w:val="single" w:sz="4" w:space="0" w:color="auto"/>
              <w:bottom w:val="single" w:sz="4" w:space="0" w:color="auto"/>
              <w:right w:val="single" w:sz="4" w:space="0" w:color="auto"/>
            </w:tcBorders>
            <w:hideMark/>
          </w:tcPr>
          <w:p w14:paraId="1A69D5C5" w14:textId="3B8A109C" w:rsidR="00DA5C30" w:rsidRPr="00BB662E" w:rsidRDefault="00DA5C30" w:rsidP="00DA5C30">
            <w:pPr>
              <w:widowControl w:val="0"/>
              <w:autoSpaceDE w:val="0"/>
              <w:autoSpaceDN w:val="0"/>
              <w:adjustRightInd w:val="0"/>
              <w:spacing w:before="40" w:after="40"/>
              <w:rPr>
                <w:rFonts w:cs="Arial"/>
              </w:rPr>
            </w:pPr>
            <w:r>
              <w:rPr>
                <w:rFonts w:cs="Arial"/>
              </w:rPr>
              <w:t>Authorising</w:t>
            </w:r>
            <w:r w:rsidRPr="00BB662E">
              <w:rPr>
                <w:rFonts w:cs="Arial"/>
              </w:rPr>
              <w:t xml:space="preserve"> </w:t>
            </w:r>
            <w:r>
              <w:rPr>
                <w:rFonts w:cs="Arial"/>
              </w:rPr>
              <w:t>C</w:t>
            </w:r>
            <w:r w:rsidRPr="00BB662E">
              <w:rPr>
                <w:rFonts w:cs="Arial"/>
              </w:rPr>
              <w:t>ommittee:</w:t>
            </w:r>
          </w:p>
        </w:tc>
        <w:tc>
          <w:tcPr>
            <w:tcW w:w="3219" w:type="pct"/>
            <w:tcBorders>
              <w:top w:val="single" w:sz="4" w:space="0" w:color="auto"/>
              <w:left w:val="single" w:sz="4" w:space="0" w:color="auto"/>
              <w:bottom w:val="single" w:sz="4" w:space="0" w:color="auto"/>
              <w:right w:val="single" w:sz="4" w:space="0" w:color="auto"/>
            </w:tcBorders>
            <w:vAlign w:val="center"/>
          </w:tcPr>
          <w:p w14:paraId="693AAE6C" w14:textId="77777777" w:rsidR="00DA5C30" w:rsidRPr="00971CC7" w:rsidRDefault="00DA5C30" w:rsidP="00DA5C30">
            <w:pPr>
              <w:spacing w:before="40" w:after="40"/>
            </w:pPr>
            <w:r>
              <w:t>Operations Board</w:t>
            </w:r>
          </w:p>
        </w:tc>
      </w:tr>
      <w:tr w:rsidR="00DA5C30" w:rsidRPr="00BB662E" w14:paraId="1A75B023" w14:textId="77777777" w:rsidTr="004044A5">
        <w:trPr>
          <w:tblHeader/>
        </w:trPr>
        <w:tc>
          <w:tcPr>
            <w:tcW w:w="1781" w:type="pct"/>
            <w:tcBorders>
              <w:top w:val="single" w:sz="4" w:space="0" w:color="auto"/>
              <w:left w:val="single" w:sz="4" w:space="0" w:color="auto"/>
              <w:bottom w:val="single" w:sz="4" w:space="0" w:color="auto"/>
              <w:right w:val="single" w:sz="4" w:space="0" w:color="auto"/>
            </w:tcBorders>
            <w:hideMark/>
          </w:tcPr>
          <w:p w14:paraId="3CDDBBBE" w14:textId="77777777" w:rsidR="00DA5C30" w:rsidRPr="00BB662E" w:rsidRDefault="00DA5C30" w:rsidP="00DA5C30">
            <w:pPr>
              <w:widowControl w:val="0"/>
              <w:autoSpaceDE w:val="0"/>
              <w:autoSpaceDN w:val="0"/>
              <w:adjustRightInd w:val="0"/>
              <w:spacing w:before="40" w:after="40"/>
              <w:rPr>
                <w:rFonts w:cs="Arial"/>
              </w:rPr>
            </w:pPr>
            <w:r w:rsidRPr="00BB662E">
              <w:rPr>
                <w:rFonts w:cs="Arial"/>
              </w:rPr>
              <w:t>Primary Readers:</w:t>
            </w:r>
          </w:p>
        </w:tc>
        <w:tc>
          <w:tcPr>
            <w:tcW w:w="3219" w:type="pct"/>
            <w:tcBorders>
              <w:top w:val="single" w:sz="4" w:space="0" w:color="auto"/>
              <w:left w:val="single" w:sz="4" w:space="0" w:color="auto"/>
              <w:bottom w:val="single" w:sz="4" w:space="0" w:color="auto"/>
              <w:right w:val="single" w:sz="4" w:space="0" w:color="auto"/>
            </w:tcBorders>
            <w:vAlign w:val="center"/>
          </w:tcPr>
          <w:p w14:paraId="21782D7C" w14:textId="4174C1D4" w:rsidR="00DA5C30" w:rsidRPr="00971CC7" w:rsidRDefault="005420B8" w:rsidP="00CA148D">
            <w:pPr>
              <w:spacing w:before="40" w:after="40"/>
            </w:pPr>
            <w:r>
              <w:t xml:space="preserve">All staff involved in </w:t>
            </w:r>
            <w:r w:rsidR="00CA148D">
              <w:t>service user</w:t>
            </w:r>
            <w:r w:rsidR="00DA5C30" w:rsidRPr="00971CC7">
              <w:t xml:space="preserve"> discharge</w:t>
            </w:r>
          </w:p>
        </w:tc>
      </w:tr>
      <w:tr w:rsidR="00DA5C30" w:rsidRPr="00BB662E" w14:paraId="2D3D2AC2" w14:textId="77777777" w:rsidTr="004044A5">
        <w:trPr>
          <w:tblHeader/>
        </w:trPr>
        <w:tc>
          <w:tcPr>
            <w:tcW w:w="1781" w:type="pct"/>
            <w:tcBorders>
              <w:top w:val="single" w:sz="4" w:space="0" w:color="auto"/>
              <w:left w:val="single" w:sz="4" w:space="0" w:color="auto"/>
              <w:bottom w:val="single" w:sz="4" w:space="0" w:color="auto"/>
              <w:right w:val="single" w:sz="4" w:space="0" w:color="auto"/>
            </w:tcBorders>
            <w:hideMark/>
          </w:tcPr>
          <w:p w14:paraId="2FF2EA22" w14:textId="77777777" w:rsidR="00DA5C30" w:rsidRPr="00BB662E" w:rsidRDefault="00DA5C30" w:rsidP="00DA5C30">
            <w:pPr>
              <w:widowControl w:val="0"/>
              <w:autoSpaceDE w:val="0"/>
              <w:autoSpaceDN w:val="0"/>
              <w:adjustRightInd w:val="0"/>
              <w:spacing w:before="40" w:after="40"/>
              <w:rPr>
                <w:rFonts w:cs="Arial"/>
              </w:rPr>
            </w:pPr>
            <w:r w:rsidRPr="00BB662E">
              <w:rPr>
                <w:rFonts w:cs="Arial"/>
              </w:rPr>
              <w:t>Additional Readers</w:t>
            </w:r>
          </w:p>
        </w:tc>
        <w:tc>
          <w:tcPr>
            <w:tcW w:w="3219" w:type="pct"/>
            <w:tcBorders>
              <w:top w:val="single" w:sz="4" w:space="0" w:color="auto"/>
              <w:left w:val="single" w:sz="4" w:space="0" w:color="auto"/>
              <w:bottom w:val="single" w:sz="4" w:space="0" w:color="auto"/>
              <w:right w:val="single" w:sz="4" w:space="0" w:color="auto"/>
            </w:tcBorders>
            <w:vAlign w:val="center"/>
          </w:tcPr>
          <w:p w14:paraId="150CF5C4" w14:textId="77777777" w:rsidR="00DA5C30" w:rsidRPr="00971CC7" w:rsidRDefault="00DA5C30" w:rsidP="00DA5C30">
            <w:pPr>
              <w:spacing w:before="40" w:after="40"/>
            </w:pPr>
            <w:r>
              <w:t>All Clinical Staff</w:t>
            </w:r>
          </w:p>
        </w:tc>
      </w:tr>
      <w:tr w:rsidR="00DA5C30" w:rsidRPr="00BB662E" w14:paraId="060C4324" w14:textId="77777777" w:rsidTr="004044A5">
        <w:trPr>
          <w:tblHeader/>
        </w:trPr>
        <w:tc>
          <w:tcPr>
            <w:tcW w:w="1781" w:type="pct"/>
            <w:tcBorders>
              <w:top w:val="single" w:sz="4" w:space="0" w:color="auto"/>
              <w:left w:val="single" w:sz="4" w:space="0" w:color="auto"/>
              <w:bottom w:val="single" w:sz="4" w:space="0" w:color="auto"/>
              <w:right w:val="single" w:sz="4" w:space="0" w:color="auto"/>
            </w:tcBorders>
            <w:hideMark/>
          </w:tcPr>
          <w:p w14:paraId="6CE188FE" w14:textId="20C15218" w:rsidR="00DA5C30" w:rsidRPr="003615DA" w:rsidRDefault="00DA5C30" w:rsidP="0090218D">
            <w:pPr>
              <w:widowControl w:val="0"/>
              <w:autoSpaceDE w:val="0"/>
              <w:autoSpaceDN w:val="0"/>
              <w:adjustRightInd w:val="0"/>
              <w:spacing w:before="40" w:after="40"/>
              <w:rPr>
                <w:rFonts w:cs="Arial"/>
                <w:color w:val="000000" w:themeColor="text1"/>
              </w:rPr>
            </w:pPr>
            <w:r w:rsidRPr="003615DA">
              <w:rPr>
                <w:rFonts w:cs="Arial"/>
                <w:color w:val="000000" w:themeColor="text1"/>
              </w:rPr>
              <w:t xml:space="preserve">Date </w:t>
            </w:r>
            <w:r w:rsidR="0090218D">
              <w:rPr>
                <w:rFonts w:cs="Arial"/>
                <w:color w:val="000000" w:themeColor="text1"/>
              </w:rPr>
              <w:t>Modified</w:t>
            </w:r>
            <w:r w:rsidRPr="003615DA">
              <w:rPr>
                <w:rFonts w:cs="Arial"/>
                <w:color w:val="000000" w:themeColor="text1"/>
              </w:rPr>
              <w:t>:</w:t>
            </w:r>
          </w:p>
        </w:tc>
        <w:tc>
          <w:tcPr>
            <w:tcW w:w="3219" w:type="pct"/>
            <w:tcBorders>
              <w:top w:val="single" w:sz="4" w:space="0" w:color="auto"/>
              <w:left w:val="single" w:sz="4" w:space="0" w:color="auto"/>
              <w:bottom w:val="single" w:sz="4" w:space="0" w:color="auto"/>
              <w:right w:val="single" w:sz="4" w:space="0" w:color="auto"/>
            </w:tcBorders>
          </w:tcPr>
          <w:p w14:paraId="23516E96" w14:textId="58583790" w:rsidR="00DA5C30" w:rsidRPr="003615DA" w:rsidRDefault="005420B8">
            <w:pPr>
              <w:spacing w:before="40" w:after="40"/>
              <w:rPr>
                <w:color w:val="000000" w:themeColor="text1"/>
              </w:rPr>
            </w:pPr>
            <w:r w:rsidRPr="003615DA">
              <w:rPr>
                <w:color w:val="000000" w:themeColor="text1"/>
              </w:rPr>
              <w:t>March 2024</w:t>
            </w:r>
          </w:p>
        </w:tc>
      </w:tr>
      <w:tr w:rsidR="00C0170D" w:rsidRPr="00BB662E" w14:paraId="0BCCE293" w14:textId="77777777" w:rsidTr="004044A5">
        <w:trPr>
          <w:tblHeader/>
        </w:trPr>
        <w:tc>
          <w:tcPr>
            <w:tcW w:w="1781" w:type="pct"/>
            <w:tcBorders>
              <w:top w:val="single" w:sz="4" w:space="0" w:color="auto"/>
              <w:left w:val="single" w:sz="4" w:space="0" w:color="auto"/>
              <w:bottom w:val="single" w:sz="4" w:space="0" w:color="auto"/>
              <w:right w:val="single" w:sz="4" w:space="0" w:color="auto"/>
            </w:tcBorders>
          </w:tcPr>
          <w:p w14:paraId="1D2CFC30" w14:textId="58A0FF23" w:rsidR="00C0170D" w:rsidRPr="003615DA" w:rsidRDefault="00C0170D">
            <w:pPr>
              <w:widowControl w:val="0"/>
              <w:autoSpaceDE w:val="0"/>
              <w:autoSpaceDN w:val="0"/>
              <w:adjustRightInd w:val="0"/>
              <w:spacing w:before="40" w:after="40"/>
              <w:rPr>
                <w:rFonts w:cs="Arial"/>
                <w:color w:val="000000" w:themeColor="text1"/>
              </w:rPr>
            </w:pPr>
            <w:r w:rsidRPr="003615DA">
              <w:rPr>
                <w:rFonts w:cs="Arial"/>
                <w:color w:val="000000" w:themeColor="text1"/>
              </w:rPr>
              <w:t>Review author</w:t>
            </w:r>
          </w:p>
        </w:tc>
        <w:tc>
          <w:tcPr>
            <w:tcW w:w="3219" w:type="pct"/>
            <w:tcBorders>
              <w:top w:val="single" w:sz="4" w:space="0" w:color="auto"/>
              <w:left w:val="single" w:sz="4" w:space="0" w:color="auto"/>
              <w:bottom w:val="single" w:sz="4" w:space="0" w:color="auto"/>
              <w:right w:val="single" w:sz="4" w:space="0" w:color="auto"/>
            </w:tcBorders>
          </w:tcPr>
          <w:p w14:paraId="61D38CC9" w14:textId="212542BD" w:rsidR="00C0170D" w:rsidRPr="003615DA" w:rsidRDefault="00C0170D">
            <w:pPr>
              <w:spacing w:before="40" w:after="40"/>
              <w:rPr>
                <w:color w:val="000000" w:themeColor="text1"/>
              </w:rPr>
            </w:pPr>
            <w:r w:rsidRPr="003615DA">
              <w:rPr>
                <w:color w:val="000000" w:themeColor="text1"/>
              </w:rPr>
              <w:t>Mary Brazier</w:t>
            </w:r>
          </w:p>
        </w:tc>
      </w:tr>
      <w:tr w:rsidR="003615DA" w:rsidRPr="00BB662E" w14:paraId="7E3D5798" w14:textId="77777777" w:rsidTr="004044A5">
        <w:trPr>
          <w:tblHeader/>
        </w:trPr>
        <w:tc>
          <w:tcPr>
            <w:tcW w:w="1781" w:type="pct"/>
            <w:tcBorders>
              <w:top w:val="single" w:sz="4" w:space="0" w:color="auto"/>
              <w:left w:val="single" w:sz="4" w:space="0" w:color="auto"/>
              <w:bottom w:val="single" w:sz="4" w:space="0" w:color="auto"/>
              <w:right w:val="single" w:sz="4" w:space="0" w:color="auto"/>
            </w:tcBorders>
          </w:tcPr>
          <w:p w14:paraId="09B3B25D" w14:textId="7A1E27F1" w:rsidR="003615DA" w:rsidRPr="003615DA" w:rsidRDefault="003615DA">
            <w:pPr>
              <w:widowControl w:val="0"/>
              <w:autoSpaceDE w:val="0"/>
              <w:autoSpaceDN w:val="0"/>
              <w:adjustRightInd w:val="0"/>
              <w:spacing w:before="40" w:after="40"/>
              <w:rPr>
                <w:rFonts w:cs="Arial"/>
                <w:color w:val="000000" w:themeColor="text1"/>
              </w:rPr>
            </w:pPr>
            <w:r w:rsidRPr="003615DA">
              <w:rPr>
                <w:rFonts w:cs="Arial"/>
                <w:color w:val="000000" w:themeColor="text1"/>
              </w:rPr>
              <w:t>Executive Lead</w:t>
            </w:r>
          </w:p>
        </w:tc>
        <w:tc>
          <w:tcPr>
            <w:tcW w:w="3219" w:type="pct"/>
            <w:tcBorders>
              <w:top w:val="single" w:sz="4" w:space="0" w:color="auto"/>
              <w:left w:val="single" w:sz="4" w:space="0" w:color="auto"/>
              <w:bottom w:val="single" w:sz="4" w:space="0" w:color="auto"/>
              <w:right w:val="single" w:sz="4" w:space="0" w:color="auto"/>
            </w:tcBorders>
          </w:tcPr>
          <w:p w14:paraId="4DCE4BC3" w14:textId="4D98A6A2" w:rsidR="003615DA" w:rsidRPr="003615DA" w:rsidRDefault="003615DA">
            <w:pPr>
              <w:spacing w:before="40" w:after="40"/>
              <w:rPr>
                <w:color w:val="000000" w:themeColor="text1"/>
              </w:rPr>
            </w:pPr>
            <w:r w:rsidRPr="003615DA">
              <w:rPr>
                <w:color w:val="000000" w:themeColor="text1"/>
              </w:rPr>
              <w:t>Amar Shah</w:t>
            </w:r>
          </w:p>
        </w:tc>
      </w:tr>
    </w:tbl>
    <w:p w14:paraId="074EBB58" w14:textId="77777777" w:rsidR="00B15431" w:rsidRPr="00B15431" w:rsidRDefault="00B15431" w:rsidP="00B15431">
      <w:pPr>
        <w:spacing w:after="0" w:line="240" w:lineRule="auto"/>
        <w:ind w:left="-567"/>
        <w:rPr>
          <w:rFonts w:ascii="Times New Roman" w:eastAsia="Times New Roman" w:hAnsi="Times New Roman"/>
          <w:sz w:val="24"/>
          <w:szCs w:val="20"/>
        </w:rPr>
      </w:pPr>
    </w:p>
    <w:p w14:paraId="7275CDA5" w14:textId="77777777" w:rsidR="00B15431" w:rsidRPr="00B15431" w:rsidRDefault="00B15431" w:rsidP="00B15431">
      <w:pPr>
        <w:spacing w:after="0" w:line="240" w:lineRule="auto"/>
        <w:ind w:left="-567"/>
        <w:rPr>
          <w:rFonts w:ascii="Times New Roman" w:eastAsia="Times New Roman" w:hAnsi="Times New Roman"/>
          <w:sz w:val="24"/>
          <w:szCs w:val="20"/>
        </w:rPr>
      </w:pPr>
    </w:p>
    <w:p w14:paraId="2C5F395D" w14:textId="77777777" w:rsidR="00B15431" w:rsidRPr="00B15431" w:rsidRDefault="00B15431" w:rsidP="00B15431">
      <w:pPr>
        <w:spacing w:after="0" w:line="240" w:lineRule="auto"/>
        <w:ind w:left="-567"/>
        <w:rPr>
          <w:rFonts w:ascii="Times New Roman" w:eastAsia="Times New Roman" w:hAnsi="Times New Roman"/>
          <w:sz w:val="24"/>
          <w:szCs w:val="20"/>
        </w:rPr>
      </w:pPr>
    </w:p>
    <w:p w14:paraId="5C287987" w14:textId="77777777" w:rsidR="00B15431" w:rsidRPr="00B15431" w:rsidRDefault="00B15431" w:rsidP="00B15431">
      <w:pPr>
        <w:spacing w:after="0" w:line="240" w:lineRule="auto"/>
        <w:ind w:left="-567"/>
        <w:rPr>
          <w:rFonts w:ascii="Times New Roman" w:eastAsia="Times New Roman" w:hAnsi="Times New Roman"/>
          <w:sz w:val="24"/>
          <w:szCs w:val="20"/>
        </w:rPr>
      </w:pPr>
    </w:p>
    <w:p w14:paraId="17CB1A98" w14:textId="77777777" w:rsidR="00B15431" w:rsidRPr="00B15431" w:rsidRDefault="00B15431" w:rsidP="00B15431">
      <w:pPr>
        <w:spacing w:after="0" w:line="240" w:lineRule="auto"/>
        <w:ind w:left="-567"/>
        <w:rPr>
          <w:rFonts w:ascii="Times New Roman" w:eastAsia="Times New Roman" w:hAnsi="Times New Roman"/>
          <w:sz w:val="24"/>
          <w:szCs w:val="20"/>
        </w:rPr>
      </w:pPr>
    </w:p>
    <w:p w14:paraId="3B90D879" w14:textId="77777777" w:rsidR="00B15431" w:rsidRPr="00B15431" w:rsidRDefault="00B15431" w:rsidP="00BE72FE">
      <w:pPr>
        <w:spacing w:after="0" w:line="240" w:lineRule="auto"/>
        <w:rPr>
          <w:rFonts w:ascii="Times New Roman" w:eastAsia="Times New Roman" w:hAnsi="Times New Roman"/>
          <w:sz w:val="24"/>
          <w:szCs w:val="20"/>
        </w:rPr>
      </w:pPr>
    </w:p>
    <w:p w14:paraId="3ECD7632" w14:textId="77777777" w:rsidR="00B15431" w:rsidRPr="00B15431" w:rsidRDefault="00B15431" w:rsidP="00B15431">
      <w:pPr>
        <w:spacing w:after="0" w:line="240" w:lineRule="auto"/>
        <w:ind w:left="-567"/>
        <w:rPr>
          <w:rFonts w:ascii="Times New Roman" w:eastAsia="Times New Roman" w:hAnsi="Times New Roman"/>
          <w:sz w:val="24"/>
          <w:szCs w:val="20"/>
        </w:rPr>
      </w:pPr>
    </w:p>
    <w:p w14:paraId="6B3C26A4" w14:textId="77777777" w:rsidR="00B15431" w:rsidRPr="00B15431" w:rsidRDefault="00B15431" w:rsidP="00B15431">
      <w:pPr>
        <w:spacing w:after="0" w:line="240" w:lineRule="auto"/>
        <w:ind w:left="-567"/>
        <w:rPr>
          <w:rFonts w:ascii="Times New Roman" w:eastAsia="Times New Roman" w:hAnsi="Times New Roman"/>
          <w:sz w:val="24"/>
          <w:szCs w:val="20"/>
        </w:rPr>
      </w:pPr>
    </w:p>
    <w:p w14:paraId="46380E69" w14:textId="77777777" w:rsidR="00913F44" w:rsidRDefault="00913F44">
      <w:pPr>
        <w:spacing w:after="0" w:line="240" w:lineRule="auto"/>
        <w:rPr>
          <w:b/>
        </w:rPr>
      </w:pPr>
      <w:r>
        <w:rPr>
          <w:b/>
        </w:rPr>
        <w:br w:type="page"/>
      </w:r>
    </w:p>
    <w:p w14:paraId="505DA5A7" w14:textId="322B67C0" w:rsidR="00534DD6" w:rsidRPr="003B5CAE" w:rsidRDefault="003B5CAE" w:rsidP="003B5CAE">
      <w:pPr>
        <w:ind w:left="720"/>
        <w:rPr>
          <w:b/>
        </w:rPr>
      </w:pPr>
      <w:r>
        <w:rPr>
          <w:b/>
        </w:rPr>
        <w:lastRenderedPageBreak/>
        <w:t>1.0</w:t>
      </w:r>
      <w:r w:rsidRPr="003B5CAE">
        <w:rPr>
          <w:b/>
        </w:rPr>
        <w:t xml:space="preserve">        </w:t>
      </w:r>
      <w:r w:rsidR="00534DD6" w:rsidRPr="003B5CAE">
        <w:rPr>
          <w:b/>
          <w:u w:val="single"/>
        </w:rPr>
        <w:t xml:space="preserve">Introduction </w:t>
      </w:r>
    </w:p>
    <w:p w14:paraId="33A8C991" w14:textId="77777777" w:rsidR="00210415" w:rsidRPr="005579DA" w:rsidRDefault="00210415" w:rsidP="00210415">
      <w:pPr>
        <w:pStyle w:val="ListParagraph"/>
        <w:rPr>
          <w:b/>
        </w:rPr>
      </w:pPr>
    </w:p>
    <w:p w14:paraId="268C2986" w14:textId="5A2F5838" w:rsidR="003F7B3B" w:rsidRPr="00CD5DA1" w:rsidRDefault="00534DD6" w:rsidP="00E43D69">
      <w:pPr>
        <w:pStyle w:val="ListParagraph"/>
        <w:numPr>
          <w:ilvl w:val="1"/>
          <w:numId w:val="27"/>
        </w:numPr>
        <w:jc w:val="both"/>
      </w:pPr>
      <w:r w:rsidRPr="00CD5DA1">
        <w:t>The purpose of this p</w:t>
      </w:r>
      <w:r w:rsidR="00E43D69">
        <w:t>olicy</w:t>
      </w:r>
      <w:r w:rsidRPr="00CD5DA1">
        <w:t xml:space="preserve"> is to </w:t>
      </w:r>
      <w:r w:rsidR="00E43D69">
        <w:t>e</w:t>
      </w:r>
      <w:r w:rsidR="00E43D69" w:rsidRPr="00E43D69">
        <w:t>nsure that people are discharged from inpatient care in a timely manner.  Evidence shows that unnecessarily extended inpatient care can be harmful</w:t>
      </w:r>
      <w:r w:rsidR="00671314">
        <w:t xml:space="preserve">.  </w:t>
      </w:r>
      <w:r w:rsidR="00E43D69" w:rsidRPr="00E43D69">
        <w:t xml:space="preserve">As such this policy seeks to support services across ELFT to identify barriers to discharge and work proactively to remove them, ensuring people </w:t>
      </w:r>
      <w:r w:rsidR="0012712E">
        <w:t>receive</w:t>
      </w:r>
      <w:r w:rsidR="0012712E" w:rsidRPr="00E43D69">
        <w:t xml:space="preserve"> </w:t>
      </w:r>
      <w:r w:rsidR="00E43D69" w:rsidRPr="00E43D69">
        <w:t>the right care in the best place for them.</w:t>
      </w:r>
    </w:p>
    <w:p w14:paraId="38E42D89" w14:textId="77777777" w:rsidR="009356C0" w:rsidRPr="00CD5DA1" w:rsidRDefault="009356C0" w:rsidP="0093519A">
      <w:pPr>
        <w:pStyle w:val="ListParagraph"/>
        <w:ind w:left="1440" w:hanging="720"/>
        <w:jc w:val="both"/>
      </w:pPr>
    </w:p>
    <w:p w14:paraId="24B3ADB9" w14:textId="427DA17D" w:rsidR="00210415" w:rsidRPr="00CD5DA1" w:rsidRDefault="00210415" w:rsidP="0093519A">
      <w:pPr>
        <w:pStyle w:val="ListParagraph"/>
        <w:ind w:left="1440" w:hanging="720"/>
        <w:jc w:val="both"/>
      </w:pPr>
      <w:r w:rsidRPr="00CD5DA1">
        <w:t>1.2</w:t>
      </w:r>
      <w:r w:rsidRPr="00CD5DA1">
        <w:tab/>
      </w:r>
      <w:r w:rsidR="0090420F" w:rsidRPr="00CD5DA1">
        <w:t xml:space="preserve">The focus of this </w:t>
      </w:r>
      <w:r w:rsidR="00E43D69">
        <w:t>policy</w:t>
      </w:r>
      <w:r w:rsidR="0012712E">
        <w:t xml:space="preserve"> </w:t>
      </w:r>
      <w:r w:rsidR="00D95729">
        <w:t xml:space="preserve">is </w:t>
      </w:r>
      <w:r w:rsidRPr="00CD5DA1">
        <w:t xml:space="preserve">to </w:t>
      </w:r>
      <w:r w:rsidR="00E43D69">
        <w:t xml:space="preserve">support services to </w:t>
      </w:r>
      <w:r w:rsidRPr="00CD5DA1">
        <w:t xml:space="preserve">identify </w:t>
      </w:r>
      <w:r w:rsidR="00CA148D">
        <w:t>service users</w:t>
      </w:r>
      <w:r w:rsidRPr="00CD5DA1">
        <w:t xml:space="preserve"> </w:t>
      </w:r>
      <w:r w:rsidR="00E43D69">
        <w:t xml:space="preserve">who no longer need to receive care and treatment in </w:t>
      </w:r>
      <w:r w:rsidR="0012712E">
        <w:t xml:space="preserve">the </w:t>
      </w:r>
      <w:r w:rsidR="00E43D69">
        <w:t>hospital, but who, for whatever reason</w:t>
      </w:r>
      <w:r w:rsidR="00671314">
        <w:t xml:space="preserve"> remain there as they </w:t>
      </w:r>
      <w:r w:rsidR="00E43D69">
        <w:t>are not able to be discharged to the appropriate place for them.</w:t>
      </w:r>
      <w:r w:rsidRPr="00CD5DA1">
        <w:t xml:space="preserve"> </w:t>
      </w:r>
    </w:p>
    <w:p w14:paraId="1C1C5A97" w14:textId="77777777" w:rsidR="00210415" w:rsidRPr="00CD5DA1" w:rsidRDefault="00210415" w:rsidP="0093519A">
      <w:pPr>
        <w:pStyle w:val="ListParagraph"/>
        <w:jc w:val="both"/>
      </w:pPr>
    </w:p>
    <w:p w14:paraId="10AD2249" w14:textId="4FAE4111" w:rsidR="00B66C33" w:rsidRPr="00CD5DA1" w:rsidRDefault="007A60C4" w:rsidP="0004041C">
      <w:pPr>
        <w:pStyle w:val="ListParagraph"/>
        <w:numPr>
          <w:ilvl w:val="1"/>
          <w:numId w:val="6"/>
        </w:numPr>
        <w:ind w:left="1418" w:hanging="709"/>
        <w:jc w:val="both"/>
      </w:pPr>
      <w:r>
        <w:t>To</w:t>
      </w:r>
      <w:r w:rsidR="00E43D69">
        <w:t xml:space="preserve"> ensure that we are making the right decisions at the right time, i</w:t>
      </w:r>
      <w:r w:rsidR="003B5CAE" w:rsidRPr="00CD5DA1">
        <w:t>nformation a</w:t>
      </w:r>
      <w:r w:rsidR="00AE4DDF" w:rsidRPr="00CD5DA1">
        <w:t xml:space="preserve">bout </w:t>
      </w:r>
      <w:r w:rsidR="00865189">
        <w:t xml:space="preserve">people who are determined to be </w:t>
      </w:r>
      <w:r w:rsidR="00671314">
        <w:t>‘</w:t>
      </w:r>
      <w:r w:rsidR="00A93DAE">
        <w:t>Cl</w:t>
      </w:r>
      <w:r w:rsidR="004E7252">
        <w:t>inically Ready f</w:t>
      </w:r>
      <w:r w:rsidR="00A93DAE">
        <w:t>or Discharge</w:t>
      </w:r>
      <w:r w:rsidR="00671314">
        <w:t>’</w:t>
      </w:r>
      <w:r w:rsidR="003B5CAE" w:rsidRPr="00CD5DA1">
        <w:t xml:space="preserve"> </w:t>
      </w:r>
      <w:r w:rsidR="00865189">
        <w:t>will be</w:t>
      </w:r>
      <w:r w:rsidR="003B5CAE" w:rsidRPr="00CD5DA1">
        <w:t xml:space="preserve"> collected </w:t>
      </w:r>
      <w:r w:rsidR="00865189">
        <w:t>in both acute and non-acute settings</w:t>
      </w:r>
      <w:r w:rsidR="003B5CAE" w:rsidRPr="00CD5DA1">
        <w:t xml:space="preserve"> acute and non-acute, including mental health </w:t>
      </w:r>
      <w:r w:rsidR="00AE4DDF" w:rsidRPr="00CD5DA1">
        <w:t xml:space="preserve">and community </w:t>
      </w:r>
      <w:r w:rsidR="00CA148D">
        <w:t>service users</w:t>
      </w:r>
      <w:r w:rsidR="00865189">
        <w:t>.</w:t>
      </w:r>
      <w:r w:rsidR="00B66C33">
        <w:t xml:space="preserve"> </w:t>
      </w:r>
      <w:r w:rsidR="00B66C33" w:rsidRPr="0004041C">
        <w:t xml:space="preserve">The submission and reporting of </w:t>
      </w:r>
      <w:r w:rsidR="00B66C33">
        <w:t xml:space="preserve">CRFD </w:t>
      </w:r>
      <w:r w:rsidR="00B66C33" w:rsidRPr="0004041C">
        <w:t>will be in accordance with the</w:t>
      </w:r>
      <w:r w:rsidR="00587E82">
        <w:t xml:space="preserve"> national reporting (MHSDS)</w:t>
      </w:r>
      <w:r w:rsidR="00B66C33" w:rsidRPr="0004041C">
        <w:t>.</w:t>
      </w:r>
    </w:p>
    <w:p w14:paraId="5EC7DDC5" w14:textId="77777777" w:rsidR="004B12B4" w:rsidRPr="00CD5DA1" w:rsidRDefault="004B12B4" w:rsidP="0093519A">
      <w:pPr>
        <w:pStyle w:val="ListParagraph"/>
        <w:ind w:left="1080"/>
        <w:jc w:val="both"/>
      </w:pPr>
    </w:p>
    <w:p w14:paraId="6F6AF60C" w14:textId="4438CB9D" w:rsidR="00A56671" w:rsidRDefault="00BE01B7" w:rsidP="00577B5E">
      <w:pPr>
        <w:pStyle w:val="ListParagraph"/>
        <w:ind w:left="1440" w:hanging="720"/>
        <w:jc w:val="both"/>
      </w:pPr>
      <w:r w:rsidRPr="00CD5DA1">
        <w:t>1.4</w:t>
      </w:r>
      <w:r w:rsidRPr="00CD5DA1">
        <w:tab/>
      </w:r>
      <w:r w:rsidR="002544C6" w:rsidRPr="002544C6">
        <w:t>The local implementation of this policy will require systems to work proactively to identify potential barriers to discharge at the point of admission and work to address them during the admission rather than at the point of the person being clinically ready for discharge.</w:t>
      </w:r>
    </w:p>
    <w:p w14:paraId="4DBA3A66" w14:textId="0B387A84" w:rsidR="00A56671" w:rsidRDefault="00A56671" w:rsidP="00CD5DA1">
      <w:pPr>
        <w:pStyle w:val="ListParagraph"/>
        <w:ind w:left="1418"/>
        <w:jc w:val="both"/>
      </w:pPr>
    </w:p>
    <w:p w14:paraId="24D37BC9" w14:textId="53E5B7D3" w:rsidR="00577B5E" w:rsidRPr="00CD5DA1" w:rsidRDefault="00577B5E" w:rsidP="00577B5E">
      <w:pPr>
        <w:pStyle w:val="ListParagraph"/>
        <w:numPr>
          <w:ilvl w:val="0"/>
          <w:numId w:val="5"/>
        </w:numPr>
        <w:ind w:hanging="731"/>
        <w:jc w:val="both"/>
        <w:rPr>
          <w:b/>
        </w:rPr>
      </w:pPr>
      <w:r>
        <w:rPr>
          <w:b/>
          <w:u w:val="single"/>
        </w:rPr>
        <w:t>Scope</w:t>
      </w:r>
    </w:p>
    <w:p w14:paraId="60408192" w14:textId="77777777" w:rsidR="00577B5E" w:rsidRPr="00CD5DA1" w:rsidRDefault="00577B5E" w:rsidP="00577B5E">
      <w:pPr>
        <w:pStyle w:val="ListParagraph"/>
        <w:ind w:left="1440"/>
        <w:jc w:val="both"/>
        <w:rPr>
          <w:b/>
        </w:rPr>
      </w:pPr>
    </w:p>
    <w:p w14:paraId="301AB167" w14:textId="6AC0A688" w:rsidR="00577B5E" w:rsidRDefault="00577B5E" w:rsidP="00577B5E">
      <w:pPr>
        <w:pStyle w:val="ListParagraph"/>
        <w:numPr>
          <w:ilvl w:val="1"/>
          <w:numId w:val="5"/>
        </w:numPr>
        <w:ind w:left="1418" w:hanging="709"/>
        <w:jc w:val="both"/>
      </w:pPr>
      <w:r w:rsidRPr="00577B5E">
        <w:t xml:space="preserve">The policy scope of the </w:t>
      </w:r>
      <w:r w:rsidR="00587E82">
        <w:t>Clinically</w:t>
      </w:r>
      <w:r w:rsidR="00C32939">
        <w:t xml:space="preserve"> ready for Discharge (</w:t>
      </w:r>
      <w:r w:rsidRPr="00577B5E">
        <w:t>CRFD</w:t>
      </w:r>
      <w:r w:rsidR="00C32939">
        <w:t xml:space="preserve">) </w:t>
      </w:r>
      <w:r w:rsidRPr="00577B5E">
        <w:t xml:space="preserve">will cover all bed types, including acute mental health, learning disability, autism, and specialist beds. The policy will apply to all-age groups, including children and young people services, as well as adults and older </w:t>
      </w:r>
      <w:r w:rsidR="00066ED9" w:rsidRPr="00577B5E">
        <w:t>adult’s</w:t>
      </w:r>
      <w:r w:rsidRPr="00577B5E">
        <w:t xml:space="preserve"> beds</w:t>
      </w:r>
      <w:r w:rsidRPr="00B239B6">
        <w:t>.</w:t>
      </w:r>
      <w:r>
        <w:t xml:space="preserve"> </w:t>
      </w:r>
      <w:r w:rsidR="001B5D57" w:rsidRPr="001B5D57">
        <w:t>The FutureNHS collaboration platform provides access to the national policy and definition for Clinically Ready for Discharge.</w:t>
      </w:r>
    </w:p>
    <w:p w14:paraId="76EF58E1" w14:textId="77777777" w:rsidR="00577B5E" w:rsidRPr="00CD5DA1" w:rsidRDefault="00577B5E" w:rsidP="00CD5DA1">
      <w:pPr>
        <w:pStyle w:val="ListParagraph"/>
        <w:ind w:left="1418"/>
        <w:jc w:val="both"/>
      </w:pPr>
    </w:p>
    <w:p w14:paraId="5A19E6E9" w14:textId="77777777" w:rsidR="00534DD6" w:rsidRPr="00CD5DA1" w:rsidRDefault="00534DD6" w:rsidP="0093519A">
      <w:pPr>
        <w:pStyle w:val="ListParagraph"/>
        <w:numPr>
          <w:ilvl w:val="0"/>
          <w:numId w:val="5"/>
        </w:numPr>
        <w:ind w:hanging="731"/>
        <w:jc w:val="both"/>
        <w:rPr>
          <w:b/>
        </w:rPr>
      </w:pPr>
      <w:r w:rsidRPr="00CD5DA1">
        <w:rPr>
          <w:b/>
          <w:u w:val="single"/>
        </w:rPr>
        <w:t>Underlying Principles</w:t>
      </w:r>
    </w:p>
    <w:p w14:paraId="2EBC716E" w14:textId="77777777" w:rsidR="004B12B4" w:rsidRPr="00CD5DA1" w:rsidRDefault="004B12B4" w:rsidP="0093519A">
      <w:pPr>
        <w:pStyle w:val="ListParagraph"/>
        <w:ind w:left="1440"/>
        <w:jc w:val="both"/>
        <w:rPr>
          <w:b/>
        </w:rPr>
      </w:pPr>
    </w:p>
    <w:p w14:paraId="48A0A2F8" w14:textId="3FA2B935" w:rsidR="0004041C" w:rsidRDefault="00D51CC1" w:rsidP="00D51CC1">
      <w:pPr>
        <w:pStyle w:val="ListParagraph"/>
        <w:numPr>
          <w:ilvl w:val="1"/>
          <w:numId w:val="5"/>
        </w:numPr>
        <w:ind w:left="1418" w:hanging="709"/>
        <w:jc w:val="both"/>
      </w:pPr>
      <w:r w:rsidRPr="00B239B6">
        <w:t xml:space="preserve">Staying longer in </w:t>
      </w:r>
      <w:r w:rsidR="00D16CF4">
        <w:t xml:space="preserve">the </w:t>
      </w:r>
      <w:r w:rsidRPr="00B239B6">
        <w:t>hospital than needed can cause avoidable harm to the individual, through long-term disruption to usual routines, reduced independence and reduced access to support networks.</w:t>
      </w:r>
      <w:r w:rsidR="00A525A8">
        <w:t xml:space="preserve"> </w:t>
      </w:r>
    </w:p>
    <w:p w14:paraId="50E8DAAB" w14:textId="77777777" w:rsidR="0004041C" w:rsidRDefault="0004041C" w:rsidP="0004041C">
      <w:pPr>
        <w:pStyle w:val="ListParagraph"/>
        <w:ind w:left="1418"/>
        <w:jc w:val="both"/>
      </w:pPr>
    </w:p>
    <w:p w14:paraId="18D0E1B2" w14:textId="2DDEA190" w:rsidR="0004041C" w:rsidRDefault="00A525A8" w:rsidP="0004041C">
      <w:pPr>
        <w:pStyle w:val="ListParagraph"/>
        <w:numPr>
          <w:ilvl w:val="1"/>
          <w:numId w:val="5"/>
        </w:numPr>
        <w:ind w:left="1418" w:hanging="709"/>
        <w:jc w:val="both"/>
      </w:pPr>
      <w:r w:rsidRPr="00B239B6">
        <w:t>The new definition for delayed discharges is rooted in the need for purposeful admissions and robust discharge planning from early on in admission</w:t>
      </w:r>
    </w:p>
    <w:p w14:paraId="6198616E" w14:textId="77777777" w:rsidR="0004041C" w:rsidRDefault="0004041C" w:rsidP="0004041C">
      <w:pPr>
        <w:pStyle w:val="ListParagraph"/>
        <w:ind w:left="1418"/>
        <w:jc w:val="both"/>
      </w:pPr>
    </w:p>
    <w:p w14:paraId="1A55C852" w14:textId="24D5B3BE" w:rsidR="00B6732B" w:rsidRPr="0004041C" w:rsidRDefault="00534DD6" w:rsidP="0033746A">
      <w:pPr>
        <w:pStyle w:val="ListParagraph"/>
        <w:numPr>
          <w:ilvl w:val="1"/>
          <w:numId w:val="5"/>
        </w:numPr>
        <w:ind w:left="1418" w:hanging="709"/>
        <w:jc w:val="both"/>
      </w:pPr>
      <w:r w:rsidRPr="00CD5DA1">
        <w:t xml:space="preserve">Planning a </w:t>
      </w:r>
      <w:r w:rsidR="00CA148D">
        <w:t>service user</w:t>
      </w:r>
      <w:r w:rsidR="00A93DAE">
        <w:t>’</w:t>
      </w:r>
      <w:r w:rsidRPr="00CD5DA1">
        <w:t xml:space="preserve">s discharge needs to start </w:t>
      </w:r>
      <w:r w:rsidR="002544C6">
        <w:t>at the point of admission</w:t>
      </w:r>
      <w:r w:rsidR="0004041C">
        <w:t xml:space="preserve">. </w:t>
      </w:r>
      <w:r w:rsidR="00C53B0F" w:rsidRPr="0004041C">
        <w:rPr>
          <w:color w:val="000000" w:themeColor="text1"/>
        </w:rPr>
        <w:t>At the point of admission, the local authority responsible for Care Act and/or S117 aftercare provision</w:t>
      </w:r>
      <w:r w:rsidR="00E52688" w:rsidRPr="0004041C">
        <w:rPr>
          <w:color w:val="000000" w:themeColor="text1"/>
        </w:rPr>
        <w:t xml:space="preserve"> should be identified</w:t>
      </w:r>
      <w:r w:rsidR="00C53B0F" w:rsidRPr="0004041C">
        <w:rPr>
          <w:color w:val="000000" w:themeColor="text1"/>
        </w:rPr>
        <w:t xml:space="preserve">, </w:t>
      </w:r>
      <w:r w:rsidR="00D16CF4">
        <w:rPr>
          <w:color w:val="000000" w:themeColor="text1"/>
        </w:rPr>
        <w:t xml:space="preserve">and </w:t>
      </w:r>
      <w:r w:rsidR="00C53B0F" w:rsidRPr="0004041C">
        <w:rPr>
          <w:color w:val="000000" w:themeColor="text1"/>
        </w:rPr>
        <w:t>an assessment of their Care act and/or Aftercare needs has taken place.</w:t>
      </w:r>
      <w:r w:rsidR="00B6732B" w:rsidRPr="0004041C">
        <w:rPr>
          <w:color w:val="000000" w:themeColor="text1"/>
        </w:rPr>
        <w:t xml:space="preserve"> </w:t>
      </w:r>
      <w:r w:rsidR="00E52688" w:rsidRPr="0004041C">
        <w:rPr>
          <w:color w:val="000000" w:themeColor="text1"/>
        </w:rPr>
        <w:t xml:space="preserve">Where there are partnership agreements in place between the </w:t>
      </w:r>
      <w:r w:rsidR="00E52688" w:rsidRPr="0004041C">
        <w:rPr>
          <w:color w:val="000000" w:themeColor="text1"/>
        </w:rPr>
        <w:lastRenderedPageBreak/>
        <w:t xml:space="preserve">Trust and the responsible local authority </w:t>
      </w:r>
      <w:r w:rsidR="0012712E" w:rsidRPr="0004041C">
        <w:rPr>
          <w:color w:val="000000" w:themeColor="text1"/>
        </w:rPr>
        <w:t xml:space="preserve">for </w:t>
      </w:r>
      <w:r w:rsidR="00E52688" w:rsidRPr="0004041C">
        <w:rPr>
          <w:color w:val="000000" w:themeColor="text1"/>
        </w:rPr>
        <w:t>adult and older adult mental health services, the duty to undertake these assessments will likely have been delegated to integrated teams within the Trust. T</w:t>
      </w:r>
      <w:r w:rsidR="00B6732B" w:rsidRPr="0004041C">
        <w:rPr>
          <w:color w:val="000000" w:themeColor="text1"/>
        </w:rPr>
        <w:t xml:space="preserve">he timescales within which each local authority assesses social care needs and determines an outcome will vary depending on local assessment arrangements and resources available.  Therefore, the Trust will agree </w:t>
      </w:r>
      <w:r w:rsidR="00D16CF4">
        <w:rPr>
          <w:color w:val="000000" w:themeColor="text1"/>
        </w:rPr>
        <w:t xml:space="preserve">to </w:t>
      </w:r>
      <w:r w:rsidR="00B6732B" w:rsidRPr="0004041C">
        <w:rPr>
          <w:color w:val="000000" w:themeColor="text1"/>
        </w:rPr>
        <w:t xml:space="preserve">reasonable assessment timescales with each of </w:t>
      </w:r>
      <w:r w:rsidR="00CD5DA1" w:rsidRPr="0004041C">
        <w:rPr>
          <w:color w:val="000000" w:themeColor="text1"/>
        </w:rPr>
        <w:t>its</w:t>
      </w:r>
      <w:r w:rsidR="00B6732B" w:rsidRPr="0004041C">
        <w:rPr>
          <w:color w:val="000000" w:themeColor="text1"/>
        </w:rPr>
        <w:t xml:space="preserve"> local authority partners that ensure effective and timely discharges.  </w:t>
      </w:r>
      <w:r w:rsidR="0020230D" w:rsidRPr="0004041C">
        <w:rPr>
          <w:color w:val="000000" w:themeColor="text1"/>
        </w:rPr>
        <w:t>This includes neighbouring local authorities whose residents may be admitted to ELFT inpatient services.</w:t>
      </w:r>
    </w:p>
    <w:p w14:paraId="564FA78E" w14:textId="77777777" w:rsidR="0004041C" w:rsidRPr="0004041C" w:rsidRDefault="0004041C" w:rsidP="0004041C">
      <w:pPr>
        <w:pStyle w:val="ListParagraph"/>
        <w:ind w:left="1418"/>
        <w:jc w:val="both"/>
      </w:pPr>
    </w:p>
    <w:p w14:paraId="686B1FFB" w14:textId="2197104C" w:rsidR="009029BD" w:rsidRPr="00CD5DA1" w:rsidRDefault="009029BD" w:rsidP="00CD5DA1">
      <w:pPr>
        <w:pStyle w:val="ListParagraph"/>
        <w:numPr>
          <w:ilvl w:val="1"/>
          <w:numId w:val="5"/>
        </w:numPr>
        <w:ind w:left="1418" w:hanging="851"/>
        <w:jc w:val="both"/>
      </w:pPr>
      <w:r w:rsidRPr="00CD5DA1">
        <w:t xml:space="preserve">Discharge plans should be agreed </w:t>
      </w:r>
      <w:r w:rsidR="0004041C">
        <w:t xml:space="preserve">upon </w:t>
      </w:r>
      <w:r w:rsidRPr="00CD5DA1">
        <w:t xml:space="preserve">by the multidisciplinary team, and should consider the full range of a </w:t>
      </w:r>
      <w:r w:rsidR="00514826">
        <w:t>service user</w:t>
      </w:r>
      <w:r w:rsidRPr="00CD5DA1">
        <w:t>’s needs, i.e. both health and social.  Care plans should also take into account the needs of</w:t>
      </w:r>
      <w:r w:rsidR="0004041C">
        <w:t xml:space="preserve"> the</w:t>
      </w:r>
      <w:r w:rsidRPr="00CD5DA1">
        <w:t xml:space="preserve"> </w:t>
      </w:r>
      <w:r w:rsidR="007C0004">
        <w:t xml:space="preserve">Carers and </w:t>
      </w:r>
      <w:r w:rsidRPr="00CD5DA1">
        <w:t xml:space="preserve">dependents (i.e. children and others) of the </w:t>
      </w:r>
      <w:r w:rsidR="00514826">
        <w:t>service user</w:t>
      </w:r>
      <w:r w:rsidRPr="00CD5DA1">
        <w:t xml:space="preserve">.  </w:t>
      </w:r>
      <w:r w:rsidR="007C0004">
        <w:t>Carers, including young carers</w:t>
      </w:r>
      <w:r w:rsidR="0004041C">
        <w:t>,</w:t>
      </w:r>
      <w:r w:rsidR="007C0004">
        <w:t xml:space="preserve"> must be identified at the point of admission and be involved in</w:t>
      </w:r>
      <w:r w:rsidR="0004041C">
        <w:t xml:space="preserve"> decision-makin</w:t>
      </w:r>
      <w:r w:rsidR="007C0004">
        <w:t>g throughout the admission.  This is particularly important when the person resides with family members and their ability and willingness to provide ongoing support is a key factor in discharge arrangements.</w:t>
      </w:r>
    </w:p>
    <w:p w14:paraId="70B6C8C8" w14:textId="77777777" w:rsidR="004B12B4" w:rsidRPr="00CD5DA1" w:rsidRDefault="004B12B4" w:rsidP="00CD5DA1">
      <w:pPr>
        <w:pStyle w:val="ListParagraph"/>
        <w:ind w:left="1418"/>
        <w:jc w:val="both"/>
      </w:pPr>
    </w:p>
    <w:p w14:paraId="58846E5E" w14:textId="04C2BBA0" w:rsidR="0033746A" w:rsidRDefault="0004041C" w:rsidP="00CD5DA1">
      <w:pPr>
        <w:pStyle w:val="ListParagraph"/>
        <w:numPr>
          <w:ilvl w:val="1"/>
          <w:numId w:val="5"/>
        </w:numPr>
        <w:ind w:left="1418" w:hanging="851"/>
        <w:jc w:val="both"/>
      </w:pPr>
      <w:r>
        <w:t>Decision-making</w:t>
      </w:r>
      <w:r w:rsidR="00534DD6" w:rsidRPr="00CD5DA1">
        <w:t xml:space="preserve"> about discharge should be with the </w:t>
      </w:r>
      <w:r w:rsidR="00514826">
        <w:t>service user</w:t>
      </w:r>
      <w:r w:rsidR="00534DD6" w:rsidRPr="00CD5DA1">
        <w:t xml:space="preserve"> and their carer, although </w:t>
      </w:r>
      <w:r w:rsidR="007C0004">
        <w:t>there may be very rare occasions where this has not been possible</w:t>
      </w:r>
      <w:r w:rsidR="002C077C">
        <w:t xml:space="preserve">, where this is the case, reasons for the inability to involve in </w:t>
      </w:r>
      <w:r>
        <w:t>decision-making</w:t>
      </w:r>
      <w:r w:rsidR="002C077C">
        <w:t xml:space="preserve"> should be recorded.  Where the </w:t>
      </w:r>
      <w:r w:rsidR="00514826">
        <w:t>service user</w:t>
      </w:r>
      <w:r w:rsidR="002C077C">
        <w:t xml:space="preserve"> lacks the capacity to make</w:t>
      </w:r>
      <w:r w:rsidR="002C1EAD">
        <w:t xml:space="preserve"> specific decisions regarding their discharge, assessment of </w:t>
      </w:r>
      <w:r w:rsidR="0020230D">
        <w:t>capacity</w:t>
      </w:r>
      <w:r w:rsidR="002C1EAD">
        <w:t xml:space="preserve"> should be evidenced, including how the</w:t>
      </w:r>
      <w:r w:rsidR="0020230D">
        <w:t xml:space="preserve"> principles of the MCA have been followed and Best interests processes followed and recorded.</w:t>
      </w:r>
      <w:r>
        <w:t xml:space="preserve"> </w:t>
      </w:r>
      <w:r w:rsidR="009029BD" w:rsidRPr="00CD5DA1">
        <w:t xml:space="preserve">To support </w:t>
      </w:r>
      <w:r w:rsidR="00514826">
        <w:t>service user</w:t>
      </w:r>
      <w:r w:rsidR="009029BD" w:rsidRPr="00CD5DA1">
        <w:t xml:space="preserve">s and their carers in </w:t>
      </w:r>
      <w:r w:rsidR="00E93569">
        <w:t xml:space="preserve">making </w:t>
      </w:r>
      <w:r>
        <w:t>decisions</w:t>
      </w:r>
      <w:r w:rsidR="009029BD" w:rsidRPr="00CD5DA1">
        <w:t>, the following will be made available: support</w:t>
      </w:r>
      <w:r w:rsidR="00CF5635">
        <w:t xml:space="preserve"> for</w:t>
      </w:r>
      <w:r w:rsidR="009029BD" w:rsidRPr="00CD5DA1">
        <w:t xml:space="preserve"> people to understand their options, </w:t>
      </w:r>
      <w:r>
        <w:t xml:space="preserve">and </w:t>
      </w:r>
      <w:r w:rsidR="009029BD" w:rsidRPr="00CD5DA1">
        <w:t>rights and where they can find additional support and accessible information including that of local community resources including advocacy and universal services.</w:t>
      </w:r>
    </w:p>
    <w:p w14:paraId="6B8AE84F" w14:textId="77777777" w:rsidR="0033746A" w:rsidRDefault="0033746A" w:rsidP="0033746A">
      <w:pPr>
        <w:pStyle w:val="ListParagraph"/>
      </w:pPr>
    </w:p>
    <w:p w14:paraId="20680947" w14:textId="6575F559" w:rsidR="00F74A90" w:rsidRDefault="0033746A" w:rsidP="00F74A90">
      <w:pPr>
        <w:pStyle w:val="ListParagraph"/>
        <w:numPr>
          <w:ilvl w:val="1"/>
          <w:numId w:val="5"/>
        </w:numPr>
        <w:ind w:left="1418" w:hanging="851"/>
        <w:jc w:val="both"/>
      </w:pPr>
      <w:r>
        <w:t xml:space="preserve">Where a </w:t>
      </w:r>
      <w:r w:rsidR="00514826">
        <w:t>service user</w:t>
      </w:r>
      <w:r>
        <w:t xml:space="preserve"> has been assessed as lacking</w:t>
      </w:r>
      <w:r w:rsidR="0004041C">
        <w:t xml:space="preserve"> the</w:t>
      </w:r>
      <w:r>
        <w:t xml:space="preserve"> capacity to make decisions regarding their discharge consideration should be given to referral to an Independent Mental Capacity Advocate (IMCA).</w:t>
      </w:r>
      <w:r w:rsidR="00EC1844">
        <w:t xml:space="preserve">  Clarification should also be sought as to the existence of a Power of Attorney, should a Lasting Power of Attorney be in place, the identified ‘attorney’ </w:t>
      </w:r>
      <w:r w:rsidR="005C6446">
        <w:t>should be involved in planning of care from the earliest possible stage.</w:t>
      </w:r>
    </w:p>
    <w:p w14:paraId="7F1A8C00" w14:textId="77777777" w:rsidR="00F74A90" w:rsidRDefault="00F74A90" w:rsidP="00F74A90">
      <w:pPr>
        <w:pStyle w:val="ListParagraph"/>
      </w:pPr>
    </w:p>
    <w:p w14:paraId="7973006A" w14:textId="65853512" w:rsidR="00671314" w:rsidRDefault="0033746A" w:rsidP="00CD5DA1">
      <w:pPr>
        <w:pStyle w:val="ListParagraph"/>
        <w:numPr>
          <w:ilvl w:val="1"/>
          <w:numId w:val="5"/>
        </w:numPr>
        <w:spacing w:after="0" w:line="240" w:lineRule="auto"/>
        <w:ind w:left="1418" w:hanging="851"/>
        <w:jc w:val="both"/>
        <w:rPr>
          <w:rFonts w:asciiTheme="minorHAnsi" w:hAnsiTheme="minorHAnsi" w:cs="Arial"/>
          <w:bCs/>
        </w:rPr>
      </w:pPr>
      <w:r>
        <w:rPr>
          <w:rFonts w:asciiTheme="minorHAnsi" w:hAnsiTheme="minorHAnsi" w:cs="Arial"/>
          <w:bCs/>
        </w:rPr>
        <w:t xml:space="preserve">As </w:t>
      </w:r>
      <w:r w:rsidR="00B6732B" w:rsidRPr="00CD5DA1">
        <w:rPr>
          <w:rFonts w:asciiTheme="minorHAnsi" w:hAnsiTheme="minorHAnsi" w:cs="Arial"/>
          <w:bCs/>
        </w:rPr>
        <w:t xml:space="preserve">Section 3 </w:t>
      </w:r>
      <w:r>
        <w:rPr>
          <w:rFonts w:asciiTheme="minorHAnsi" w:hAnsiTheme="minorHAnsi" w:cs="Arial"/>
          <w:bCs/>
        </w:rPr>
        <w:t xml:space="preserve">MHA </w:t>
      </w:r>
      <w:r w:rsidR="00B6732B" w:rsidRPr="00CD5DA1">
        <w:rPr>
          <w:rFonts w:asciiTheme="minorHAnsi" w:hAnsiTheme="minorHAnsi" w:cs="Arial"/>
          <w:bCs/>
        </w:rPr>
        <w:t xml:space="preserve">requires that a </w:t>
      </w:r>
      <w:r w:rsidR="00514826">
        <w:t>service user</w:t>
      </w:r>
      <w:r w:rsidR="00514826">
        <w:rPr>
          <w:rFonts w:asciiTheme="minorHAnsi" w:hAnsiTheme="minorHAnsi" w:cs="Arial"/>
          <w:bCs/>
        </w:rPr>
        <w:t xml:space="preserve"> </w:t>
      </w:r>
      <w:r w:rsidR="00671314">
        <w:rPr>
          <w:rFonts w:asciiTheme="minorHAnsi" w:hAnsiTheme="minorHAnsi" w:cs="Arial"/>
          <w:bCs/>
        </w:rPr>
        <w:t>needs to be</w:t>
      </w:r>
      <w:r w:rsidR="00B6732B" w:rsidRPr="00CD5DA1">
        <w:rPr>
          <w:rFonts w:asciiTheme="minorHAnsi" w:hAnsiTheme="minorHAnsi" w:cs="Arial"/>
          <w:bCs/>
        </w:rPr>
        <w:t xml:space="preserve"> detained </w:t>
      </w:r>
      <w:r w:rsidR="00671314">
        <w:rPr>
          <w:rFonts w:asciiTheme="minorHAnsi" w:hAnsiTheme="minorHAnsi" w:cs="Arial"/>
          <w:bCs/>
        </w:rPr>
        <w:t xml:space="preserve">in </w:t>
      </w:r>
      <w:r w:rsidR="00F74A90">
        <w:rPr>
          <w:rFonts w:asciiTheme="minorHAnsi" w:hAnsiTheme="minorHAnsi" w:cs="Arial"/>
          <w:bCs/>
        </w:rPr>
        <w:t xml:space="preserve">a </w:t>
      </w:r>
      <w:r w:rsidR="00671314">
        <w:rPr>
          <w:rFonts w:asciiTheme="minorHAnsi" w:hAnsiTheme="minorHAnsi" w:cs="Arial"/>
          <w:bCs/>
        </w:rPr>
        <w:t xml:space="preserve">hospital in order to receive appropriate treatment </w:t>
      </w:r>
      <w:r w:rsidR="00B6732B" w:rsidRPr="00CD5DA1">
        <w:rPr>
          <w:rFonts w:asciiTheme="minorHAnsi" w:hAnsiTheme="minorHAnsi" w:cs="Arial"/>
          <w:bCs/>
        </w:rPr>
        <w:t>to receive treatment</w:t>
      </w:r>
      <w:r>
        <w:rPr>
          <w:rFonts w:asciiTheme="minorHAnsi" w:hAnsiTheme="minorHAnsi" w:cs="Arial"/>
          <w:bCs/>
        </w:rPr>
        <w:t>, the criteria of</w:t>
      </w:r>
      <w:r w:rsidR="00B6732B" w:rsidRPr="00CD5DA1">
        <w:rPr>
          <w:rFonts w:asciiTheme="minorHAnsi" w:hAnsiTheme="minorHAnsi" w:cs="Arial"/>
          <w:bCs/>
        </w:rPr>
        <w:t xml:space="preserve"> </w:t>
      </w:r>
      <w:r w:rsidR="00E93569">
        <w:rPr>
          <w:rFonts w:asciiTheme="minorHAnsi" w:hAnsiTheme="minorHAnsi" w:cs="Arial"/>
          <w:bCs/>
        </w:rPr>
        <w:t>C</w:t>
      </w:r>
      <w:r w:rsidR="00E20ED7">
        <w:rPr>
          <w:rFonts w:asciiTheme="minorHAnsi" w:hAnsiTheme="minorHAnsi" w:cs="Arial"/>
          <w:bCs/>
        </w:rPr>
        <w:t>linically Ready f</w:t>
      </w:r>
      <w:r w:rsidR="00E93569">
        <w:rPr>
          <w:rFonts w:asciiTheme="minorHAnsi" w:hAnsiTheme="minorHAnsi" w:cs="Arial"/>
          <w:bCs/>
        </w:rPr>
        <w:t>or Discharge</w:t>
      </w:r>
      <w:r w:rsidR="00B6732B" w:rsidRPr="00CD5DA1">
        <w:rPr>
          <w:rFonts w:asciiTheme="minorHAnsi" w:hAnsiTheme="minorHAnsi" w:cs="Arial"/>
          <w:bCs/>
        </w:rPr>
        <w:t xml:space="preserve"> should not be applied to </w:t>
      </w:r>
      <w:r>
        <w:rPr>
          <w:rFonts w:asciiTheme="minorHAnsi" w:hAnsiTheme="minorHAnsi" w:cs="Arial"/>
          <w:bCs/>
        </w:rPr>
        <w:t>people detained under Section 3</w:t>
      </w:r>
      <w:r w:rsidR="00B6732B" w:rsidRPr="00CD5DA1">
        <w:rPr>
          <w:rFonts w:asciiTheme="minorHAnsi" w:hAnsiTheme="minorHAnsi" w:cs="Arial"/>
          <w:bCs/>
        </w:rPr>
        <w:t>. </w:t>
      </w:r>
    </w:p>
    <w:p w14:paraId="14213F79" w14:textId="343F844D" w:rsidR="005F5B86" w:rsidRDefault="00B6732B" w:rsidP="005F5B86">
      <w:pPr>
        <w:pStyle w:val="ListParagraph"/>
        <w:spacing w:after="0" w:line="240" w:lineRule="auto"/>
        <w:ind w:left="1418"/>
        <w:jc w:val="both"/>
        <w:rPr>
          <w:rFonts w:asciiTheme="minorHAnsi" w:hAnsiTheme="minorHAnsi" w:cs="Arial"/>
          <w:bCs/>
        </w:rPr>
      </w:pPr>
      <w:r w:rsidRPr="00671314">
        <w:rPr>
          <w:rFonts w:asciiTheme="minorHAnsi" w:hAnsiTheme="minorHAnsi" w:cs="Arial"/>
          <w:bCs/>
        </w:rPr>
        <w:t xml:space="preserve"> A </w:t>
      </w:r>
      <w:r w:rsidR="00E20ED7" w:rsidRPr="00671314">
        <w:rPr>
          <w:rFonts w:asciiTheme="minorHAnsi" w:hAnsiTheme="minorHAnsi" w:cs="Arial"/>
          <w:bCs/>
        </w:rPr>
        <w:t>C</w:t>
      </w:r>
      <w:r w:rsidR="00AE5E87" w:rsidRPr="00671314">
        <w:rPr>
          <w:rFonts w:asciiTheme="minorHAnsi" w:hAnsiTheme="minorHAnsi" w:cs="Arial"/>
          <w:bCs/>
        </w:rPr>
        <w:t xml:space="preserve">linically </w:t>
      </w:r>
      <w:r w:rsidR="00E20ED7" w:rsidRPr="00671314">
        <w:rPr>
          <w:rFonts w:asciiTheme="minorHAnsi" w:hAnsiTheme="minorHAnsi" w:cs="Arial"/>
          <w:bCs/>
        </w:rPr>
        <w:t>R</w:t>
      </w:r>
      <w:r w:rsidR="00AE5E87" w:rsidRPr="00671314">
        <w:rPr>
          <w:rFonts w:asciiTheme="minorHAnsi" w:hAnsiTheme="minorHAnsi" w:cs="Arial"/>
          <w:bCs/>
        </w:rPr>
        <w:t xml:space="preserve">eady for </w:t>
      </w:r>
      <w:r w:rsidR="00E20ED7" w:rsidRPr="00671314">
        <w:rPr>
          <w:rFonts w:asciiTheme="minorHAnsi" w:hAnsiTheme="minorHAnsi" w:cs="Arial"/>
          <w:bCs/>
        </w:rPr>
        <w:t>D</w:t>
      </w:r>
      <w:r w:rsidR="00AE5E87" w:rsidRPr="00671314">
        <w:rPr>
          <w:rFonts w:asciiTheme="minorHAnsi" w:hAnsiTheme="minorHAnsi" w:cs="Arial"/>
          <w:bCs/>
        </w:rPr>
        <w:t>ischarge</w:t>
      </w:r>
      <w:r w:rsidRPr="00671314">
        <w:rPr>
          <w:rFonts w:asciiTheme="minorHAnsi" w:hAnsiTheme="minorHAnsi" w:cs="Arial"/>
          <w:bCs/>
        </w:rPr>
        <w:t xml:space="preserve"> d</w:t>
      </w:r>
      <w:r w:rsidR="00F74A90">
        <w:rPr>
          <w:rFonts w:asciiTheme="minorHAnsi" w:hAnsiTheme="minorHAnsi" w:cs="Arial"/>
          <w:bCs/>
        </w:rPr>
        <w:t>ecision can only be applied when</w:t>
      </w:r>
      <w:r w:rsidRPr="00671314">
        <w:rPr>
          <w:rFonts w:asciiTheme="minorHAnsi" w:hAnsiTheme="minorHAnsi" w:cs="Arial"/>
          <w:bCs/>
        </w:rPr>
        <w:t xml:space="preserve"> the </w:t>
      </w:r>
      <w:r w:rsidR="00514826">
        <w:t>service user</w:t>
      </w:r>
      <w:r w:rsidR="00514826" w:rsidRPr="00671314">
        <w:rPr>
          <w:rFonts w:asciiTheme="minorHAnsi" w:hAnsiTheme="minorHAnsi" w:cs="Arial"/>
          <w:bCs/>
        </w:rPr>
        <w:t xml:space="preserve"> </w:t>
      </w:r>
      <w:r w:rsidRPr="00671314">
        <w:rPr>
          <w:rFonts w:asciiTheme="minorHAnsi" w:hAnsiTheme="minorHAnsi" w:cs="Arial"/>
          <w:bCs/>
        </w:rPr>
        <w:t xml:space="preserve">is discharged from their Section 3 detention but continues </w:t>
      </w:r>
      <w:r w:rsidR="00F74A90">
        <w:rPr>
          <w:rFonts w:asciiTheme="minorHAnsi" w:hAnsiTheme="minorHAnsi" w:cs="Arial"/>
          <w:bCs/>
        </w:rPr>
        <w:t xml:space="preserve">in the </w:t>
      </w:r>
      <w:r w:rsidRPr="00671314">
        <w:rPr>
          <w:rFonts w:asciiTheme="minorHAnsi" w:hAnsiTheme="minorHAnsi" w:cs="Arial"/>
          <w:bCs/>
        </w:rPr>
        <w:t>hospital as a</w:t>
      </w:r>
      <w:r w:rsidR="0033746A" w:rsidRPr="00671314">
        <w:rPr>
          <w:rFonts w:asciiTheme="minorHAnsi" w:hAnsiTheme="minorHAnsi" w:cs="Arial"/>
          <w:bCs/>
        </w:rPr>
        <w:t>n informal</w:t>
      </w:r>
      <w:r w:rsidR="00671314" w:rsidRPr="00671314">
        <w:rPr>
          <w:rFonts w:asciiTheme="minorHAnsi" w:hAnsiTheme="minorHAnsi" w:cs="Arial"/>
          <w:bCs/>
        </w:rPr>
        <w:t xml:space="preserve"> </w:t>
      </w:r>
      <w:r w:rsidR="00514826">
        <w:t>service user</w:t>
      </w:r>
      <w:r w:rsidRPr="00671314">
        <w:rPr>
          <w:rFonts w:asciiTheme="minorHAnsi" w:hAnsiTheme="minorHAnsi" w:cs="Arial"/>
          <w:bCs/>
        </w:rPr>
        <w:t xml:space="preserve">.  The </w:t>
      </w:r>
      <w:r w:rsidR="00452AED" w:rsidRPr="00671314">
        <w:rPr>
          <w:rFonts w:asciiTheme="minorHAnsi" w:hAnsiTheme="minorHAnsi" w:cs="Arial"/>
          <w:bCs/>
        </w:rPr>
        <w:t>C</w:t>
      </w:r>
      <w:r w:rsidR="00E20ED7" w:rsidRPr="00671314">
        <w:rPr>
          <w:rFonts w:asciiTheme="minorHAnsi" w:hAnsiTheme="minorHAnsi" w:cs="Arial"/>
          <w:bCs/>
        </w:rPr>
        <w:t>linically Ready f</w:t>
      </w:r>
      <w:r w:rsidR="00452AED" w:rsidRPr="00671314">
        <w:rPr>
          <w:rFonts w:asciiTheme="minorHAnsi" w:hAnsiTheme="minorHAnsi" w:cs="Arial"/>
          <w:bCs/>
        </w:rPr>
        <w:t>or Discharge</w:t>
      </w:r>
      <w:r w:rsidR="00452AED" w:rsidRPr="00671314" w:rsidDel="00452AED">
        <w:rPr>
          <w:rFonts w:asciiTheme="minorHAnsi" w:hAnsiTheme="minorHAnsi" w:cs="Arial"/>
          <w:bCs/>
        </w:rPr>
        <w:t xml:space="preserve"> </w:t>
      </w:r>
      <w:r w:rsidRPr="00671314">
        <w:rPr>
          <w:rFonts w:asciiTheme="minorHAnsi" w:hAnsiTheme="minorHAnsi" w:cs="Arial"/>
          <w:bCs/>
        </w:rPr>
        <w:t xml:space="preserve">arrangements set out in this procedure will only apply from the date the </w:t>
      </w:r>
      <w:r w:rsidR="00514826">
        <w:t>service user</w:t>
      </w:r>
      <w:r w:rsidRPr="00671314">
        <w:rPr>
          <w:rFonts w:asciiTheme="minorHAnsi" w:hAnsiTheme="minorHAnsi" w:cs="Arial"/>
          <w:bCs/>
        </w:rPr>
        <w:t xml:space="preserve"> is discharged from Section 3 detention.  </w:t>
      </w:r>
      <w:r w:rsidR="0033746A" w:rsidRPr="00671314">
        <w:rPr>
          <w:rFonts w:asciiTheme="minorHAnsi" w:hAnsiTheme="minorHAnsi" w:cs="Arial"/>
          <w:bCs/>
        </w:rPr>
        <w:t xml:space="preserve">However, </w:t>
      </w:r>
      <w:r w:rsidR="00800FDF" w:rsidRPr="00671314">
        <w:rPr>
          <w:rFonts w:asciiTheme="minorHAnsi" w:hAnsiTheme="minorHAnsi" w:cs="Arial"/>
          <w:bCs/>
        </w:rPr>
        <w:t xml:space="preserve">whilst any delays in these circumstances do not meet the criteria </w:t>
      </w:r>
      <w:r w:rsidR="0033746A" w:rsidRPr="00671314">
        <w:rPr>
          <w:rFonts w:asciiTheme="minorHAnsi" w:hAnsiTheme="minorHAnsi" w:cs="Arial"/>
          <w:bCs/>
        </w:rPr>
        <w:t>the practice</w:t>
      </w:r>
      <w:r w:rsidR="00671314">
        <w:rPr>
          <w:rFonts w:asciiTheme="minorHAnsi" w:hAnsiTheme="minorHAnsi" w:cs="Arial"/>
          <w:bCs/>
        </w:rPr>
        <w:t>s</w:t>
      </w:r>
      <w:r w:rsidR="0033746A" w:rsidRPr="00671314">
        <w:rPr>
          <w:rFonts w:asciiTheme="minorHAnsi" w:hAnsiTheme="minorHAnsi" w:cs="Arial"/>
          <w:bCs/>
        </w:rPr>
        <w:t xml:space="preserve"> outlined in this policy regarding planning for discharge fro</w:t>
      </w:r>
      <w:r w:rsidR="00F74A90">
        <w:rPr>
          <w:rFonts w:asciiTheme="minorHAnsi" w:hAnsiTheme="minorHAnsi" w:cs="Arial"/>
          <w:bCs/>
        </w:rPr>
        <w:t>m the point of admission apply</w:t>
      </w:r>
      <w:r w:rsidR="0033746A" w:rsidRPr="00671314">
        <w:rPr>
          <w:rFonts w:asciiTheme="minorHAnsi" w:hAnsiTheme="minorHAnsi" w:cs="Arial"/>
          <w:bCs/>
        </w:rPr>
        <w:t xml:space="preserve"> equally to those detained under the Mental Health Act.</w:t>
      </w:r>
      <w:r w:rsidR="00671314">
        <w:rPr>
          <w:rFonts w:asciiTheme="minorHAnsi" w:hAnsiTheme="minorHAnsi" w:cs="Arial"/>
          <w:bCs/>
        </w:rPr>
        <w:t xml:space="preserve">  This is also </w:t>
      </w:r>
      <w:r w:rsidR="00671314">
        <w:rPr>
          <w:rFonts w:asciiTheme="minorHAnsi" w:hAnsiTheme="minorHAnsi" w:cs="Arial"/>
          <w:bCs/>
        </w:rPr>
        <w:lastRenderedPageBreak/>
        <w:t>the case for those detained under part III MHA for treatment, including those with restriction orders.</w:t>
      </w:r>
    </w:p>
    <w:p w14:paraId="66E7C553" w14:textId="77777777" w:rsidR="005F5B86" w:rsidRDefault="005F5B86" w:rsidP="005F5B86">
      <w:pPr>
        <w:pStyle w:val="ListParagraph"/>
        <w:spacing w:after="0" w:line="240" w:lineRule="auto"/>
        <w:ind w:left="1418"/>
        <w:jc w:val="both"/>
        <w:rPr>
          <w:rFonts w:asciiTheme="minorHAnsi" w:hAnsiTheme="minorHAnsi" w:cs="Arial"/>
          <w:bCs/>
        </w:rPr>
      </w:pPr>
    </w:p>
    <w:p w14:paraId="5B28D044" w14:textId="12DC083B" w:rsidR="0012712E" w:rsidRPr="005F5B86" w:rsidRDefault="00B6732B" w:rsidP="005F5B86">
      <w:pPr>
        <w:pStyle w:val="ListParagraph"/>
        <w:numPr>
          <w:ilvl w:val="1"/>
          <w:numId w:val="5"/>
        </w:numPr>
        <w:spacing w:after="0" w:line="240" w:lineRule="auto"/>
        <w:ind w:left="1418" w:hanging="851"/>
        <w:jc w:val="both"/>
        <w:rPr>
          <w:rFonts w:asciiTheme="minorHAnsi" w:hAnsiTheme="minorHAnsi" w:cs="Arial"/>
          <w:bCs/>
        </w:rPr>
      </w:pPr>
      <w:r w:rsidRPr="005F5B86">
        <w:rPr>
          <w:rFonts w:asciiTheme="minorHAnsi" w:hAnsiTheme="minorHAnsi" w:cs="Arial"/>
          <w:bCs/>
        </w:rPr>
        <w:t>The only exception to the condition set out under 2</w:t>
      </w:r>
      <w:r w:rsidR="00671314" w:rsidRPr="005F5B86">
        <w:rPr>
          <w:rFonts w:asciiTheme="minorHAnsi" w:hAnsiTheme="minorHAnsi" w:cs="Arial"/>
          <w:bCs/>
        </w:rPr>
        <w:t xml:space="preserve">.7 </w:t>
      </w:r>
      <w:r w:rsidR="00D149C4" w:rsidRPr="005F5B86">
        <w:rPr>
          <w:rFonts w:asciiTheme="minorHAnsi" w:hAnsiTheme="minorHAnsi" w:cs="Arial"/>
          <w:bCs/>
        </w:rPr>
        <w:t>above</w:t>
      </w:r>
      <w:r w:rsidR="0004041C" w:rsidRPr="005F5B86">
        <w:rPr>
          <w:rFonts w:asciiTheme="minorHAnsi" w:hAnsiTheme="minorHAnsi" w:cs="Arial"/>
          <w:bCs/>
        </w:rPr>
        <w:t xml:space="preserve"> </w:t>
      </w:r>
      <w:r w:rsidRPr="005F5B86">
        <w:rPr>
          <w:rFonts w:asciiTheme="minorHAnsi" w:hAnsiTheme="minorHAnsi" w:cs="Arial"/>
          <w:bCs/>
        </w:rPr>
        <w:t xml:space="preserve">is where </w:t>
      </w:r>
      <w:r w:rsidR="00671314" w:rsidRPr="005F5B86">
        <w:rPr>
          <w:rFonts w:asciiTheme="minorHAnsi" w:hAnsiTheme="minorHAnsi" w:cs="Arial"/>
          <w:bCs/>
        </w:rPr>
        <w:t xml:space="preserve">an application is to be made for a Community Treatment Order but where this is delayed </w:t>
      </w:r>
      <w:r w:rsidR="00900CAD" w:rsidRPr="005F5B86">
        <w:rPr>
          <w:rFonts w:asciiTheme="minorHAnsi" w:hAnsiTheme="minorHAnsi" w:cs="Arial"/>
          <w:bCs/>
        </w:rPr>
        <w:t xml:space="preserve">due </w:t>
      </w:r>
      <w:r w:rsidR="005F5B86">
        <w:rPr>
          <w:rFonts w:asciiTheme="minorHAnsi" w:hAnsiTheme="minorHAnsi" w:cs="Arial"/>
          <w:bCs/>
        </w:rPr>
        <w:t xml:space="preserve">to </w:t>
      </w:r>
      <w:r w:rsidR="00671314" w:rsidRPr="005F5B86">
        <w:rPr>
          <w:rFonts w:asciiTheme="minorHAnsi" w:hAnsiTheme="minorHAnsi" w:cs="Arial"/>
          <w:bCs/>
        </w:rPr>
        <w:t xml:space="preserve">barriers </w:t>
      </w:r>
      <w:r w:rsidR="00900CAD" w:rsidRPr="005F5B86">
        <w:rPr>
          <w:rFonts w:asciiTheme="minorHAnsi" w:hAnsiTheme="minorHAnsi" w:cs="Arial"/>
          <w:bCs/>
        </w:rPr>
        <w:t>to</w:t>
      </w:r>
      <w:r w:rsidR="00671314" w:rsidRPr="005F5B86">
        <w:rPr>
          <w:rFonts w:asciiTheme="minorHAnsi" w:hAnsiTheme="minorHAnsi" w:cs="Arial"/>
          <w:bCs/>
        </w:rPr>
        <w:t xml:space="preserve"> arrangements </w:t>
      </w:r>
      <w:r w:rsidR="00900CAD" w:rsidRPr="005F5B86">
        <w:rPr>
          <w:rFonts w:asciiTheme="minorHAnsi" w:hAnsiTheme="minorHAnsi" w:cs="Arial"/>
          <w:bCs/>
        </w:rPr>
        <w:t xml:space="preserve">being </w:t>
      </w:r>
      <w:r w:rsidR="00671314" w:rsidRPr="005F5B86">
        <w:rPr>
          <w:rFonts w:asciiTheme="minorHAnsi" w:hAnsiTheme="minorHAnsi" w:cs="Arial"/>
          <w:bCs/>
        </w:rPr>
        <w:t xml:space="preserve">made for their community support. </w:t>
      </w:r>
      <w:r w:rsidRPr="005F5B86">
        <w:rPr>
          <w:rFonts w:asciiTheme="minorHAnsi" w:hAnsiTheme="minorHAnsi" w:cs="Arial"/>
          <w:bCs/>
        </w:rPr>
        <w:t xml:space="preserve">The </w:t>
      </w:r>
      <w:r w:rsidR="00CA3ECD" w:rsidRPr="005F5B86">
        <w:rPr>
          <w:rFonts w:asciiTheme="minorHAnsi" w:hAnsiTheme="minorHAnsi" w:cs="Arial"/>
          <w:bCs/>
        </w:rPr>
        <w:t>C</w:t>
      </w:r>
      <w:r w:rsidR="00E20ED7" w:rsidRPr="005F5B86">
        <w:rPr>
          <w:rFonts w:asciiTheme="minorHAnsi" w:hAnsiTheme="minorHAnsi" w:cs="Arial"/>
          <w:bCs/>
        </w:rPr>
        <w:t>linically Ready f</w:t>
      </w:r>
      <w:r w:rsidR="00CA3ECD" w:rsidRPr="005F5B86">
        <w:rPr>
          <w:rFonts w:asciiTheme="minorHAnsi" w:hAnsiTheme="minorHAnsi" w:cs="Arial"/>
          <w:bCs/>
        </w:rPr>
        <w:t>or Discharge</w:t>
      </w:r>
      <w:r w:rsidRPr="005F5B86">
        <w:rPr>
          <w:rFonts w:asciiTheme="minorHAnsi" w:hAnsiTheme="minorHAnsi" w:cs="Arial"/>
          <w:bCs/>
        </w:rPr>
        <w:t xml:space="preserve"> arrangements set out in this procedure will only apply from the date the MDT agrees that a CTO is required as part of the </w:t>
      </w:r>
      <w:r w:rsidR="00514826">
        <w:t>service user</w:t>
      </w:r>
      <w:r w:rsidRPr="005F5B86">
        <w:rPr>
          <w:rFonts w:asciiTheme="minorHAnsi" w:hAnsiTheme="minorHAnsi" w:cs="Arial"/>
          <w:bCs/>
        </w:rPr>
        <w:t xml:space="preserve">’s discharge arrangements.  </w:t>
      </w:r>
    </w:p>
    <w:p w14:paraId="7E4B611B" w14:textId="15F4A316" w:rsidR="0012712E" w:rsidRDefault="0012712E" w:rsidP="0004041C">
      <w:pPr>
        <w:spacing w:after="0" w:line="240" w:lineRule="auto"/>
        <w:ind w:left="1418"/>
        <w:contextualSpacing/>
        <w:jc w:val="both"/>
      </w:pPr>
    </w:p>
    <w:p w14:paraId="0E2FEAF6" w14:textId="7D574226" w:rsidR="0012712E" w:rsidRDefault="00D149C4" w:rsidP="0004041C">
      <w:pPr>
        <w:pStyle w:val="ListParagraph"/>
        <w:numPr>
          <w:ilvl w:val="1"/>
          <w:numId w:val="5"/>
        </w:numPr>
        <w:tabs>
          <w:tab w:val="left" w:pos="1418"/>
        </w:tabs>
        <w:ind w:left="1418" w:hanging="709"/>
        <w:jc w:val="both"/>
      </w:pPr>
      <w:r w:rsidRPr="0004041C">
        <w:t xml:space="preserve">A report on CRFD </w:t>
      </w:r>
      <w:r w:rsidR="00A42DEF">
        <w:t xml:space="preserve">is available </w:t>
      </w:r>
      <w:r w:rsidRPr="0004041C">
        <w:t xml:space="preserve">for local monitoring and operational purposes, providing </w:t>
      </w:r>
      <w:r>
        <w:t>local</w:t>
      </w:r>
      <w:r w:rsidRPr="0004041C">
        <w:t xml:space="preserve"> oversight and meeting national reporting </w:t>
      </w:r>
      <w:r>
        <w:t>expectations</w:t>
      </w:r>
      <w:r w:rsidR="00A42DEF">
        <w:t xml:space="preserve"> in </w:t>
      </w:r>
      <w:r w:rsidR="00E23BD9">
        <w:rPr>
          <w:b/>
        </w:rPr>
        <w:t>A</w:t>
      </w:r>
      <w:r w:rsidR="00A42DEF" w:rsidRPr="00E23BD9">
        <w:rPr>
          <w:b/>
        </w:rPr>
        <w:t xml:space="preserve">ppendix </w:t>
      </w:r>
      <w:r w:rsidR="00E23BD9" w:rsidRPr="00E23BD9">
        <w:rPr>
          <w:b/>
        </w:rPr>
        <w:t>1</w:t>
      </w:r>
      <w:r w:rsidRPr="0004041C">
        <w:t xml:space="preserve">. </w:t>
      </w:r>
    </w:p>
    <w:p w14:paraId="37A1C61F" w14:textId="77777777" w:rsidR="00D149C4" w:rsidRDefault="00D149C4" w:rsidP="0004041C">
      <w:pPr>
        <w:pStyle w:val="ListParagraph"/>
        <w:tabs>
          <w:tab w:val="left" w:pos="1418"/>
        </w:tabs>
        <w:ind w:left="1418"/>
        <w:jc w:val="both"/>
      </w:pPr>
    </w:p>
    <w:p w14:paraId="3B9CECA9" w14:textId="345C439B" w:rsidR="0012712E" w:rsidRPr="00CD5DA1" w:rsidRDefault="0012712E" w:rsidP="00CD5DA1">
      <w:pPr>
        <w:pStyle w:val="ListParagraph"/>
        <w:numPr>
          <w:ilvl w:val="1"/>
          <w:numId w:val="5"/>
        </w:numPr>
        <w:tabs>
          <w:tab w:val="left" w:pos="1418"/>
        </w:tabs>
        <w:ind w:left="1418" w:hanging="709"/>
        <w:jc w:val="both"/>
      </w:pPr>
      <w:r w:rsidRPr="002C20BD">
        <w:t xml:space="preserve">The submission and reporting of </w:t>
      </w:r>
      <w:r>
        <w:t xml:space="preserve">CRFD </w:t>
      </w:r>
      <w:r w:rsidRPr="002C20BD">
        <w:t>will be in accordance with the national reporting requirements</w:t>
      </w:r>
    </w:p>
    <w:p w14:paraId="71A50C0C" w14:textId="77777777" w:rsidR="00CD5DA1" w:rsidRDefault="00CD5DA1" w:rsidP="00CD5DA1">
      <w:pPr>
        <w:pStyle w:val="ListParagraph"/>
        <w:ind w:left="1418"/>
        <w:jc w:val="both"/>
      </w:pPr>
    </w:p>
    <w:p w14:paraId="79D751D8" w14:textId="62A3A36A" w:rsidR="00A85267" w:rsidRDefault="00DD3862" w:rsidP="00CD5DA1">
      <w:pPr>
        <w:pStyle w:val="ListParagraph"/>
        <w:numPr>
          <w:ilvl w:val="0"/>
          <w:numId w:val="5"/>
        </w:numPr>
        <w:ind w:hanging="731"/>
        <w:jc w:val="both"/>
        <w:rPr>
          <w:b/>
          <w:u w:val="single"/>
        </w:rPr>
      </w:pPr>
      <w:r>
        <w:rPr>
          <w:b/>
          <w:u w:val="single"/>
        </w:rPr>
        <w:t xml:space="preserve">Clinically Ready for Discharge (CRFD) </w:t>
      </w:r>
      <w:r w:rsidR="00A85267">
        <w:rPr>
          <w:b/>
          <w:u w:val="single"/>
        </w:rPr>
        <w:t>Definition</w:t>
      </w:r>
    </w:p>
    <w:p w14:paraId="546BD663" w14:textId="77777777" w:rsidR="00A85267" w:rsidRPr="00A85267" w:rsidRDefault="00A85267" w:rsidP="00CD5DA1">
      <w:pPr>
        <w:pStyle w:val="ListParagraph"/>
        <w:ind w:left="1440"/>
        <w:jc w:val="both"/>
        <w:rPr>
          <w:b/>
          <w:u w:val="single"/>
        </w:rPr>
      </w:pPr>
    </w:p>
    <w:p w14:paraId="345BB0C1" w14:textId="526BA610" w:rsidR="00781D09" w:rsidRDefault="00900CAD" w:rsidP="00BE72FE">
      <w:pPr>
        <w:pStyle w:val="ListParagraph"/>
        <w:numPr>
          <w:ilvl w:val="1"/>
          <w:numId w:val="5"/>
        </w:numPr>
        <w:ind w:left="1440" w:hanging="709"/>
        <w:jc w:val="both"/>
      </w:pPr>
      <w:r>
        <w:t xml:space="preserve">Some is determined to be </w:t>
      </w:r>
      <w:r w:rsidR="00A85267">
        <w:t xml:space="preserve"> </w:t>
      </w:r>
      <w:r>
        <w:t>‘</w:t>
      </w:r>
      <w:r w:rsidR="00DD3862">
        <w:t>Clinically Ready for Discharge</w:t>
      </w:r>
      <w:r>
        <w:t>’</w:t>
      </w:r>
      <w:r w:rsidR="00DD3862">
        <w:t xml:space="preserve"> </w:t>
      </w:r>
      <w:r w:rsidR="00DD3862" w:rsidRPr="00BE72FE">
        <w:t>when the multidisciplinary team (MDT)</w:t>
      </w:r>
      <w:r>
        <w:t xml:space="preserve"> supporting them</w:t>
      </w:r>
      <w:r w:rsidR="00DD3862" w:rsidRPr="00BE72FE">
        <w:t xml:space="preserve"> conclude that the person does not require any further assessments, interventions and/or treatments, which can only be provided in an inpatient setting.</w:t>
      </w:r>
    </w:p>
    <w:p w14:paraId="497AC3F5" w14:textId="77777777" w:rsidR="00781D09" w:rsidRDefault="00781D09" w:rsidP="00BE72FE">
      <w:pPr>
        <w:pStyle w:val="ListParagraph"/>
        <w:ind w:left="1440"/>
        <w:jc w:val="both"/>
      </w:pPr>
    </w:p>
    <w:p w14:paraId="712DC06A" w14:textId="33884394" w:rsidR="00781D09" w:rsidRDefault="00781D09" w:rsidP="00BE72FE">
      <w:pPr>
        <w:pStyle w:val="ListParagraph"/>
        <w:ind w:left="1440"/>
        <w:jc w:val="both"/>
      </w:pPr>
      <w:r w:rsidRPr="00BE72FE">
        <w:t>There are three key criteria</w:t>
      </w:r>
      <w:r w:rsidR="009A06B2">
        <w:rPr>
          <w:rStyle w:val="FootnoteReference"/>
        </w:rPr>
        <w:footnoteReference w:id="2"/>
      </w:r>
      <w:r w:rsidRPr="00BE72FE">
        <w:t xml:space="preserve"> which need to be met before the MDT can make this decision: </w:t>
      </w:r>
    </w:p>
    <w:p w14:paraId="0EDBA87E" w14:textId="77777777" w:rsidR="00E17C75" w:rsidRPr="00BE72FE" w:rsidRDefault="00E17C75" w:rsidP="00BE72FE">
      <w:pPr>
        <w:pStyle w:val="ListParagraph"/>
        <w:ind w:left="1440"/>
        <w:jc w:val="both"/>
      </w:pPr>
    </w:p>
    <w:p w14:paraId="033BA0D8" w14:textId="2AEDD85B" w:rsidR="00781D09" w:rsidRPr="00BE72FE" w:rsidRDefault="00781D09" w:rsidP="00BE72FE">
      <w:pPr>
        <w:pStyle w:val="ListParagraph"/>
        <w:numPr>
          <w:ilvl w:val="1"/>
          <w:numId w:val="16"/>
        </w:numPr>
        <w:ind w:left="1701" w:hanging="283"/>
        <w:jc w:val="both"/>
      </w:pPr>
      <w:r w:rsidRPr="00BE72FE">
        <w:t xml:space="preserve">There must be a clear plan for the ongoing care and support that the person requires after discharge, which covers their pharmacological, physical health, psychological, social, cultural, housing and finances, and any other individual needs or wishes. </w:t>
      </w:r>
    </w:p>
    <w:p w14:paraId="21962C1A" w14:textId="5234495D" w:rsidR="00781D09" w:rsidRPr="00BE72FE" w:rsidRDefault="00781D09" w:rsidP="00BE72FE">
      <w:pPr>
        <w:pStyle w:val="ListParagraph"/>
        <w:numPr>
          <w:ilvl w:val="1"/>
          <w:numId w:val="16"/>
        </w:numPr>
        <w:ind w:left="1701" w:hanging="283"/>
        <w:jc w:val="both"/>
      </w:pPr>
      <w:r w:rsidRPr="00BE72FE">
        <w:t>The MDT must have explicitly considered the person and their chosen carer/s’ views and needs about discharge and involved them in co-developing the discharge plan.</w:t>
      </w:r>
    </w:p>
    <w:p w14:paraId="4BBFF2B2" w14:textId="1EEC30A9" w:rsidR="006E6501" w:rsidRPr="00BE72FE" w:rsidRDefault="00781D09" w:rsidP="00BE72FE">
      <w:pPr>
        <w:pStyle w:val="ListParagraph"/>
        <w:numPr>
          <w:ilvl w:val="1"/>
          <w:numId w:val="16"/>
        </w:numPr>
        <w:ind w:left="1701" w:hanging="283"/>
        <w:jc w:val="both"/>
      </w:pPr>
      <w:r w:rsidRPr="00BE72FE">
        <w:t>The MDT must also have involved any services external to the provider in their decision</w:t>
      </w:r>
      <w:r w:rsidR="007A646B">
        <w:t>-</w:t>
      </w:r>
      <w:r w:rsidRPr="00BE72FE">
        <w:t>making</w:t>
      </w:r>
      <w:r>
        <w:t xml:space="preserve"> </w:t>
      </w:r>
      <w:r w:rsidRPr="00BE72FE">
        <w:t>where these services will play a key role in the person’s ongoing care e.g. social care teams.</w:t>
      </w:r>
    </w:p>
    <w:p w14:paraId="4BBFCACB" w14:textId="7CCB3D6B" w:rsidR="00BA5330" w:rsidRPr="00BE72FE" w:rsidRDefault="00BA5330" w:rsidP="00BE72FE">
      <w:pPr>
        <w:pStyle w:val="Default"/>
        <w:jc w:val="both"/>
        <w:rPr>
          <w:rFonts w:ascii="Calibri" w:hAnsi="Calibri" w:cs="Times New Roman"/>
          <w:color w:val="auto"/>
          <w:sz w:val="22"/>
          <w:szCs w:val="22"/>
          <w:lang w:eastAsia="en-US"/>
        </w:rPr>
      </w:pPr>
    </w:p>
    <w:p w14:paraId="17D39B4D" w14:textId="77777777" w:rsidR="00BA5330" w:rsidRPr="00BE72FE" w:rsidRDefault="00BA5330" w:rsidP="00BE72FE">
      <w:pPr>
        <w:pStyle w:val="ListParagraph"/>
        <w:numPr>
          <w:ilvl w:val="1"/>
          <w:numId w:val="5"/>
        </w:numPr>
        <w:ind w:left="1440" w:hanging="709"/>
        <w:jc w:val="both"/>
      </w:pPr>
      <w:r w:rsidRPr="00BE72FE">
        <w:t>The definition covers all bed types (acute mental health, learning disability, autism, and specialist) and is all-age (children and young people services, adults and older adults beds)</w:t>
      </w:r>
    </w:p>
    <w:p w14:paraId="4821683E" w14:textId="77777777" w:rsidR="00BA5330" w:rsidRDefault="00BA5330" w:rsidP="00BE72FE">
      <w:pPr>
        <w:pStyle w:val="ListParagraph"/>
        <w:ind w:left="1440"/>
        <w:jc w:val="both"/>
      </w:pPr>
    </w:p>
    <w:p w14:paraId="427EA1F6" w14:textId="05EBF4F7" w:rsidR="00781D09" w:rsidRDefault="006E6501" w:rsidP="00BE72FE">
      <w:pPr>
        <w:pStyle w:val="ListParagraph"/>
        <w:numPr>
          <w:ilvl w:val="1"/>
          <w:numId w:val="5"/>
        </w:numPr>
        <w:ind w:left="1440" w:hanging="709"/>
        <w:jc w:val="both"/>
      </w:pPr>
      <w:r>
        <w:t>O</w:t>
      </w:r>
      <w:r w:rsidRPr="00BE72FE">
        <w:t xml:space="preserve">nce the criteria above is met, the person is clinically ready for discharge. This doesn't necessarily mean the person can be discharged e.g. their required package of </w:t>
      </w:r>
      <w:r w:rsidRPr="00BE72FE">
        <w:lastRenderedPageBreak/>
        <w:t xml:space="preserve">community care might not be in place and therefore this would count as a delayed discharge. </w:t>
      </w:r>
    </w:p>
    <w:p w14:paraId="31A8E9FD" w14:textId="77777777" w:rsidR="007534BE" w:rsidRDefault="007534BE" w:rsidP="00BE72FE">
      <w:pPr>
        <w:pStyle w:val="ListParagraph"/>
        <w:ind w:left="1440"/>
        <w:jc w:val="both"/>
      </w:pPr>
    </w:p>
    <w:p w14:paraId="4E7EB288" w14:textId="160A8A4D" w:rsidR="00A85267" w:rsidRDefault="00F32C15" w:rsidP="00BE72FE">
      <w:pPr>
        <w:pStyle w:val="ListParagraph"/>
        <w:numPr>
          <w:ilvl w:val="1"/>
          <w:numId w:val="5"/>
        </w:numPr>
        <w:ind w:left="1440" w:hanging="709"/>
        <w:jc w:val="both"/>
      </w:pPr>
      <w:r>
        <w:t>An M</w:t>
      </w:r>
      <w:r w:rsidR="00E43344">
        <w:t>DT</w:t>
      </w:r>
      <w:r w:rsidR="00DC00D1" w:rsidRPr="00DC00D1">
        <w:t xml:space="preserve"> in this context should be made up of </w:t>
      </w:r>
      <w:r w:rsidR="00CD5DA1">
        <w:t xml:space="preserve">practitioners </w:t>
      </w:r>
      <w:r w:rsidR="00CD5DA1" w:rsidRPr="00DC00D1">
        <w:t>from</w:t>
      </w:r>
      <w:r w:rsidR="00DC00D1" w:rsidRPr="00DC00D1">
        <w:t xml:space="preserve"> different professions,</w:t>
      </w:r>
      <w:r w:rsidR="00DC00D1">
        <w:t xml:space="preserve"> </w:t>
      </w:r>
      <w:r w:rsidR="00781D09">
        <w:t xml:space="preserve">and </w:t>
      </w:r>
      <w:r w:rsidR="00DC00D1">
        <w:t>organisations,</w:t>
      </w:r>
      <w:r w:rsidR="00DC00D1" w:rsidRPr="00DC00D1">
        <w:t xml:space="preserve"> including social workers</w:t>
      </w:r>
      <w:r>
        <w:t xml:space="preserve">/other stakeholders </w:t>
      </w:r>
      <w:r w:rsidRPr="00DC00D1">
        <w:t>where</w:t>
      </w:r>
      <w:r w:rsidR="00DC00D1" w:rsidRPr="00DC00D1">
        <w:t xml:space="preserve"> appropriate, with the skills and expertise to address the </w:t>
      </w:r>
      <w:r w:rsidR="00514826">
        <w:t>service user</w:t>
      </w:r>
      <w:r w:rsidR="00DC00D1" w:rsidRPr="00DC00D1">
        <w:t>’s</w:t>
      </w:r>
      <w:r w:rsidR="005C3C0F">
        <w:t xml:space="preserve"> </w:t>
      </w:r>
      <w:r w:rsidR="007A646B">
        <w:t>ongoing</w:t>
      </w:r>
      <w:r w:rsidR="00DC00D1" w:rsidRPr="00DC00D1">
        <w:t xml:space="preserve"> health and so</w:t>
      </w:r>
      <w:r w:rsidR="007A60C4">
        <w:t>cial care need</w:t>
      </w:r>
      <w:r w:rsidR="005C3C0F">
        <w:t xml:space="preserve"> </w:t>
      </w:r>
      <w:r w:rsidR="007A646B">
        <w:t>post-discharge</w:t>
      </w:r>
      <w:r w:rsidR="00E43344">
        <w:t>.</w:t>
      </w:r>
      <w:r w:rsidR="00A85267" w:rsidRPr="00BE72FE">
        <w:t xml:space="preserve"> </w:t>
      </w:r>
    </w:p>
    <w:p w14:paraId="276500DE" w14:textId="77777777" w:rsidR="003C52E4" w:rsidRDefault="003C52E4" w:rsidP="00BE72FE">
      <w:pPr>
        <w:pStyle w:val="ListParagraph"/>
        <w:ind w:left="1440"/>
        <w:jc w:val="both"/>
      </w:pPr>
    </w:p>
    <w:p w14:paraId="6D93EB3D" w14:textId="2DEDAB6B" w:rsidR="00A85267" w:rsidRPr="009F44DC" w:rsidRDefault="00A85267" w:rsidP="003C5FC0">
      <w:pPr>
        <w:pStyle w:val="ListParagraph"/>
        <w:numPr>
          <w:ilvl w:val="1"/>
          <w:numId w:val="5"/>
        </w:numPr>
        <w:ind w:left="1418" w:hanging="709"/>
        <w:jc w:val="both"/>
      </w:pPr>
      <w:r>
        <w:tab/>
      </w:r>
      <w:r w:rsidRPr="009F44DC">
        <w:rPr>
          <w:rFonts w:asciiTheme="minorHAnsi" w:hAnsiTheme="minorHAnsi" w:cs="Arial"/>
          <w:color w:val="000000" w:themeColor="text1"/>
        </w:rPr>
        <w:t xml:space="preserve">Where delays occur for people of no fixed abode, the crucial issue is to identify the local authority responsible for providing them with </w:t>
      </w:r>
      <w:r w:rsidR="00E43344">
        <w:rPr>
          <w:rFonts w:asciiTheme="minorHAnsi" w:hAnsiTheme="minorHAnsi" w:cs="Arial"/>
          <w:color w:val="000000" w:themeColor="text1"/>
        </w:rPr>
        <w:t xml:space="preserve">social </w:t>
      </w:r>
      <w:r w:rsidRPr="009F44DC">
        <w:rPr>
          <w:rFonts w:asciiTheme="minorHAnsi" w:hAnsiTheme="minorHAnsi" w:cs="Arial"/>
          <w:color w:val="000000" w:themeColor="text1"/>
        </w:rPr>
        <w:t xml:space="preserve">care and support services. If they are admitted to </w:t>
      </w:r>
      <w:r w:rsidR="00781D09">
        <w:rPr>
          <w:rFonts w:asciiTheme="minorHAnsi" w:hAnsiTheme="minorHAnsi" w:cs="Arial"/>
          <w:color w:val="000000" w:themeColor="text1"/>
        </w:rPr>
        <w:t xml:space="preserve">the </w:t>
      </w:r>
      <w:r w:rsidRPr="009F44DC">
        <w:rPr>
          <w:rFonts w:asciiTheme="minorHAnsi" w:hAnsiTheme="minorHAnsi" w:cs="Arial"/>
          <w:color w:val="000000" w:themeColor="text1"/>
        </w:rPr>
        <w:t xml:space="preserve">hospital from a public place then the postcode of that place should be used to identify the responsible local authority. </w:t>
      </w:r>
      <w:r w:rsidR="00E43344">
        <w:rPr>
          <w:rFonts w:asciiTheme="minorHAnsi" w:hAnsiTheme="minorHAnsi" w:cs="Arial"/>
          <w:color w:val="000000" w:themeColor="text1"/>
        </w:rPr>
        <w:t>The rules relating to ordinary residence will always apply.</w:t>
      </w:r>
    </w:p>
    <w:p w14:paraId="5EB46936" w14:textId="77777777" w:rsidR="00A85267" w:rsidRPr="009F44DC" w:rsidRDefault="00A85267" w:rsidP="0093519A">
      <w:pPr>
        <w:pStyle w:val="ListParagraph"/>
        <w:ind w:left="1418"/>
        <w:jc w:val="both"/>
      </w:pPr>
    </w:p>
    <w:p w14:paraId="4A3525BE" w14:textId="19D4CEFF" w:rsidR="00AE4DDF" w:rsidRDefault="00A85267" w:rsidP="003C5FC0">
      <w:pPr>
        <w:pStyle w:val="ListParagraph"/>
        <w:numPr>
          <w:ilvl w:val="1"/>
          <w:numId w:val="5"/>
        </w:numPr>
        <w:ind w:left="1418" w:hanging="709"/>
        <w:jc w:val="both"/>
      </w:pPr>
      <w:r w:rsidRPr="009F44DC">
        <w:rPr>
          <w:rFonts w:asciiTheme="minorHAnsi" w:hAnsiTheme="minorHAnsi" w:cs="Arial"/>
          <w:color w:val="000000" w:themeColor="text1"/>
        </w:rPr>
        <w:t xml:space="preserve">For asylum seekers or other </w:t>
      </w:r>
      <w:r w:rsidR="00514826">
        <w:t>service user</w:t>
      </w:r>
      <w:r w:rsidRPr="009F44DC">
        <w:rPr>
          <w:rFonts w:asciiTheme="minorHAnsi" w:hAnsiTheme="minorHAnsi" w:cs="Arial"/>
          <w:color w:val="000000" w:themeColor="text1"/>
        </w:rPr>
        <w:t xml:space="preserve">s from overseas, should be listed under the local authority in which they currently reside. It is the responsibility of the local authority to decide whether they are eligible for </w:t>
      </w:r>
      <w:r w:rsidR="00E43344">
        <w:rPr>
          <w:rFonts w:asciiTheme="minorHAnsi" w:hAnsiTheme="minorHAnsi" w:cs="Arial"/>
          <w:color w:val="000000" w:themeColor="text1"/>
        </w:rPr>
        <w:t>s</w:t>
      </w:r>
      <w:r w:rsidR="00FE5CB3">
        <w:rPr>
          <w:rFonts w:asciiTheme="minorHAnsi" w:hAnsiTheme="minorHAnsi" w:cs="Arial"/>
          <w:color w:val="000000" w:themeColor="text1"/>
        </w:rPr>
        <w:t xml:space="preserve">ocial </w:t>
      </w:r>
      <w:r w:rsidR="00E43344">
        <w:rPr>
          <w:rFonts w:asciiTheme="minorHAnsi" w:hAnsiTheme="minorHAnsi" w:cs="Arial"/>
          <w:color w:val="000000" w:themeColor="text1"/>
        </w:rPr>
        <w:t>care s</w:t>
      </w:r>
      <w:r w:rsidR="00FE5CB3">
        <w:rPr>
          <w:rFonts w:asciiTheme="minorHAnsi" w:hAnsiTheme="minorHAnsi" w:cs="Arial"/>
          <w:color w:val="000000" w:themeColor="text1"/>
        </w:rPr>
        <w:t>ervices</w:t>
      </w:r>
      <w:r w:rsidRPr="009F44DC">
        <w:rPr>
          <w:rFonts w:asciiTheme="minorHAnsi" w:hAnsiTheme="minorHAnsi" w:cs="Arial"/>
          <w:color w:val="000000" w:themeColor="text1"/>
        </w:rPr>
        <w:t>. The basic principle is that, where local authorities are responsible for providing care and support services for an individual</w:t>
      </w:r>
      <w:r w:rsidR="00E43344">
        <w:rPr>
          <w:rFonts w:asciiTheme="minorHAnsi" w:hAnsiTheme="minorHAnsi" w:cs="Arial"/>
          <w:color w:val="000000" w:themeColor="text1"/>
        </w:rPr>
        <w:t xml:space="preserve"> under the Care Act 2014</w:t>
      </w:r>
      <w:r w:rsidR="00E43344">
        <w:rPr>
          <w:rStyle w:val="FootnoteReference"/>
          <w:rFonts w:asciiTheme="minorHAnsi" w:hAnsiTheme="minorHAnsi" w:cs="Arial"/>
          <w:color w:val="000000" w:themeColor="text1"/>
        </w:rPr>
        <w:footnoteReference w:id="3"/>
      </w:r>
      <w:r w:rsidRPr="009F44DC">
        <w:rPr>
          <w:rFonts w:asciiTheme="minorHAnsi" w:hAnsiTheme="minorHAnsi" w:cs="Arial"/>
          <w:color w:val="000000" w:themeColor="text1"/>
        </w:rPr>
        <w:t xml:space="preserve">, the NHS body may seek reimbursement for any delays attributable to social care should they wish to do so. </w:t>
      </w:r>
    </w:p>
    <w:p w14:paraId="73F5BDCA" w14:textId="77777777" w:rsidR="00AE4DDF" w:rsidRPr="00510737" w:rsidRDefault="00AE4DDF" w:rsidP="0093519A">
      <w:pPr>
        <w:pStyle w:val="ListParagraph"/>
        <w:jc w:val="both"/>
      </w:pPr>
    </w:p>
    <w:p w14:paraId="357EF16F" w14:textId="27964874" w:rsidR="00534DD6" w:rsidRDefault="0078391A" w:rsidP="003C5FC0">
      <w:pPr>
        <w:pStyle w:val="ListParagraph"/>
        <w:numPr>
          <w:ilvl w:val="0"/>
          <w:numId w:val="5"/>
        </w:numPr>
        <w:ind w:hanging="731"/>
        <w:jc w:val="both"/>
        <w:rPr>
          <w:b/>
          <w:u w:val="single"/>
        </w:rPr>
      </w:pPr>
      <w:r>
        <w:rPr>
          <w:b/>
          <w:u w:val="single"/>
        </w:rPr>
        <w:t xml:space="preserve">Recording of </w:t>
      </w:r>
      <w:r w:rsidR="0060010E">
        <w:rPr>
          <w:b/>
          <w:u w:val="single"/>
        </w:rPr>
        <w:t>Clinically Ready for Discharge</w:t>
      </w:r>
    </w:p>
    <w:p w14:paraId="6200FD53" w14:textId="77777777" w:rsidR="006432AD" w:rsidRPr="005579DA" w:rsidRDefault="006432AD" w:rsidP="0093519A">
      <w:pPr>
        <w:pStyle w:val="ListParagraph"/>
        <w:ind w:left="1440"/>
        <w:jc w:val="both"/>
        <w:rPr>
          <w:b/>
          <w:u w:val="single"/>
        </w:rPr>
      </w:pPr>
    </w:p>
    <w:p w14:paraId="5B03365D" w14:textId="6A0E41FE" w:rsidR="00E167C7" w:rsidRDefault="00E167C7" w:rsidP="003C5FC0">
      <w:pPr>
        <w:pStyle w:val="ListParagraph"/>
        <w:numPr>
          <w:ilvl w:val="1"/>
          <w:numId w:val="5"/>
        </w:numPr>
        <w:ind w:left="1418" w:hanging="709"/>
        <w:jc w:val="both"/>
      </w:pPr>
      <w:r w:rsidRPr="00CD5DA1">
        <w:t xml:space="preserve">The following should </w:t>
      </w:r>
      <w:r w:rsidR="00733586">
        <w:t xml:space="preserve">be </w:t>
      </w:r>
      <w:r w:rsidRPr="00CD5DA1">
        <w:t xml:space="preserve">in place to support rapid </w:t>
      </w:r>
      <w:r w:rsidR="00005082">
        <w:t>decision-making</w:t>
      </w:r>
      <w:r w:rsidRPr="00CD5DA1">
        <w:t>;</w:t>
      </w:r>
    </w:p>
    <w:p w14:paraId="53B9FB1B" w14:textId="77777777" w:rsidR="00E22028" w:rsidRPr="00CD5DA1" w:rsidRDefault="00E22028" w:rsidP="00BE72FE">
      <w:pPr>
        <w:pStyle w:val="ListParagraph"/>
        <w:ind w:left="1418"/>
        <w:jc w:val="both"/>
      </w:pPr>
    </w:p>
    <w:p w14:paraId="25496621" w14:textId="6DE656D4" w:rsidR="00E167C7" w:rsidRPr="0004041C" w:rsidRDefault="00E167C7" w:rsidP="00CD5DA1">
      <w:pPr>
        <w:pStyle w:val="ListParagraph"/>
        <w:numPr>
          <w:ilvl w:val="1"/>
          <w:numId w:val="16"/>
        </w:numPr>
        <w:ind w:left="1701" w:hanging="283"/>
        <w:jc w:val="both"/>
      </w:pPr>
      <w:r w:rsidRPr="0004041C">
        <w:t xml:space="preserve">A 7 days a week, daily clinical </w:t>
      </w:r>
      <w:r w:rsidR="00005082">
        <w:t>decision-making</w:t>
      </w:r>
      <w:r w:rsidRPr="0004041C">
        <w:t xml:space="preserve"> system with senior clinical peer review of longer stays</w:t>
      </w:r>
      <w:r w:rsidR="00F52C84" w:rsidRPr="0004041C">
        <w:t xml:space="preserve"> over 28 days</w:t>
      </w:r>
      <w:r w:rsidRPr="0004041C">
        <w:t>.</w:t>
      </w:r>
    </w:p>
    <w:p w14:paraId="0BDFB963" w14:textId="77777777" w:rsidR="00E167C7" w:rsidRPr="00CD5DA1" w:rsidRDefault="00E167C7" w:rsidP="00CD5DA1">
      <w:pPr>
        <w:pStyle w:val="ListParagraph"/>
        <w:numPr>
          <w:ilvl w:val="1"/>
          <w:numId w:val="16"/>
        </w:numPr>
        <w:ind w:left="1701" w:hanging="283"/>
        <w:jc w:val="both"/>
      </w:pPr>
      <w:r w:rsidRPr="00CD5DA1">
        <w:t>Daily huddle or board round identifying areas of need, potential and actual delays and mitigations.</w:t>
      </w:r>
    </w:p>
    <w:p w14:paraId="20D7C3B0" w14:textId="77777777" w:rsidR="00E167C7" w:rsidRPr="00CD5DA1" w:rsidRDefault="00E167C7" w:rsidP="00CD5DA1">
      <w:pPr>
        <w:pStyle w:val="ListParagraph"/>
        <w:numPr>
          <w:ilvl w:val="1"/>
          <w:numId w:val="16"/>
        </w:numPr>
        <w:ind w:left="1701" w:hanging="283"/>
        <w:jc w:val="both"/>
      </w:pPr>
      <w:r w:rsidRPr="00CD5DA1">
        <w:t>Outcome of review and huddle linked to escalation.</w:t>
      </w:r>
    </w:p>
    <w:p w14:paraId="107AFDAC" w14:textId="2EA366C6" w:rsidR="00E167C7" w:rsidRPr="00CD5DA1" w:rsidRDefault="00E167C7" w:rsidP="00CD5DA1">
      <w:pPr>
        <w:pStyle w:val="ListParagraph"/>
        <w:numPr>
          <w:ilvl w:val="1"/>
          <w:numId w:val="16"/>
        </w:numPr>
        <w:ind w:left="1701" w:hanging="283"/>
        <w:jc w:val="both"/>
      </w:pPr>
      <w:r w:rsidRPr="00CD5DA1">
        <w:t xml:space="preserve">Weekly bed management meeting with decision makers led by senior staff (clinical lead, inpatient Consultant, Ward Manager, Social Worker and OT) to discuss </w:t>
      </w:r>
      <w:r w:rsidR="00E4761A">
        <w:t xml:space="preserve">and assign responsibility for addressing barriers to discharge for </w:t>
      </w:r>
      <w:r w:rsidRPr="00CD5DA1">
        <w:t>“medically optimised” people.</w:t>
      </w:r>
    </w:p>
    <w:p w14:paraId="154124FE" w14:textId="42B923C6" w:rsidR="00B6732B" w:rsidRPr="00CD5DA1" w:rsidRDefault="00B6732B" w:rsidP="00B6732B">
      <w:pPr>
        <w:pStyle w:val="ListParagraph"/>
        <w:numPr>
          <w:ilvl w:val="1"/>
          <w:numId w:val="16"/>
        </w:numPr>
        <w:ind w:left="1701" w:hanging="283"/>
        <w:jc w:val="both"/>
      </w:pPr>
      <w:r w:rsidRPr="00CD5DA1">
        <w:t>Effective information sharing and reporting arrangements that are kept up to date by the Trust and its local authority partners</w:t>
      </w:r>
      <w:r w:rsidR="00005082">
        <w:t xml:space="preserve"> as above this is mostly us</w:t>
      </w:r>
      <w:r w:rsidRPr="00CD5DA1">
        <w:t xml:space="preserve">, with reports shared in a timely manner to enable effective </w:t>
      </w:r>
      <w:r w:rsidR="00005082">
        <w:t>decision-making</w:t>
      </w:r>
      <w:r w:rsidRPr="00CD5DA1">
        <w:t xml:space="preserve"> at bed management meetings </w:t>
      </w:r>
    </w:p>
    <w:p w14:paraId="32C6ACE2" w14:textId="77777777" w:rsidR="00B6732B" w:rsidRDefault="00B6732B" w:rsidP="00CD5DA1">
      <w:pPr>
        <w:pStyle w:val="ListParagraph"/>
        <w:ind w:left="1701"/>
        <w:jc w:val="both"/>
        <w:rPr>
          <w:u w:val="single"/>
        </w:rPr>
      </w:pPr>
    </w:p>
    <w:p w14:paraId="7730F44A" w14:textId="77777777" w:rsidR="0078391A" w:rsidRPr="0078391A" w:rsidRDefault="00A85267" w:rsidP="003C5FC0">
      <w:pPr>
        <w:pStyle w:val="ListParagraph"/>
        <w:numPr>
          <w:ilvl w:val="1"/>
          <w:numId w:val="5"/>
        </w:numPr>
        <w:ind w:left="1418" w:hanging="709"/>
        <w:jc w:val="both"/>
      </w:pPr>
      <w:r>
        <w:t xml:space="preserve">A service user </w:t>
      </w:r>
      <w:r w:rsidR="0078391A" w:rsidRPr="0078391A">
        <w:t xml:space="preserve"> is ready for transfer when;</w:t>
      </w:r>
    </w:p>
    <w:p w14:paraId="25C49765" w14:textId="6923DDE8" w:rsidR="00FE5EDE" w:rsidRDefault="00FE5EDE" w:rsidP="0093519A">
      <w:pPr>
        <w:pStyle w:val="ListParagraph"/>
        <w:numPr>
          <w:ilvl w:val="0"/>
          <w:numId w:val="9"/>
        </w:numPr>
        <w:spacing w:after="0" w:line="240" w:lineRule="auto"/>
        <w:ind w:left="709" w:firstLine="709"/>
        <w:jc w:val="both"/>
        <w:rPr>
          <w:rFonts w:asciiTheme="minorHAnsi" w:eastAsia="Times New Roman" w:hAnsiTheme="minorHAnsi" w:cs="Arial"/>
          <w:lang w:eastAsia="en-GB"/>
        </w:rPr>
      </w:pPr>
      <w:r>
        <w:rPr>
          <w:rFonts w:asciiTheme="minorHAnsi" w:eastAsia="Times New Roman" w:hAnsiTheme="minorHAnsi" w:cs="Arial"/>
          <w:lang w:eastAsia="en-GB"/>
        </w:rPr>
        <w:t>Service user on the ward with longer stay over 28 days</w:t>
      </w:r>
    </w:p>
    <w:p w14:paraId="3FE704D6" w14:textId="31DED978" w:rsidR="0073658B" w:rsidRDefault="0078391A" w:rsidP="0093519A">
      <w:pPr>
        <w:pStyle w:val="ListParagraph"/>
        <w:numPr>
          <w:ilvl w:val="0"/>
          <w:numId w:val="9"/>
        </w:numPr>
        <w:tabs>
          <w:tab w:val="left" w:pos="2127"/>
        </w:tabs>
        <w:spacing w:after="0" w:line="240" w:lineRule="auto"/>
        <w:ind w:left="2127" w:hanging="709"/>
        <w:jc w:val="both"/>
        <w:rPr>
          <w:rFonts w:asciiTheme="minorHAnsi" w:eastAsia="Times New Roman" w:hAnsiTheme="minorHAnsi" w:cs="Arial"/>
          <w:lang w:eastAsia="en-GB"/>
        </w:rPr>
      </w:pPr>
      <w:r w:rsidRPr="00A85267">
        <w:rPr>
          <w:rFonts w:asciiTheme="minorHAnsi" w:eastAsia="Times New Roman" w:hAnsiTheme="minorHAnsi" w:cs="Arial"/>
          <w:lang w:eastAsia="en-GB"/>
        </w:rPr>
        <w:lastRenderedPageBreak/>
        <w:t xml:space="preserve">A </w:t>
      </w:r>
      <w:r w:rsidR="00E167C7">
        <w:rPr>
          <w:rFonts w:asciiTheme="minorHAnsi" w:eastAsia="Times New Roman" w:hAnsiTheme="minorHAnsi" w:cs="Arial"/>
          <w:lang w:eastAsia="en-GB"/>
        </w:rPr>
        <w:t>MDT</w:t>
      </w:r>
      <w:r w:rsidRPr="00A85267">
        <w:rPr>
          <w:rFonts w:asciiTheme="minorHAnsi" w:eastAsia="Times New Roman" w:hAnsiTheme="minorHAnsi" w:cs="Arial"/>
          <w:lang w:eastAsia="en-GB"/>
        </w:rPr>
        <w:t xml:space="preserve"> decision has been made that the </w:t>
      </w:r>
      <w:r w:rsidR="00514826">
        <w:t>service user</w:t>
      </w:r>
      <w:r w:rsidRPr="00A85267">
        <w:rPr>
          <w:rFonts w:asciiTheme="minorHAnsi" w:eastAsia="Times New Roman" w:hAnsiTheme="minorHAnsi" w:cs="Arial"/>
          <w:lang w:eastAsia="en-GB"/>
        </w:rPr>
        <w:t xml:space="preserve"> is ready for  transfer </w:t>
      </w:r>
      <w:r w:rsidR="0073658B">
        <w:rPr>
          <w:rFonts w:asciiTheme="minorHAnsi" w:eastAsia="Times New Roman" w:hAnsiTheme="minorHAnsi" w:cs="Arial"/>
          <w:lang w:eastAsia="en-GB"/>
        </w:rPr>
        <w:t xml:space="preserve">based on the three key criteria mentioned for MDT in </w:t>
      </w:r>
      <w:r w:rsidR="0073658B" w:rsidRPr="0073658B">
        <w:rPr>
          <w:rFonts w:asciiTheme="minorHAnsi" w:eastAsia="Times New Roman" w:hAnsiTheme="minorHAnsi" w:cs="Arial"/>
          <w:b/>
          <w:lang w:eastAsia="en-GB"/>
        </w:rPr>
        <w:t>section 4.1</w:t>
      </w:r>
    </w:p>
    <w:p w14:paraId="496D2569" w14:textId="3D0E4ACF" w:rsidR="0078391A" w:rsidRPr="00FE5EDE" w:rsidRDefault="00FE5EDE" w:rsidP="00FE5EDE">
      <w:pPr>
        <w:pStyle w:val="ListParagraph"/>
        <w:numPr>
          <w:ilvl w:val="0"/>
          <w:numId w:val="9"/>
        </w:numPr>
        <w:tabs>
          <w:tab w:val="left" w:pos="2127"/>
        </w:tabs>
        <w:spacing w:after="0" w:line="240" w:lineRule="auto"/>
        <w:ind w:left="2127" w:hanging="709"/>
        <w:jc w:val="both"/>
        <w:rPr>
          <w:rFonts w:asciiTheme="minorHAnsi" w:eastAsia="Times New Roman" w:hAnsiTheme="minorHAnsi" w:cs="Arial"/>
          <w:lang w:eastAsia="en-GB"/>
        </w:rPr>
      </w:pPr>
      <w:r>
        <w:rPr>
          <w:rFonts w:asciiTheme="minorHAnsi" w:eastAsia="Times New Roman" w:hAnsiTheme="minorHAnsi" w:cs="Arial"/>
          <w:lang w:eastAsia="en-GB"/>
        </w:rPr>
        <w:t>S</w:t>
      </w:r>
      <w:r>
        <w:t>upporting services are aware of what ongoing support is needed.</w:t>
      </w:r>
    </w:p>
    <w:p w14:paraId="7B41166A" w14:textId="77777777" w:rsidR="0078391A" w:rsidRDefault="0078391A" w:rsidP="0093519A">
      <w:pPr>
        <w:pStyle w:val="ListParagraph"/>
        <w:spacing w:after="0" w:line="240" w:lineRule="auto"/>
        <w:ind w:left="709" w:hanging="709"/>
        <w:jc w:val="both"/>
        <w:rPr>
          <w:rFonts w:ascii="Arial" w:eastAsia="Times New Roman" w:hAnsi="Arial" w:cs="Arial"/>
          <w:lang w:eastAsia="en-GB"/>
        </w:rPr>
      </w:pPr>
    </w:p>
    <w:p w14:paraId="073BB377" w14:textId="1FBD4CE4" w:rsidR="000527AB" w:rsidRDefault="000527AB" w:rsidP="000564C0">
      <w:pPr>
        <w:pStyle w:val="ListParagraph"/>
        <w:numPr>
          <w:ilvl w:val="1"/>
          <w:numId w:val="5"/>
        </w:numPr>
        <w:ind w:left="1418" w:hanging="709"/>
        <w:jc w:val="both"/>
        <w:rPr>
          <w:rFonts w:asciiTheme="minorHAnsi" w:eastAsia="Times New Roman" w:hAnsiTheme="minorHAnsi" w:cs="Arial"/>
          <w:lang w:eastAsia="en-GB"/>
        </w:rPr>
      </w:pPr>
      <w:r>
        <w:rPr>
          <w:rFonts w:asciiTheme="minorHAnsi" w:eastAsia="Times New Roman" w:hAnsiTheme="minorHAnsi" w:cs="Arial"/>
          <w:lang w:eastAsia="en-GB"/>
        </w:rPr>
        <w:t>There must be</w:t>
      </w:r>
      <w:r w:rsidR="00005082">
        <w:rPr>
          <w:rFonts w:asciiTheme="minorHAnsi" w:eastAsia="Times New Roman" w:hAnsiTheme="minorHAnsi" w:cs="Arial"/>
          <w:lang w:eastAsia="en-GB"/>
        </w:rPr>
        <w:t xml:space="preserve"> an</w:t>
      </w:r>
      <w:r>
        <w:rPr>
          <w:rFonts w:asciiTheme="minorHAnsi" w:eastAsia="Times New Roman" w:hAnsiTheme="minorHAnsi" w:cs="Arial"/>
          <w:lang w:eastAsia="en-GB"/>
        </w:rPr>
        <w:t xml:space="preserve"> explicit agreement in the MDT that a </w:t>
      </w:r>
      <w:r w:rsidR="00514826">
        <w:t>service user</w:t>
      </w:r>
      <w:r>
        <w:rPr>
          <w:rFonts w:asciiTheme="minorHAnsi" w:eastAsia="Times New Roman" w:hAnsiTheme="minorHAnsi" w:cs="Arial"/>
          <w:lang w:eastAsia="en-GB"/>
        </w:rPr>
        <w:t>’s care has been delayed. Where agreement cannot be reached, the disputes and escalation process should be followed.</w:t>
      </w:r>
    </w:p>
    <w:p w14:paraId="18608764" w14:textId="77777777" w:rsidR="000527AB" w:rsidRDefault="000527AB" w:rsidP="00CD5DA1">
      <w:pPr>
        <w:pStyle w:val="ListParagraph"/>
        <w:ind w:left="1418"/>
        <w:jc w:val="both"/>
        <w:rPr>
          <w:rFonts w:asciiTheme="minorHAnsi" w:eastAsia="Times New Roman" w:hAnsiTheme="minorHAnsi" w:cs="Arial"/>
          <w:lang w:eastAsia="en-GB"/>
        </w:rPr>
      </w:pPr>
    </w:p>
    <w:p w14:paraId="0B05E895" w14:textId="3F3642C0" w:rsidR="008B57E6" w:rsidRDefault="0078391A" w:rsidP="000564C0">
      <w:pPr>
        <w:pStyle w:val="ListParagraph"/>
        <w:numPr>
          <w:ilvl w:val="1"/>
          <w:numId w:val="5"/>
        </w:numPr>
        <w:ind w:left="1418" w:hanging="709"/>
        <w:jc w:val="both"/>
        <w:rPr>
          <w:rFonts w:asciiTheme="minorHAnsi" w:eastAsia="Times New Roman" w:hAnsiTheme="minorHAnsi" w:cs="Arial"/>
          <w:lang w:eastAsia="en-GB"/>
        </w:rPr>
      </w:pPr>
      <w:r w:rsidRPr="000564C0">
        <w:rPr>
          <w:rFonts w:asciiTheme="minorHAnsi" w:eastAsia="Times New Roman" w:hAnsiTheme="minorHAnsi" w:cs="Arial"/>
          <w:lang w:eastAsia="en-GB"/>
        </w:rPr>
        <w:t xml:space="preserve">A </w:t>
      </w:r>
      <w:r w:rsidR="0060010E">
        <w:rPr>
          <w:rFonts w:asciiTheme="minorHAnsi" w:eastAsia="Times New Roman" w:hAnsiTheme="minorHAnsi" w:cs="Arial"/>
          <w:lang w:eastAsia="en-GB"/>
        </w:rPr>
        <w:t>Clinically Ready for Discharge</w:t>
      </w:r>
      <w:r w:rsidR="0094213F" w:rsidRPr="000564C0">
        <w:rPr>
          <w:rFonts w:asciiTheme="minorHAnsi" w:eastAsia="Times New Roman" w:hAnsiTheme="minorHAnsi" w:cs="Arial"/>
          <w:lang w:eastAsia="en-GB"/>
        </w:rPr>
        <w:t xml:space="preserve"> must be recorded in R</w:t>
      </w:r>
      <w:r w:rsidR="00E167C7">
        <w:rPr>
          <w:rFonts w:asciiTheme="minorHAnsi" w:eastAsia="Times New Roman" w:hAnsiTheme="minorHAnsi" w:cs="Arial"/>
          <w:lang w:eastAsia="en-GB"/>
        </w:rPr>
        <w:t>i</w:t>
      </w:r>
      <w:r w:rsidR="0094213F" w:rsidRPr="000564C0">
        <w:rPr>
          <w:rFonts w:asciiTheme="minorHAnsi" w:eastAsia="Times New Roman" w:hAnsiTheme="minorHAnsi" w:cs="Arial"/>
          <w:lang w:eastAsia="en-GB"/>
        </w:rPr>
        <w:t xml:space="preserve">O and also shared with </w:t>
      </w:r>
      <w:r w:rsidR="00005082">
        <w:rPr>
          <w:rFonts w:asciiTheme="minorHAnsi" w:eastAsia="Times New Roman" w:hAnsiTheme="minorHAnsi" w:cs="Arial"/>
          <w:lang w:eastAsia="en-GB"/>
        </w:rPr>
        <w:t xml:space="preserve">the </w:t>
      </w:r>
      <w:r w:rsidR="0094213F" w:rsidRPr="000564C0">
        <w:rPr>
          <w:rFonts w:asciiTheme="minorHAnsi" w:eastAsia="Times New Roman" w:hAnsiTheme="minorHAnsi" w:cs="Arial"/>
          <w:lang w:eastAsia="en-GB"/>
        </w:rPr>
        <w:t>local authority and should also include details of the following;</w:t>
      </w:r>
    </w:p>
    <w:p w14:paraId="4503C84B" w14:textId="7171D758" w:rsidR="00A85267" w:rsidRDefault="00A85267" w:rsidP="00BE72FE">
      <w:pPr>
        <w:pStyle w:val="ListParagraph"/>
        <w:numPr>
          <w:ilvl w:val="1"/>
          <w:numId w:val="16"/>
        </w:numPr>
        <w:ind w:left="1701" w:hanging="283"/>
        <w:jc w:val="both"/>
      </w:pPr>
      <w:r>
        <w:t xml:space="preserve">Start date of </w:t>
      </w:r>
      <w:r w:rsidR="0060010E">
        <w:t>CRFD</w:t>
      </w:r>
      <w:r>
        <w:t>:</w:t>
      </w:r>
    </w:p>
    <w:p w14:paraId="4EF1EF54" w14:textId="09FAF371" w:rsidR="00945DC8" w:rsidRDefault="00945DC8" w:rsidP="00BE72FE">
      <w:pPr>
        <w:pStyle w:val="ListParagraph"/>
        <w:numPr>
          <w:ilvl w:val="1"/>
          <w:numId w:val="16"/>
        </w:numPr>
        <w:ind w:left="1701" w:hanging="283"/>
        <w:jc w:val="both"/>
      </w:pPr>
      <w:r>
        <w:t>Agreed attribution of the delayed reason</w:t>
      </w:r>
    </w:p>
    <w:p w14:paraId="7B59F237" w14:textId="711EC22F" w:rsidR="00945DC8" w:rsidRDefault="00945DC8" w:rsidP="00BE72FE">
      <w:pPr>
        <w:pStyle w:val="ListParagraph"/>
        <w:numPr>
          <w:ilvl w:val="1"/>
          <w:numId w:val="16"/>
        </w:numPr>
        <w:ind w:left="1701" w:hanging="283"/>
        <w:jc w:val="both"/>
      </w:pPr>
      <w:r>
        <w:t>End date</w:t>
      </w:r>
    </w:p>
    <w:p w14:paraId="5D72541B" w14:textId="77777777" w:rsidR="008A26B1" w:rsidRPr="00BE72FE" w:rsidRDefault="008A26B1" w:rsidP="00BE72FE">
      <w:pPr>
        <w:pStyle w:val="ListParagraph"/>
        <w:ind w:left="1701"/>
        <w:jc w:val="both"/>
      </w:pPr>
    </w:p>
    <w:p w14:paraId="6F0B7BC4" w14:textId="28A9EE7D" w:rsidR="0094213F" w:rsidRPr="00BE72FE" w:rsidRDefault="0094213F" w:rsidP="00BE72FE">
      <w:pPr>
        <w:pStyle w:val="ListParagraph"/>
        <w:numPr>
          <w:ilvl w:val="1"/>
          <w:numId w:val="5"/>
        </w:numPr>
        <w:ind w:left="1418" w:hanging="709"/>
        <w:jc w:val="both"/>
        <w:rPr>
          <w:rFonts w:asciiTheme="minorHAnsi" w:eastAsia="Times New Roman" w:hAnsiTheme="minorHAnsi" w:cs="Arial"/>
          <w:lang w:eastAsia="en-GB"/>
        </w:rPr>
      </w:pPr>
      <w:r w:rsidRPr="00BE72FE">
        <w:rPr>
          <w:rFonts w:asciiTheme="minorHAnsi" w:eastAsia="Times New Roman" w:hAnsiTheme="minorHAnsi" w:cs="Arial"/>
          <w:lang w:eastAsia="en-GB"/>
        </w:rPr>
        <w:t xml:space="preserve">It is the responsibility of the inpatient lead (or designated </w:t>
      </w:r>
      <w:r w:rsidR="008768F5" w:rsidRPr="00BE72FE">
        <w:rPr>
          <w:rFonts w:asciiTheme="minorHAnsi" w:eastAsia="Times New Roman" w:hAnsiTheme="minorHAnsi" w:cs="Arial"/>
          <w:lang w:eastAsia="en-GB"/>
        </w:rPr>
        <w:t>p</w:t>
      </w:r>
      <w:r w:rsidR="00CD5DA1" w:rsidRPr="00BE72FE">
        <w:rPr>
          <w:rFonts w:asciiTheme="minorHAnsi" w:eastAsia="Times New Roman" w:hAnsiTheme="minorHAnsi" w:cs="Arial"/>
          <w:lang w:eastAsia="en-GB"/>
        </w:rPr>
        <w:t>erson</w:t>
      </w:r>
      <w:r w:rsidRPr="00BE72FE">
        <w:rPr>
          <w:rFonts w:asciiTheme="minorHAnsi" w:eastAsia="Times New Roman" w:hAnsiTheme="minorHAnsi" w:cs="Arial"/>
          <w:lang w:eastAsia="en-GB"/>
        </w:rPr>
        <w:t>) following bed meetings to;</w:t>
      </w:r>
    </w:p>
    <w:p w14:paraId="269812FA" w14:textId="1E240B4F" w:rsidR="0094213F" w:rsidRDefault="0094213F" w:rsidP="00BE72FE">
      <w:pPr>
        <w:pStyle w:val="ListParagraph"/>
        <w:numPr>
          <w:ilvl w:val="1"/>
          <w:numId w:val="16"/>
        </w:numPr>
        <w:ind w:left="1701" w:hanging="283"/>
        <w:jc w:val="both"/>
      </w:pPr>
      <w:r>
        <w:t xml:space="preserve">Ensure </w:t>
      </w:r>
      <w:r w:rsidR="002F2F38">
        <w:t xml:space="preserve">CRFD </w:t>
      </w:r>
      <w:r w:rsidR="002F1084">
        <w:t xml:space="preserve">bed management </w:t>
      </w:r>
      <w:r w:rsidR="00DC00D1">
        <w:t>monitoring sheet is reviewed</w:t>
      </w:r>
      <w:r>
        <w:t xml:space="preserve"> and </w:t>
      </w:r>
    </w:p>
    <w:p w14:paraId="331CD591" w14:textId="14A80349" w:rsidR="001419DD" w:rsidRDefault="001419DD" w:rsidP="00BE72FE">
      <w:pPr>
        <w:pStyle w:val="ListParagraph"/>
        <w:numPr>
          <w:ilvl w:val="1"/>
          <w:numId w:val="16"/>
        </w:numPr>
        <w:ind w:left="1701" w:hanging="283"/>
        <w:jc w:val="both"/>
      </w:pPr>
      <w:r>
        <w:t>Identified/</w:t>
      </w:r>
      <w:r w:rsidR="00E167C7">
        <w:t>a</w:t>
      </w:r>
      <w:r>
        <w:t xml:space="preserve">greed </w:t>
      </w:r>
      <w:r w:rsidR="00BB2226">
        <w:t xml:space="preserve">CRFD </w:t>
      </w:r>
      <w:r>
        <w:t>cases and provide details to local performance managers each Monday for submission</w:t>
      </w:r>
    </w:p>
    <w:p w14:paraId="3B24EABF" w14:textId="77777777" w:rsidR="008A26B1" w:rsidRDefault="008A26B1" w:rsidP="00BE72FE">
      <w:pPr>
        <w:pStyle w:val="ListParagraph"/>
        <w:ind w:left="1701"/>
        <w:jc w:val="both"/>
      </w:pPr>
    </w:p>
    <w:p w14:paraId="45FAD4FD" w14:textId="47A58CF0" w:rsidR="0062656C" w:rsidRPr="0062656C" w:rsidRDefault="0030494B" w:rsidP="00BD2AB0">
      <w:pPr>
        <w:pStyle w:val="ListParagraph"/>
        <w:numPr>
          <w:ilvl w:val="1"/>
          <w:numId w:val="5"/>
        </w:numPr>
        <w:ind w:left="1418" w:hanging="709"/>
        <w:jc w:val="both"/>
      </w:pPr>
      <w:r w:rsidRPr="0030494B">
        <w:rPr>
          <w:rFonts w:asciiTheme="minorHAnsi" w:eastAsia="Times New Roman" w:hAnsiTheme="minorHAnsi" w:cs="Arial"/>
          <w:lang w:eastAsia="en-GB"/>
        </w:rPr>
        <w:t xml:space="preserve">To determine the discharge pathway for each service user and handle any disputes, we will follow the process outlined in </w:t>
      </w:r>
      <w:r w:rsidRPr="0030494B">
        <w:rPr>
          <w:rFonts w:asciiTheme="minorHAnsi" w:eastAsia="Times New Roman" w:hAnsiTheme="minorHAnsi" w:cs="Arial"/>
          <w:b/>
          <w:lang w:eastAsia="en-GB"/>
        </w:rPr>
        <w:t>Figure 1</w:t>
      </w:r>
      <w:r w:rsidRPr="0030494B">
        <w:rPr>
          <w:rFonts w:asciiTheme="minorHAnsi" w:eastAsia="Times New Roman" w:hAnsiTheme="minorHAnsi" w:cs="Arial"/>
          <w:lang w:eastAsia="en-GB"/>
        </w:rPr>
        <w:t xml:space="preserve">. </w:t>
      </w:r>
      <w:r w:rsidR="00BD2AB0">
        <w:t xml:space="preserve">The Trust will agree on the terms of reference, operating arrangements and membership of each body and group referred to in this pathway with each of its local authority partners.  </w:t>
      </w:r>
      <w:r w:rsidR="0062656C" w:rsidRPr="00BD2AB0">
        <w:rPr>
          <w:rFonts w:cs="Calibri"/>
          <w:color w:val="000000" w:themeColor="text1"/>
        </w:rPr>
        <w:t>Each borough will have its own local protocols, which will outline the specific processes and procedures agreed upon with partners.</w:t>
      </w:r>
    </w:p>
    <w:p w14:paraId="0FFB19B5" w14:textId="3B528B1F" w:rsidR="000A499B" w:rsidRDefault="004044A5" w:rsidP="008E6540">
      <w:pPr>
        <w:spacing w:after="0" w:line="240" w:lineRule="auto"/>
        <w:rPr>
          <w:rFonts w:asciiTheme="minorHAnsi" w:hAnsiTheme="minorHAnsi"/>
          <w:u w:val="single"/>
        </w:rPr>
      </w:pPr>
      <w:r w:rsidRPr="00CD5DA1">
        <w:rPr>
          <w:b/>
        </w:rPr>
        <w:tab/>
      </w:r>
    </w:p>
    <w:p w14:paraId="3D4818F1" w14:textId="6C6C5B1F" w:rsidR="008E6540" w:rsidRDefault="008E6540" w:rsidP="008E6540">
      <w:pPr>
        <w:spacing w:after="0" w:line="240" w:lineRule="auto"/>
        <w:rPr>
          <w:b/>
        </w:rPr>
      </w:pPr>
      <w:r w:rsidRPr="00CD5DA1">
        <w:rPr>
          <w:b/>
        </w:rPr>
        <w:t>Figure 1:</w:t>
      </w:r>
      <w:r>
        <w:rPr>
          <w:b/>
        </w:rPr>
        <w:t xml:space="preserve"> High Level Process Flow</w:t>
      </w:r>
      <w:r w:rsidRPr="00CD5DA1">
        <w:rPr>
          <w:b/>
        </w:rPr>
        <w:t xml:space="preserve"> to agree </w:t>
      </w:r>
      <w:r>
        <w:rPr>
          <w:b/>
        </w:rPr>
        <w:t>CRFD</w:t>
      </w:r>
      <w:r w:rsidRPr="00CE76A3">
        <w:rPr>
          <w:sz w:val="20"/>
          <w:szCs w:val="20"/>
          <w:lang w:eastAsia="en-GB"/>
        </w:rPr>
        <w:t xml:space="preserve"> </w:t>
      </w:r>
    </w:p>
    <w:p w14:paraId="2C3B6031" w14:textId="77777777" w:rsidR="000A499B" w:rsidRDefault="000A499B" w:rsidP="000A499B">
      <w:pPr>
        <w:tabs>
          <w:tab w:val="left" w:pos="709"/>
        </w:tabs>
        <w:ind w:left="360"/>
        <w:jc w:val="both"/>
        <w:rPr>
          <w:b/>
        </w:rPr>
      </w:pPr>
      <w:r w:rsidRPr="00F35518">
        <w:rPr>
          <w:b/>
          <w:noProof/>
          <w:lang w:eastAsia="en-GB"/>
        </w:rPr>
        <mc:AlternateContent>
          <mc:Choice Requires="wps">
            <w:drawing>
              <wp:anchor distT="0" distB="0" distL="114300" distR="114300" simplePos="0" relativeHeight="251691026" behindDoc="0" locked="0" layoutInCell="1" allowOverlap="1" wp14:anchorId="4B5C1951" wp14:editId="4C2C6C6E">
                <wp:simplePos x="0" y="0"/>
                <wp:positionH relativeFrom="column">
                  <wp:posOffset>1634490</wp:posOffset>
                </wp:positionH>
                <wp:positionV relativeFrom="paragraph">
                  <wp:posOffset>96520</wp:posOffset>
                </wp:positionV>
                <wp:extent cx="2736000" cy="416761"/>
                <wp:effectExtent l="57150" t="38100" r="64770" b="78740"/>
                <wp:wrapNone/>
                <wp:docPr id="3" name="Flowchart: Process 1"/>
                <wp:cNvGraphicFramePr/>
                <a:graphic xmlns:a="http://schemas.openxmlformats.org/drawingml/2006/main">
                  <a:graphicData uri="http://schemas.microsoft.com/office/word/2010/wordprocessingShape">
                    <wps:wsp>
                      <wps:cNvSpPr/>
                      <wps:spPr>
                        <a:xfrm>
                          <a:off x="0" y="0"/>
                          <a:ext cx="2736000" cy="416761"/>
                        </a:xfrm>
                        <a:prstGeom prst="flowChartProcess">
                          <a:avLst/>
                        </a:prstGeom>
                        <a:ln>
                          <a:noFill/>
                        </a:ln>
                      </wps:spPr>
                      <wps:style>
                        <a:lnRef idx="1">
                          <a:schemeClr val="accent1"/>
                        </a:lnRef>
                        <a:fillRef idx="2">
                          <a:schemeClr val="accent1"/>
                        </a:fillRef>
                        <a:effectRef idx="1">
                          <a:schemeClr val="accent1"/>
                        </a:effectRef>
                        <a:fontRef idx="minor">
                          <a:schemeClr val="dk1"/>
                        </a:fontRef>
                      </wps:style>
                      <wps:txbx>
                        <w:txbxContent>
                          <w:p w14:paraId="2F67E958" w14:textId="3DC18134" w:rsidR="00795F08" w:rsidRPr="00D13FC3" w:rsidRDefault="00795F08" w:rsidP="00627B12">
                            <w:pPr>
                              <w:pStyle w:val="NormalWeb"/>
                              <w:spacing w:before="0" w:beforeAutospacing="0" w:after="0" w:afterAutospacing="0"/>
                              <w:jc w:val="center"/>
                              <w:rPr>
                                <w:rFonts w:asciiTheme="minorHAnsi" w:hAnsiTheme="minorHAnsi" w:cstheme="minorHAnsi"/>
                                <w:sz w:val="20"/>
                                <w:szCs w:val="20"/>
                              </w:rPr>
                            </w:pPr>
                            <w:r w:rsidRPr="00D13FC3">
                              <w:rPr>
                                <w:rFonts w:asciiTheme="minorHAnsi" w:hAnsiTheme="minorHAnsi" w:cstheme="minorHAnsi"/>
                                <w:color w:val="000000" w:themeColor="dark1"/>
                                <w:kern w:val="24"/>
                                <w:sz w:val="20"/>
                                <w:szCs w:val="20"/>
                              </w:rPr>
                              <w:t xml:space="preserve">Plan and discuss discharge </w:t>
                            </w:r>
                            <w:r w:rsidR="00C51FDC">
                              <w:rPr>
                                <w:rFonts w:asciiTheme="minorHAnsi" w:hAnsiTheme="minorHAnsi" w:cstheme="minorHAnsi"/>
                                <w:color w:val="000000" w:themeColor="dark1"/>
                                <w:kern w:val="24"/>
                                <w:sz w:val="20"/>
                                <w:szCs w:val="20"/>
                              </w:rPr>
                              <w:t xml:space="preserve">from the start of the admission </w:t>
                            </w:r>
                            <w:r w:rsidRPr="00D13FC3">
                              <w:rPr>
                                <w:rFonts w:asciiTheme="minorHAnsi" w:hAnsiTheme="minorHAnsi" w:cstheme="minorHAnsi"/>
                                <w:color w:val="000000" w:themeColor="dark1"/>
                                <w:kern w:val="24"/>
                                <w:sz w:val="20"/>
                                <w:szCs w:val="20"/>
                              </w:rPr>
                              <w:t>involving carers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B5C1951" id="_x0000_t109" coordsize="21600,21600" o:spt="109" path="m,l,21600r21600,l21600,xe">
                <v:stroke joinstyle="miter"/>
                <v:path gradientshapeok="t" o:connecttype="rect"/>
              </v:shapetype>
              <v:shape id="Flowchart: Process 1" o:spid="_x0000_s1027" type="#_x0000_t109" style="position:absolute;left:0;text-align:left;margin-left:128.7pt;margin-top:7.6pt;width:215.45pt;height:32.8pt;z-index:25169102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" fillcolor="#a7bfde [1620]" stroked="f">
                <v:fill color2="#e4ecf5 [500]" rotate="t" angle="180" colors="0 #a3c4ff;22938f #bfd5ff;1 #e5eeff" focus="100%" type="gradient"/>
                <v:shadow on="t" color="black" opacity="24903f" origin=",.5" offset="0,.55556mm"/>
                <v:textbox>
                  <w:txbxContent>
                    <w:p w14:paraId="2F67E958" w14:textId="3DC18134" w:rsidR="00795F08" w:rsidRPr="00D13FC3" w:rsidRDefault="00795F08" w:rsidP="00627B12">
                      <w:pPr>
                        <w:pStyle w:val="NormalWeb"/>
                        <w:spacing w:before="0" w:beforeAutospacing="0" w:after="0" w:afterAutospacing="0"/>
                        <w:jc w:val="center"/>
                        <w:rPr>
                          <w:rFonts w:asciiTheme="minorHAnsi" w:hAnsiTheme="minorHAnsi" w:cstheme="minorHAnsi"/>
                          <w:sz w:val="20"/>
                          <w:szCs w:val="20"/>
                        </w:rPr>
                      </w:pPr>
                      <w:r w:rsidRPr="00D13FC3">
                        <w:rPr>
                          <w:rFonts w:asciiTheme="minorHAnsi" w:hAnsiTheme="minorHAnsi" w:cstheme="minorHAnsi"/>
                          <w:color w:val="000000" w:themeColor="dark1"/>
                          <w:kern w:val="24"/>
                          <w:sz w:val="20"/>
                          <w:szCs w:val="20"/>
                        </w:rPr>
                        <w:t xml:space="preserve">Plan and discuss discharge </w:t>
                      </w:r>
                      <w:r w:rsidR="00C51FDC">
                        <w:rPr>
                          <w:rFonts w:asciiTheme="minorHAnsi" w:hAnsiTheme="minorHAnsi" w:cstheme="minorHAnsi"/>
                          <w:color w:val="000000" w:themeColor="dark1"/>
                          <w:kern w:val="24"/>
                          <w:sz w:val="20"/>
                          <w:szCs w:val="20"/>
                        </w:rPr>
                        <w:t xml:space="preserve">from the start of the admission </w:t>
                      </w:r>
                      <w:r w:rsidRPr="00D13FC3">
                        <w:rPr>
                          <w:rFonts w:asciiTheme="minorHAnsi" w:hAnsiTheme="minorHAnsi" w:cstheme="minorHAnsi"/>
                          <w:color w:val="000000" w:themeColor="dark1"/>
                          <w:kern w:val="24"/>
                          <w:sz w:val="20"/>
                          <w:szCs w:val="20"/>
                        </w:rPr>
                        <w:t>involving carers</w:t>
                      </w:r>
                    </w:p>
                  </w:txbxContent>
                </v:textbox>
              </v:shape>
            </w:pict>
          </mc:Fallback>
        </mc:AlternateContent>
      </w:r>
    </w:p>
    <w:p w14:paraId="7CE60F50" w14:textId="77777777" w:rsidR="000A499B" w:rsidRDefault="000A499B" w:rsidP="000A499B">
      <w:pPr>
        <w:tabs>
          <w:tab w:val="left" w:pos="709"/>
        </w:tabs>
        <w:ind w:left="360"/>
        <w:jc w:val="both"/>
        <w:rPr>
          <w:b/>
        </w:rPr>
      </w:pPr>
      <w:r w:rsidRPr="00F35518">
        <w:rPr>
          <w:b/>
          <w:noProof/>
          <w:lang w:eastAsia="en-GB"/>
        </w:rPr>
        <mc:AlternateContent>
          <mc:Choice Requires="wps">
            <w:drawing>
              <wp:anchor distT="0" distB="0" distL="114300" distR="114300" simplePos="0" relativeHeight="251699218" behindDoc="0" locked="0" layoutInCell="1" allowOverlap="1" wp14:anchorId="7A4C830F" wp14:editId="61637A81">
                <wp:simplePos x="0" y="0"/>
                <wp:positionH relativeFrom="column">
                  <wp:posOffset>2981960</wp:posOffset>
                </wp:positionH>
                <wp:positionV relativeFrom="paragraph">
                  <wp:posOffset>188788</wp:posOffset>
                </wp:positionV>
                <wp:extent cx="0" cy="167005"/>
                <wp:effectExtent l="95250" t="0" r="57150" b="42545"/>
                <wp:wrapNone/>
                <wp:docPr id="4" name="Straight Arrow Connector 17"/>
                <wp:cNvGraphicFramePr/>
                <a:graphic xmlns:a="http://schemas.openxmlformats.org/drawingml/2006/main">
                  <a:graphicData uri="http://schemas.microsoft.com/office/word/2010/wordprocessingShape">
                    <wps:wsp>
                      <wps:cNvCnPr/>
                      <wps:spPr>
                        <a:xfrm>
                          <a:off x="0" y="0"/>
                          <a:ext cx="0" cy="16700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1FB8064" id="_x0000_t32" coordsize="21600,21600" o:spt="32" o:oned="t" path="m,l21600,21600e" filled="f">
                <v:path arrowok="t" fillok="f" o:connecttype="none"/>
                <o:lock v:ext="edit" shapetype="t"/>
              </v:shapetype>
              <v:shape id="Straight Arrow Connector 17" o:spid="_x0000_s1026" type="#_x0000_t32" style="position:absolute;margin-left:234.8pt;margin-top:14.85pt;width:0;height:13.15pt;z-index:251699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" strokecolor="#4579b8 [3044]" strokeweight="2.25pt">
                <v:stroke endarrow="block"/>
              </v:shape>
            </w:pict>
          </mc:Fallback>
        </mc:AlternateContent>
      </w:r>
    </w:p>
    <w:p w14:paraId="20E67643" w14:textId="17687AEE" w:rsidR="000A499B" w:rsidRDefault="000A499B" w:rsidP="000A499B">
      <w:pPr>
        <w:tabs>
          <w:tab w:val="left" w:pos="709"/>
        </w:tabs>
        <w:ind w:left="360"/>
        <w:jc w:val="both"/>
        <w:rPr>
          <w:b/>
        </w:rPr>
      </w:pPr>
      <w:r w:rsidRPr="00F35518">
        <w:rPr>
          <w:b/>
          <w:noProof/>
          <w:lang w:eastAsia="en-GB"/>
        </w:rPr>
        <mc:AlternateContent>
          <mc:Choice Requires="wps">
            <w:drawing>
              <wp:anchor distT="0" distB="0" distL="114300" distR="114300" simplePos="0" relativeHeight="251692050" behindDoc="0" locked="0" layoutInCell="1" allowOverlap="1" wp14:anchorId="74494599" wp14:editId="461D4CB9">
                <wp:simplePos x="0" y="0"/>
                <wp:positionH relativeFrom="column">
                  <wp:posOffset>1633206</wp:posOffset>
                </wp:positionH>
                <wp:positionV relativeFrom="paragraph">
                  <wp:posOffset>36684</wp:posOffset>
                </wp:positionV>
                <wp:extent cx="2736000" cy="557442"/>
                <wp:effectExtent l="57150" t="38100" r="64770" b="71755"/>
                <wp:wrapNone/>
                <wp:docPr id="6" name="Flowchart: Process 6"/>
                <wp:cNvGraphicFramePr/>
                <a:graphic xmlns:a="http://schemas.openxmlformats.org/drawingml/2006/main">
                  <a:graphicData uri="http://schemas.microsoft.com/office/word/2010/wordprocessingShape">
                    <wps:wsp>
                      <wps:cNvSpPr/>
                      <wps:spPr>
                        <a:xfrm>
                          <a:off x="0" y="0"/>
                          <a:ext cx="2736000" cy="557442"/>
                        </a:xfrm>
                        <a:prstGeom prst="flowChartProcess">
                          <a:avLst/>
                        </a:prstGeom>
                        <a:ln>
                          <a:noFill/>
                        </a:ln>
                      </wps:spPr>
                      <wps:style>
                        <a:lnRef idx="1">
                          <a:schemeClr val="accent1"/>
                        </a:lnRef>
                        <a:fillRef idx="2">
                          <a:schemeClr val="accent1"/>
                        </a:fillRef>
                        <a:effectRef idx="1">
                          <a:schemeClr val="accent1"/>
                        </a:effectRef>
                        <a:fontRef idx="minor">
                          <a:schemeClr val="dk1"/>
                        </a:fontRef>
                      </wps:style>
                      <wps:txbx>
                        <w:txbxContent>
                          <w:p w14:paraId="170DD2D3" w14:textId="77777777" w:rsidR="00795F08" w:rsidRPr="00D13FC3" w:rsidRDefault="00795F08" w:rsidP="00627B12">
                            <w:pPr>
                              <w:pStyle w:val="NormalWeb"/>
                              <w:spacing w:before="0" w:beforeAutospacing="0" w:after="0" w:afterAutospacing="0"/>
                              <w:jc w:val="center"/>
                              <w:rPr>
                                <w:rFonts w:asciiTheme="minorHAnsi" w:hAnsiTheme="minorHAnsi" w:cstheme="minorHAnsi"/>
                                <w:sz w:val="20"/>
                                <w:szCs w:val="20"/>
                              </w:rPr>
                            </w:pPr>
                            <w:r w:rsidRPr="00D13FC3">
                              <w:rPr>
                                <w:rFonts w:asciiTheme="minorHAnsi" w:hAnsiTheme="minorHAnsi" w:cstheme="minorHAnsi"/>
                                <w:color w:val="000000" w:themeColor="dark1"/>
                                <w:kern w:val="24"/>
                                <w:sz w:val="20"/>
                                <w:szCs w:val="20"/>
                              </w:rPr>
                              <w:t>Conduct a health and social care assessment, identify the responsible local authority and assess Care Act and/or aftercare needs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94599" id="Flowchart: Process 6" o:spid="_x0000_s1028" type="#_x0000_t109" style="position:absolute;left:0;text-align:left;margin-left:128.6pt;margin-top:2.9pt;width:215.45pt;height:43.9pt;z-index:2516920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" fillcolor="#a7bfde [1620]" stroked="f">
                <v:fill color2="#e4ecf5 [500]" rotate="t" angle="180" colors="0 #a3c4ff;22938f #bfd5ff;1 #e5eeff" focus="100%" type="gradient"/>
                <v:shadow on="t" color="black" opacity="24903f" origin=",.5" offset="0,.55556mm"/>
                <v:textbox>
                  <w:txbxContent>
                    <w:p w14:paraId="170DD2D3" w14:textId="77777777" w:rsidR="00795F08" w:rsidRPr="00D13FC3" w:rsidRDefault="00795F08" w:rsidP="00627B12">
                      <w:pPr>
                        <w:pStyle w:val="NormalWeb"/>
                        <w:spacing w:before="0" w:beforeAutospacing="0" w:after="0" w:afterAutospacing="0"/>
                        <w:jc w:val="center"/>
                        <w:rPr>
                          <w:rFonts w:asciiTheme="minorHAnsi" w:hAnsiTheme="minorHAnsi" w:cstheme="minorHAnsi"/>
                          <w:sz w:val="20"/>
                          <w:szCs w:val="20"/>
                        </w:rPr>
                      </w:pPr>
                      <w:r w:rsidRPr="00D13FC3">
                        <w:rPr>
                          <w:rFonts w:asciiTheme="minorHAnsi" w:hAnsiTheme="minorHAnsi" w:cstheme="minorHAnsi"/>
                          <w:color w:val="000000" w:themeColor="dark1"/>
                          <w:kern w:val="24"/>
                          <w:sz w:val="20"/>
                          <w:szCs w:val="20"/>
                        </w:rPr>
                        <w:t>Conduct a health and social care assessment, identify the responsible local authority and assess Care Act and/or aftercare needs</w:t>
                      </w:r>
                    </w:p>
                  </w:txbxContent>
                </v:textbox>
              </v:shape>
            </w:pict>
          </mc:Fallback>
        </mc:AlternateContent>
      </w:r>
    </w:p>
    <w:p w14:paraId="4453A81B" w14:textId="77777777" w:rsidR="000A499B" w:rsidRPr="00892311" w:rsidRDefault="000A499B" w:rsidP="000A499B">
      <w:pPr>
        <w:tabs>
          <w:tab w:val="left" w:pos="709"/>
        </w:tabs>
        <w:ind w:left="360"/>
        <w:jc w:val="both"/>
        <w:rPr>
          <w:b/>
        </w:rPr>
      </w:pPr>
      <w:r w:rsidRPr="00F35518">
        <w:rPr>
          <w:b/>
          <w:noProof/>
          <w:lang w:eastAsia="en-GB"/>
        </w:rPr>
        <mc:AlternateContent>
          <mc:Choice Requires="wps">
            <w:drawing>
              <wp:anchor distT="0" distB="0" distL="114300" distR="114300" simplePos="0" relativeHeight="251700242" behindDoc="0" locked="0" layoutInCell="1" allowOverlap="1" wp14:anchorId="2E0C091D" wp14:editId="2ECFFD69">
                <wp:simplePos x="0" y="0"/>
                <wp:positionH relativeFrom="column">
                  <wp:posOffset>2979420</wp:posOffset>
                </wp:positionH>
                <wp:positionV relativeFrom="paragraph">
                  <wp:posOffset>269875</wp:posOffset>
                </wp:positionV>
                <wp:extent cx="0" cy="167005"/>
                <wp:effectExtent l="95250" t="0" r="57150" b="42545"/>
                <wp:wrapNone/>
                <wp:docPr id="10" name="Straight Arrow Connector 17"/>
                <wp:cNvGraphicFramePr/>
                <a:graphic xmlns:a="http://schemas.openxmlformats.org/drawingml/2006/main">
                  <a:graphicData uri="http://schemas.microsoft.com/office/word/2010/wordprocessingShape">
                    <wps:wsp>
                      <wps:cNvCnPr/>
                      <wps:spPr>
                        <a:xfrm>
                          <a:off x="0" y="0"/>
                          <a:ext cx="0" cy="16700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84C316" id="Straight Arrow Connector 17" o:spid="_x0000_s1026" type="#_x0000_t32" style="position:absolute;margin-left:234.6pt;margin-top:21.25pt;width:0;height:13.15pt;z-index:251700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" strokecolor="#4579b8 [3044]" strokeweight="2.25pt">
                <v:stroke endarrow="block"/>
              </v:shape>
            </w:pict>
          </mc:Fallback>
        </mc:AlternateContent>
      </w:r>
    </w:p>
    <w:p w14:paraId="5864DD63" w14:textId="459B3975" w:rsidR="000A499B" w:rsidRDefault="000A499B" w:rsidP="000A499B">
      <w:pPr>
        <w:tabs>
          <w:tab w:val="left" w:pos="142"/>
        </w:tabs>
        <w:ind w:firstLine="709"/>
        <w:jc w:val="both"/>
        <w:rPr>
          <w:rFonts w:asciiTheme="minorHAnsi" w:hAnsiTheme="minorHAnsi"/>
          <w:u w:val="single"/>
        </w:rPr>
      </w:pPr>
      <w:r w:rsidRPr="00F35518">
        <w:rPr>
          <w:b/>
          <w:noProof/>
          <w:lang w:eastAsia="en-GB"/>
        </w:rPr>
        <mc:AlternateContent>
          <mc:Choice Requires="wps">
            <w:drawing>
              <wp:anchor distT="0" distB="0" distL="114300" distR="114300" simplePos="0" relativeHeight="251693074" behindDoc="0" locked="0" layoutInCell="1" allowOverlap="1" wp14:anchorId="3D3222D1" wp14:editId="3848F970">
                <wp:simplePos x="0" y="0"/>
                <wp:positionH relativeFrom="column">
                  <wp:posOffset>1628317</wp:posOffset>
                </wp:positionH>
                <wp:positionV relativeFrom="paragraph">
                  <wp:posOffset>113951</wp:posOffset>
                </wp:positionV>
                <wp:extent cx="2736000" cy="606340"/>
                <wp:effectExtent l="57150" t="38100" r="64770" b="80010"/>
                <wp:wrapNone/>
                <wp:docPr id="12" name="Flowchart: Process 10"/>
                <wp:cNvGraphicFramePr/>
                <a:graphic xmlns:a="http://schemas.openxmlformats.org/drawingml/2006/main">
                  <a:graphicData uri="http://schemas.microsoft.com/office/word/2010/wordprocessingShape">
                    <wps:wsp>
                      <wps:cNvSpPr/>
                      <wps:spPr>
                        <a:xfrm>
                          <a:off x="0" y="0"/>
                          <a:ext cx="2736000" cy="606340"/>
                        </a:xfrm>
                        <a:prstGeom prst="flowChartProcess">
                          <a:avLst/>
                        </a:prstGeom>
                        <a:ln>
                          <a:noFill/>
                        </a:ln>
                      </wps:spPr>
                      <wps:style>
                        <a:lnRef idx="1">
                          <a:schemeClr val="accent1"/>
                        </a:lnRef>
                        <a:fillRef idx="2">
                          <a:schemeClr val="accent1"/>
                        </a:fillRef>
                        <a:effectRef idx="1">
                          <a:schemeClr val="accent1"/>
                        </a:effectRef>
                        <a:fontRef idx="minor">
                          <a:schemeClr val="dk1"/>
                        </a:fontRef>
                      </wps:style>
                      <wps:txbx>
                        <w:txbxContent>
                          <w:p w14:paraId="09D3F452" w14:textId="77777777" w:rsidR="00795F08" w:rsidRPr="00D13FC3" w:rsidRDefault="00795F08" w:rsidP="00627B12">
                            <w:pPr>
                              <w:pStyle w:val="NormalWeb"/>
                              <w:spacing w:before="0" w:beforeAutospacing="0" w:after="0" w:afterAutospacing="0"/>
                              <w:jc w:val="center"/>
                              <w:rPr>
                                <w:rFonts w:asciiTheme="minorHAnsi" w:hAnsiTheme="minorHAnsi" w:cstheme="minorHAnsi"/>
                                <w:sz w:val="20"/>
                                <w:szCs w:val="20"/>
                              </w:rPr>
                            </w:pPr>
                            <w:r w:rsidRPr="00D13FC3">
                              <w:rPr>
                                <w:rFonts w:asciiTheme="minorHAnsi" w:hAnsiTheme="minorHAnsi" w:cstheme="minorHAnsi"/>
                                <w:color w:val="000000" w:themeColor="dark1"/>
                                <w:kern w:val="24"/>
                                <w:sz w:val="20"/>
                                <w:szCs w:val="20"/>
                              </w:rPr>
                              <w:t>Assess capacity and consider referral to an Independent Mental Capacity Advocate (IMCA) for service users lacking decision making capacity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222D1" id="Flowchart: Process 10" o:spid="_x0000_s1029" type="#_x0000_t109" style="position:absolute;left:0;text-align:left;margin-left:128.2pt;margin-top:8.95pt;width:215.45pt;height:47.75pt;z-index:2516930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" fillcolor="#a7bfde [1620]" stroked="f">
                <v:fill color2="#e4ecf5 [500]" rotate="t" angle="180" colors="0 #a3c4ff;22938f #bfd5ff;1 #e5eeff" focus="100%" type="gradient"/>
                <v:shadow on="t" color="black" opacity="24903f" origin=",.5" offset="0,.55556mm"/>
                <v:textbox>
                  <w:txbxContent>
                    <w:p w14:paraId="09D3F452" w14:textId="77777777" w:rsidR="00795F08" w:rsidRPr="00D13FC3" w:rsidRDefault="00795F08" w:rsidP="00627B12">
                      <w:pPr>
                        <w:pStyle w:val="NormalWeb"/>
                        <w:spacing w:before="0" w:beforeAutospacing="0" w:after="0" w:afterAutospacing="0"/>
                        <w:jc w:val="center"/>
                        <w:rPr>
                          <w:rFonts w:asciiTheme="minorHAnsi" w:hAnsiTheme="minorHAnsi" w:cstheme="minorHAnsi"/>
                          <w:sz w:val="20"/>
                          <w:szCs w:val="20"/>
                        </w:rPr>
                      </w:pPr>
                      <w:r w:rsidRPr="00D13FC3">
                        <w:rPr>
                          <w:rFonts w:asciiTheme="minorHAnsi" w:hAnsiTheme="minorHAnsi" w:cstheme="minorHAnsi"/>
                          <w:color w:val="000000" w:themeColor="dark1"/>
                          <w:kern w:val="24"/>
                          <w:sz w:val="20"/>
                          <w:szCs w:val="20"/>
                        </w:rPr>
                        <w:t>Assess capacity and consider referral to an Independent Mental Capacity Advocate (IMCA) for service users lacking decision making capacity</w:t>
                      </w:r>
                    </w:p>
                  </w:txbxContent>
                </v:textbox>
              </v:shape>
            </w:pict>
          </mc:Fallback>
        </mc:AlternateContent>
      </w:r>
    </w:p>
    <w:p w14:paraId="308E070B" w14:textId="173C8B48" w:rsidR="000A499B" w:rsidRDefault="000A499B" w:rsidP="000A499B">
      <w:pPr>
        <w:tabs>
          <w:tab w:val="left" w:pos="142"/>
        </w:tabs>
        <w:ind w:firstLine="709"/>
        <w:jc w:val="both"/>
        <w:rPr>
          <w:rFonts w:asciiTheme="minorHAnsi" w:hAnsiTheme="minorHAnsi"/>
          <w:u w:val="single"/>
        </w:rPr>
      </w:pPr>
    </w:p>
    <w:p w14:paraId="53B0EFEF" w14:textId="5DCE62BD" w:rsidR="000A499B" w:rsidRDefault="00660162" w:rsidP="000A499B">
      <w:pPr>
        <w:tabs>
          <w:tab w:val="left" w:pos="142"/>
        </w:tabs>
        <w:ind w:firstLine="709"/>
        <w:jc w:val="both"/>
        <w:rPr>
          <w:rFonts w:asciiTheme="minorHAnsi" w:hAnsiTheme="minorHAnsi"/>
          <w:u w:val="single"/>
        </w:rPr>
      </w:pPr>
      <w:r w:rsidRPr="00F35518">
        <w:rPr>
          <w:b/>
          <w:noProof/>
          <w:lang w:eastAsia="en-GB"/>
        </w:rPr>
        <mc:AlternateContent>
          <mc:Choice Requires="wps">
            <w:drawing>
              <wp:anchor distT="0" distB="0" distL="114300" distR="114300" simplePos="0" relativeHeight="251708434" behindDoc="0" locked="0" layoutInCell="1" allowOverlap="1" wp14:anchorId="08D805D5" wp14:editId="1344741A">
                <wp:simplePos x="0" y="0"/>
                <wp:positionH relativeFrom="column">
                  <wp:posOffset>1642986</wp:posOffset>
                </wp:positionH>
                <wp:positionV relativeFrom="paragraph">
                  <wp:posOffset>245640</wp:posOffset>
                </wp:positionV>
                <wp:extent cx="2735580" cy="689467"/>
                <wp:effectExtent l="57150" t="38100" r="64770" b="73025"/>
                <wp:wrapNone/>
                <wp:docPr id="14" name="Flowchart: Process 16"/>
                <wp:cNvGraphicFramePr/>
                <a:graphic xmlns:a="http://schemas.openxmlformats.org/drawingml/2006/main">
                  <a:graphicData uri="http://schemas.microsoft.com/office/word/2010/wordprocessingShape">
                    <wps:wsp>
                      <wps:cNvSpPr/>
                      <wps:spPr>
                        <a:xfrm>
                          <a:off x="0" y="0"/>
                          <a:ext cx="2735580" cy="689467"/>
                        </a:xfrm>
                        <a:prstGeom prst="flowChartProcess">
                          <a:avLst/>
                        </a:prstGeom>
                        <a:ln>
                          <a:noFill/>
                        </a:ln>
                      </wps:spPr>
                      <wps:style>
                        <a:lnRef idx="1">
                          <a:schemeClr val="accent1"/>
                        </a:lnRef>
                        <a:fillRef idx="2">
                          <a:schemeClr val="accent1"/>
                        </a:fillRef>
                        <a:effectRef idx="1">
                          <a:schemeClr val="accent1"/>
                        </a:effectRef>
                        <a:fontRef idx="minor">
                          <a:schemeClr val="dk1"/>
                        </a:fontRef>
                      </wps:style>
                      <wps:txbx>
                        <w:txbxContent>
                          <w:p w14:paraId="0D49B03C" w14:textId="77777777" w:rsidR="00795F08" w:rsidRPr="00D13FC3" w:rsidRDefault="00795F08" w:rsidP="00627B12">
                            <w:pPr>
                              <w:pStyle w:val="NormalWeb"/>
                              <w:spacing w:before="0" w:beforeAutospacing="0" w:after="0" w:afterAutospacing="0"/>
                              <w:jc w:val="center"/>
                              <w:rPr>
                                <w:rFonts w:asciiTheme="minorHAnsi" w:hAnsiTheme="minorHAnsi" w:cstheme="minorHAnsi"/>
                                <w:sz w:val="20"/>
                                <w:szCs w:val="20"/>
                              </w:rPr>
                            </w:pPr>
                            <w:r w:rsidRPr="00D13FC3">
                              <w:rPr>
                                <w:rFonts w:asciiTheme="minorHAnsi" w:hAnsiTheme="minorHAnsi" w:cstheme="minorHAnsi"/>
                                <w:color w:val="000000" w:themeColor="dark1"/>
                                <w:kern w:val="24"/>
                                <w:sz w:val="20"/>
                                <w:szCs w:val="20"/>
                              </w:rPr>
                              <w:t>Identify Clinically Ready for Discharge (CRFD) through daily hurdles for service users with longer stay over 28 days, meeting 3 criteria in Section 4.1 CRFD definition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805D5" id="Flowchart: Process 16" o:spid="_x0000_s1030" type="#_x0000_t109" style="position:absolute;left:0;text-align:left;margin-left:129.35pt;margin-top:19.35pt;width:215.4pt;height:54.3pt;z-index:251708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" fillcolor="#a7bfde [1620]" stroked="f">
                <v:fill color2="#e4ecf5 [500]" rotate="t" angle="180" colors="0 #a3c4ff;22938f #bfd5ff;1 #e5eeff" focus="100%" type="gradient"/>
                <v:shadow on="t" color="black" opacity="24903f" origin=",.5" offset="0,.55556mm"/>
                <v:textbox>
                  <w:txbxContent>
                    <w:p w14:paraId="0D49B03C" w14:textId="77777777" w:rsidR="00795F08" w:rsidRPr="00D13FC3" w:rsidRDefault="00795F08" w:rsidP="00627B12">
                      <w:pPr>
                        <w:pStyle w:val="NormalWeb"/>
                        <w:spacing w:before="0" w:beforeAutospacing="0" w:after="0" w:afterAutospacing="0"/>
                        <w:jc w:val="center"/>
                        <w:rPr>
                          <w:rFonts w:asciiTheme="minorHAnsi" w:hAnsiTheme="minorHAnsi" w:cstheme="minorHAnsi"/>
                          <w:sz w:val="20"/>
                          <w:szCs w:val="20"/>
                        </w:rPr>
                      </w:pPr>
                      <w:r w:rsidRPr="00D13FC3">
                        <w:rPr>
                          <w:rFonts w:asciiTheme="minorHAnsi" w:hAnsiTheme="minorHAnsi" w:cstheme="minorHAnsi"/>
                          <w:color w:val="000000" w:themeColor="dark1"/>
                          <w:kern w:val="24"/>
                          <w:sz w:val="20"/>
                          <w:szCs w:val="20"/>
                        </w:rPr>
                        <w:t>Identify Clinically Ready for Discharge (CRFD) through daily hurdles for service users with longer stay over 28 days, meeting 3 criteria in Section 4.1 CRFD definition</w:t>
                      </w:r>
                    </w:p>
                  </w:txbxContent>
                </v:textbox>
              </v:shape>
            </w:pict>
          </mc:Fallback>
        </mc:AlternateContent>
      </w:r>
      <w:r w:rsidRPr="00F35518">
        <w:rPr>
          <w:b/>
          <w:noProof/>
          <w:lang w:eastAsia="en-GB"/>
        </w:rPr>
        <mc:AlternateContent>
          <mc:Choice Requires="wps">
            <w:drawing>
              <wp:anchor distT="0" distB="0" distL="114300" distR="114300" simplePos="0" relativeHeight="251701266" behindDoc="0" locked="0" layoutInCell="1" allowOverlap="1" wp14:anchorId="7605E243" wp14:editId="1C0D8317">
                <wp:simplePos x="0" y="0"/>
                <wp:positionH relativeFrom="column">
                  <wp:posOffset>2981135</wp:posOffset>
                </wp:positionH>
                <wp:positionV relativeFrom="paragraph">
                  <wp:posOffset>67986</wp:posOffset>
                </wp:positionV>
                <wp:extent cx="0" cy="167005"/>
                <wp:effectExtent l="95250" t="0" r="57150" b="42545"/>
                <wp:wrapNone/>
                <wp:docPr id="13" name="Straight Arrow Connector 17"/>
                <wp:cNvGraphicFramePr/>
                <a:graphic xmlns:a="http://schemas.openxmlformats.org/drawingml/2006/main">
                  <a:graphicData uri="http://schemas.microsoft.com/office/word/2010/wordprocessingShape">
                    <wps:wsp>
                      <wps:cNvCnPr/>
                      <wps:spPr>
                        <a:xfrm>
                          <a:off x="0" y="0"/>
                          <a:ext cx="0" cy="16700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EE0848" id="Straight Arrow Connector 17" o:spid="_x0000_s1026" type="#_x0000_t32" style="position:absolute;margin-left:234.75pt;margin-top:5.35pt;width:0;height:13.15pt;z-index:251701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" strokecolor="#4579b8 [3044]" strokeweight="2.25pt">
                <v:stroke endarrow="block"/>
              </v:shape>
            </w:pict>
          </mc:Fallback>
        </mc:AlternateContent>
      </w:r>
    </w:p>
    <w:p w14:paraId="45F193D8" w14:textId="664F5B57" w:rsidR="000A499B" w:rsidRDefault="000A499B" w:rsidP="000A499B">
      <w:pPr>
        <w:tabs>
          <w:tab w:val="left" w:pos="142"/>
        </w:tabs>
        <w:ind w:firstLine="709"/>
        <w:jc w:val="both"/>
        <w:rPr>
          <w:rFonts w:asciiTheme="minorHAnsi" w:hAnsiTheme="minorHAnsi"/>
          <w:u w:val="single"/>
        </w:rPr>
      </w:pPr>
    </w:p>
    <w:p w14:paraId="5FC18E26" w14:textId="25F33091" w:rsidR="000A499B" w:rsidRDefault="000E2BE4" w:rsidP="000A499B">
      <w:pPr>
        <w:tabs>
          <w:tab w:val="left" w:pos="142"/>
        </w:tabs>
        <w:ind w:firstLine="709"/>
        <w:jc w:val="both"/>
        <w:rPr>
          <w:rFonts w:asciiTheme="minorHAnsi" w:hAnsiTheme="minorHAnsi"/>
          <w:u w:val="single"/>
        </w:rPr>
      </w:pPr>
      <w:r w:rsidRPr="00F35518">
        <w:rPr>
          <w:b/>
          <w:noProof/>
          <w:lang w:eastAsia="en-GB"/>
        </w:rPr>
        <mc:AlternateContent>
          <mc:Choice Requires="wps">
            <w:drawing>
              <wp:anchor distT="0" distB="0" distL="114300" distR="114300" simplePos="0" relativeHeight="251710482" behindDoc="0" locked="0" layoutInCell="1" allowOverlap="1" wp14:anchorId="6D9FD8BA" wp14:editId="577D1F99">
                <wp:simplePos x="0" y="0"/>
                <wp:positionH relativeFrom="column">
                  <wp:posOffset>3001010</wp:posOffset>
                </wp:positionH>
                <wp:positionV relativeFrom="paragraph">
                  <wp:posOffset>315191</wp:posOffset>
                </wp:positionV>
                <wp:extent cx="0" cy="167005"/>
                <wp:effectExtent l="95250" t="0" r="57150" b="42545"/>
                <wp:wrapNone/>
                <wp:docPr id="203" name="Straight Arrow Connector 17"/>
                <wp:cNvGraphicFramePr/>
                <a:graphic xmlns:a="http://schemas.openxmlformats.org/drawingml/2006/main">
                  <a:graphicData uri="http://schemas.microsoft.com/office/word/2010/wordprocessingShape">
                    <wps:wsp>
                      <wps:cNvCnPr/>
                      <wps:spPr>
                        <a:xfrm>
                          <a:off x="0" y="0"/>
                          <a:ext cx="0" cy="16700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D31255" id="Straight Arrow Connector 17" o:spid="_x0000_s1026" type="#_x0000_t32" style="position:absolute;margin-left:236.3pt;margin-top:24.8pt;width:0;height:13.15pt;z-index:2517104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" strokecolor="#4579b8 [3044]" strokeweight="2.25pt">
                <v:stroke endarrow="block"/>
              </v:shape>
            </w:pict>
          </mc:Fallback>
        </mc:AlternateContent>
      </w:r>
    </w:p>
    <w:p w14:paraId="1F7728FD" w14:textId="5B801323" w:rsidR="000A499B" w:rsidRDefault="000E2BE4" w:rsidP="000A499B">
      <w:pPr>
        <w:tabs>
          <w:tab w:val="left" w:pos="142"/>
        </w:tabs>
        <w:ind w:firstLine="709"/>
        <w:jc w:val="both"/>
        <w:rPr>
          <w:rFonts w:asciiTheme="minorHAnsi" w:hAnsiTheme="minorHAnsi"/>
          <w:u w:val="single"/>
        </w:rPr>
      </w:pPr>
      <w:r w:rsidRPr="00F35518">
        <w:rPr>
          <w:rFonts w:asciiTheme="minorHAnsi" w:hAnsiTheme="minorHAnsi"/>
          <w:noProof/>
          <w:u w:val="single"/>
          <w:lang w:eastAsia="en-GB"/>
        </w:rPr>
        <mc:AlternateContent>
          <mc:Choice Requires="wps">
            <w:drawing>
              <wp:anchor distT="0" distB="0" distL="114300" distR="114300" simplePos="0" relativeHeight="251659776" behindDoc="0" locked="0" layoutInCell="1" allowOverlap="1" wp14:anchorId="25B1476E" wp14:editId="145AFFE6">
                <wp:simplePos x="0" y="0"/>
                <wp:positionH relativeFrom="column">
                  <wp:posOffset>1642986</wp:posOffset>
                </wp:positionH>
                <wp:positionV relativeFrom="paragraph">
                  <wp:posOffset>162835</wp:posOffset>
                </wp:positionV>
                <wp:extent cx="2736000" cy="410747"/>
                <wp:effectExtent l="57150" t="38100" r="64770" b="85090"/>
                <wp:wrapNone/>
                <wp:docPr id="31" name="Flowchart: Process 23"/>
                <wp:cNvGraphicFramePr/>
                <a:graphic xmlns:a="http://schemas.openxmlformats.org/drawingml/2006/main">
                  <a:graphicData uri="http://schemas.microsoft.com/office/word/2010/wordprocessingShape">
                    <wps:wsp>
                      <wps:cNvSpPr/>
                      <wps:spPr>
                        <a:xfrm>
                          <a:off x="0" y="0"/>
                          <a:ext cx="2736000" cy="410747"/>
                        </a:xfrm>
                        <a:prstGeom prst="flowChartProcess">
                          <a:avLst/>
                        </a:prstGeom>
                        <a:ln>
                          <a:noFill/>
                        </a:ln>
                      </wps:spPr>
                      <wps:style>
                        <a:lnRef idx="1">
                          <a:schemeClr val="accent1"/>
                        </a:lnRef>
                        <a:fillRef idx="2">
                          <a:schemeClr val="accent1"/>
                        </a:fillRef>
                        <a:effectRef idx="1">
                          <a:schemeClr val="accent1"/>
                        </a:effectRef>
                        <a:fontRef idx="minor">
                          <a:schemeClr val="dk1"/>
                        </a:fontRef>
                      </wps:style>
                      <wps:txbx>
                        <w:txbxContent>
                          <w:p w14:paraId="74C967AC" w14:textId="21F84CA7" w:rsidR="00795F08" w:rsidRPr="00D13FC3" w:rsidRDefault="00795F08" w:rsidP="00627B12">
                            <w:pPr>
                              <w:pStyle w:val="NormalWeb"/>
                              <w:spacing w:before="0" w:beforeAutospacing="0" w:after="0" w:afterAutospacing="0"/>
                              <w:jc w:val="center"/>
                              <w:rPr>
                                <w:rFonts w:asciiTheme="minorHAnsi" w:hAnsiTheme="minorHAnsi" w:cstheme="minorHAnsi"/>
                                <w:sz w:val="20"/>
                                <w:szCs w:val="20"/>
                              </w:rPr>
                            </w:pPr>
                            <w:r w:rsidRPr="00D13FC3">
                              <w:rPr>
                                <w:rFonts w:asciiTheme="minorHAnsi" w:hAnsiTheme="minorHAnsi" w:cstheme="minorHAnsi"/>
                                <w:color w:val="000000" w:themeColor="dark1"/>
                                <w:kern w:val="24"/>
                                <w:sz w:val="20"/>
                                <w:szCs w:val="20"/>
                              </w:rPr>
                              <w:t xml:space="preserve">Involve </w:t>
                            </w:r>
                            <w:r w:rsidR="000960DC">
                              <w:rPr>
                                <w:rFonts w:asciiTheme="minorHAnsi" w:hAnsiTheme="minorHAnsi" w:cstheme="minorHAnsi"/>
                                <w:color w:val="000000" w:themeColor="dark1"/>
                                <w:kern w:val="24"/>
                                <w:sz w:val="20"/>
                                <w:szCs w:val="20"/>
                              </w:rPr>
                              <w:t xml:space="preserve">relevant </w:t>
                            </w:r>
                            <w:r w:rsidRPr="00D13FC3">
                              <w:rPr>
                                <w:rFonts w:asciiTheme="minorHAnsi" w:hAnsiTheme="minorHAnsi" w:cstheme="minorHAnsi"/>
                                <w:color w:val="000000" w:themeColor="dark1"/>
                                <w:kern w:val="24"/>
                                <w:sz w:val="20"/>
                                <w:szCs w:val="20"/>
                              </w:rPr>
                              <w:t xml:space="preserve">Community/PCN team </w:t>
                            </w:r>
                            <w:r w:rsidR="000960DC">
                              <w:rPr>
                                <w:rFonts w:asciiTheme="minorHAnsi" w:hAnsiTheme="minorHAnsi" w:cstheme="minorHAnsi"/>
                                <w:color w:val="000000" w:themeColor="dark1"/>
                                <w:kern w:val="24"/>
                                <w:sz w:val="20"/>
                                <w:szCs w:val="20"/>
                              </w:rPr>
                              <w:t>to support discharge plans and/or delays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1476E" id="Flowchart: Process 23" o:spid="_x0000_s1031" type="#_x0000_t109" style="position:absolute;left:0;text-align:left;margin-left:129.35pt;margin-top:12.8pt;width:215.45pt;height:32.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" fillcolor="#a7bfde [1620]" stroked="f">
                <v:fill color2="#e4ecf5 [500]" rotate="t" angle="180" colors="0 #a3c4ff;22938f #bfd5ff;1 #e5eeff" focus="100%" type="gradient"/>
                <v:shadow on="t" color="black" opacity="24903f" origin=",.5" offset="0,.55556mm"/>
                <v:textbox>
                  <w:txbxContent>
                    <w:p w14:paraId="74C967AC" w14:textId="21F84CA7" w:rsidR="00795F08" w:rsidRPr="00D13FC3" w:rsidRDefault="00795F08" w:rsidP="00627B12">
                      <w:pPr>
                        <w:pStyle w:val="NormalWeb"/>
                        <w:spacing w:before="0" w:beforeAutospacing="0" w:after="0" w:afterAutospacing="0"/>
                        <w:jc w:val="center"/>
                        <w:rPr>
                          <w:rFonts w:asciiTheme="minorHAnsi" w:hAnsiTheme="minorHAnsi" w:cstheme="minorHAnsi"/>
                          <w:sz w:val="20"/>
                          <w:szCs w:val="20"/>
                        </w:rPr>
                      </w:pPr>
                      <w:r w:rsidRPr="00D13FC3">
                        <w:rPr>
                          <w:rFonts w:asciiTheme="minorHAnsi" w:hAnsiTheme="minorHAnsi" w:cstheme="minorHAnsi"/>
                          <w:color w:val="000000" w:themeColor="dark1"/>
                          <w:kern w:val="24"/>
                          <w:sz w:val="20"/>
                          <w:szCs w:val="20"/>
                        </w:rPr>
                        <w:t xml:space="preserve">Involve </w:t>
                      </w:r>
                      <w:r w:rsidR="000960DC">
                        <w:rPr>
                          <w:rFonts w:asciiTheme="minorHAnsi" w:hAnsiTheme="minorHAnsi" w:cstheme="minorHAnsi"/>
                          <w:color w:val="000000" w:themeColor="dark1"/>
                          <w:kern w:val="24"/>
                          <w:sz w:val="20"/>
                          <w:szCs w:val="20"/>
                        </w:rPr>
                        <w:t xml:space="preserve">relevant </w:t>
                      </w:r>
                      <w:r w:rsidRPr="00D13FC3">
                        <w:rPr>
                          <w:rFonts w:asciiTheme="minorHAnsi" w:hAnsiTheme="minorHAnsi" w:cstheme="minorHAnsi"/>
                          <w:color w:val="000000" w:themeColor="dark1"/>
                          <w:kern w:val="24"/>
                          <w:sz w:val="20"/>
                          <w:szCs w:val="20"/>
                        </w:rPr>
                        <w:t xml:space="preserve">Community/PCN team </w:t>
                      </w:r>
                      <w:r w:rsidR="000960DC">
                        <w:rPr>
                          <w:rFonts w:asciiTheme="minorHAnsi" w:hAnsiTheme="minorHAnsi" w:cstheme="minorHAnsi"/>
                          <w:color w:val="000000" w:themeColor="dark1"/>
                          <w:kern w:val="24"/>
                          <w:sz w:val="20"/>
                          <w:szCs w:val="20"/>
                        </w:rPr>
                        <w:t>to support discharge plans and/or delays</w:t>
                      </w:r>
                    </w:p>
                  </w:txbxContent>
                </v:textbox>
              </v:shape>
            </w:pict>
          </mc:Fallback>
        </mc:AlternateContent>
      </w:r>
      <w:r w:rsidR="000A499B">
        <w:rPr>
          <w:noProof/>
          <w:sz w:val="20"/>
          <w:szCs w:val="20"/>
          <w:lang w:eastAsia="en-GB"/>
        </w:rPr>
        <mc:AlternateContent>
          <mc:Choice Requires="wps">
            <w:drawing>
              <wp:anchor distT="0" distB="0" distL="114300" distR="114300" simplePos="0" relativeHeight="251688978" behindDoc="0" locked="0" layoutInCell="1" allowOverlap="1" wp14:anchorId="7CC5CEFF" wp14:editId="5EDF1BD4">
                <wp:simplePos x="0" y="0"/>
                <wp:positionH relativeFrom="column">
                  <wp:posOffset>-2682875</wp:posOffset>
                </wp:positionH>
                <wp:positionV relativeFrom="paragraph">
                  <wp:posOffset>3831590</wp:posOffset>
                </wp:positionV>
                <wp:extent cx="410210" cy="249555"/>
                <wp:effectExtent l="0" t="0" r="8890" b="0"/>
                <wp:wrapNone/>
                <wp:docPr id="26" name="Right Arrow 26"/>
                <wp:cNvGraphicFramePr/>
                <a:graphic xmlns:a="http://schemas.openxmlformats.org/drawingml/2006/main">
                  <a:graphicData uri="http://schemas.microsoft.com/office/word/2010/wordprocessingShape">
                    <wps:wsp>
                      <wps:cNvSpPr/>
                      <wps:spPr>
                        <a:xfrm>
                          <a:off x="0" y="0"/>
                          <a:ext cx="410210" cy="24955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47E0A3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6" o:spid="_x0000_s1026" type="#_x0000_t13" style="position:absolute;margin-left:-211.25pt;margin-top:301.7pt;width:32.3pt;height:19.65pt;z-index:2516889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" adj="15030" fillcolor="#4f81bd [3204]" stroked="f" strokeweight="2pt"/>
            </w:pict>
          </mc:Fallback>
        </mc:AlternateContent>
      </w:r>
    </w:p>
    <w:p w14:paraId="396C3BF1" w14:textId="22A2119E" w:rsidR="000A499B" w:rsidRDefault="00786382" w:rsidP="000A499B">
      <w:pPr>
        <w:tabs>
          <w:tab w:val="left" w:pos="142"/>
        </w:tabs>
        <w:ind w:firstLine="709"/>
        <w:jc w:val="both"/>
        <w:rPr>
          <w:rFonts w:asciiTheme="minorHAnsi" w:hAnsiTheme="minorHAnsi"/>
          <w:u w:val="single"/>
        </w:rPr>
      </w:pPr>
      <w:r w:rsidRPr="00F35518">
        <w:rPr>
          <w:b/>
          <w:noProof/>
          <w:lang w:eastAsia="en-GB"/>
        </w:rPr>
        <w:lastRenderedPageBreak/>
        <mc:AlternateContent>
          <mc:Choice Requires="wps">
            <w:drawing>
              <wp:anchor distT="0" distB="0" distL="114300" distR="114300" simplePos="0" relativeHeight="251712530" behindDoc="0" locked="0" layoutInCell="1" allowOverlap="1" wp14:anchorId="798C64E5" wp14:editId="3155199E">
                <wp:simplePos x="0" y="0"/>
                <wp:positionH relativeFrom="column">
                  <wp:posOffset>3021965</wp:posOffset>
                </wp:positionH>
                <wp:positionV relativeFrom="paragraph">
                  <wp:posOffset>268401</wp:posOffset>
                </wp:positionV>
                <wp:extent cx="0" cy="167005"/>
                <wp:effectExtent l="95250" t="0" r="57150" b="42545"/>
                <wp:wrapNone/>
                <wp:docPr id="16" name="Straight Arrow Connector 17"/>
                <wp:cNvGraphicFramePr/>
                <a:graphic xmlns:a="http://schemas.openxmlformats.org/drawingml/2006/main">
                  <a:graphicData uri="http://schemas.microsoft.com/office/word/2010/wordprocessingShape">
                    <wps:wsp>
                      <wps:cNvCnPr/>
                      <wps:spPr>
                        <a:xfrm>
                          <a:off x="0" y="0"/>
                          <a:ext cx="0" cy="16700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B22424F" id="_x0000_t32" coordsize="21600,21600" o:spt="32" o:oned="t" path="m,l21600,21600e" filled="f">
                <v:path arrowok="t" fillok="f" o:connecttype="none"/>
                <o:lock v:ext="edit" shapetype="t"/>
              </v:shapetype>
              <v:shape id="Straight Arrow Connector 17" o:spid="_x0000_s1026" type="#_x0000_t32" style="position:absolute;margin-left:237.95pt;margin-top:21.15pt;width:0;height:13.15pt;z-index:2517125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" strokecolor="#4579b8 [3044]" strokeweight="2.25pt">
                <v:stroke endarrow="block"/>
              </v:shape>
            </w:pict>
          </mc:Fallback>
        </mc:AlternateContent>
      </w:r>
    </w:p>
    <w:p w14:paraId="084451B7" w14:textId="22048654" w:rsidR="000A499B" w:rsidRDefault="00786382" w:rsidP="000A499B">
      <w:pPr>
        <w:tabs>
          <w:tab w:val="left" w:pos="142"/>
        </w:tabs>
        <w:ind w:firstLine="709"/>
        <w:jc w:val="both"/>
        <w:rPr>
          <w:rFonts w:asciiTheme="minorHAnsi" w:hAnsiTheme="minorHAnsi"/>
          <w:u w:val="single"/>
        </w:rPr>
      </w:pPr>
      <w:r>
        <w:rPr>
          <w:rFonts w:asciiTheme="minorHAnsi" w:hAnsiTheme="minorHAnsi"/>
          <w:noProof/>
          <w:u w:val="single"/>
          <w:lang w:eastAsia="en-GB"/>
        </w:rPr>
        <mc:AlternateContent>
          <mc:Choice Requires="wps">
            <w:drawing>
              <wp:anchor distT="0" distB="0" distL="114300" distR="114300" simplePos="0" relativeHeight="251706386" behindDoc="0" locked="0" layoutInCell="1" allowOverlap="1" wp14:anchorId="60D924EE" wp14:editId="4D6F133C">
                <wp:simplePos x="0" y="0"/>
                <wp:positionH relativeFrom="column">
                  <wp:posOffset>1295807</wp:posOffset>
                </wp:positionH>
                <wp:positionV relativeFrom="paragraph">
                  <wp:posOffset>108076</wp:posOffset>
                </wp:positionV>
                <wp:extent cx="3417998" cy="1843469"/>
                <wp:effectExtent l="0" t="0" r="0" b="4445"/>
                <wp:wrapNone/>
                <wp:docPr id="202" name="Flowchart: Decision 202"/>
                <wp:cNvGraphicFramePr/>
                <a:graphic xmlns:a="http://schemas.openxmlformats.org/drawingml/2006/main">
                  <a:graphicData uri="http://schemas.microsoft.com/office/word/2010/wordprocessingShape">
                    <wps:wsp>
                      <wps:cNvSpPr/>
                      <wps:spPr>
                        <a:xfrm>
                          <a:off x="0" y="0"/>
                          <a:ext cx="3417998" cy="1843469"/>
                        </a:xfrm>
                        <a:prstGeom prst="flowChartDecision">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650211" w14:textId="6AFF0579" w:rsidR="00795F08" w:rsidRPr="009155A5" w:rsidRDefault="00795F08" w:rsidP="00EF6094">
                            <w:pPr>
                              <w:pStyle w:val="NormalWeb"/>
                              <w:spacing w:before="0" w:beforeAutospacing="0" w:after="0" w:afterAutospacing="0"/>
                              <w:jc w:val="center"/>
                              <w:rPr>
                                <w:rFonts w:asciiTheme="minorHAnsi" w:hAnsiTheme="minorHAnsi" w:cstheme="minorHAnsi"/>
                                <w:sz w:val="20"/>
                                <w:szCs w:val="20"/>
                              </w:rPr>
                            </w:pPr>
                            <w:r w:rsidRPr="00D13FC3">
                              <w:rPr>
                                <w:rFonts w:asciiTheme="minorHAnsi" w:hAnsiTheme="minorHAnsi" w:cstheme="minorHAnsi"/>
                                <w:color w:val="000000" w:themeColor="dark1"/>
                                <w:kern w:val="24"/>
                                <w:sz w:val="20"/>
                                <w:szCs w:val="20"/>
                              </w:rPr>
                              <w:t xml:space="preserve">Hold </w:t>
                            </w:r>
                            <w:r>
                              <w:rPr>
                                <w:rFonts w:asciiTheme="minorHAnsi" w:hAnsiTheme="minorHAnsi" w:cstheme="minorHAnsi"/>
                                <w:color w:val="000000" w:themeColor="dark1"/>
                                <w:kern w:val="24"/>
                                <w:sz w:val="20"/>
                                <w:szCs w:val="20"/>
                              </w:rPr>
                              <w:t>regular</w:t>
                            </w:r>
                            <w:r w:rsidRPr="00D13FC3">
                              <w:rPr>
                                <w:rFonts w:asciiTheme="minorHAnsi" w:hAnsiTheme="minorHAnsi" w:cstheme="minorHAnsi"/>
                                <w:color w:val="000000" w:themeColor="dark1"/>
                                <w:kern w:val="24"/>
                                <w:sz w:val="20"/>
                                <w:szCs w:val="20"/>
                              </w:rPr>
                              <w:t xml:space="preserve"> meetings with </w:t>
                            </w:r>
                            <w:r>
                              <w:rPr>
                                <w:rFonts w:asciiTheme="minorHAnsi" w:hAnsiTheme="minorHAnsi" w:cstheme="minorHAnsi"/>
                                <w:color w:val="000000" w:themeColor="dark1"/>
                                <w:kern w:val="24"/>
                                <w:sz w:val="20"/>
                                <w:szCs w:val="20"/>
                              </w:rPr>
                              <w:t>MDT</w:t>
                            </w:r>
                            <w:r w:rsidRPr="00D13FC3">
                              <w:rPr>
                                <w:rFonts w:asciiTheme="minorHAnsi" w:hAnsiTheme="minorHAnsi" w:cstheme="minorHAnsi"/>
                                <w:color w:val="000000" w:themeColor="dark1"/>
                                <w:kern w:val="24"/>
                                <w:sz w:val="20"/>
                                <w:szCs w:val="20"/>
                              </w:rPr>
                              <w:t xml:space="preserve"> </w:t>
                            </w:r>
                            <w:r>
                              <w:rPr>
                                <w:rFonts w:asciiTheme="minorHAnsi" w:hAnsiTheme="minorHAnsi" w:cstheme="minorHAnsi"/>
                                <w:color w:val="000000" w:themeColor="dark1"/>
                                <w:kern w:val="24"/>
                                <w:sz w:val="20"/>
                                <w:szCs w:val="20"/>
                              </w:rPr>
                              <w:t xml:space="preserve">and </w:t>
                            </w:r>
                            <w:r w:rsidRPr="00D13FC3">
                              <w:rPr>
                                <w:rFonts w:asciiTheme="minorHAnsi" w:hAnsiTheme="minorHAnsi" w:cstheme="minorHAnsi"/>
                                <w:color w:val="000000" w:themeColor="dark1"/>
                                <w:kern w:val="24"/>
                                <w:sz w:val="20"/>
                                <w:szCs w:val="20"/>
                              </w:rPr>
                              <w:t xml:space="preserve">Local Authority to </w:t>
                            </w:r>
                            <w:r>
                              <w:rPr>
                                <w:rFonts w:asciiTheme="minorHAnsi" w:hAnsiTheme="minorHAnsi" w:cstheme="minorHAnsi"/>
                                <w:color w:val="000000" w:themeColor="dark1"/>
                                <w:kern w:val="24"/>
                                <w:sz w:val="20"/>
                                <w:szCs w:val="20"/>
                              </w:rPr>
                              <w:t>review CRFD delays and agree those that need to be reported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D924EE" id="_x0000_t110" coordsize="21600,21600" o:spt="110" path="m10800,l,10800,10800,21600,21600,10800xe">
                <v:stroke joinstyle="miter"/>
                <v:path gradientshapeok="t" o:connecttype="rect" textboxrect="5400,5400,16200,16200"/>
              </v:shapetype>
              <v:shape id="Flowchart: Decision 202" o:spid="_x0000_s1032" type="#_x0000_t110" style="position:absolute;left:0;text-align:left;margin-left:102.05pt;margin-top:8.5pt;width:269.15pt;height:145.15pt;z-index:2517063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" fillcolor="#8aabd3 [2132]" stroked="f" strokeweight="2pt">
                <v:fill color2="#d6e2f0 [756]" rotate="t" angle="180" colors="0 #9ab5e4;.5 #c2d1ed;1 #e1e8f5" focus="100%" type="gradient"/>
                <v:textbox>
                  <w:txbxContent>
                    <w:p w14:paraId="07650211" w14:textId="6AFF0579" w:rsidR="00795F08" w:rsidRPr="009155A5" w:rsidRDefault="00795F08" w:rsidP="00EF6094">
                      <w:pPr>
                        <w:pStyle w:val="NormalWeb"/>
                        <w:spacing w:before="0" w:beforeAutospacing="0" w:after="0" w:afterAutospacing="0"/>
                        <w:jc w:val="center"/>
                        <w:rPr>
                          <w:rFonts w:asciiTheme="minorHAnsi" w:hAnsiTheme="minorHAnsi" w:cstheme="minorHAnsi"/>
                          <w:sz w:val="20"/>
                          <w:szCs w:val="20"/>
                        </w:rPr>
                      </w:pPr>
                      <w:r w:rsidRPr="00D13FC3">
                        <w:rPr>
                          <w:rFonts w:asciiTheme="minorHAnsi" w:hAnsiTheme="minorHAnsi" w:cstheme="minorHAnsi"/>
                          <w:color w:val="000000" w:themeColor="dark1"/>
                          <w:kern w:val="24"/>
                          <w:sz w:val="20"/>
                          <w:szCs w:val="20"/>
                        </w:rPr>
                        <w:t xml:space="preserve">Hold </w:t>
                      </w:r>
                      <w:r>
                        <w:rPr>
                          <w:rFonts w:asciiTheme="minorHAnsi" w:hAnsiTheme="minorHAnsi" w:cstheme="minorHAnsi"/>
                          <w:color w:val="000000" w:themeColor="dark1"/>
                          <w:kern w:val="24"/>
                          <w:sz w:val="20"/>
                          <w:szCs w:val="20"/>
                        </w:rPr>
                        <w:t>regular</w:t>
                      </w:r>
                      <w:r w:rsidRPr="00D13FC3">
                        <w:rPr>
                          <w:rFonts w:asciiTheme="minorHAnsi" w:hAnsiTheme="minorHAnsi" w:cstheme="minorHAnsi"/>
                          <w:color w:val="000000" w:themeColor="dark1"/>
                          <w:kern w:val="24"/>
                          <w:sz w:val="20"/>
                          <w:szCs w:val="20"/>
                        </w:rPr>
                        <w:t xml:space="preserve"> meetings with </w:t>
                      </w:r>
                      <w:r>
                        <w:rPr>
                          <w:rFonts w:asciiTheme="minorHAnsi" w:hAnsiTheme="minorHAnsi" w:cstheme="minorHAnsi"/>
                          <w:color w:val="000000" w:themeColor="dark1"/>
                          <w:kern w:val="24"/>
                          <w:sz w:val="20"/>
                          <w:szCs w:val="20"/>
                        </w:rPr>
                        <w:t>MDT</w:t>
                      </w:r>
                      <w:r w:rsidRPr="00D13FC3">
                        <w:rPr>
                          <w:rFonts w:asciiTheme="minorHAnsi" w:hAnsiTheme="minorHAnsi" w:cstheme="minorHAnsi"/>
                          <w:color w:val="000000" w:themeColor="dark1"/>
                          <w:kern w:val="24"/>
                          <w:sz w:val="20"/>
                          <w:szCs w:val="20"/>
                        </w:rPr>
                        <w:t xml:space="preserve"> </w:t>
                      </w:r>
                      <w:r>
                        <w:rPr>
                          <w:rFonts w:asciiTheme="minorHAnsi" w:hAnsiTheme="minorHAnsi" w:cstheme="minorHAnsi"/>
                          <w:color w:val="000000" w:themeColor="dark1"/>
                          <w:kern w:val="24"/>
                          <w:sz w:val="20"/>
                          <w:szCs w:val="20"/>
                        </w:rPr>
                        <w:t xml:space="preserve">and </w:t>
                      </w:r>
                      <w:r w:rsidRPr="00D13FC3">
                        <w:rPr>
                          <w:rFonts w:asciiTheme="minorHAnsi" w:hAnsiTheme="minorHAnsi" w:cstheme="minorHAnsi"/>
                          <w:color w:val="000000" w:themeColor="dark1"/>
                          <w:kern w:val="24"/>
                          <w:sz w:val="20"/>
                          <w:szCs w:val="20"/>
                        </w:rPr>
                        <w:t xml:space="preserve">Local Authority to </w:t>
                      </w:r>
                      <w:r>
                        <w:rPr>
                          <w:rFonts w:asciiTheme="minorHAnsi" w:hAnsiTheme="minorHAnsi" w:cstheme="minorHAnsi"/>
                          <w:color w:val="000000" w:themeColor="dark1"/>
                          <w:kern w:val="24"/>
                          <w:sz w:val="20"/>
                          <w:szCs w:val="20"/>
                        </w:rPr>
                        <w:t>review CRFD delays and agree those that need to be reported</w:t>
                      </w:r>
                    </w:p>
                  </w:txbxContent>
                </v:textbox>
              </v:shape>
            </w:pict>
          </mc:Fallback>
        </mc:AlternateContent>
      </w:r>
    </w:p>
    <w:p w14:paraId="3FFF7FB2" w14:textId="7F7818F0" w:rsidR="000A499B" w:rsidRDefault="000A499B" w:rsidP="000A499B">
      <w:pPr>
        <w:tabs>
          <w:tab w:val="left" w:pos="142"/>
        </w:tabs>
        <w:ind w:firstLine="709"/>
        <w:jc w:val="both"/>
        <w:rPr>
          <w:rFonts w:asciiTheme="minorHAnsi" w:hAnsiTheme="minorHAnsi"/>
          <w:u w:val="single"/>
        </w:rPr>
      </w:pPr>
    </w:p>
    <w:p w14:paraId="47D29B91" w14:textId="1581743F" w:rsidR="000A499B" w:rsidRDefault="000A499B" w:rsidP="000A499B">
      <w:pPr>
        <w:tabs>
          <w:tab w:val="left" w:pos="142"/>
        </w:tabs>
        <w:ind w:firstLine="709"/>
        <w:jc w:val="both"/>
        <w:rPr>
          <w:rFonts w:asciiTheme="minorHAnsi" w:hAnsiTheme="minorHAnsi"/>
          <w:u w:val="single"/>
        </w:rPr>
      </w:pPr>
    </w:p>
    <w:p w14:paraId="75A6E396" w14:textId="196FE2C8" w:rsidR="000A499B" w:rsidRDefault="000A499B" w:rsidP="000A499B">
      <w:pPr>
        <w:tabs>
          <w:tab w:val="left" w:pos="142"/>
        </w:tabs>
        <w:ind w:firstLine="709"/>
        <w:jc w:val="both"/>
        <w:rPr>
          <w:rFonts w:asciiTheme="minorHAnsi" w:hAnsiTheme="minorHAnsi"/>
          <w:u w:val="single"/>
        </w:rPr>
      </w:pPr>
    </w:p>
    <w:p w14:paraId="1E75F07F" w14:textId="4DE8A325" w:rsidR="000A499B" w:rsidRDefault="000A499B" w:rsidP="000A499B">
      <w:pPr>
        <w:tabs>
          <w:tab w:val="left" w:pos="142"/>
        </w:tabs>
        <w:ind w:firstLine="709"/>
        <w:jc w:val="both"/>
        <w:rPr>
          <w:rFonts w:asciiTheme="minorHAnsi" w:hAnsiTheme="minorHAnsi"/>
          <w:u w:val="single"/>
        </w:rPr>
      </w:pPr>
    </w:p>
    <w:p w14:paraId="2D980D7B" w14:textId="5F4DD2C9" w:rsidR="000A499B" w:rsidRDefault="000A499B" w:rsidP="000A499B">
      <w:pPr>
        <w:tabs>
          <w:tab w:val="left" w:pos="142"/>
        </w:tabs>
        <w:ind w:firstLine="709"/>
        <w:jc w:val="both"/>
        <w:rPr>
          <w:rFonts w:asciiTheme="minorHAnsi" w:hAnsiTheme="minorHAnsi"/>
          <w:u w:val="single"/>
        </w:rPr>
      </w:pPr>
    </w:p>
    <w:p w14:paraId="3D49FD41" w14:textId="07ADC116" w:rsidR="000A499B" w:rsidRDefault="00B64A4B" w:rsidP="000A499B">
      <w:pPr>
        <w:tabs>
          <w:tab w:val="left" w:pos="142"/>
        </w:tabs>
        <w:ind w:firstLine="709"/>
        <w:jc w:val="both"/>
        <w:rPr>
          <w:rFonts w:asciiTheme="minorHAnsi" w:hAnsiTheme="minorHAnsi"/>
          <w:u w:val="single"/>
        </w:rPr>
      </w:pPr>
      <w:r w:rsidRPr="00F35518">
        <w:rPr>
          <w:b/>
          <w:noProof/>
          <w:lang w:eastAsia="en-GB"/>
        </w:rPr>
        <mc:AlternateContent>
          <mc:Choice Requires="wps">
            <w:drawing>
              <wp:anchor distT="0" distB="0" distL="114300" distR="114300" simplePos="0" relativeHeight="251663872" behindDoc="0" locked="0" layoutInCell="1" allowOverlap="1" wp14:anchorId="48980CC8" wp14:editId="0554897B">
                <wp:simplePos x="0" y="0"/>
                <wp:positionH relativeFrom="column">
                  <wp:posOffset>2992120</wp:posOffset>
                </wp:positionH>
                <wp:positionV relativeFrom="paragraph">
                  <wp:posOffset>11430</wp:posOffset>
                </wp:positionV>
                <wp:extent cx="0" cy="167005"/>
                <wp:effectExtent l="95250" t="0" r="57150" b="42545"/>
                <wp:wrapNone/>
                <wp:docPr id="28" name="Straight Arrow Connector 17"/>
                <wp:cNvGraphicFramePr/>
                <a:graphic xmlns:a="http://schemas.openxmlformats.org/drawingml/2006/main">
                  <a:graphicData uri="http://schemas.microsoft.com/office/word/2010/wordprocessingShape">
                    <wps:wsp>
                      <wps:cNvCnPr/>
                      <wps:spPr>
                        <a:xfrm>
                          <a:off x="0" y="0"/>
                          <a:ext cx="0" cy="16700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55548E" id="Straight Arrow Connector 17" o:spid="_x0000_s1026" type="#_x0000_t32" style="position:absolute;margin-left:235.6pt;margin-top:.9pt;width:0;height:13.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" strokecolor="#4579b8 [3044]" strokeweight="2.25pt">
                <v:stroke endarrow="block"/>
              </v:shape>
            </w:pict>
          </mc:Fallback>
        </mc:AlternateContent>
      </w:r>
      <w:r w:rsidRPr="00F35518">
        <w:rPr>
          <w:rFonts w:asciiTheme="minorHAnsi" w:hAnsiTheme="minorHAnsi"/>
          <w:noProof/>
          <w:u w:val="single"/>
          <w:lang w:eastAsia="en-GB"/>
        </w:rPr>
        <mc:AlternateContent>
          <mc:Choice Requires="wps">
            <w:drawing>
              <wp:anchor distT="0" distB="0" distL="114300" distR="114300" simplePos="0" relativeHeight="251651584" behindDoc="0" locked="0" layoutInCell="1" allowOverlap="1" wp14:anchorId="0959ACD6" wp14:editId="00F3273A">
                <wp:simplePos x="0" y="0"/>
                <wp:positionH relativeFrom="column">
                  <wp:posOffset>1642689</wp:posOffset>
                </wp:positionH>
                <wp:positionV relativeFrom="paragraph">
                  <wp:posOffset>175315</wp:posOffset>
                </wp:positionV>
                <wp:extent cx="2735580" cy="457200"/>
                <wp:effectExtent l="57150" t="38100" r="64770" b="76200"/>
                <wp:wrapNone/>
                <wp:docPr id="29" name="Flowchart: Process 21"/>
                <wp:cNvGraphicFramePr/>
                <a:graphic xmlns:a="http://schemas.openxmlformats.org/drawingml/2006/main">
                  <a:graphicData uri="http://schemas.microsoft.com/office/word/2010/wordprocessingShape">
                    <wps:wsp>
                      <wps:cNvSpPr/>
                      <wps:spPr>
                        <a:xfrm>
                          <a:off x="0" y="0"/>
                          <a:ext cx="2735580" cy="457200"/>
                        </a:xfrm>
                        <a:prstGeom prst="flowChartProcess">
                          <a:avLst/>
                        </a:prstGeom>
                        <a:ln>
                          <a:noFill/>
                        </a:ln>
                      </wps:spPr>
                      <wps:style>
                        <a:lnRef idx="1">
                          <a:schemeClr val="accent1"/>
                        </a:lnRef>
                        <a:fillRef idx="2">
                          <a:schemeClr val="accent1"/>
                        </a:fillRef>
                        <a:effectRef idx="1">
                          <a:schemeClr val="accent1"/>
                        </a:effectRef>
                        <a:fontRef idx="minor">
                          <a:schemeClr val="dk1"/>
                        </a:fontRef>
                      </wps:style>
                      <wps:txbx>
                        <w:txbxContent>
                          <w:p w14:paraId="3817D9E2" w14:textId="77777777" w:rsidR="00795F08" w:rsidRPr="00D13FC3" w:rsidRDefault="00795F08" w:rsidP="00627B12">
                            <w:pPr>
                              <w:pStyle w:val="NormalWeb"/>
                              <w:spacing w:before="0" w:beforeAutospacing="0" w:after="0" w:afterAutospacing="0"/>
                              <w:jc w:val="center"/>
                              <w:rPr>
                                <w:rFonts w:asciiTheme="minorHAnsi" w:hAnsiTheme="minorHAnsi" w:cstheme="minorHAnsi"/>
                                <w:sz w:val="20"/>
                                <w:szCs w:val="20"/>
                              </w:rPr>
                            </w:pPr>
                            <w:r w:rsidRPr="00D13FC3">
                              <w:rPr>
                                <w:rFonts w:asciiTheme="minorHAnsi" w:hAnsiTheme="minorHAnsi" w:cstheme="minorHAnsi"/>
                                <w:color w:val="000000" w:themeColor="dark1"/>
                                <w:kern w:val="24"/>
                                <w:sz w:val="20"/>
                                <w:szCs w:val="20"/>
                              </w:rPr>
                              <w:t>Confirm CRFD on ELFT clinical systems within 48 hours of agreement in local forums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9ACD6" id="Flowchart: Process 21" o:spid="_x0000_s1033" type="#_x0000_t109" style="position:absolute;left:0;text-align:left;margin-left:129.35pt;margin-top:13.8pt;width:215.4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" fillcolor="#a7bfde [1620]" stroked="f">
                <v:fill color2="#e4ecf5 [500]" rotate="t" angle="180" colors="0 #a3c4ff;22938f #bfd5ff;1 #e5eeff" focus="100%" type="gradient"/>
                <v:shadow on="t" color="black" opacity="24903f" origin=",.5" offset="0,.55556mm"/>
                <v:textbox>
                  <w:txbxContent>
                    <w:p w14:paraId="3817D9E2" w14:textId="77777777" w:rsidR="00795F08" w:rsidRPr="00D13FC3" w:rsidRDefault="00795F08" w:rsidP="00627B12">
                      <w:pPr>
                        <w:pStyle w:val="NormalWeb"/>
                        <w:spacing w:before="0" w:beforeAutospacing="0" w:after="0" w:afterAutospacing="0"/>
                        <w:jc w:val="center"/>
                        <w:rPr>
                          <w:rFonts w:asciiTheme="minorHAnsi" w:hAnsiTheme="minorHAnsi" w:cstheme="minorHAnsi"/>
                          <w:sz w:val="20"/>
                          <w:szCs w:val="20"/>
                        </w:rPr>
                      </w:pPr>
                      <w:r w:rsidRPr="00D13FC3">
                        <w:rPr>
                          <w:rFonts w:asciiTheme="minorHAnsi" w:hAnsiTheme="minorHAnsi" w:cstheme="minorHAnsi"/>
                          <w:color w:val="000000" w:themeColor="dark1"/>
                          <w:kern w:val="24"/>
                          <w:sz w:val="20"/>
                          <w:szCs w:val="20"/>
                        </w:rPr>
                        <w:t>Confirm CRFD on ELFT clinical systems within 48 hours of agreement in local forums</w:t>
                      </w:r>
                    </w:p>
                  </w:txbxContent>
                </v:textbox>
              </v:shape>
            </w:pict>
          </mc:Fallback>
        </mc:AlternateContent>
      </w:r>
      <w:r w:rsidR="000A499B" w:rsidRPr="00A2658F">
        <w:rPr>
          <w:noProof/>
          <w:sz w:val="20"/>
          <w:szCs w:val="20"/>
          <w:lang w:eastAsia="en-GB"/>
        </w:rPr>
        <mc:AlternateContent>
          <mc:Choice Requires="wps">
            <w:drawing>
              <wp:anchor distT="0" distB="0" distL="114300" distR="114300" simplePos="0" relativeHeight="251649536" behindDoc="0" locked="0" layoutInCell="1" allowOverlap="1" wp14:anchorId="68B0535A" wp14:editId="741AA908">
                <wp:simplePos x="0" y="0"/>
                <wp:positionH relativeFrom="column">
                  <wp:posOffset>-3860165</wp:posOffset>
                </wp:positionH>
                <wp:positionV relativeFrom="paragraph">
                  <wp:posOffset>54610</wp:posOffset>
                </wp:positionV>
                <wp:extent cx="228600" cy="211455"/>
                <wp:effectExtent l="0" t="0" r="0" b="0"/>
                <wp:wrapNone/>
                <wp:docPr id="195" name="Down Arrow 195"/>
                <wp:cNvGraphicFramePr/>
                <a:graphic xmlns:a="http://schemas.openxmlformats.org/drawingml/2006/main">
                  <a:graphicData uri="http://schemas.microsoft.com/office/word/2010/wordprocessingShape">
                    <wps:wsp>
                      <wps:cNvSpPr/>
                      <wps:spPr>
                        <a:xfrm>
                          <a:off x="0" y="0"/>
                          <a:ext cx="228600" cy="2114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5F87C8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95" o:spid="_x0000_s1026" type="#_x0000_t67" style="position:absolute;margin-left:-303.95pt;margin-top:4.3pt;width:18pt;height:16.65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" adj="10800" fillcolor="#4f81bd [3204]" stroked="f" strokeweight="2pt"/>
            </w:pict>
          </mc:Fallback>
        </mc:AlternateContent>
      </w:r>
      <w:r w:rsidR="000A499B" w:rsidRPr="00A2658F">
        <w:rPr>
          <w:noProof/>
          <w:sz w:val="20"/>
          <w:szCs w:val="20"/>
          <w:lang w:eastAsia="en-GB"/>
        </w:rPr>
        <mc:AlternateContent>
          <mc:Choice Requires="wps">
            <w:drawing>
              <wp:anchor distT="0" distB="0" distL="114300" distR="114300" simplePos="0" relativeHeight="251647488" behindDoc="0" locked="0" layoutInCell="1" allowOverlap="1" wp14:anchorId="2F0E35CF" wp14:editId="3DD37D23">
                <wp:simplePos x="0" y="0"/>
                <wp:positionH relativeFrom="column">
                  <wp:posOffset>-4777740</wp:posOffset>
                </wp:positionH>
                <wp:positionV relativeFrom="paragraph">
                  <wp:posOffset>279400</wp:posOffset>
                </wp:positionV>
                <wp:extent cx="2087880" cy="351155"/>
                <wp:effectExtent l="57150" t="38100" r="64770" b="67945"/>
                <wp:wrapNone/>
                <wp:docPr id="196" name="Flowchart: Process 196"/>
                <wp:cNvGraphicFramePr/>
                <a:graphic xmlns:a="http://schemas.openxmlformats.org/drawingml/2006/main">
                  <a:graphicData uri="http://schemas.microsoft.com/office/word/2010/wordprocessingShape">
                    <wps:wsp>
                      <wps:cNvSpPr/>
                      <wps:spPr>
                        <a:xfrm>
                          <a:off x="0" y="0"/>
                          <a:ext cx="2087880" cy="351155"/>
                        </a:xfrm>
                        <a:prstGeom prst="flowChartProcess">
                          <a:avLst/>
                        </a:prstGeom>
                        <a:ln>
                          <a:noFill/>
                        </a:ln>
                      </wps:spPr>
                      <wps:style>
                        <a:lnRef idx="1">
                          <a:schemeClr val="accent1"/>
                        </a:lnRef>
                        <a:fillRef idx="2">
                          <a:schemeClr val="accent1"/>
                        </a:fillRef>
                        <a:effectRef idx="1">
                          <a:schemeClr val="accent1"/>
                        </a:effectRef>
                        <a:fontRef idx="minor">
                          <a:schemeClr val="dk1"/>
                        </a:fontRef>
                      </wps:style>
                      <wps:txbx>
                        <w:txbxContent>
                          <w:p w14:paraId="5B8B3689" w14:textId="77777777" w:rsidR="00795F08" w:rsidRPr="00A2658F" w:rsidRDefault="00795F08" w:rsidP="000A499B">
                            <w:pPr>
                              <w:rPr>
                                <w:sz w:val="16"/>
                                <w:szCs w:val="16"/>
                              </w:rPr>
                            </w:pPr>
                            <w:r w:rsidRPr="00A2658F">
                              <w:rPr>
                                <w:sz w:val="16"/>
                                <w:szCs w:val="16"/>
                              </w:rPr>
                              <w:t xml:space="preserve">CRFD is </w:t>
                            </w:r>
                            <w:r w:rsidRPr="00A2658F">
                              <w:rPr>
                                <w:b/>
                                <w:sz w:val="16"/>
                                <w:szCs w:val="16"/>
                              </w:rPr>
                              <w:t>recorded on the Clinical System</w:t>
                            </w:r>
                            <w:r w:rsidRPr="00A2658F">
                              <w:rPr>
                                <w:sz w:val="16"/>
                                <w:szCs w:val="16"/>
                              </w:rPr>
                              <w:t xml:space="preserve"> following the MDT Decision.</w:t>
                            </w:r>
                          </w:p>
                          <w:p w14:paraId="06B813C5" w14:textId="77777777" w:rsidR="00795F08" w:rsidRDefault="00795F08" w:rsidP="000A49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E35CF" id="Flowchart: Process 196" o:spid="_x0000_s1034" type="#_x0000_t109" style="position:absolute;left:0;text-align:left;margin-left:-376.2pt;margin-top:22pt;width:164.4pt;height:27.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" fillcolor="#a7bfde [1620]" stroked="f">
                <v:fill color2="#e4ecf5 [500]" rotate="t" angle="180" colors="0 #a3c4ff;22938f #bfd5ff;1 #e5eeff" focus="100%" type="gradient"/>
                <v:shadow on="t" color="black" opacity="24903f" origin=",.5" offset="0,.55556mm"/>
                <v:textbox>
                  <w:txbxContent>
                    <w:p w14:paraId="5B8B3689" w14:textId="77777777" w:rsidR="00795F08" w:rsidRPr="00A2658F" w:rsidRDefault="00795F08" w:rsidP="000A499B">
                      <w:pPr>
                        <w:rPr>
                          <w:sz w:val="16"/>
                          <w:szCs w:val="16"/>
                        </w:rPr>
                      </w:pPr>
                      <w:r w:rsidRPr="00A2658F">
                        <w:rPr>
                          <w:sz w:val="16"/>
                          <w:szCs w:val="16"/>
                        </w:rPr>
                        <w:t xml:space="preserve">CRFD is </w:t>
                      </w:r>
                      <w:r w:rsidRPr="00A2658F">
                        <w:rPr>
                          <w:b/>
                          <w:sz w:val="16"/>
                          <w:szCs w:val="16"/>
                        </w:rPr>
                        <w:t>recorded on the Clinical System</w:t>
                      </w:r>
                      <w:r w:rsidRPr="00A2658F">
                        <w:rPr>
                          <w:sz w:val="16"/>
                          <w:szCs w:val="16"/>
                        </w:rPr>
                        <w:t xml:space="preserve"> following the MDT Decision.</w:t>
                      </w:r>
                    </w:p>
                    <w:p w14:paraId="06B813C5" w14:textId="77777777" w:rsidR="00795F08" w:rsidRDefault="00795F08" w:rsidP="000A499B">
                      <w:pPr>
                        <w:jc w:val="center"/>
                      </w:pPr>
                    </w:p>
                  </w:txbxContent>
                </v:textbox>
              </v:shape>
            </w:pict>
          </mc:Fallback>
        </mc:AlternateContent>
      </w:r>
      <w:r w:rsidR="000A499B" w:rsidRPr="00A2658F">
        <w:rPr>
          <w:noProof/>
          <w:sz w:val="20"/>
          <w:szCs w:val="20"/>
          <w:lang w:eastAsia="en-GB"/>
        </w:rPr>
        <mc:AlternateContent>
          <mc:Choice Requires="wps">
            <w:drawing>
              <wp:anchor distT="0" distB="0" distL="114300" distR="114300" simplePos="0" relativeHeight="251648512" behindDoc="0" locked="0" layoutInCell="1" allowOverlap="1" wp14:anchorId="74E88DC1" wp14:editId="75746A79">
                <wp:simplePos x="0" y="0"/>
                <wp:positionH relativeFrom="column">
                  <wp:posOffset>-3852545</wp:posOffset>
                </wp:positionH>
                <wp:positionV relativeFrom="paragraph">
                  <wp:posOffset>636905</wp:posOffset>
                </wp:positionV>
                <wp:extent cx="228600" cy="211455"/>
                <wp:effectExtent l="0" t="0" r="0" b="0"/>
                <wp:wrapNone/>
                <wp:docPr id="197" name="Down Arrow 197"/>
                <wp:cNvGraphicFramePr/>
                <a:graphic xmlns:a="http://schemas.openxmlformats.org/drawingml/2006/main">
                  <a:graphicData uri="http://schemas.microsoft.com/office/word/2010/wordprocessingShape">
                    <wps:wsp>
                      <wps:cNvSpPr/>
                      <wps:spPr>
                        <a:xfrm>
                          <a:off x="0" y="0"/>
                          <a:ext cx="228600" cy="2114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C2D418" id="Down Arrow 197" o:spid="_x0000_s1026" type="#_x0000_t67" style="position:absolute;margin-left:-303.35pt;margin-top:50.15pt;width:18pt;height:16.65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" adj="10800" fillcolor="#4f81bd [3204]" stroked="f" strokeweight="2pt"/>
            </w:pict>
          </mc:Fallback>
        </mc:AlternateContent>
      </w:r>
    </w:p>
    <w:p w14:paraId="5A856AB9" w14:textId="7114982B" w:rsidR="000A499B" w:rsidRDefault="000A499B" w:rsidP="000A499B">
      <w:pPr>
        <w:tabs>
          <w:tab w:val="left" w:pos="142"/>
        </w:tabs>
        <w:ind w:firstLine="709"/>
        <w:jc w:val="both"/>
        <w:rPr>
          <w:rFonts w:asciiTheme="minorHAnsi" w:hAnsiTheme="minorHAnsi"/>
          <w:u w:val="single"/>
        </w:rPr>
      </w:pPr>
    </w:p>
    <w:p w14:paraId="681732B1" w14:textId="56A694BF" w:rsidR="004D15B0" w:rsidRDefault="00B64A4B" w:rsidP="0093519A">
      <w:pPr>
        <w:tabs>
          <w:tab w:val="left" w:pos="142"/>
        </w:tabs>
        <w:ind w:firstLine="709"/>
        <w:jc w:val="both"/>
        <w:rPr>
          <w:rFonts w:asciiTheme="minorHAnsi" w:hAnsiTheme="minorHAnsi"/>
          <w:u w:val="single"/>
        </w:rPr>
      </w:pPr>
      <w:r w:rsidRPr="00F35518">
        <w:rPr>
          <w:b/>
          <w:noProof/>
          <w:lang w:eastAsia="en-GB"/>
        </w:rPr>
        <mc:AlternateContent>
          <mc:Choice Requires="wps">
            <w:drawing>
              <wp:anchor distT="0" distB="0" distL="114300" distR="114300" simplePos="0" relativeHeight="251718674" behindDoc="0" locked="0" layoutInCell="1" allowOverlap="1" wp14:anchorId="2F797CFC" wp14:editId="7D582CE7">
                <wp:simplePos x="0" y="0"/>
                <wp:positionH relativeFrom="column">
                  <wp:posOffset>3000375</wp:posOffset>
                </wp:positionH>
                <wp:positionV relativeFrom="paragraph">
                  <wp:posOffset>3175</wp:posOffset>
                </wp:positionV>
                <wp:extent cx="0" cy="167005"/>
                <wp:effectExtent l="95250" t="0" r="57150" b="42545"/>
                <wp:wrapNone/>
                <wp:docPr id="7" name="Straight Arrow Connector 17"/>
                <wp:cNvGraphicFramePr/>
                <a:graphic xmlns:a="http://schemas.openxmlformats.org/drawingml/2006/main">
                  <a:graphicData uri="http://schemas.microsoft.com/office/word/2010/wordprocessingShape">
                    <wps:wsp>
                      <wps:cNvCnPr/>
                      <wps:spPr>
                        <a:xfrm>
                          <a:off x="0" y="0"/>
                          <a:ext cx="0" cy="16700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C16D3B" id="Straight Arrow Connector 17" o:spid="_x0000_s1026" type="#_x0000_t32" style="position:absolute;margin-left:236.25pt;margin-top:.25pt;width:0;height:13.15pt;z-index:2517186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" strokecolor="#4579b8 [3044]" strokeweight="2.25pt">
                <v:stroke endarrow="block"/>
              </v:shape>
            </w:pict>
          </mc:Fallback>
        </mc:AlternateContent>
      </w:r>
      <w:r w:rsidRPr="00F35518">
        <w:rPr>
          <w:rFonts w:asciiTheme="minorHAnsi" w:hAnsiTheme="minorHAnsi"/>
          <w:noProof/>
          <w:u w:val="single"/>
          <w:lang w:eastAsia="en-GB"/>
        </w:rPr>
        <mc:AlternateContent>
          <mc:Choice Requires="wps">
            <w:drawing>
              <wp:anchor distT="0" distB="0" distL="114300" distR="114300" simplePos="0" relativeHeight="251716626" behindDoc="0" locked="0" layoutInCell="1" allowOverlap="1" wp14:anchorId="57477247" wp14:editId="439D24F1">
                <wp:simplePos x="0" y="0"/>
                <wp:positionH relativeFrom="column">
                  <wp:posOffset>1642110</wp:posOffset>
                </wp:positionH>
                <wp:positionV relativeFrom="paragraph">
                  <wp:posOffset>171781</wp:posOffset>
                </wp:positionV>
                <wp:extent cx="2735580" cy="417443"/>
                <wp:effectExtent l="57150" t="38100" r="64770" b="78105"/>
                <wp:wrapNone/>
                <wp:docPr id="2" name="Flowchart: Process 21"/>
                <wp:cNvGraphicFramePr/>
                <a:graphic xmlns:a="http://schemas.openxmlformats.org/drawingml/2006/main">
                  <a:graphicData uri="http://schemas.microsoft.com/office/word/2010/wordprocessingShape">
                    <wps:wsp>
                      <wps:cNvSpPr/>
                      <wps:spPr>
                        <a:xfrm>
                          <a:off x="0" y="0"/>
                          <a:ext cx="2735580" cy="417443"/>
                        </a:xfrm>
                        <a:prstGeom prst="flowChartProcess">
                          <a:avLst/>
                        </a:prstGeom>
                        <a:ln>
                          <a:noFill/>
                        </a:ln>
                      </wps:spPr>
                      <wps:style>
                        <a:lnRef idx="1">
                          <a:schemeClr val="accent1"/>
                        </a:lnRef>
                        <a:fillRef idx="2">
                          <a:schemeClr val="accent1"/>
                        </a:fillRef>
                        <a:effectRef idx="1">
                          <a:schemeClr val="accent1"/>
                        </a:effectRef>
                        <a:fontRef idx="minor">
                          <a:schemeClr val="dk1"/>
                        </a:fontRef>
                      </wps:style>
                      <wps:txbx>
                        <w:txbxContent>
                          <w:p w14:paraId="304C8496" w14:textId="1588AEEA" w:rsidR="00867287" w:rsidRPr="00D13FC3" w:rsidRDefault="00867287" w:rsidP="00627B12">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color w:val="000000" w:themeColor="dark1"/>
                                <w:kern w:val="24"/>
                                <w:sz w:val="20"/>
                                <w:szCs w:val="20"/>
                              </w:rPr>
                              <w:t>Local service review and validate CRFD cases ready for submission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77247" id="_x0000_s1035" type="#_x0000_t109" style="position:absolute;left:0;text-align:left;margin-left:129.3pt;margin-top:13.55pt;width:215.4pt;height:32.85pt;z-index:2517166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" fillcolor="#a7bfde [1620]" stroked="f">
                <v:fill color2="#e4ecf5 [500]" rotate="t" angle="180" colors="0 #a3c4ff;22938f #bfd5ff;1 #e5eeff" focus="100%" type="gradient"/>
                <v:shadow on="t" color="black" opacity="24903f" origin=",.5" offset="0,.55556mm"/>
                <v:textbox>
                  <w:txbxContent>
                    <w:p w14:paraId="304C8496" w14:textId="1588AEEA" w:rsidR="00867287" w:rsidRPr="00D13FC3" w:rsidRDefault="00867287" w:rsidP="00627B12">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color w:val="000000" w:themeColor="dark1"/>
                          <w:kern w:val="24"/>
                          <w:sz w:val="20"/>
                          <w:szCs w:val="20"/>
                        </w:rPr>
                        <w:t>Local service review and validate CRFD cases ready for submission</w:t>
                      </w:r>
                    </w:p>
                  </w:txbxContent>
                </v:textbox>
              </v:shape>
            </w:pict>
          </mc:Fallback>
        </mc:AlternateContent>
      </w:r>
    </w:p>
    <w:p w14:paraId="6A51DD41" w14:textId="2D05E81E" w:rsidR="004044A5" w:rsidRDefault="00B64A4B" w:rsidP="006702E2">
      <w:pPr>
        <w:rPr>
          <w:rFonts w:asciiTheme="minorHAnsi" w:hAnsiTheme="minorHAnsi"/>
          <w:u w:val="single"/>
        </w:rPr>
      </w:pPr>
      <w:r w:rsidRPr="00F35518">
        <w:rPr>
          <w:rFonts w:asciiTheme="minorHAnsi" w:hAnsiTheme="minorHAnsi"/>
          <w:noProof/>
          <w:u w:val="single"/>
          <w:lang w:eastAsia="en-GB"/>
        </w:rPr>
        <mc:AlternateContent>
          <mc:Choice Requires="wps">
            <w:drawing>
              <wp:anchor distT="0" distB="0" distL="114300" distR="114300" simplePos="0" relativeHeight="251661824" behindDoc="0" locked="0" layoutInCell="1" allowOverlap="1" wp14:anchorId="4183305A" wp14:editId="3A886D2E">
                <wp:simplePos x="0" y="0"/>
                <wp:positionH relativeFrom="column">
                  <wp:posOffset>1642745</wp:posOffset>
                </wp:positionH>
                <wp:positionV relativeFrom="paragraph">
                  <wp:posOffset>434340</wp:posOffset>
                </wp:positionV>
                <wp:extent cx="2735580" cy="416560"/>
                <wp:effectExtent l="57150" t="38100" r="64770" b="78740"/>
                <wp:wrapNone/>
                <wp:docPr id="192" name="Flowchart: Process 26"/>
                <wp:cNvGraphicFramePr/>
                <a:graphic xmlns:a="http://schemas.openxmlformats.org/drawingml/2006/main">
                  <a:graphicData uri="http://schemas.microsoft.com/office/word/2010/wordprocessingShape">
                    <wps:wsp>
                      <wps:cNvSpPr/>
                      <wps:spPr>
                        <a:xfrm>
                          <a:off x="0" y="0"/>
                          <a:ext cx="2735580" cy="416560"/>
                        </a:xfrm>
                        <a:prstGeom prst="flowChartProcess">
                          <a:avLst/>
                        </a:prstGeom>
                        <a:ln>
                          <a:noFill/>
                        </a:ln>
                      </wps:spPr>
                      <wps:style>
                        <a:lnRef idx="1">
                          <a:schemeClr val="accent1"/>
                        </a:lnRef>
                        <a:fillRef idx="2">
                          <a:schemeClr val="accent1"/>
                        </a:fillRef>
                        <a:effectRef idx="1">
                          <a:schemeClr val="accent1"/>
                        </a:effectRef>
                        <a:fontRef idx="minor">
                          <a:schemeClr val="dk1"/>
                        </a:fontRef>
                      </wps:style>
                      <wps:txbx>
                        <w:txbxContent>
                          <w:p w14:paraId="73A057C5" w14:textId="0F2B343C" w:rsidR="00795F08" w:rsidRPr="00D13FC3" w:rsidRDefault="00D925E0" w:rsidP="00627B12">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color w:val="000000" w:themeColor="dark1"/>
                                <w:kern w:val="24"/>
                                <w:sz w:val="20"/>
                                <w:szCs w:val="20"/>
                              </w:rPr>
                              <w:t>Monthly s</w:t>
                            </w:r>
                            <w:r w:rsidR="00795F08" w:rsidRPr="00D13FC3">
                              <w:rPr>
                                <w:rFonts w:asciiTheme="minorHAnsi" w:hAnsiTheme="minorHAnsi" w:cstheme="minorHAnsi"/>
                                <w:color w:val="000000" w:themeColor="dark1"/>
                                <w:kern w:val="24"/>
                                <w:sz w:val="20"/>
                                <w:szCs w:val="20"/>
                              </w:rPr>
                              <w:t>ubmi</w:t>
                            </w:r>
                            <w:r>
                              <w:rPr>
                                <w:rFonts w:asciiTheme="minorHAnsi" w:hAnsiTheme="minorHAnsi" w:cstheme="minorHAnsi"/>
                                <w:color w:val="000000" w:themeColor="dark1"/>
                                <w:kern w:val="24"/>
                                <w:sz w:val="20"/>
                                <w:szCs w:val="20"/>
                              </w:rPr>
                              <w:t>ssion</w:t>
                            </w:r>
                            <w:r w:rsidR="00795F08" w:rsidRPr="00D13FC3">
                              <w:rPr>
                                <w:rFonts w:asciiTheme="minorHAnsi" w:hAnsiTheme="minorHAnsi" w:cstheme="minorHAnsi"/>
                                <w:color w:val="000000" w:themeColor="dark1"/>
                                <w:kern w:val="24"/>
                                <w:sz w:val="20"/>
                                <w:szCs w:val="20"/>
                              </w:rPr>
                              <w:t xml:space="preserve"> and report</w:t>
                            </w:r>
                            <w:r>
                              <w:rPr>
                                <w:rFonts w:asciiTheme="minorHAnsi" w:hAnsiTheme="minorHAnsi" w:cstheme="minorHAnsi"/>
                                <w:color w:val="000000" w:themeColor="dark1"/>
                                <w:kern w:val="24"/>
                                <w:sz w:val="20"/>
                                <w:szCs w:val="20"/>
                              </w:rPr>
                              <w:t>ing</w:t>
                            </w:r>
                            <w:r w:rsidR="00795F08" w:rsidRPr="00D13FC3">
                              <w:rPr>
                                <w:rFonts w:asciiTheme="minorHAnsi" w:hAnsiTheme="minorHAnsi" w:cstheme="minorHAnsi"/>
                                <w:color w:val="000000" w:themeColor="dark1"/>
                                <w:kern w:val="24"/>
                                <w:sz w:val="20"/>
                                <w:szCs w:val="20"/>
                              </w:rPr>
                              <w:t xml:space="preserve"> CRFD in accordance with national reporting requirements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183305A" id="Flowchart: Process 26" o:spid="_x0000_s1036" type="#_x0000_t109" style="position:absolute;margin-left:129.35pt;margin-top:34.2pt;width:215.4pt;height:32.8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" fillcolor="#a7bfde [1620]" stroked="f">
                <v:fill color2="#e4ecf5 [500]" rotate="t" angle="180" colors="0 #a3c4ff;22938f #bfd5ff;1 #e5eeff" focus="100%" type="gradient"/>
                <v:shadow on="t" color="black" opacity="24903f" origin=",.5" offset="0,.55556mm"/>
                <v:textbox>
                  <w:txbxContent>
                    <w:p w14:paraId="73A057C5" w14:textId="0F2B343C" w:rsidR="00795F08" w:rsidRPr="00D13FC3" w:rsidRDefault="00D925E0" w:rsidP="00627B12">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color w:val="000000" w:themeColor="dark1"/>
                          <w:kern w:val="24"/>
                          <w:sz w:val="20"/>
                          <w:szCs w:val="20"/>
                        </w:rPr>
                        <w:t>Monthly s</w:t>
                      </w:r>
                      <w:r w:rsidR="00795F08" w:rsidRPr="00D13FC3">
                        <w:rPr>
                          <w:rFonts w:asciiTheme="minorHAnsi" w:hAnsiTheme="minorHAnsi" w:cstheme="minorHAnsi"/>
                          <w:color w:val="000000" w:themeColor="dark1"/>
                          <w:kern w:val="24"/>
                          <w:sz w:val="20"/>
                          <w:szCs w:val="20"/>
                        </w:rPr>
                        <w:t>ubmi</w:t>
                      </w:r>
                      <w:r>
                        <w:rPr>
                          <w:rFonts w:asciiTheme="minorHAnsi" w:hAnsiTheme="minorHAnsi" w:cstheme="minorHAnsi"/>
                          <w:color w:val="000000" w:themeColor="dark1"/>
                          <w:kern w:val="24"/>
                          <w:sz w:val="20"/>
                          <w:szCs w:val="20"/>
                        </w:rPr>
                        <w:t>ssion</w:t>
                      </w:r>
                      <w:r w:rsidR="00795F08" w:rsidRPr="00D13FC3">
                        <w:rPr>
                          <w:rFonts w:asciiTheme="minorHAnsi" w:hAnsiTheme="minorHAnsi" w:cstheme="minorHAnsi"/>
                          <w:color w:val="000000" w:themeColor="dark1"/>
                          <w:kern w:val="24"/>
                          <w:sz w:val="20"/>
                          <w:szCs w:val="20"/>
                        </w:rPr>
                        <w:t xml:space="preserve"> and report</w:t>
                      </w:r>
                      <w:r>
                        <w:rPr>
                          <w:rFonts w:asciiTheme="minorHAnsi" w:hAnsiTheme="minorHAnsi" w:cstheme="minorHAnsi"/>
                          <w:color w:val="000000" w:themeColor="dark1"/>
                          <w:kern w:val="24"/>
                          <w:sz w:val="20"/>
                          <w:szCs w:val="20"/>
                        </w:rPr>
                        <w:t>ing</w:t>
                      </w:r>
                      <w:r w:rsidR="00795F08" w:rsidRPr="00D13FC3">
                        <w:rPr>
                          <w:rFonts w:asciiTheme="minorHAnsi" w:hAnsiTheme="minorHAnsi" w:cstheme="minorHAnsi"/>
                          <w:color w:val="000000" w:themeColor="dark1"/>
                          <w:kern w:val="24"/>
                          <w:sz w:val="20"/>
                          <w:szCs w:val="20"/>
                        </w:rPr>
                        <w:t xml:space="preserve"> CRFD in accordance with national reporting requirements</w:t>
                      </w:r>
                    </w:p>
                  </w:txbxContent>
                </v:textbox>
              </v:shape>
            </w:pict>
          </mc:Fallback>
        </mc:AlternateContent>
      </w:r>
      <w:r w:rsidRPr="00F35518">
        <w:rPr>
          <w:b/>
          <w:noProof/>
          <w:lang w:eastAsia="en-GB"/>
        </w:rPr>
        <mc:AlternateContent>
          <mc:Choice Requires="wps">
            <w:drawing>
              <wp:anchor distT="0" distB="0" distL="114300" distR="114300" simplePos="0" relativeHeight="251665920" behindDoc="0" locked="0" layoutInCell="1" allowOverlap="1" wp14:anchorId="01F490C0" wp14:editId="38C69302">
                <wp:simplePos x="0" y="0"/>
                <wp:positionH relativeFrom="column">
                  <wp:posOffset>3005455</wp:posOffset>
                </wp:positionH>
                <wp:positionV relativeFrom="paragraph">
                  <wp:posOffset>281001</wp:posOffset>
                </wp:positionV>
                <wp:extent cx="0" cy="167005"/>
                <wp:effectExtent l="95250" t="0" r="57150" b="42545"/>
                <wp:wrapNone/>
                <wp:docPr id="30" name="Straight Arrow Connector 17"/>
                <wp:cNvGraphicFramePr/>
                <a:graphic xmlns:a="http://schemas.openxmlformats.org/drawingml/2006/main">
                  <a:graphicData uri="http://schemas.microsoft.com/office/word/2010/wordprocessingShape">
                    <wps:wsp>
                      <wps:cNvCnPr/>
                      <wps:spPr>
                        <a:xfrm>
                          <a:off x="0" y="0"/>
                          <a:ext cx="0" cy="16700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28F141" id="Straight Arrow Connector 17" o:spid="_x0000_s1026" type="#_x0000_t32" style="position:absolute;margin-left:236.65pt;margin-top:22.15pt;width:0;height:13.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" strokecolor="#4579b8 [3044]" strokeweight="2.25pt">
                <v:stroke endarrow="block"/>
              </v:shape>
            </w:pict>
          </mc:Fallback>
        </mc:AlternateContent>
      </w:r>
      <w:r w:rsidR="00B5055E" w:rsidRPr="002B576F">
        <w:rPr>
          <w:rFonts w:asciiTheme="minorHAnsi" w:hAnsiTheme="minorHAnsi"/>
          <w:noProof/>
          <w:u w:val="single"/>
          <w:lang w:eastAsia="en-GB"/>
        </w:rPr>
        <mc:AlternateContent>
          <mc:Choice Requires="wps">
            <w:drawing>
              <wp:anchor distT="45720" distB="45720" distL="114300" distR="114300" simplePos="0" relativeHeight="251714578" behindDoc="0" locked="0" layoutInCell="1" allowOverlap="1" wp14:anchorId="146036EC" wp14:editId="632A4474">
                <wp:simplePos x="0" y="0"/>
                <wp:positionH relativeFrom="column">
                  <wp:posOffset>-302149</wp:posOffset>
                </wp:positionH>
                <wp:positionV relativeFrom="paragraph">
                  <wp:posOffset>897752</wp:posOffset>
                </wp:positionV>
                <wp:extent cx="6579870" cy="619125"/>
                <wp:effectExtent l="0" t="0" r="0" b="952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9870" cy="619125"/>
                        </a:xfrm>
                        <a:prstGeom prst="rect">
                          <a:avLst/>
                        </a:prstGeom>
                        <a:solidFill>
                          <a:srgbClr val="FFFFFF"/>
                        </a:solidFill>
                        <a:ln w="9525">
                          <a:noFill/>
                          <a:miter lim="800000"/>
                          <a:headEnd/>
                          <a:tailEnd/>
                        </a:ln>
                      </wps:spPr>
                      <wps:txbx>
                        <w:txbxContent>
                          <w:p w14:paraId="6C34AFAE" w14:textId="77777777" w:rsidR="00B5055E" w:rsidRPr="004B0645" w:rsidRDefault="00B5055E" w:rsidP="00B5055E">
                            <w:pPr>
                              <w:rPr>
                                <w:rFonts w:cs="Calibri"/>
                                <w:b/>
                                <w:color w:val="000000" w:themeColor="text1"/>
                              </w:rPr>
                            </w:pPr>
                            <w:r w:rsidRPr="004B0645">
                              <w:rPr>
                                <w:rFonts w:cs="Calibri"/>
                                <w:b/>
                                <w:color w:val="000000" w:themeColor="text1"/>
                              </w:rPr>
                              <w:t>Please note</w:t>
                            </w:r>
                            <w:r>
                              <w:rPr>
                                <w:rFonts w:cs="Calibri"/>
                                <w:b/>
                                <w:color w:val="000000" w:themeColor="text1"/>
                              </w:rPr>
                              <w:t>:</w:t>
                            </w:r>
                          </w:p>
                          <w:p w14:paraId="3C449D59" w14:textId="77777777" w:rsidR="00B5055E" w:rsidRPr="004B0645" w:rsidRDefault="00B5055E" w:rsidP="00B5055E">
                            <w:pPr>
                              <w:rPr>
                                <w:color w:val="000000" w:themeColor="text1"/>
                              </w:rPr>
                            </w:pPr>
                            <w:r w:rsidRPr="004B0645">
                              <w:rPr>
                                <w:rFonts w:cs="Calibri"/>
                                <w:color w:val="000000" w:themeColor="text1"/>
                              </w:rPr>
                              <w:t>Each borough will have its own local protocols, which will outline the specific processes and procedures agreed upon with partners.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6036EC" id="_x0000_t202" coordsize="21600,21600" o:spt="202" path="m,l,21600r21600,l21600,xe">
                <v:stroke joinstyle="miter"/>
                <v:path gradientshapeok="t" o:connecttype="rect"/>
              </v:shapetype>
              <v:shape id="Text Box 2" o:spid="_x0000_s1037" type="#_x0000_t202" style="position:absolute;margin-left:-23.8pt;margin-top:70.7pt;width:518.1pt;height:48.75pt;z-index:25171457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" stroked="f">
                <v:textbox>
                  <w:txbxContent>
                    <w:p w14:paraId="6C34AFAE" w14:textId="77777777" w:rsidR="00B5055E" w:rsidRPr="004B0645" w:rsidRDefault="00B5055E" w:rsidP="00B5055E">
                      <w:pPr>
                        <w:rPr>
                          <w:rFonts w:cs="Calibri"/>
                          <w:b/>
                          <w:color w:val="000000" w:themeColor="text1"/>
                        </w:rPr>
                      </w:pPr>
                      <w:r w:rsidRPr="004B0645">
                        <w:rPr>
                          <w:rFonts w:cs="Calibri"/>
                          <w:b/>
                          <w:color w:val="000000" w:themeColor="text1"/>
                        </w:rPr>
                        <w:t>Please note</w:t>
                      </w:r>
                      <w:r>
                        <w:rPr>
                          <w:rFonts w:cs="Calibri"/>
                          <w:b/>
                          <w:color w:val="000000" w:themeColor="text1"/>
                        </w:rPr>
                        <w:t>:</w:t>
                      </w:r>
                    </w:p>
                    <w:p w14:paraId="3C449D59" w14:textId="77777777" w:rsidR="00B5055E" w:rsidRPr="004B0645" w:rsidRDefault="00B5055E" w:rsidP="00B5055E">
                      <w:pPr>
                        <w:rPr>
                          <w:color w:val="000000" w:themeColor="text1"/>
                        </w:rPr>
                      </w:pPr>
                      <w:r w:rsidRPr="004B0645">
                        <w:rPr>
                          <w:rFonts w:cs="Calibri"/>
                          <w:color w:val="000000" w:themeColor="text1"/>
                        </w:rPr>
                        <w:t>Each borough will have its own local protocols, which will outline the specific processes and procedures agreed upon with partners.</w:t>
                      </w:r>
                    </w:p>
                  </w:txbxContent>
                </v:textbox>
                <w10:wrap type="square"/>
              </v:shape>
            </w:pict>
          </mc:Fallback>
        </mc:AlternateContent>
      </w:r>
      <w:r w:rsidR="004044A5">
        <w:rPr>
          <w:rFonts w:asciiTheme="minorHAnsi" w:hAnsiTheme="minorHAnsi"/>
          <w:u w:val="single"/>
        </w:rPr>
        <w:br w:type="page"/>
      </w:r>
      <w:r w:rsidR="002B576F">
        <w:rPr>
          <w:rFonts w:cs="Calibri"/>
          <w:color w:val="1F497D"/>
        </w:rPr>
        <w:lastRenderedPageBreak/>
        <w:t xml:space="preserve"> </w:t>
      </w:r>
    </w:p>
    <w:p w14:paraId="203904C9" w14:textId="06170727" w:rsidR="000B6D29" w:rsidRDefault="000B6D29" w:rsidP="000B6D29">
      <w:pPr>
        <w:pStyle w:val="ListParagraph"/>
        <w:numPr>
          <w:ilvl w:val="0"/>
          <w:numId w:val="5"/>
        </w:numPr>
        <w:ind w:hanging="731"/>
        <w:jc w:val="both"/>
        <w:rPr>
          <w:b/>
          <w:u w:val="single"/>
        </w:rPr>
      </w:pPr>
      <w:r>
        <w:rPr>
          <w:b/>
          <w:u w:val="single"/>
        </w:rPr>
        <w:t>D</w:t>
      </w:r>
      <w:r w:rsidRPr="005579DA">
        <w:rPr>
          <w:b/>
          <w:u w:val="single"/>
        </w:rPr>
        <w:t>ischarge Plan</w:t>
      </w:r>
    </w:p>
    <w:p w14:paraId="467960DF" w14:textId="77777777" w:rsidR="000B6D29" w:rsidRPr="005579DA" w:rsidRDefault="000B6D29" w:rsidP="000B6D29">
      <w:pPr>
        <w:pStyle w:val="ListParagraph"/>
        <w:ind w:left="1440"/>
        <w:jc w:val="both"/>
        <w:rPr>
          <w:b/>
          <w:u w:val="single"/>
        </w:rPr>
      </w:pPr>
    </w:p>
    <w:p w14:paraId="39861A49" w14:textId="11158462" w:rsidR="000B6D29" w:rsidRPr="0078391A" w:rsidRDefault="000B6D29" w:rsidP="000B6D29">
      <w:pPr>
        <w:pStyle w:val="ListParagraph"/>
        <w:numPr>
          <w:ilvl w:val="1"/>
          <w:numId w:val="5"/>
        </w:numPr>
        <w:ind w:left="1418" w:hanging="709"/>
        <w:jc w:val="both"/>
        <w:rPr>
          <w:u w:val="single"/>
        </w:rPr>
      </w:pPr>
      <w:r>
        <w:t xml:space="preserve">Discharge planning should start on admission </w:t>
      </w:r>
      <w:r w:rsidR="000948AF">
        <w:t>with</w:t>
      </w:r>
      <w:r>
        <w:t xml:space="preserve"> the collection of information that will be required for effective discharge planning.  For example, current living arrangements, family and social networks, employment &amp; financial issues.</w:t>
      </w:r>
    </w:p>
    <w:p w14:paraId="68AB431A" w14:textId="77777777" w:rsidR="000B6D29" w:rsidRPr="002F5353" w:rsidRDefault="000B6D29" w:rsidP="000B6D29">
      <w:pPr>
        <w:pStyle w:val="ListParagraph"/>
        <w:ind w:left="1418"/>
        <w:jc w:val="both"/>
        <w:rPr>
          <w:u w:val="single"/>
        </w:rPr>
      </w:pPr>
    </w:p>
    <w:p w14:paraId="0D3A1B75" w14:textId="386BA81C" w:rsidR="000B6D29" w:rsidRPr="007C4E66" w:rsidRDefault="000B6D29" w:rsidP="000B6D29">
      <w:pPr>
        <w:pStyle w:val="ListParagraph"/>
        <w:numPr>
          <w:ilvl w:val="1"/>
          <w:numId w:val="5"/>
        </w:numPr>
        <w:ind w:left="1418" w:hanging="709"/>
        <w:jc w:val="both"/>
        <w:rPr>
          <w:u w:val="single"/>
        </w:rPr>
      </w:pPr>
      <w:r>
        <w:t xml:space="preserve">Appropriate help and support will be given to the service users to facilitate safe and effective discharge from </w:t>
      </w:r>
      <w:r w:rsidR="000948AF">
        <w:t xml:space="preserve">an </w:t>
      </w:r>
      <w:r>
        <w:t>inpatient setting.</w:t>
      </w:r>
    </w:p>
    <w:p w14:paraId="16F1B023" w14:textId="77777777" w:rsidR="007C4E66" w:rsidRPr="007C4E66" w:rsidRDefault="007C4E66" w:rsidP="007C4E66">
      <w:pPr>
        <w:pStyle w:val="ListParagraph"/>
        <w:rPr>
          <w:u w:val="single"/>
        </w:rPr>
      </w:pPr>
    </w:p>
    <w:p w14:paraId="151D0FBE" w14:textId="7DF4F0E2" w:rsidR="007C4E66" w:rsidRPr="007C4E66" w:rsidRDefault="007C4E66" w:rsidP="000B6D29">
      <w:pPr>
        <w:pStyle w:val="ListParagraph"/>
        <w:numPr>
          <w:ilvl w:val="1"/>
          <w:numId w:val="5"/>
        </w:numPr>
        <w:ind w:left="1418" w:hanging="709"/>
        <w:jc w:val="both"/>
      </w:pPr>
      <w:r w:rsidRPr="007C4E66">
        <w:t>To enhance their discharge and transfer processes and practices, health and social care practitioners working in acute and community hospitals and intermediate care services are encouraged to refer to the Discharge Planning guide 10 steps (</w:t>
      </w:r>
      <w:r w:rsidRPr="007C4E66">
        <w:rPr>
          <w:b/>
        </w:rPr>
        <w:t>Appendix 2</w:t>
      </w:r>
      <w:r w:rsidRPr="007C4E66">
        <w:t>) provided. This guide contains essential information for health and social care organizations, highlighting key messages to equip practitioners with the necessary tools to achieve good practice.</w:t>
      </w:r>
    </w:p>
    <w:p w14:paraId="093C1746" w14:textId="77777777" w:rsidR="000B6D29" w:rsidRPr="0078391A" w:rsidRDefault="000B6D29" w:rsidP="000B6D29">
      <w:pPr>
        <w:pStyle w:val="ListParagraph"/>
        <w:ind w:left="1418"/>
        <w:jc w:val="both"/>
        <w:rPr>
          <w:u w:val="single"/>
        </w:rPr>
      </w:pPr>
    </w:p>
    <w:p w14:paraId="61557BA5" w14:textId="77777777" w:rsidR="000B6D29" w:rsidRDefault="000B6D29" w:rsidP="000B6D29">
      <w:pPr>
        <w:pStyle w:val="ListParagraph"/>
        <w:numPr>
          <w:ilvl w:val="0"/>
          <w:numId w:val="5"/>
        </w:numPr>
        <w:ind w:hanging="731"/>
        <w:jc w:val="both"/>
        <w:rPr>
          <w:b/>
          <w:u w:val="single"/>
        </w:rPr>
      </w:pPr>
      <w:r>
        <w:rPr>
          <w:b/>
          <w:u w:val="single"/>
        </w:rPr>
        <w:t>Attributing Reasons for Delays</w:t>
      </w:r>
    </w:p>
    <w:p w14:paraId="27755105" w14:textId="77777777" w:rsidR="000B6D29" w:rsidRDefault="000B6D29" w:rsidP="000B6D29">
      <w:pPr>
        <w:pStyle w:val="ListParagraph"/>
        <w:ind w:left="1440"/>
        <w:jc w:val="both"/>
        <w:rPr>
          <w:b/>
          <w:u w:val="single"/>
        </w:rPr>
      </w:pPr>
    </w:p>
    <w:p w14:paraId="77DAD397" w14:textId="2332F0E1" w:rsidR="000B6D29" w:rsidRPr="00BE72FE" w:rsidRDefault="000B6D29" w:rsidP="00BE72FE">
      <w:pPr>
        <w:pStyle w:val="ListParagraph"/>
        <w:numPr>
          <w:ilvl w:val="1"/>
          <w:numId w:val="5"/>
        </w:numPr>
        <w:ind w:left="1418" w:hanging="709"/>
        <w:jc w:val="both"/>
        <w:rPr>
          <w:rFonts w:asciiTheme="minorHAnsi" w:hAnsiTheme="minorHAnsi"/>
          <w:u w:val="single"/>
        </w:rPr>
      </w:pPr>
      <w:r w:rsidRPr="001C1074">
        <w:rPr>
          <w:rFonts w:asciiTheme="minorHAnsi" w:eastAsia="Times New Roman" w:hAnsiTheme="minorHAnsi" w:cs="Arial"/>
          <w:lang w:eastAsia="en-GB"/>
        </w:rPr>
        <w:t xml:space="preserve">Both the number of </w:t>
      </w:r>
      <w:r w:rsidR="00514826">
        <w:t>service user</w:t>
      </w:r>
      <w:r w:rsidRPr="001C1074">
        <w:rPr>
          <w:rFonts w:asciiTheme="minorHAnsi" w:eastAsia="Times New Roman" w:hAnsiTheme="minorHAnsi" w:cs="Arial"/>
          <w:lang w:eastAsia="en-GB"/>
        </w:rPr>
        <w:t xml:space="preserve">s whose transfer of care is delayed and the number of days delayed within the month are subdivided by the reasons for </w:t>
      </w:r>
      <w:r w:rsidR="000948AF">
        <w:rPr>
          <w:rFonts w:asciiTheme="minorHAnsi" w:eastAsia="Times New Roman" w:hAnsiTheme="minorHAnsi" w:cs="Arial"/>
          <w:lang w:eastAsia="en-GB"/>
        </w:rPr>
        <w:t xml:space="preserve">the </w:t>
      </w:r>
      <w:r w:rsidRPr="001C1074">
        <w:rPr>
          <w:rFonts w:asciiTheme="minorHAnsi" w:eastAsia="Times New Roman" w:hAnsiTheme="minorHAnsi" w:cs="Arial"/>
          <w:lang w:eastAsia="en-GB"/>
        </w:rPr>
        <w:t xml:space="preserve">delay. A </w:t>
      </w:r>
      <w:r w:rsidR="00514826">
        <w:t>service user</w:t>
      </w:r>
      <w:r w:rsidRPr="001C1074">
        <w:rPr>
          <w:rFonts w:asciiTheme="minorHAnsi" w:eastAsia="Times New Roman" w:hAnsiTheme="minorHAnsi" w:cs="Arial"/>
          <w:lang w:eastAsia="en-GB"/>
        </w:rPr>
        <w:t xml:space="preserve"> should only be counted in one category of delay. This category should be the one most appropriately describing their reason for </w:t>
      </w:r>
      <w:r w:rsidR="000948AF">
        <w:rPr>
          <w:rFonts w:asciiTheme="minorHAnsi" w:eastAsia="Times New Roman" w:hAnsiTheme="minorHAnsi" w:cs="Arial"/>
          <w:lang w:eastAsia="en-GB"/>
        </w:rPr>
        <w:t xml:space="preserve">the </w:t>
      </w:r>
      <w:r w:rsidRPr="001C1074">
        <w:rPr>
          <w:rFonts w:asciiTheme="minorHAnsi" w:eastAsia="Times New Roman" w:hAnsiTheme="minorHAnsi" w:cs="Arial"/>
          <w:lang w:eastAsia="en-GB"/>
        </w:rPr>
        <w:t>delay</w:t>
      </w:r>
      <w:r>
        <w:rPr>
          <w:rFonts w:asciiTheme="minorHAnsi" w:eastAsia="Times New Roman" w:hAnsiTheme="minorHAnsi" w:cs="Arial"/>
          <w:lang w:eastAsia="en-GB"/>
        </w:rPr>
        <w:t xml:space="preserve"> as summarised below</w:t>
      </w:r>
      <w:r w:rsidRPr="001C1074">
        <w:rPr>
          <w:rFonts w:asciiTheme="minorHAnsi" w:eastAsia="Times New Roman" w:hAnsiTheme="minorHAnsi" w:cs="Arial"/>
          <w:lang w:eastAsia="en-GB"/>
        </w:rPr>
        <w:t>.</w:t>
      </w:r>
    </w:p>
    <w:p w14:paraId="5410F276" w14:textId="163B8D2E" w:rsidR="000B6D29" w:rsidRDefault="000B6D29" w:rsidP="00892311">
      <w:pPr>
        <w:pStyle w:val="ListParagraph"/>
        <w:ind w:left="1440" w:hanging="731"/>
        <w:jc w:val="both"/>
        <w:rPr>
          <w:rFonts w:asciiTheme="minorHAnsi" w:hAnsiTheme="minorHAnsi"/>
          <w:b/>
          <w:u w:val="single"/>
        </w:rPr>
      </w:pPr>
    </w:p>
    <w:p w14:paraId="0813CDA5" w14:textId="71CB4F71" w:rsidR="0035768C" w:rsidRPr="00690EA5" w:rsidRDefault="00892311" w:rsidP="00BE72FE">
      <w:pPr>
        <w:pStyle w:val="ListParagraph"/>
        <w:ind w:left="1440" w:hanging="731"/>
        <w:jc w:val="both"/>
        <w:rPr>
          <w:lang w:eastAsia="en-GB"/>
        </w:rPr>
      </w:pPr>
      <w:r w:rsidRPr="00892311">
        <w:rPr>
          <w:rFonts w:asciiTheme="minorHAnsi" w:hAnsiTheme="minorHAnsi"/>
          <w:b/>
          <w:u w:val="single"/>
        </w:rPr>
        <w:t>Table 1: Reasons for delay and attribution</w:t>
      </w:r>
    </w:p>
    <w:tbl>
      <w:tblPr>
        <w:tblW w:w="5000" w:type="pct"/>
        <w:tblLook w:val="0600" w:firstRow="0" w:lastRow="0" w:firstColumn="0" w:lastColumn="0" w:noHBand="1" w:noVBand="1"/>
      </w:tblPr>
      <w:tblGrid>
        <w:gridCol w:w="3249"/>
        <w:gridCol w:w="1356"/>
        <w:gridCol w:w="1295"/>
        <w:gridCol w:w="1360"/>
        <w:gridCol w:w="1756"/>
      </w:tblGrid>
      <w:tr w:rsidR="0035768C" w:rsidRPr="0035768C" w14:paraId="19213BAD" w14:textId="77777777" w:rsidTr="00A31241">
        <w:trPr>
          <w:trHeight w:val="290"/>
          <w:tblHeader/>
        </w:trPr>
        <w:tc>
          <w:tcPr>
            <w:tcW w:w="1808" w:type="pct"/>
            <w:tcBorders>
              <w:top w:val="single" w:sz="4" w:space="0" w:color="000000"/>
              <w:left w:val="single" w:sz="4" w:space="0" w:color="000000"/>
              <w:bottom w:val="single" w:sz="4" w:space="0" w:color="000000"/>
              <w:right w:val="single" w:sz="4" w:space="0" w:color="000000"/>
            </w:tcBorders>
            <w:shd w:val="clear" w:color="000000" w:fill="005EB8"/>
            <w:vAlign w:val="center"/>
            <w:hideMark/>
          </w:tcPr>
          <w:p w14:paraId="7AC4F028" w14:textId="77777777" w:rsidR="0035768C" w:rsidRPr="0035768C" w:rsidRDefault="0035768C" w:rsidP="0035768C">
            <w:pPr>
              <w:spacing w:after="0" w:line="240" w:lineRule="auto"/>
              <w:rPr>
                <w:rFonts w:eastAsia="Times New Roman" w:cs="Calibri"/>
                <w:b/>
                <w:bCs/>
                <w:color w:val="F9FBFB"/>
                <w:sz w:val="18"/>
                <w:szCs w:val="18"/>
                <w:lang w:eastAsia="en-GB"/>
              </w:rPr>
            </w:pPr>
            <w:r w:rsidRPr="0035768C">
              <w:rPr>
                <w:rFonts w:eastAsia="Times New Roman" w:cs="Calibri"/>
                <w:b/>
                <w:bCs/>
                <w:color w:val="F9FBFB"/>
                <w:sz w:val="18"/>
                <w:szCs w:val="18"/>
                <w:lang w:eastAsia="en-GB"/>
              </w:rPr>
              <w:t>Category Description</w:t>
            </w:r>
          </w:p>
        </w:tc>
        <w:tc>
          <w:tcPr>
            <w:tcW w:w="3192" w:type="pct"/>
            <w:gridSpan w:val="4"/>
            <w:tcBorders>
              <w:top w:val="single" w:sz="4" w:space="0" w:color="000000"/>
              <w:left w:val="nil"/>
              <w:bottom w:val="single" w:sz="4" w:space="0" w:color="000000"/>
              <w:right w:val="single" w:sz="4" w:space="0" w:color="000000"/>
            </w:tcBorders>
            <w:shd w:val="clear" w:color="000000" w:fill="005EB8"/>
            <w:vAlign w:val="center"/>
            <w:hideMark/>
          </w:tcPr>
          <w:p w14:paraId="703E17BA" w14:textId="77777777" w:rsidR="0035768C" w:rsidRPr="0035768C" w:rsidRDefault="0035768C" w:rsidP="0035768C">
            <w:pPr>
              <w:spacing w:after="0" w:line="240" w:lineRule="auto"/>
              <w:rPr>
                <w:rFonts w:eastAsia="Times New Roman" w:cs="Calibri"/>
                <w:b/>
                <w:bCs/>
                <w:color w:val="F9FBFB"/>
                <w:sz w:val="18"/>
                <w:szCs w:val="18"/>
                <w:lang w:eastAsia="en-GB"/>
              </w:rPr>
            </w:pPr>
            <w:r w:rsidRPr="0035768C">
              <w:rPr>
                <w:rFonts w:eastAsia="Times New Roman" w:cs="Calibri"/>
                <w:b/>
                <w:bCs/>
                <w:color w:val="F9FBFB"/>
                <w:sz w:val="18"/>
                <w:szCs w:val="18"/>
                <w:lang w:eastAsia="en-GB"/>
              </w:rPr>
              <w:t>Attributable to:</w:t>
            </w:r>
          </w:p>
        </w:tc>
      </w:tr>
      <w:tr w:rsidR="0035768C" w:rsidRPr="0035768C" w14:paraId="6C56543B" w14:textId="77777777" w:rsidTr="00A31241">
        <w:trPr>
          <w:trHeight w:val="720"/>
          <w:tblHeader/>
        </w:trPr>
        <w:tc>
          <w:tcPr>
            <w:tcW w:w="1808" w:type="pct"/>
            <w:tcBorders>
              <w:top w:val="nil"/>
              <w:left w:val="single" w:sz="4" w:space="0" w:color="000000"/>
              <w:bottom w:val="single" w:sz="4" w:space="0" w:color="000000"/>
              <w:right w:val="single" w:sz="4" w:space="0" w:color="000000"/>
            </w:tcBorders>
            <w:shd w:val="clear" w:color="000000" w:fill="005EB8"/>
            <w:vAlign w:val="center"/>
            <w:hideMark/>
          </w:tcPr>
          <w:p w14:paraId="2AFB0E20" w14:textId="77777777" w:rsidR="0035768C" w:rsidRPr="0035768C" w:rsidRDefault="0035768C" w:rsidP="0035768C">
            <w:pPr>
              <w:spacing w:after="0" w:line="240" w:lineRule="auto"/>
              <w:rPr>
                <w:rFonts w:eastAsia="Times New Roman" w:cs="Calibri"/>
                <w:b/>
                <w:bCs/>
                <w:color w:val="F9FBFB"/>
                <w:sz w:val="18"/>
                <w:szCs w:val="18"/>
                <w:lang w:eastAsia="en-GB"/>
              </w:rPr>
            </w:pPr>
            <w:r w:rsidRPr="0035768C">
              <w:rPr>
                <w:rFonts w:eastAsia="Times New Roman" w:cs="Calibri"/>
                <w:b/>
                <w:bCs/>
                <w:color w:val="F9FBFB"/>
                <w:sz w:val="18"/>
                <w:szCs w:val="18"/>
                <w:lang w:eastAsia="en-GB"/>
              </w:rPr>
              <w:t> </w:t>
            </w:r>
          </w:p>
        </w:tc>
        <w:tc>
          <w:tcPr>
            <w:tcW w:w="758" w:type="pct"/>
            <w:tcBorders>
              <w:top w:val="nil"/>
              <w:left w:val="nil"/>
              <w:bottom w:val="single" w:sz="4" w:space="0" w:color="000000"/>
              <w:right w:val="single" w:sz="4" w:space="0" w:color="000000"/>
            </w:tcBorders>
            <w:shd w:val="clear" w:color="000000" w:fill="005EB8"/>
            <w:vAlign w:val="center"/>
            <w:hideMark/>
          </w:tcPr>
          <w:p w14:paraId="7C59B6E4" w14:textId="77777777" w:rsidR="0035768C" w:rsidRPr="0035768C" w:rsidRDefault="0035768C" w:rsidP="0035768C">
            <w:pPr>
              <w:spacing w:after="0" w:line="240" w:lineRule="auto"/>
              <w:rPr>
                <w:rFonts w:eastAsia="Times New Roman" w:cs="Calibri"/>
                <w:b/>
                <w:bCs/>
                <w:color w:val="F9FBFB"/>
                <w:sz w:val="18"/>
                <w:szCs w:val="18"/>
                <w:lang w:eastAsia="en-GB"/>
              </w:rPr>
            </w:pPr>
            <w:r w:rsidRPr="0035768C">
              <w:rPr>
                <w:rFonts w:eastAsia="Times New Roman" w:cs="Calibri"/>
                <w:b/>
                <w:bCs/>
                <w:color w:val="F9FBFB"/>
                <w:sz w:val="18"/>
                <w:szCs w:val="18"/>
                <w:lang w:eastAsia="en-GB"/>
              </w:rPr>
              <w:t>NHS, excluding housing</w:t>
            </w:r>
          </w:p>
        </w:tc>
        <w:tc>
          <w:tcPr>
            <w:tcW w:w="724" w:type="pct"/>
            <w:tcBorders>
              <w:top w:val="nil"/>
              <w:left w:val="nil"/>
              <w:bottom w:val="single" w:sz="4" w:space="0" w:color="000000"/>
              <w:right w:val="single" w:sz="4" w:space="0" w:color="000000"/>
            </w:tcBorders>
            <w:shd w:val="clear" w:color="000000" w:fill="005EB8"/>
            <w:vAlign w:val="center"/>
            <w:hideMark/>
          </w:tcPr>
          <w:p w14:paraId="18CA3DCB" w14:textId="77777777" w:rsidR="0035768C" w:rsidRPr="0035768C" w:rsidRDefault="0035768C" w:rsidP="0035768C">
            <w:pPr>
              <w:spacing w:after="0" w:line="240" w:lineRule="auto"/>
              <w:rPr>
                <w:rFonts w:eastAsia="Times New Roman" w:cs="Calibri"/>
                <w:b/>
                <w:bCs/>
                <w:color w:val="F9FBFB"/>
                <w:sz w:val="18"/>
                <w:szCs w:val="18"/>
                <w:lang w:eastAsia="en-GB"/>
              </w:rPr>
            </w:pPr>
            <w:r w:rsidRPr="0035768C">
              <w:rPr>
                <w:rFonts w:eastAsia="Times New Roman" w:cs="Calibri"/>
                <w:b/>
                <w:bCs/>
                <w:color w:val="F9FBFB"/>
                <w:sz w:val="18"/>
                <w:szCs w:val="18"/>
                <w:lang w:eastAsia="en-GB"/>
              </w:rPr>
              <w:t>Social Care, excluding housing</w:t>
            </w:r>
          </w:p>
        </w:tc>
        <w:tc>
          <w:tcPr>
            <w:tcW w:w="760" w:type="pct"/>
            <w:tcBorders>
              <w:top w:val="nil"/>
              <w:left w:val="nil"/>
              <w:bottom w:val="single" w:sz="4" w:space="0" w:color="000000"/>
              <w:right w:val="single" w:sz="4" w:space="0" w:color="000000"/>
            </w:tcBorders>
            <w:shd w:val="clear" w:color="000000" w:fill="005EB8"/>
            <w:vAlign w:val="center"/>
            <w:hideMark/>
          </w:tcPr>
          <w:p w14:paraId="21B15D0E" w14:textId="77777777" w:rsidR="0035768C" w:rsidRPr="0035768C" w:rsidRDefault="0035768C" w:rsidP="0035768C">
            <w:pPr>
              <w:spacing w:after="0" w:line="240" w:lineRule="auto"/>
              <w:rPr>
                <w:rFonts w:eastAsia="Times New Roman" w:cs="Calibri"/>
                <w:b/>
                <w:bCs/>
                <w:color w:val="F9FBFB"/>
                <w:sz w:val="18"/>
                <w:szCs w:val="18"/>
                <w:lang w:eastAsia="en-GB"/>
              </w:rPr>
            </w:pPr>
            <w:r w:rsidRPr="0035768C">
              <w:rPr>
                <w:rFonts w:eastAsia="Times New Roman" w:cs="Calibri"/>
                <w:b/>
                <w:bCs/>
                <w:color w:val="F9FBFB"/>
                <w:sz w:val="18"/>
                <w:szCs w:val="18"/>
                <w:lang w:eastAsia="en-GB"/>
              </w:rPr>
              <w:t>Both (NHS &amp; Social Care), excluding housing</w:t>
            </w:r>
          </w:p>
        </w:tc>
        <w:tc>
          <w:tcPr>
            <w:tcW w:w="951" w:type="pct"/>
            <w:tcBorders>
              <w:top w:val="nil"/>
              <w:left w:val="nil"/>
              <w:bottom w:val="single" w:sz="4" w:space="0" w:color="000000"/>
              <w:right w:val="single" w:sz="4" w:space="0" w:color="000000"/>
            </w:tcBorders>
            <w:shd w:val="clear" w:color="000000" w:fill="005EB8"/>
            <w:vAlign w:val="center"/>
            <w:hideMark/>
          </w:tcPr>
          <w:p w14:paraId="2C4BA06E" w14:textId="77777777" w:rsidR="0035768C" w:rsidRPr="0035768C" w:rsidRDefault="0035768C" w:rsidP="0035768C">
            <w:pPr>
              <w:spacing w:after="0" w:line="240" w:lineRule="auto"/>
              <w:rPr>
                <w:rFonts w:eastAsia="Times New Roman" w:cs="Calibri"/>
                <w:b/>
                <w:bCs/>
                <w:color w:val="F9FBFB"/>
                <w:sz w:val="18"/>
                <w:szCs w:val="18"/>
                <w:lang w:eastAsia="en-GB"/>
              </w:rPr>
            </w:pPr>
            <w:r w:rsidRPr="0035768C">
              <w:rPr>
                <w:rFonts w:eastAsia="Times New Roman" w:cs="Calibri"/>
                <w:b/>
                <w:bCs/>
                <w:color w:val="F9FBFB"/>
                <w:sz w:val="18"/>
                <w:szCs w:val="18"/>
                <w:lang w:eastAsia="en-GB"/>
              </w:rPr>
              <w:t>Housing (inc. supported/specialist housing)</w:t>
            </w:r>
          </w:p>
        </w:tc>
      </w:tr>
      <w:tr w:rsidR="0035768C" w:rsidRPr="0035768C" w14:paraId="387062C1" w14:textId="77777777" w:rsidTr="00BE72FE">
        <w:trPr>
          <w:trHeight w:val="290"/>
        </w:trPr>
        <w:tc>
          <w:tcPr>
            <w:tcW w:w="1808" w:type="pct"/>
            <w:tcBorders>
              <w:top w:val="nil"/>
              <w:left w:val="single" w:sz="4" w:space="0" w:color="000000"/>
              <w:bottom w:val="single" w:sz="4" w:space="0" w:color="000000"/>
              <w:right w:val="single" w:sz="4" w:space="0" w:color="000000"/>
            </w:tcBorders>
            <w:shd w:val="clear" w:color="auto" w:fill="auto"/>
            <w:vAlign w:val="center"/>
            <w:hideMark/>
          </w:tcPr>
          <w:p w14:paraId="46EA4515" w14:textId="77777777" w:rsidR="0035768C" w:rsidRPr="0035768C" w:rsidRDefault="0035768C" w:rsidP="0035768C">
            <w:pPr>
              <w:spacing w:after="0" w:line="240" w:lineRule="auto"/>
              <w:rPr>
                <w:rFonts w:eastAsia="Times New Roman" w:cs="Calibri"/>
                <w:b/>
                <w:bCs/>
                <w:color w:val="000000"/>
                <w:sz w:val="18"/>
                <w:szCs w:val="18"/>
                <w:lang w:eastAsia="en-GB"/>
              </w:rPr>
            </w:pPr>
            <w:r w:rsidRPr="0035768C">
              <w:rPr>
                <w:rFonts w:eastAsia="Times New Roman" w:cs="Calibri"/>
                <w:b/>
                <w:bCs/>
                <w:color w:val="000000"/>
                <w:sz w:val="18"/>
                <w:szCs w:val="18"/>
                <w:lang w:eastAsia="en-GB"/>
              </w:rPr>
              <w:t>A2</w:t>
            </w:r>
            <w:r w:rsidRPr="0035768C">
              <w:rPr>
                <w:rFonts w:eastAsia="Times New Roman" w:cs="Calibri"/>
                <w:color w:val="000000"/>
                <w:sz w:val="18"/>
                <w:szCs w:val="18"/>
                <w:lang w:eastAsia="en-GB"/>
              </w:rPr>
              <w:t>: Awaiting Care coordinator allocation</w:t>
            </w:r>
          </w:p>
        </w:tc>
        <w:tc>
          <w:tcPr>
            <w:tcW w:w="758" w:type="pct"/>
            <w:tcBorders>
              <w:top w:val="nil"/>
              <w:left w:val="nil"/>
              <w:bottom w:val="single" w:sz="4" w:space="0" w:color="000000"/>
              <w:right w:val="single" w:sz="4" w:space="0" w:color="000000"/>
            </w:tcBorders>
            <w:shd w:val="clear" w:color="auto" w:fill="auto"/>
            <w:vAlign w:val="center"/>
            <w:hideMark/>
          </w:tcPr>
          <w:p w14:paraId="246914F7" w14:textId="77777777" w:rsidR="0035768C" w:rsidRPr="0035768C" w:rsidRDefault="0035768C" w:rsidP="0035768C">
            <w:pPr>
              <w:spacing w:after="0" w:line="240" w:lineRule="auto"/>
              <w:jc w:val="center"/>
              <w:rPr>
                <w:rFonts w:ascii="Wingdings" w:eastAsia="Times New Roman" w:hAnsi="Wingdings" w:cs="Calibri"/>
                <w:color w:val="00172F"/>
                <w:sz w:val="18"/>
                <w:szCs w:val="18"/>
                <w:lang w:eastAsia="en-GB"/>
              </w:rPr>
            </w:pPr>
            <w:r w:rsidRPr="0035768C">
              <w:rPr>
                <w:rFonts w:ascii="Wingdings" w:eastAsia="Times New Roman" w:hAnsi="Wingdings" w:cs="Calibri"/>
                <w:color w:val="00172F"/>
                <w:sz w:val="18"/>
                <w:szCs w:val="18"/>
                <w:lang w:eastAsia="en-GB"/>
              </w:rPr>
              <w:t></w:t>
            </w:r>
          </w:p>
        </w:tc>
        <w:tc>
          <w:tcPr>
            <w:tcW w:w="724" w:type="pct"/>
            <w:tcBorders>
              <w:top w:val="nil"/>
              <w:left w:val="nil"/>
              <w:bottom w:val="single" w:sz="4" w:space="0" w:color="000000"/>
              <w:right w:val="single" w:sz="4" w:space="0" w:color="000000"/>
            </w:tcBorders>
            <w:shd w:val="clear" w:color="auto" w:fill="auto"/>
            <w:vAlign w:val="center"/>
            <w:hideMark/>
          </w:tcPr>
          <w:p w14:paraId="6E561581" w14:textId="77777777" w:rsidR="0035768C" w:rsidRPr="0035768C" w:rsidRDefault="0035768C" w:rsidP="0035768C">
            <w:pPr>
              <w:spacing w:after="0" w:line="240" w:lineRule="auto"/>
              <w:jc w:val="center"/>
              <w:rPr>
                <w:rFonts w:ascii="Wingdings" w:eastAsia="Times New Roman" w:hAnsi="Wingdings" w:cs="Calibri"/>
                <w:color w:val="00172F"/>
                <w:sz w:val="18"/>
                <w:szCs w:val="18"/>
                <w:lang w:eastAsia="en-GB"/>
              </w:rPr>
            </w:pPr>
            <w:r w:rsidRPr="0035768C">
              <w:rPr>
                <w:rFonts w:ascii="Wingdings" w:eastAsia="Times New Roman" w:hAnsi="Wingdings" w:cs="Calibri"/>
                <w:color w:val="00172F"/>
                <w:sz w:val="18"/>
                <w:szCs w:val="18"/>
                <w:lang w:eastAsia="en-GB"/>
              </w:rPr>
              <w:t></w:t>
            </w:r>
          </w:p>
        </w:tc>
        <w:tc>
          <w:tcPr>
            <w:tcW w:w="760" w:type="pct"/>
            <w:tcBorders>
              <w:top w:val="nil"/>
              <w:left w:val="nil"/>
              <w:bottom w:val="single" w:sz="4" w:space="0" w:color="000000"/>
              <w:right w:val="single" w:sz="4" w:space="0" w:color="000000"/>
            </w:tcBorders>
            <w:shd w:val="clear" w:color="auto" w:fill="auto"/>
            <w:vAlign w:val="center"/>
            <w:hideMark/>
          </w:tcPr>
          <w:p w14:paraId="7783E488" w14:textId="77777777" w:rsidR="0035768C" w:rsidRPr="0035768C" w:rsidRDefault="0035768C" w:rsidP="0035768C">
            <w:pPr>
              <w:spacing w:after="0" w:line="240" w:lineRule="auto"/>
              <w:jc w:val="center"/>
              <w:rPr>
                <w:rFonts w:ascii="Wingdings" w:eastAsia="Times New Roman" w:hAnsi="Wingdings" w:cs="Calibri"/>
                <w:color w:val="00172F"/>
                <w:sz w:val="18"/>
                <w:szCs w:val="18"/>
                <w:lang w:eastAsia="en-GB"/>
              </w:rPr>
            </w:pPr>
            <w:r w:rsidRPr="0035768C">
              <w:rPr>
                <w:rFonts w:ascii="Wingdings" w:eastAsia="Times New Roman" w:hAnsi="Wingdings" w:cs="Calibri"/>
                <w:color w:val="00172F"/>
                <w:sz w:val="18"/>
                <w:szCs w:val="18"/>
                <w:lang w:eastAsia="en-GB"/>
              </w:rPr>
              <w:t></w:t>
            </w:r>
          </w:p>
        </w:tc>
        <w:tc>
          <w:tcPr>
            <w:tcW w:w="951" w:type="pct"/>
            <w:tcBorders>
              <w:top w:val="nil"/>
              <w:left w:val="nil"/>
              <w:bottom w:val="single" w:sz="4" w:space="0" w:color="000000"/>
              <w:right w:val="single" w:sz="4" w:space="0" w:color="000000"/>
            </w:tcBorders>
            <w:shd w:val="clear" w:color="auto" w:fill="auto"/>
            <w:vAlign w:val="center"/>
            <w:hideMark/>
          </w:tcPr>
          <w:p w14:paraId="19E31A30" w14:textId="77777777" w:rsidR="0035768C" w:rsidRPr="0035768C" w:rsidRDefault="0035768C" w:rsidP="0035768C">
            <w:pPr>
              <w:spacing w:after="0" w:line="240" w:lineRule="auto"/>
              <w:jc w:val="center"/>
              <w:rPr>
                <w:rFonts w:ascii="Wingdings" w:eastAsia="Times New Roman" w:hAnsi="Wingdings" w:cs="Calibri"/>
                <w:color w:val="00172F"/>
                <w:sz w:val="18"/>
                <w:szCs w:val="18"/>
                <w:lang w:eastAsia="en-GB"/>
              </w:rPr>
            </w:pPr>
            <w:r w:rsidRPr="0035768C">
              <w:rPr>
                <w:rFonts w:ascii="Wingdings" w:eastAsia="Times New Roman" w:hAnsi="Wingdings" w:cs="Calibri"/>
                <w:color w:val="00172F"/>
                <w:sz w:val="18"/>
                <w:szCs w:val="18"/>
                <w:lang w:eastAsia="en-GB"/>
              </w:rPr>
              <w:t></w:t>
            </w:r>
          </w:p>
        </w:tc>
      </w:tr>
      <w:tr w:rsidR="0035768C" w:rsidRPr="0035768C" w14:paraId="0BCA3D81" w14:textId="77777777" w:rsidTr="00BE72FE">
        <w:trPr>
          <w:trHeight w:val="290"/>
        </w:trPr>
        <w:tc>
          <w:tcPr>
            <w:tcW w:w="1808" w:type="pct"/>
            <w:tcBorders>
              <w:top w:val="nil"/>
              <w:left w:val="single" w:sz="4" w:space="0" w:color="000000"/>
              <w:bottom w:val="single" w:sz="4" w:space="0" w:color="000000"/>
              <w:right w:val="single" w:sz="4" w:space="0" w:color="000000"/>
            </w:tcBorders>
            <w:shd w:val="clear" w:color="auto" w:fill="auto"/>
            <w:vAlign w:val="center"/>
            <w:hideMark/>
          </w:tcPr>
          <w:p w14:paraId="4A894C3F" w14:textId="77777777" w:rsidR="0035768C" w:rsidRPr="0035768C" w:rsidRDefault="0035768C" w:rsidP="0035768C">
            <w:pPr>
              <w:spacing w:after="0" w:line="240" w:lineRule="auto"/>
              <w:rPr>
                <w:rFonts w:eastAsia="Times New Roman" w:cs="Calibri"/>
                <w:b/>
                <w:bCs/>
                <w:color w:val="000000"/>
                <w:sz w:val="18"/>
                <w:szCs w:val="18"/>
                <w:lang w:eastAsia="en-GB"/>
              </w:rPr>
            </w:pPr>
            <w:r w:rsidRPr="0035768C">
              <w:rPr>
                <w:rFonts w:eastAsia="Times New Roman" w:cs="Calibri"/>
                <w:b/>
                <w:bCs/>
                <w:color w:val="000000"/>
                <w:sz w:val="18"/>
                <w:szCs w:val="18"/>
                <w:lang w:eastAsia="en-GB"/>
              </w:rPr>
              <w:t>B1</w:t>
            </w:r>
            <w:r w:rsidRPr="0035768C">
              <w:rPr>
                <w:rFonts w:eastAsia="Times New Roman" w:cs="Calibri"/>
                <w:color w:val="000000"/>
                <w:sz w:val="18"/>
                <w:szCs w:val="18"/>
                <w:lang w:eastAsia="en-GB"/>
              </w:rPr>
              <w:t>: Awaiting public funding</w:t>
            </w:r>
          </w:p>
        </w:tc>
        <w:tc>
          <w:tcPr>
            <w:tcW w:w="758" w:type="pct"/>
            <w:tcBorders>
              <w:top w:val="nil"/>
              <w:left w:val="nil"/>
              <w:bottom w:val="single" w:sz="4" w:space="0" w:color="000000"/>
              <w:right w:val="single" w:sz="4" w:space="0" w:color="000000"/>
            </w:tcBorders>
            <w:shd w:val="clear" w:color="auto" w:fill="auto"/>
            <w:vAlign w:val="center"/>
            <w:hideMark/>
          </w:tcPr>
          <w:p w14:paraId="103EE754"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24" w:type="pct"/>
            <w:tcBorders>
              <w:top w:val="nil"/>
              <w:left w:val="nil"/>
              <w:bottom w:val="single" w:sz="4" w:space="0" w:color="000000"/>
              <w:right w:val="single" w:sz="4" w:space="0" w:color="000000"/>
            </w:tcBorders>
            <w:shd w:val="clear" w:color="auto" w:fill="auto"/>
            <w:vAlign w:val="center"/>
            <w:hideMark/>
          </w:tcPr>
          <w:p w14:paraId="583D3E35"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60" w:type="pct"/>
            <w:tcBorders>
              <w:top w:val="nil"/>
              <w:left w:val="nil"/>
              <w:bottom w:val="single" w:sz="4" w:space="0" w:color="000000"/>
              <w:right w:val="single" w:sz="4" w:space="0" w:color="000000"/>
            </w:tcBorders>
            <w:shd w:val="clear" w:color="auto" w:fill="auto"/>
            <w:vAlign w:val="center"/>
            <w:hideMark/>
          </w:tcPr>
          <w:p w14:paraId="4088560A"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951" w:type="pct"/>
            <w:tcBorders>
              <w:top w:val="nil"/>
              <w:left w:val="nil"/>
              <w:bottom w:val="single" w:sz="4" w:space="0" w:color="000000"/>
              <w:right w:val="single" w:sz="4" w:space="0" w:color="000000"/>
            </w:tcBorders>
            <w:shd w:val="clear" w:color="auto" w:fill="auto"/>
            <w:vAlign w:val="center"/>
            <w:hideMark/>
          </w:tcPr>
          <w:p w14:paraId="49598EDB"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r>
      <w:tr w:rsidR="0035768C" w:rsidRPr="0035768C" w14:paraId="697D432C" w14:textId="77777777" w:rsidTr="00BE72FE">
        <w:trPr>
          <w:trHeight w:val="720"/>
        </w:trPr>
        <w:tc>
          <w:tcPr>
            <w:tcW w:w="1808" w:type="pct"/>
            <w:tcBorders>
              <w:top w:val="nil"/>
              <w:left w:val="single" w:sz="4" w:space="0" w:color="000000"/>
              <w:bottom w:val="single" w:sz="4" w:space="0" w:color="000000"/>
              <w:right w:val="single" w:sz="4" w:space="0" w:color="000000"/>
            </w:tcBorders>
            <w:shd w:val="clear" w:color="auto" w:fill="auto"/>
            <w:vAlign w:val="center"/>
            <w:hideMark/>
          </w:tcPr>
          <w:p w14:paraId="68A63E73" w14:textId="77777777" w:rsidR="0035768C" w:rsidRPr="0035768C" w:rsidRDefault="0035768C" w:rsidP="0035768C">
            <w:pPr>
              <w:spacing w:after="0" w:line="240" w:lineRule="auto"/>
              <w:rPr>
                <w:rFonts w:eastAsia="Times New Roman" w:cs="Calibri"/>
                <w:b/>
                <w:bCs/>
                <w:color w:val="000000"/>
                <w:sz w:val="18"/>
                <w:szCs w:val="18"/>
                <w:lang w:eastAsia="en-GB"/>
              </w:rPr>
            </w:pPr>
            <w:r w:rsidRPr="0035768C">
              <w:rPr>
                <w:rFonts w:eastAsia="Times New Roman" w:cs="Calibri"/>
                <w:b/>
                <w:bCs/>
                <w:color w:val="000000"/>
                <w:sz w:val="18"/>
                <w:szCs w:val="18"/>
                <w:lang w:eastAsia="en-GB"/>
              </w:rPr>
              <w:t>C1</w:t>
            </w:r>
            <w:r w:rsidRPr="0035768C">
              <w:rPr>
                <w:rFonts w:eastAsia="Times New Roman" w:cs="Calibri"/>
                <w:color w:val="000000"/>
                <w:sz w:val="18"/>
                <w:szCs w:val="18"/>
                <w:lang w:eastAsia="en-GB"/>
              </w:rPr>
              <w:t>: Awaiting further non-acute (including community and mental health) NHS care (including intermediate care, rehabilitation services etc.)</w:t>
            </w:r>
          </w:p>
        </w:tc>
        <w:tc>
          <w:tcPr>
            <w:tcW w:w="758" w:type="pct"/>
            <w:tcBorders>
              <w:top w:val="nil"/>
              <w:left w:val="nil"/>
              <w:bottom w:val="single" w:sz="4" w:space="0" w:color="000000"/>
              <w:right w:val="single" w:sz="4" w:space="0" w:color="000000"/>
            </w:tcBorders>
            <w:shd w:val="clear" w:color="auto" w:fill="auto"/>
            <w:vAlign w:val="center"/>
            <w:hideMark/>
          </w:tcPr>
          <w:p w14:paraId="4CB6B1A5"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24" w:type="pct"/>
            <w:tcBorders>
              <w:top w:val="nil"/>
              <w:left w:val="nil"/>
              <w:bottom w:val="single" w:sz="4" w:space="0" w:color="000000"/>
              <w:right w:val="single" w:sz="4" w:space="0" w:color="000000"/>
            </w:tcBorders>
            <w:shd w:val="clear" w:color="auto" w:fill="auto"/>
            <w:vAlign w:val="center"/>
            <w:hideMark/>
          </w:tcPr>
          <w:p w14:paraId="17C9E80D"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60" w:type="pct"/>
            <w:tcBorders>
              <w:top w:val="nil"/>
              <w:left w:val="nil"/>
              <w:bottom w:val="single" w:sz="4" w:space="0" w:color="000000"/>
              <w:right w:val="single" w:sz="4" w:space="0" w:color="000000"/>
            </w:tcBorders>
            <w:shd w:val="clear" w:color="auto" w:fill="auto"/>
            <w:vAlign w:val="center"/>
            <w:hideMark/>
          </w:tcPr>
          <w:p w14:paraId="37D7FDC9"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951" w:type="pct"/>
            <w:tcBorders>
              <w:top w:val="nil"/>
              <w:left w:val="nil"/>
              <w:bottom w:val="single" w:sz="4" w:space="0" w:color="000000"/>
              <w:right w:val="single" w:sz="4" w:space="0" w:color="000000"/>
            </w:tcBorders>
            <w:shd w:val="clear" w:color="auto" w:fill="auto"/>
            <w:vAlign w:val="center"/>
            <w:hideMark/>
          </w:tcPr>
          <w:p w14:paraId="742FD14C"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r>
      <w:tr w:rsidR="0035768C" w:rsidRPr="0035768C" w14:paraId="4E6E936D" w14:textId="77777777" w:rsidTr="00BE72FE">
        <w:trPr>
          <w:trHeight w:val="480"/>
        </w:trPr>
        <w:tc>
          <w:tcPr>
            <w:tcW w:w="1808" w:type="pct"/>
            <w:tcBorders>
              <w:top w:val="nil"/>
              <w:left w:val="single" w:sz="4" w:space="0" w:color="000000"/>
              <w:bottom w:val="single" w:sz="4" w:space="0" w:color="000000"/>
              <w:right w:val="single" w:sz="4" w:space="0" w:color="000000"/>
            </w:tcBorders>
            <w:shd w:val="clear" w:color="auto" w:fill="auto"/>
            <w:vAlign w:val="center"/>
            <w:hideMark/>
          </w:tcPr>
          <w:p w14:paraId="0586E4DA" w14:textId="77777777" w:rsidR="0035768C" w:rsidRPr="0035768C" w:rsidRDefault="0035768C" w:rsidP="0035768C">
            <w:pPr>
              <w:spacing w:after="0" w:line="240" w:lineRule="auto"/>
              <w:rPr>
                <w:rFonts w:eastAsia="Times New Roman" w:cs="Calibri"/>
                <w:b/>
                <w:bCs/>
                <w:color w:val="000000"/>
                <w:sz w:val="18"/>
                <w:szCs w:val="18"/>
                <w:lang w:eastAsia="en-GB"/>
              </w:rPr>
            </w:pPr>
            <w:r w:rsidRPr="0035768C">
              <w:rPr>
                <w:rFonts w:eastAsia="Times New Roman" w:cs="Calibri"/>
                <w:b/>
                <w:bCs/>
                <w:color w:val="000000"/>
                <w:sz w:val="18"/>
                <w:szCs w:val="18"/>
                <w:lang w:eastAsia="en-GB"/>
              </w:rPr>
              <w:t>D1</w:t>
            </w:r>
            <w:r w:rsidRPr="0035768C">
              <w:rPr>
                <w:rFonts w:eastAsia="Times New Roman" w:cs="Calibri"/>
                <w:color w:val="000000"/>
                <w:sz w:val="18"/>
                <w:szCs w:val="18"/>
                <w:lang w:eastAsia="en-GB"/>
              </w:rPr>
              <w:t>: Awaiting Care Home Without Nursing placement or availability</w:t>
            </w:r>
          </w:p>
        </w:tc>
        <w:tc>
          <w:tcPr>
            <w:tcW w:w="758" w:type="pct"/>
            <w:tcBorders>
              <w:top w:val="nil"/>
              <w:left w:val="nil"/>
              <w:bottom w:val="single" w:sz="4" w:space="0" w:color="000000"/>
              <w:right w:val="single" w:sz="4" w:space="0" w:color="000000"/>
            </w:tcBorders>
            <w:shd w:val="clear" w:color="auto" w:fill="auto"/>
            <w:vAlign w:val="center"/>
            <w:hideMark/>
          </w:tcPr>
          <w:p w14:paraId="230627F5"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24" w:type="pct"/>
            <w:tcBorders>
              <w:top w:val="nil"/>
              <w:left w:val="nil"/>
              <w:bottom w:val="single" w:sz="4" w:space="0" w:color="000000"/>
              <w:right w:val="single" w:sz="4" w:space="0" w:color="000000"/>
            </w:tcBorders>
            <w:shd w:val="clear" w:color="auto" w:fill="auto"/>
            <w:vAlign w:val="center"/>
            <w:hideMark/>
          </w:tcPr>
          <w:p w14:paraId="3E37B4A6"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60" w:type="pct"/>
            <w:tcBorders>
              <w:top w:val="nil"/>
              <w:left w:val="nil"/>
              <w:bottom w:val="single" w:sz="4" w:space="0" w:color="000000"/>
              <w:right w:val="single" w:sz="4" w:space="0" w:color="000000"/>
            </w:tcBorders>
            <w:shd w:val="clear" w:color="auto" w:fill="auto"/>
            <w:vAlign w:val="center"/>
            <w:hideMark/>
          </w:tcPr>
          <w:p w14:paraId="7A1A2B8D"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951" w:type="pct"/>
            <w:tcBorders>
              <w:top w:val="nil"/>
              <w:left w:val="nil"/>
              <w:bottom w:val="single" w:sz="4" w:space="0" w:color="000000"/>
              <w:right w:val="single" w:sz="4" w:space="0" w:color="000000"/>
            </w:tcBorders>
            <w:shd w:val="clear" w:color="auto" w:fill="auto"/>
            <w:vAlign w:val="center"/>
            <w:hideMark/>
          </w:tcPr>
          <w:p w14:paraId="5905CBF6"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r>
      <w:tr w:rsidR="0035768C" w:rsidRPr="0035768C" w14:paraId="7A3E5C17" w14:textId="77777777" w:rsidTr="00BE72FE">
        <w:trPr>
          <w:trHeight w:val="480"/>
        </w:trPr>
        <w:tc>
          <w:tcPr>
            <w:tcW w:w="1808" w:type="pct"/>
            <w:tcBorders>
              <w:top w:val="nil"/>
              <w:left w:val="single" w:sz="4" w:space="0" w:color="000000"/>
              <w:bottom w:val="single" w:sz="4" w:space="0" w:color="000000"/>
              <w:right w:val="single" w:sz="4" w:space="0" w:color="000000"/>
            </w:tcBorders>
            <w:shd w:val="clear" w:color="auto" w:fill="auto"/>
            <w:vAlign w:val="center"/>
            <w:hideMark/>
          </w:tcPr>
          <w:p w14:paraId="031AAE7E" w14:textId="77777777" w:rsidR="0035768C" w:rsidRPr="0035768C" w:rsidRDefault="0035768C" w:rsidP="0035768C">
            <w:pPr>
              <w:spacing w:after="0" w:line="240" w:lineRule="auto"/>
              <w:rPr>
                <w:rFonts w:eastAsia="Times New Roman" w:cs="Calibri"/>
                <w:b/>
                <w:bCs/>
                <w:color w:val="000000"/>
                <w:sz w:val="18"/>
                <w:szCs w:val="18"/>
                <w:lang w:eastAsia="en-GB"/>
              </w:rPr>
            </w:pPr>
            <w:r w:rsidRPr="0035768C">
              <w:rPr>
                <w:rFonts w:eastAsia="Times New Roman" w:cs="Calibri"/>
                <w:b/>
                <w:bCs/>
                <w:color w:val="000000"/>
                <w:sz w:val="18"/>
                <w:szCs w:val="18"/>
                <w:lang w:eastAsia="en-GB"/>
              </w:rPr>
              <w:t>D2</w:t>
            </w:r>
            <w:r w:rsidRPr="0035768C">
              <w:rPr>
                <w:rFonts w:eastAsia="Times New Roman" w:cs="Calibri"/>
                <w:color w:val="000000"/>
                <w:sz w:val="18"/>
                <w:szCs w:val="18"/>
                <w:lang w:eastAsia="en-GB"/>
              </w:rPr>
              <w:t>: Awaiting Care Home with Nursing placement or availability</w:t>
            </w:r>
          </w:p>
        </w:tc>
        <w:tc>
          <w:tcPr>
            <w:tcW w:w="758" w:type="pct"/>
            <w:tcBorders>
              <w:top w:val="nil"/>
              <w:left w:val="nil"/>
              <w:bottom w:val="single" w:sz="4" w:space="0" w:color="000000"/>
              <w:right w:val="single" w:sz="4" w:space="0" w:color="000000"/>
            </w:tcBorders>
            <w:shd w:val="clear" w:color="auto" w:fill="auto"/>
            <w:vAlign w:val="center"/>
            <w:hideMark/>
          </w:tcPr>
          <w:p w14:paraId="31A4CED9"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24" w:type="pct"/>
            <w:tcBorders>
              <w:top w:val="nil"/>
              <w:left w:val="nil"/>
              <w:bottom w:val="single" w:sz="4" w:space="0" w:color="000000"/>
              <w:right w:val="single" w:sz="4" w:space="0" w:color="000000"/>
            </w:tcBorders>
            <w:shd w:val="clear" w:color="auto" w:fill="auto"/>
            <w:vAlign w:val="center"/>
            <w:hideMark/>
          </w:tcPr>
          <w:p w14:paraId="1AA021B8"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60" w:type="pct"/>
            <w:tcBorders>
              <w:top w:val="nil"/>
              <w:left w:val="nil"/>
              <w:bottom w:val="single" w:sz="4" w:space="0" w:color="000000"/>
              <w:right w:val="single" w:sz="4" w:space="0" w:color="000000"/>
            </w:tcBorders>
            <w:shd w:val="clear" w:color="auto" w:fill="auto"/>
            <w:vAlign w:val="center"/>
            <w:hideMark/>
          </w:tcPr>
          <w:p w14:paraId="0C3A53E2"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951" w:type="pct"/>
            <w:tcBorders>
              <w:top w:val="nil"/>
              <w:left w:val="nil"/>
              <w:bottom w:val="single" w:sz="4" w:space="0" w:color="000000"/>
              <w:right w:val="single" w:sz="4" w:space="0" w:color="000000"/>
            </w:tcBorders>
            <w:shd w:val="clear" w:color="auto" w:fill="auto"/>
            <w:vAlign w:val="center"/>
            <w:hideMark/>
          </w:tcPr>
          <w:p w14:paraId="34B0B5E2"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r>
      <w:tr w:rsidR="0035768C" w:rsidRPr="0035768C" w14:paraId="2BD183AF" w14:textId="77777777" w:rsidTr="00BE72FE">
        <w:trPr>
          <w:trHeight w:val="290"/>
        </w:trPr>
        <w:tc>
          <w:tcPr>
            <w:tcW w:w="1808" w:type="pct"/>
            <w:tcBorders>
              <w:top w:val="nil"/>
              <w:left w:val="single" w:sz="4" w:space="0" w:color="000000"/>
              <w:bottom w:val="single" w:sz="4" w:space="0" w:color="000000"/>
              <w:right w:val="single" w:sz="4" w:space="0" w:color="000000"/>
            </w:tcBorders>
            <w:shd w:val="clear" w:color="auto" w:fill="auto"/>
            <w:vAlign w:val="center"/>
            <w:hideMark/>
          </w:tcPr>
          <w:p w14:paraId="455FD903" w14:textId="77777777" w:rsidR="0035768C" w:rsidRPr="0035768C" w:rsidRDefault="0035768C" w:rsidP="0035768C">
            <w:pPr>
              <w:spacing w:after="0" w:line="240" w:lineRule="auto"/>
              <w:rPr>
                <w:rFonts w:eastAsia="Times New Roman" w:cs="Calibri"/>
                <w:b/>
                <w:bCs/>
                <w:color w:val="000000"/>
                <w:sz w:val="18"/>
                <w:szCs w:val="18"/>
                <w:lang w:eastAsia="en-GB"/>
              </w:rPr>
            </w:pPr>
            <w:r w:rsidRPr="0035768C">
              <w:rPr>
                <w:rFonts w:eastAsia="Times New Roman" w:cs="Calibri"/>
                <w:b/>
                <w:bCs/>
                <w:color w:val="000000"/>
                <w:sz w:val="18"/>
                <w:szCs w:val="18"/>
                <w:lang w:eastAsia="en-GB"/>
              </w:rPr>
              <w:t>E1</w:t>
            </w:r>
            <w:r w:rsidRPr="0035768C">
              <w:rPr>
                <w:rFonts w:eastAsia="Times New Roman" w:cs="Calibri"/>
                <w:color w:val="000000"/>
                <w:sz w:val="18"/>
                <w:szCs w:val="18"/>
                <w:lang w:eastAsia="en-GB"/>
              </w:rPr>
              <w:t>: Awaiting care package in own home</w:t>
            </w:r>
          </w:p>
        </w:tc>
        <w:tc>
          <w:tcPr>
            <w:tcW w:w="758" w:type="pct"/>
            <w:tcBorders>
              <w:top w:val="nil"/>
              <w:left w:val="nil"/>
              <w:bottom w:val="single" w:sz="4" w:space="0" w:color="000000"/>
              <w:right w:val="single" w:sz="4" w:space="0" w:color="000000"/>
            </w:tcBorders>
            <w:shd w:val="clear" w:color="auto" w:fill="auto"/>
            <w:vAlign w:val="center"/>
            <w:hideMark/>
          </w:tcPr>
          <w:p w14:paraId="09152F45"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24" w:type="pct"/>
            <w:tcBorders>
              <w:top w:val="nil"/>
              <w:left w:val="nil"/>
              <w:bottom w:val="single" w:sz="4" w:space="0" w:color="000000"/>
              <w:right w:val="single" w:sz="4" w:space="0" w:color="000000"/>
            </w:tcBorders>
            <w:shd w:val="clear" w:color="auto" w:fill="auto"/>
            <w:vAlign w:val="center"/>
            <w:hideMark/>
          </w:tcPr>
          <w:p w14:paraId="0CC3221E"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60" w:type="pct"/>
            <w:tcBorders>
              <w:top w:val="nil"/>
              <w:left w:val="nil"/>
              <w:bottom w:val="single" w:sz="4" w:space="0" w:color="000000"/>
              <w:right w:val="single" w:sz="4" w:space="0" w:color="000000"/>
            </w:tcBorders>
            <w:shd w:val="clear" w:color="auto" w:fill="auto"/>
            <w:vAlign w:val="center"/>
            <w:hideMark/>
          </w:tcPr>
          <w:p w14:paraId="35008748"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951" w:type="pct"/>
            <w:tcBorders>
              <w:top w:val="nil"/>
              <w:left w:val="nil"/>
              <w:bottom w:val="single" w:sz="4" w:space="0" w:color="000000"/>
              <w:right w:val="single" w:sz="4" w:space="0" w:color="000000"/>
            </w:tcBorders>
            <w:shd w:val="clear" w:color="auto" w:fill="auto"/>
            <w:vAlign w:val="center"/>
            <w:hideMark/>
          </w:tcPr>
          <w:p w14:paraId="70529957"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r>
      <w:tr w:rsidR="0035768C" w:rsidRPr="0035768C" w14:paraId="76ED4573" w14:textId="77777777" w:rsidTr="00BE72FE">
        <w:trPr>
          <w:trHeight w:val="290"/>
        </w:trPr>
        <w:tc>
          <w:tcPr>
            <w:tcW w:w="180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1FB5ABC4" w14:textId="77777777" w:rsidR="0035768C" w:rsidRPr="0035768C" w:rsidRDefault="0035768C" w:rsidP="0035768C">
            <w:pPr>
              <w:spacing w:after="0" w:line="240" w:lineRule="auto"/>
              <w:rPr>
                <w:rFonts w:eastAsia="Times New Roman" w:cs="Calibri"/>
                <w:b/>
                <w:bCs/>
                <w:color w:val="000000"/>
                <w:sz w:val="18"/>
                <w:szCs w:val="18"/>
                <w:lang w:eastAsia="en-GB"/>
              </w:rPr>
            </w:pPr>
            <w:r w:rsidRPr="0035768C">
              <w:rPr>
                <w:rFonts w:eastAsia="Times New Roman" w:cs="Calibri"/>
                <w:b/>
                <w:bCs/>
                <w:color w:val="000000"/>
                <w:sz w:val="18"/>
                <w:szCs w:val="18"/>
                <w:lang w:eastAsia="en-GB"/>
              </w:rPr>
              <w:t>F2</w:t>
            </w:r>
            <w:r w:rsidRPr="0035768C">
              <w:rPr>
                <w:rFonts w:eastAsia="Times New Roman" w:cs="Calibri"/>
                <w:color w:val="000000"/>
                <w:sz w:val="18"/>
                <w:szCs w:val="18"/>
                <w:lang w:eastAsia="en-GB"/>
              </w:rPr>
              <w:t xml:space="preserve">: Awaiting community equipment, </w:t>
            </w:r>
            <w:r w:rsidRPr="0035768C">
              <w:rPr>
                <w:rFonts w:eastAsia="Times New Roman" w:cs="Calibri"/>
                <w:color w:val="00172F"/>
                <w:sz w:val="18"/>
                <w:szCs w:val="18"/>
                <w:lang w:eastAsia="en-GB"/>
              </w:rPr>
              <w:t>telecare and/or adaptations</w:t>
            </w:r>
          </w:p>
        </w:tc>
        <w:tc>
          <w:tcPr>
            <w:tcW w:w="75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178B33DB"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2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2510E22"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60"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A980353"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951"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4C439E2"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r>
      <w:tr w:rsidR="0035768C" w:rsidRPr="0035768C" w14:paraId="5A347567" w14:textId="77777777" w:rsidTr="00BE72FE">
        <w:trPr>
          <w:trHeight w:val="290"/>
        </w:trPr>
        <w:tc>
          <w:tcPr>
            <w:tcW w:w="1808" w:type="pct"/>
            <w:vMerge/>
            <w:tcBorders>
              <w:top w:val="nil"/>
              <w:left w:val="single" w:sz="4" w:space="0" w:color="000000"/>
              <w:bottom w:val="single" w:sz="4" w:space="0" w:color="000000"/>
              <w:right w:val="single" w:sz="4" w:space="0" w:color="000000"/>
            </w:tcBorders>
            <w:vAlign w:val="center"/>
            <w:hideMark/>
          </w:tcPr>
          <w:p w14:paraId="078E4F62" w14:textId="60BD6196" w:rsidR="0035768C" w:rsidRPr="0035768C" w:rsidRDefault="0035768C" w:rsidP="0035768C">
            <w:pPr>
              <w:spacing w:after="0" w:line="240" w:lineRule="auto"/>
              <w:rPr>
                <w:rFonts w:eastAsia="Times New Roman" w:cs="Calibri"/>
                <w:b/>
                <w:bCs/>
                <w:color w:val="000000"/>
                <w:sz w:val="18"/>
                <w:szCs w:val="18"/>
                <w:lang w:eastAsia="en-GB"/>
              </w:rPr>
            </w:pPr>
          </w:p>
        </w:tc>
        <w:tc>
          <w:tcPr>
            <w:tcW w:w="758" w:type="pct"/>
            <w:vMerge/>
            <w:tcBorders>
              <w:top w:val="nil"/>
              <w:left w:val="single" w:sz="4" w:space="0" w:color="000000"/>
              <w:bottom w:val="single" w:sz="4" w:space="0" w:color="000000"/>
              <w:right w:val="single" w:sz="4" w:space="0" w:color="000000"/>
            </w:tcBorders>
            <w:vAlign w:val="center"/>
            <w:hideMark/>
          </w:tcPr>
          <w:p w14:paraId="798806CA" w14:textId="77777777" w:rsidR="0035768C" w:rsidRPr="0035768C" w:rsidRDefault="0035768C" w:rsidP="0035768C">
            <w:pPr>
              <w:spacing w:after="0" w:line="240" w:lineRule="auto"/>
              <w:rPr>
                <w:rFonts w:ascii="Wingdings" w:eastAsia="Times New Roman" w:hAnsi="Wingdings" w:cs="Calibri"/>
                <w:color w:val="000000"/>
                <w:sz w:val="18"/>
                <w:szCs w:val="18"/>
                <w:lang w:eastAsia="en-GB"/>
              </w:rPr>
            </w:pPr>
          </w:p>
        </w:tc>
        <w:tc>
          <w:tcPr>
            <w:tcW w:w="724" w:type="pct"/>
            <w:vMerge/>
            <w:tcBorders>
              <w:top w:val="nil"/>
              <w:left w:val="single" w:sz="4" w:space="0" w:color="000000"/>
              <w:bottom w:val="single" w:sz="4" w:space="0" w:color="000000"/>
              <w:right w:val="single" w:sz="4" w:space="0" w:color="000000"/>
            </w:tcBorders>
            <w:vAlign w:val="center"/>
            <w:hideMark/>
          </w:tcPr>
          <w:p w14:paraId="72796951" w14:textId="77777777" w:rsidR="0035768C" w:rsidRPr="0035768C" w:rsidRDefault="0035768C" w:rsidP="0035768C">
            <w:pPr>
              <w:spacing w:after="0" w:line="240" w:lineRule="auto"/>
              <w:rPr>
                <w:rFonts w:ascii="Wingdings" w:eastAsia="Times New Roman" w:hAnsi="Wingdings" w:cs="Calibri"/>
                <w:color w:val="000000"/>
                <w:sz w:val="18"/>
                <w:szCs w:val="18"/>
                <w:lang w:eastAsia="en-GB"/>
              </w:rPr>
            </w:pPr>
          </w:p>
        </w:tc>
        <w:tc>
          <w:tcPr>
            <w:tcW w:w="760" w:type="pct"/>
            <w:vMerge/>
            <w:tcBorders>
              <w:top w:val="nil"/>
              <w:left w:val="single" w:sz="4" w:space="0" w:color="000000"/>
              <w:bottom w:val="single" w:sz="4" w:space="0" w:color="000000"/>
              <w:right w:val="single" w:sz="4" w:space="0" w:color="000000"/>
            </w:tcBorders>
            <w:vAlign w:val="center"/>
            <w:hideMark/>
          </w:tcPr>
          <w:p w14:paraId="36CA4508" w14:textId="77777777" w:rsidR="0035768C" w:rsidRPr="0035768C" w:rsidRDefault="0035768C" w:rsidP="0035768C">
            <w:pPr>
              <w:spacing w:after="0" w:line="240" w:lineRule="auto"/>
              <w:rPr>
                <w:rFonts w:ascii="Wingdings" w:eastAsia="Times New Roman" w:hAnsi="Wingdings" w:cs="Calibri"/>
                <w:color w:val="000000"/>
                <w:sz w:val="18"/>
                <w:szCs w:val="18"/>
                <w:lang w:eastAsia="en-GB"/>
              </w:rPr>
            </w:pPr>
          </w:p>
        </w:tc>
        <w:tc>
          <w:tcPr>
            <w:tcW w:w="951" w:type="pct"/>
            <w:vMerge/>
            <w:tcBorders>
              <w:top w:val="nil"/>
              <w:left w:val="single" w:sz="4" w:space="0" w:color="000000"/>
              <w:bottom w:val="single" w:sz="4" w:space="0" w:color="000000"/>
              <w:right w:val="single" w:sz="4" w:space="0" w:color="000000"/>
            </w:tcBorders>
            <w:vAlign w:val="center"/>
            <w:hideMark/>
          </w:tcPr>
          <w:p w14:paraId="08C72072" w14:textId="77777777" w:rsidR="0035768C" w:rsidRPr="0035768C" w:rsidRDefault="0035768C" w:rsidP="0035768C">
            <w:pPr>
              <w:spacing w:after="0" w:line="240" w:lineRule="auto"/>
              <w:rPr>
                <w:rFonts w:ascii="Wingdings" w:eastAsia="Times New Roman" w:hAnsi="Wingdings" w:cs="Calibri"/>
                <w:color w:val="000000"/>
                <w:sz w:val="18"/>
                <w:szCs w:val="18"/>
                <w:lang w:eastAsia="en-GB"/>
              </w:rPr>
            </w:pPr>
          </w:p>
        </w:tc>
      </w:tr>
      <w:tr w:rsidR="0035768C" w:rsidRPr="0035768C" w14:paraId="0ADFAC86" w14:textId="77777777" w:rsidTr="00BE72FE">
        <w:trPr>
          <w:trHeight w:val="290"/>
        </w:trPr>
        <w:tc>
          <w:tcPr>
            <w:tcW w:w="1808" w:type="pct"/>
            <w:tcBorders>
              <w:top w:val="nil"/>
              <w:left w:val="single" w:sz="4" w:space="0" w:color="000000"/>
              <w:bottom w:val="nil"/>
              <w:right w:val="single" w:sz="4" w:space="0" w:color="000000"/>
            </w:tcBorders>
            <w:shd w:val="clear" w:color="auto" w:fill="auto"/>
            <w:vAlign w:val="center"/>
            <w:hideMark/>
          </w:tcPr>
          <w:p w14:paraId="2988CEE7" w14:textId="4263FDF4" w:rsidR="0035768C" w:rsidRPr="0035768C" w:rsidRDefault="0035768C" w:rsidP="0080449A">
            <w:pPr>
              <w:spacing w:after="0" w:line="240" w:lineRule="auto"/>
              <w:rPr>
                <w:rFonts w:eastAsia="Times New Roman" w:cs="Calibri"/>
                <w:b/>
                <w:bCs/>
                <w:color w:val="000000"/>
                <w:sz w:val="18"/>
                <w:szCs w:val="18"/>
                <w:lang w:eastAsia="en-GB"/>
              </w:rPr>
            </w:pPr>
            <w:r w:rsidRPr="0035768C">
              <w:rPr>
                <w:rFonts w:eastAsia="Times New Roman" w:cs="Calibri"/>
                <w:b/>
                <w:bCs/>
                <w:color w:val="000000"/>
                <w:sz w:val="18"/>
                <w:szCs w:val="18"/>
                <w:lang w:eastAsia="en-GB"/>
              </w:rPr>
              <w:t>G2</w:t>
            </w:r>
            <w:r w:rsidRPr="0035768C">
              <w:rPr>
                <w:rFonts w:eastAsia="Times New Roman" w:cs="Calibri"/>
                <w:color w:val="000000"/>
                <w:sz w:val="18"/>
                <w:szCs w:val="18"/>
                <w:lang w:eastAsia="en-GB"/>
              </w:rPr>
              <w:t xml:space="preserve">: </w:t>
            </w:r>
            <w:r w:rsidR="0080449A">
              <w:rPr>
                <w:rFonts w:eastAsia="Times New Roman" w:cs="Calibri"/>
                <w:color w:val="000000"/>
                <w:sz w:val="18"/>
                <w:szCs w:val="18"/>
                <w:lang w:eastAsia="en-GB"/>
              </w:rPr>
              <w:t>Service user</w:t>
            </w:r>
            <w:r w:rsidRPr="0035768C">
              <w:rPr>
                <w:rFonts w:eastAsia="Times New Roman" w:cs="Calibri"/>
                <w:color w:val="000000"/>
                <w:sz w:val="18"/>
                <w:szCs w:val="18"/>
                <w:lang w:eastAsia="en-GB"/>
              </w:rPr>
              <w:t xml:space="preserve"> or Family choice (Reason not stated by family)</w:t>
            </w:r>
          </w:p>
        </w:tc>
        <w:tc>
          <w:tcPr>
            <w:tcW w:w="758" w:type="pct"/>
            <w:tcBorders>
              <w:top w:val="nil"/>
              <w:left w:val="nil"/>
              <w:bottom w:val="nil"/>
              <w:right w:val="single" w:sz="4" w:space="0" w:color="000000"/>
            </w:tcBorders>
            <w:shd w:val="clear" w:color="auto" w:fill="auto"/>
            <w:vAlign w:val="center"/>
            <w:hideMark/>
          </w:tcPr>
          <w:p w14:paraId="00764FA2"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24" w:type="pct"/>
            <w:tcBorders>
              <w:top w:val="nil"/>
              <w:left w:val="nil"/>
              <w:bottom w:val="nil"/>
              <w:right w:val="single" w:sz="4" w:space="0" w:color="000000"/>
            </w:tcBorders>
            <w:shd w:val="clear" w:color="auto" w:fill="auto"/>
            <w:vAlign w:val="center"/>
            <w:hideMark/>
          </w:tcPr>
          <w:p w14:paraId="55D9B9EA"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60" w:type="pct"/>
            <w:tcBorders>
              <w:top w:val="nil"/>
              <w:left w:val="nil"/>
              <w:bottom w:val="nil"/>
              <w:right w:val="single" w:sz="4" w:space="0" w:color="000000"/>
            </w:tcBorders>
            <w:shd w:val="clear" w:color="auto" w:fill="auto"/>
            <w:vAlign w:val="center"/>
            <w:hideMark/>
          </w:tcPr>
          <w:p w14:paraId="1CBE2B77"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951" w:type="pct"/>
            <w:tcBorders>
              <w:top w:val="nil"/>
              <w:left w:val="nil"/>
              <w:bottom w:val="nil"/>
              <w:right w:val="single" w:sz="4" w:space="0" w:color="000000"/>
            </w:tcBorders>
            <w:shd w:val="clear" w:color="auto" w:fill="auto"/>
            <w:vAlign w:val="center"/>
            <w:hideMark/>
          </w:tcPr>
          <w:p w14:paraId="469630EC"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r>
      <w:tr w:rsidR="0035768C" w:rsidRPr="0035768C" w14:paraId="628A5FCB" w14:textId="77777777" w:rsidTr="00BE72FE">
        <w:trPr>
          <w:trHeight w:val="720"/>
        </w:trPr>
        <w:tc>
          <w:tcPr>
            <w:tcW w:w="18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A3B8A" w14:textId="6A658386" w:rsidR="0035768C" w:rsidRPr="0035768C" w:rsidRDefault="0035768C" w:rsidP="0035768C">
            <w:pPr>
              <w:spacing w:after="0" w:line="240" w:lineRule="auto"/>
              <w:rPr>
                <w:rFonts w:eastAsia="Times New Roman" w:cs="Calibri"/>
                <w:b/>
                <w:bCs/>
                <w:color w:val="000000"/>
                <w:sz w:val="18"/>
                <w:szCs w:val="18"/>
                <w:lang w:eastAsia="en-GB"/>
              </w:rPr>
            </w:pPr>
            <w:r w:rsidRPr="0035768C">
              <w:rPr>
                <w:rFonts w:eastAsia="Times New Roman" w:cs="Calibri"/>
                <w:b/>
                <w:bCs/>
                <w:color w:val="000000"/>
                <w:sz w:val="18"/>
                <w:szCs w:val="18"/>
                <w:lang w:eastAsia="en-GB"/>
              </w:rPr>
              <w:lastRenderedPageBreak/>
              <w:t>G3</w:t>
            </w:r>
            <w:r w:rsidRPr="0035768C">
              <w:rPr>
                <w:rFonts w:eastAsia="Times New Roman" w:cs="Calibri"/>
                <w:color w:val="000000"/>
                <w:sz w:val="18"/>
                <w:szCs w:val="18"/>
                <w:lang w:eastAsia="en-GB"/>
              </w:rPr>
              <w:t xml:space="preserve">: </w:t>
            </w:r>
            <w:r w:rsidR="0080449A">
              <w:rPr>
                <w:rFonts w:eastAsia="Times New Roman" w:cs="Calibri"/>
                <w:color w:val="000000"/>
                <w:sz w:val="18"/>
                <w:szCs w:val="18"/>
                <w:lang w:eastAsia="en-GB"/>
              </w:rPr>
              <w:t>Service user</w:t>
            </w:r>
            <w:r w:rsidRPr="0035768C">
              <w:rPr>
                <w:rFonts w:eastAsia="Times New Roman" w:cs="Calibri"/>
                <w:color w:val="000000"/>
                <w:sz w:val="18"/>
                <w:szCs w:val="18"/>
                <w:lang w:eastAsia="en-GB"/>
              </w:rPr>
              <w:t xml:space="preserve"> or Family choice - Non-acute (including community and mental health) NHS care (including intermediate care, rehabilitation services etc)</w:t>
            </w:r>
          </w:p>
        </w:tc>
        <w:tc>
          <w:tcPr>
            <w:tcW w:w="758" w:type="pct"/>
            <w:tcBorders>
              <w:top w:val="single" w:sz="4" w:space="0" w:color="000000"/>
              <w:left w:val="nil"/>
              <w:bottom w:val="single" w:sz="4" w:space="0" w:color="000000"/>
              <w:right w:val="single" w:sz="4" w:space="0" w:color="000000"/>
            </w:tcBorders>
            <w:shd w:val="clear" w:color="auto" w:fill="auto"/>
            <w:vAlign w:val="center"/>
            <w:hideMark/>
          </w:tcPr>
          <w:p w14:paraId="51FAF313"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24" w:type="pct"/>
            <w:tcBorders>
              <w:top w:val="single" w:sz="4" w:space="0" w:color="000000"/>
              <w:left w:val="nil"/>
              <w:bottom w:val="single" w:sz="4" w:space="0" w:color="000000"/>
              <w:right w:val="single" w:sz="4" w:space="0" w:color="000000"/>
            </w:tcBorders>
            <w:shd w:val="clear" w:color="auto" w:fill="auto"/>
            <w:vAlign w:val="center"/>
            <w:hideMark/>
          </w:tcPr>
          <w:p w14:paraId="234C06DB"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60" w:type="pct"/>
            <w:tcBorders>
              <w:top w:val="single" w:sz="4" w:space="0" w:color="000000"/>
              <w:left w:val="nil"/>
              <w:bottom w:val="single" w:sz="4" w:space="0" w:color="000000"/>
              <w:right w:val="single" w:sz="4" w:space="0" w:color="000000"/>
            </w:tcBorders>
            <w:shd w:val="clear" w:color="auto" w:fill="auto"/>
            <w:vAlign w:val="center"/>
            <w:hideMark/>
          </w:tcPr>
          <w:p w14:paraId="36AFC910"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951" w:type="pct"/>
            <w:tcBorders>
              <w:top w:val="single" w:sz="4" w:space="0" w:color="000000"/>
              <w:left w:val="nil"/>
              <w:bottom w:val="single" w:sz="4" w:space="0" w:color="000000"/>
              <w:right w:val="single" w:sz="4" w:space="0" w:color="000000"/>
            </w:tcBorders>
            <w:shd w:val="clear" w:color="auto" w:fill="auto"/>
            <w:vAlign w:val="center"/>
            <w:hideMark/>
          </w:tcPr>
          <w:p w14:paraId="10C14BEC"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r>
      <w:tr w:rsidR="0035768C" w:rsidRPr="0035768C" w14:paraId="64B72DD9" w14:textId="77777777" w:rsidTr="00BE72FE">
        <w:trPr>
          <w:trHeight w:val="480"/>
        </w:trPr>
        <w:tc>
          <w:tcPr>
            <w:tcW w:w="1808" w:type="pct"/>
            <w:tcBorders>
              <w:top w:val="nil"/>
              <w:left w:val="single" w:sz="4" w:space="0" w:color="000000"/>
              <w:bottom w:val="single" w:sz="4" w:space="0" w:color="000000"/>
              <w:right w:val="single" w:sz="4" w:space="0" w:color="000000"/>
            </w:tcBorders>
            <w:shd w:val="clear" w:color="auto" w:fill="auto"/>
            <w:vAlign w:val="center"/>
            <w:hideMark/>
          </w:tcPr>
          <w:p w14:paraId="7189DE63" w14:textId="4DC32A42" w:rsidR="0035768C" w:rsidRPr="0035768C" w:rsidRDefault="0035768C" w:rsidP="0035768C">
            <w:pPr>
              <w:spacing w:after="0" w:line="240" w:lineRule="auto"/>
              <w:rPr>
                <w:rFonts w:eastAsia="Times New Roman" w:cs="Calibri"/>
                <w:b/>
                <w:bCs/>
                <w:color w:val="000000"/>
                <w:sz w:val="18"/>
                <w:szCs w:val="18"/>
                <w:lang w:eastAsia="en-GB"/>
              </w:rPr>
            </w:pPr>
            <w:r w:rsidRPr="0035768C">
              <w:rPr>
                <w:rFonts w:eastAsia="Times New Roman" w:cs="Calibri"/>
                <w:b/>
                <w:bCs/>
                <w:color w:val="000000"/>
                <w:sz w:val="18"/>
                <w:szCs w:val="18"/>
                <w:lang w:eastAsia="en-GB"/>
              </w:rPr>
              <w:t>G4</w:t>
            </w:r>
            <w:r w:rsidRPr="0035768C">
              <w:rPr>
                <w:rFonts w:eastAsia="Times New Roman" w:cs="Calibri"/>
                <w:color w:val="000000"/>
                <w:sz w:val="18"/>
                <w:szCs w:val="18"/>
                <w:lang w:eastAsia="en-GB"/>
              </w:rPr>
              <w:t xml:space="preserve">: </w:t>
            </w:r>
            <w:r w:rsidR="0080449A">
              <w:rPr>
                <w:rFonts w:eastAsia="Times New Roman" w:cs="Calibri"/>
                <w:color w:val="000000"/>
                <w:sz w:val="18"/>
                <w:szCs w:val="18"/>
                <w:lang w:eastAsia="en-GB"/>
              </w:rPr>
              <w:t>Service user</w:t>
            </w:r>
            <w:r w:rsidRPr="0035768C">
              <w:rPr>
                <w:rFonts w:eastAsia="Times New Roman" w:cs="Calibri"/>
                <w:color w:val="000000"/>
                <w:sz w:val="18"/>
                <w:szCs w:val="18"/>
                <w:lang w:eastAsia="en-GB"/>
              </w:rPr>
              <w:t xml:space="preserve"> or Family choice - Care Home Without Nursing placement</w:t>
            </w:r>
          </w:p>
        </w:tc>
        <w:tc>
          <w:tcPr>
            <w:tcW w:w="758" w:type="pct"/>
            <w:tcBorders>
              <w:top w:val="nil"/>
              <w:left w:val="nil"/>
              <w:bottom w:val="single" w:sz="4" w:space="0" w:color="000000"/>
              <w:right w:val="single" w:sz="4" w:space="0" w:color="000000"/>
            </w:tcBorders>
            <w:shd w:val="clear" w:color="auto" w:fill="auto"/>
            <w:vAlign w:val="center"/>
            <w:hideMark/>
          </w:tcPr>
          <w:p w14:paraId="51256E88"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24" w:type="pct"/>
            <w:tcBorders>
              <w:top w:val="nil"/>
              <w:left w:val="nil"/>
              <w:bottom w:val="single" w:sz="4" w:space="0" w:color="000000"/>
              <w:right w:val="single" w:sz="4" w:space="0" w:color="000000"/>
            </w:tcBorders>
            <w:shd w:val="clear" w:color="auto" w:fill="auto"/>
            <w:vAlign w:val="center"/>
            <w:hideMark/>
          </w:tcPr>
          <w:p w14:paraId="240E26E8"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60" w:type="pct"/>
            <w:tcBorders>
              <w:top w:val="nil"/>
              <w:left w:val="nil"/>
              <w:bottom w:val="single" w:sz="4" w:space="0" w:color="000000"/>
              <w:right w:val="single" w:sz="4" w:space="0" w:color="000000"/>
            </w:tcBorders>
            <w:shd w:val="clear" w:color="auto" w:fill="auto"/>
            <w:vAlign w:val="center"/>
            <w:hideMark/>
          </w:tcPr>
          <w:p w14:paraId="4DF76168"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951" w:type="pct"/>
            <w:tcBorders>
              <w:top w:val="nil"/>
              <w:left w:val="nil"/>
              <w:bottom w:val="single" w:sz="4" w:space="0" w:color="000000"/>
              <w:right w:val="single" w:sz="4" w:space="0" w:color="000000"/>
            </w:tcBorders>
            <w:shd w:val="clear" w:color="auto" w:fill="auto"/>
            <w:vAlign w:val="center"/>
            <w:hideMark/>
          </w:tcPr>
          <w:p w14:paraId="2660A56E"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r>
      <w:tr w:rsidR="0035768C" w:rsidRPr="0035768C" w14:paraId="75C28EE7" w14:textId="77777777" w:rsidTr="00BE72FE">
        <w:trPr>
          <w:trHeight w:val="480"/>
        </w:trPr>
        <w:tc>
          <w:tcPr>
            <w:tcW w:w="1808" w:type="pct"/>
            <w:tcBorders>
              <w:top w:val="nil"/>
              <w:left w:val="single" w:sz="4" w:space="0" w:color="000000"/>
              <w:bottom w:val="single" w:sz="4" w:space="0" w:color="000000"/>
              <w:right w:val="single" w:sz="4" w:space="0" w:color="000000"/>
            </w:tcBorders>
            <w:shd w:val="clear" w:color="auto" w:fill="auto"/>
            <w:vAlign w:val="center"/>
            <w:hideMark/>
          </w:tcPr>
          <w:p w14:paraId="6266C335" w14:textId="3872D3B7" w:rsidR="0035768C" w:rsidRPr="0035768C" w:rsidRDefault="0035768C" w:rsidP="0035768C">
            <w:pPr>
              <w:spacing w:after="0" w:line="240" w:lineRule="auto"/>
              <w:rPr>
                <w:rFonts w:eastAsia="Times New Roman" w:cs="Calibri"/>
                <w:b/>
                <w:bCs/>
                <w:color w:val="000000"/>
                <w:sz w:val="18"/>
                <w:szCs w:val="18"/>
                <w:lang w:eastAsia="en-GB"/>
              </w:rPr>
            </w:pPr>
            <w:r w:rsidRPr="0035768C">
              <w:rPr>
                <w:rFonts w:eastAsia="Times New Roman" w:cs="Calibri"/>
                <w:b/>
                <w:bCs/>
                <w:color w:val="000000"/>
                <w:sz w:val="18"/>
                <w:szCs w:val="18"/>
                <w:lang w:eastAsia="en-GB"/>
              </w:rPr>
              <w:t>G5</w:t>
            </w:r>
            <w:r w:rsidRPr="0035768C">
              <w:rPr>
                <w:rFonts w:eastAsia="Times New Roman" w:cs="Calibri"/>
                <w:color w:val="000000"/>
                <w:sz w:val="18"/>
                <w:szCs w:val="18"/>
                <w:lang w:eastAsia="en-GB"/>
              </w:rPr>
              <w:t xml:space="preserve">: </w:t>
            </w:r>
            <w:r w:rsidR="0080449A">
              <w:rPr>
                <w:rFonts w:eastAsia="Times New Roman" w:cs="Calibri"/>
                <w:color w:val="000000"/>
                <w:sz w:val="18"/>
                <w:szCs w:val="18"/>
                <w:lang w:eastAsia="en-GB"/>
              </w:rPr>
              <w:t>Service user</w:t>
            </w:r>
            <w:r w:rsidRPr="0035768C">
              <w:rPr>
                <w:rFonts w:eastAsia="Times New Roman" w:cs="Calibri"/>
                <w:color w:val="000000"/>
                <w:sz w:val="18"/>
                <w:szCs w:val="18"/>
                <w:lang w:eastAsia="en-GB"/>
              </w:rPr>
              <w:t xml:space="preserve"> or Family choice - Care Home with Nursing placement</w:t>
            </w:r>
          </w:p>
        </w:tc>
        <w:tc>
          <w:tcPr>
            <w:tcW w:w="758" w:type="pct"/>
            <w:tcBorders>
              <w:top w:val="nil"/>
              <w:left w:val="nil"/>
              <w:bottom w:val="single" w:sz="4" w:space="0" w:color="000000"/>
              <w:right w:val="single" w:sz="4" w:space="0" w:color="000000"/>
            </w:tcBorders>
            <w:shd w:val="clear" w:color="auto" w:fill="auto"/>
            <w:vAlign w:val="center"/>
            <w:hideMark/>
          </w:tcPr>
          <w:p w14:paraId="1B5BBF3E"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24" w:type="pct"/>
            <w:tcBorders>
              <w:top w:val="nil"/>
              <w:left w:val="nil"/>
              <w:bottom w:val="single" w:sz="4" w:space="0" w:color="000000"/>
              <w:right w:val="single" w:sz="4" w:space="0" w:color="000000"/>
            </w:tcBorders>
            <w:shd w:val="clear" w:color="auto" w:fill="auto"/>
            <w:vAlign w:val="center"/>
            <w:hideMark/>
          </w:tcPr>
          <w:p w14:paraId="29C47216"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60" w:type="pct"/>
            <w:tcBorders>
              <w:top w:val="nil"/>
              <w:left w:val="nil"/>
              <w:bottom w:val="single" w:sz="4" w:space="0" w:color="000000"/>
              <w:right w:val="single" w:sz="4" w:space="0" w:color="000000"/>
            </w:tcBorders>
            <w:shd w:val="clear" w:color="auto" w:fill="auto"/>
            <w:vAlign w:val="center"/>
            <w:hideMark/>
          </w:tcPr>
          <w:p w14:paraId="7059712F"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951" w:type="pct"/>
            <w:tcBorders>
              <w:top w:val="nil"/>
              <w:left w:val="nil"/>
              <w:bottom w:val="single" w:sz="4" w:space="0" w:color="000000"/>
              <w:right w:val="single" w:sz="4" w:space="0" w:color="000000"/>
            </w:tcBorders>
            <w:shd w:val="clear" w:color="auto" w:fill="auto"/>
            <w:vAlign w:val="center"/>
            <w:hideMark/>
          </w:tcPr>
          <w:p w14:paraId="325804F2"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r>
      <w:tr w:rsidR="0035768C" w:rsidRPr="0035768C" w14:paraId="02708E3A" w14:textId="77777777" w:rsidTr="00BE72FE">
        <w:trPr>
          <w:trHeight w:val="480"/>
        </w:trPr>
        <w:tc>
          <w:tcPr>
            <w:tcW w:w="1808" w:type="pct"/>
            <w:tcBorders>
              <w:top w:val="nil"/>
              <w:left w:val="single" w:sz="4" w:space="0" w:color="000000"/>
              <w:bottom w:val="single" w:sz="4" w:space="0" w:color="000000"/>
              <w:right w:val="single" w:sz="4" w:space="0" w:color="000000"/>
            </w:tcBorders>
            <w:shd w:val="clear" w:color="auto" w:fill="auto"/>
            <w:vAlign w:val="center"/>
            <w:hideMark/>
          </w:tcPr>
          <w:p w14:paraId="43F12FB3" w14:textId="4733662A" w:rsidR="0035768C" w:rsidRPr="0035768C" w:rsidRDefault="0035768C" w:rsidP="0035768C">
            <w:pPr>
              <w:spacing w:after="0" w:line="240" w:lineRule="auto"/>
              <w:rPr>
                <w:rFonts w:eastAsia="Times New Roman" w:cs="Calibri"/>
                <w:b/>
                <w:bCs/>
                <w:color w:val="000000"/>
                <w:sz w:val="18"/>
                <w:szCs w:val="18"/>
                <w:lang w:eastAsia="en-GB"/>
              </w:rPr>
            </w:pPr>
            <w:r w:rsidRPr="0035768C">
              <w:rPr>
                <w:rFonts w:eastAsia="Times New Roman" w:cs="Calibri"/>
                <w:b/>
                <w:bCs/>
                <w:color w:val="000000"/>
                <w:sz w:val="18"/>
                <w:szCs w:val="18"/>
                <w:lang w:eastAsia="en-GB"/>
              </w:rPr>
              <w:t>G6</w:t>
            </w:r>
            <w:r w:rsidRPr="0035768C">
              <w:rPr>
                <w:rFonts w:eastAsia="Times New Roman" w:cs="Calibri"/>
                <w:color w:val="000000"/>
                <w:sz w:val="18"/>
                <w:szCs w:val="18"/>
                <w:lang w:eastAsia="en-GB"/>
              </w:rPr>
              <w:t xml:space="preserve">: </w:t>
            </w:r>
            <w:r w:rsidR="0080449A">
              <w:rPr>
                <w:rFonts w:eastAsia="Times New Roman" w:cs="Calibri"/>
                <w:color w:val="000000"/>
                <w:sz w:val="18"/>
                <w:szCs w:val="18"/>
                <w:lang w:eastAsia="en-GB"/>
              </w:rPr>
              <w:t>Service user</w:t>
            </w:r>
            <w:r w:rsidRPr="0035768C">
              <w:rPr>
                <w:rFonts w:eastAsia="Times New Roman" w:cs="Calibri"/>
                <w:color w:val="000000"/>
                <w:sz w:val="18"/>
                <w:szCs w:val="18"/>
                <w:lang w:eastAsia="en-GB"/>
              </w:rPr>
              <w:t xml:space="preserve"> or Family choice - Care package in own home</w:t>
            </w:r>
          </w:p>
        </w:tc>
        <w:tc>
          <w:tcPr>
            <w:tcW w:w="758" w:type="pct"/>
            <w:tcBorders>
              <w:top w:val="nil"/>
              <w:left w:val="nil"/>
              <w:bottom w:val="single" w:sz="4" w:space="0" w:color="000000"/>
              <w:right w:val="single" w:sz="4" w:space="0" w:color="000000"/>
            </w:tcBorders>
            <w:shd w:val="clear" w:color="auto" w:fill="auto"/>
            <w:vAlign w:val="center"/>
            <w:hideMark/>
          </w:tcPr>
          <w:p w14:paraId="16BFC291"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24" w:type="pct"/>
            <w:tcBorders>
              <w:top w:val="nil"/>
              <w:left w:val="nil"/>
              <w:bottom w:val="single" w:sz="4" w:space="0" w:color="000000"/>
              <w:right w:val="single" w:sz="4" w:space="0" w:color="000000"/>
            </w:tcBorders>
            <w:shd w:val="clear" w:color="auto" w:fill="auto"/>
            <w:vAlign w:val="center"/>
            <w:hideMark/>
          </w:tcPr>
          <w:p w14:paraId="5597F4AA"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60" w:type="pct"/>
            <w:tcBorders>
              <w:top w:val="nil"/>
              <w:left w:val="nil"/>
              <w:bottom w:val="single" w:sz="4" w:space="0" w:color="000000"/>
              <w:right w:val="single" w:sz="4" w:space="0" w:color="000000"/>
            </w:tcBorders>
            <w:shd w:val="clear" w:color="auto" w:fill="auto"/>
            <w:vAlign w:val="center"/>
            <w:hideMark/>
          </w:tcPr>
          <w:p w14:paraId="4191FC3E"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951" w:type="pct"/>
            <w:tcBorders>
              <w:top w:val="nil"/>
              <w:left w:val="nil"/>
              <w:bottom w:val="single" w:sz="4" w:space="0" w:color="000000"/>
              <w:right w:val="single" w:sz="4" w:space="0" w:color="000000"/>
            </w:tcBorders>
            <w:shd w:val="clear" w:color="auto" w:fill="auto"/>
            <w:vAlign w:val="center"/>
            <w:hideMark/>
          </w:tcPr>
          <w:p w14:paraId="1886B23D"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r>
      <w:tr w:rsidR="0035768C" w:rsidRPr="0035768C" w14:paraId="49FB291A" w14:textId="77777777" w:rsidTr="00BE72FE">
        <w:trPr>
          <w:trHeight w:val="480"/>
        </w:trPr>
        <w:tc>
          <w:tcPr>
            <w:tcW w:w="1808" w:type="pct"/>
            <w:tcBorders>
              <w:top w:val="nil"/>
              <w:left w:val="single" w:sz="4" w:space="0" w:color="000000"/>
              <w:bottom w:val="single" w:sz="4" w:space="0" w:color="000000"/>
              <w:right w:val="single" w:sz="4" w:space="0" w:color="000000"/>
            </w:tcBorders>
            <w:shd w:val="clear" w:color="auto" w:fill="auto"/>
            <w:vAlign w:val="center"/>
            <w:hideMark/>
          </w:tcPr>
          <w:p w14:paraId="330D0629" w14:textId="59AA15C7" w:rsidR="0035768C" w:rsidRPr="0035768C" w:rsidRDefault="0035768C" w:rsidP="0035768C">
            <w:pPr>
              <w:spacing w:after="0" w:line="240" w:lineRule="auto"/>
              <w:rPr>
                <w:rFonts w:eastAsia="Times New Roman" w:cs="Calibri"/>
                <w:b/>
                <w:bCs/>
                <w:color w:val="000000"/>
                <w:sz w:val="18"/>
                <w:szCs w:val="18"/>
                <w:lang w:eastAsia="en-GB"/>
              </w:rPr>
            </w:pPr>
            <w:r w:rsidRPr="0035768C">
              <w:rPr>
                <w:rFonts w:eastAsia="Times New Roman" w:cs="Calibri"/>
                <w:b/>
                <w:bCs/>
                <w:color w:val="000000"/>
                <w:sz w:val="18"/>
                <w:szCs w:val="18"/>
                <w:lang w:eastAsia="en-GB"/>
              </w:rPr>
              <w:t>G7</w:t>
            </w:r>
            <w:r w:rsidRPr="0035768C">
              <w:rPr>
                <w:rFonts w:eastAsia="Times New Roman" w:cs="Calibri"/>
                <w:color w:val="000000"/>
                <w:sz w:val="18"/>
                <w:szCs w:val="18"/>
                <w:lang w:eastAsia="en-GB"/>
              </w:rPr>
              <w:t xml:space="preserve">: </w:t>
            </w:r>
            <w:r w:rsidR="0080449A">
              <w:rPr>
                <w:rFonts w:eastAsia="Times New Roman" w:cs="Calibri"/>
                <w:color w:val="000000"/>
                <w:sz w:val="18"/>
                <w:szCs w:val="18"/>
                <w:lang w:eastAsia="en-GB"/>
              </w:rPr>
              <w:t>Service user</w:t>
            </w:r>
            <w:r w:rsidRPr="0035768C">
              <w:rPr>
                <w:rFonts w:eastAsia="Times New Roman" w:cs="Calibri"/>
                <w:color w:val="000000"/>
                <w:sz w:val="18"/>
                <w:szCs w:val="18"/>
                <w:lang w:eastAsia="en-GB"/>
              </w:rPr>
              <w:t xml:space="preserve"> or Family choice - Community equipment, telecare and/or adaptations</w:t>
            </w:r>
          </w:p>
        </w:tc>
        <w:tc>
          <w:tcPr>
            <w:tcW w:w="758" w:type="pct"/>
            <w:tcBorders>
              <w:top w:val="nil"/>
              <w:left w:val="nil"/>
              <w:bottom w:val="single" w:sz="4" w:space="0" w:color="000000"/>
              <w:right w:val="single" w:sz="4" w:space="0" w:color="000000"/>
            </w:tcBorders>
            <w:shd w:val="clear" w:color="auto" w:fill="auto"/>
            <w:vAlign w:val="center"/>
            <w:hideMark/>
          </w:tcPr>
          <w:p w14:paraId="15B22A7E"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24" w:type="pct"/>
            <w:tcBorders>
              <w:top w:val="nil"/>
              <w:left w:val="nil"/>
              <w:bottom w:val="single" w:sz="4" w:space="0" w:color="000000"/>
              <w:right w:val="single" w:sz="4" w:space="0" w:color="000000"/>
            </w:tcBorders>
            <w:shd w:val="clear" w:color="auto" w:fill="auto"/>
            <w:vAlign w:val="center"/>
            <w:hideMark/>
          </w:tcPr>
          <w:p w14:paraId="6F14D4D9"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60" w:type="pct"/>
            <w:tcBorders>
              <w:top w:val="nil"/>
              <w:left w:val="nil"/>
              <w:bottom w:val="single" w:sz="4" w:space="0" w:color="000000"/>
              <w:right w:val="single" w:sz="4" w:space="0" w:color="000000"/>
            </w:tcBorders>
            <w:shd w:val="clear" w:color="auto" w:fill="auto"/>
            <w:vAlign w:val="center"/>
            <w:hideMark/>
          </w:tcPr>
          <w:p w14:paraId="0D368810"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951" w:type="pct"/>
            <w:tcBorders>
              <w:top w:val="nil"/>
              <w:left w:val="nil"/>
              <w:bottom w:val="single" w:sz="4" w:space="0" w:color="000000"/>
              <w:right w:val="single" w:sz="4" w:space="0" w:color="000000"/>
            </w:tcBorders>
            <w:shd w:val="clear" w:color="auto" w:fill="auto"/>
            <w:vAlign w:val="center"/>
            <w:hideMark/>
          </w:tcPr>
          <w:p w14:paraId="000E91C7"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r>
      <w:tr w:rsidR="0035768C" w:rsidRPr="0035768C" w14:paraId="0BD856B8" w14:textId="77777777" w:rsidTr="00BE72FE">
        <w:trPr>
          <w:trHeight w:val="720"/>
        </w:trPr>
        <w:tc>
          <w:tcPr>
            <w:tcW w:w="1808" w:type="pct"/>
            <w:tcBorders>
              <w:top w:val="nil"/>
              <w:left w:val="single" w:sz="4" w:space="0" w:color="000000"/>
              <w:bottom w:val="nil"/>
              <w:right w:val="single" w:sz="4" w:space="0" w:color="000000"/>
            </w:tcBorders>
            <w:shd w:val="clear" w:color="auto" w:fill="auto"/>
            <w:vAlign w:val="center"/>
            <w:hideMark/>
          </w:tcPr>
          <w:p w14:paraId="4364B1EC" w14:textId="58342EA8" w:rsidR="0035768C" w:rsidRPr="0035768C" w:rsidRDefault="0035768C" w:rsidP="00736F34">
            <w:pPr>
              <w:spacing w:after="0" w:line="240" w:lineRule="auto"/>
              <w:jc w:val="both"/>
              <w:rPr>
                <w:rFonts w:eastAsia="Times New Roman" w:cs="Calibri"/>
                <w:b/>
                <w:bCs/>
                <w:color w:val="000000"/>
                <w:sz w:val="18"/>
                <w:szCs w:val="18"/>
                <w:lang w:eastAsia="en-GB"/>
              </w:rPr>
            </w:pPr>
            <w:r w:rsidRPr="0035768C">
              <w:rPr>
                <w:rFonts w:eastAsia="Times New Roman" w:cs="Calibri"/>
                <w:b/>
                <w:bCs/>
                <w:color w:val="000000"/>
                <w:sz w:val="18"/>
                <w:szCs w:val="18"/>
                <w:lang w:eastAsia="en-GB"/>
              </w:rPr>
              <w:t>G8</w:t>
            </w:r>
            <w:r w:rsidRPr="0035768C">
              <w:rPr>
                <w:rFonts w:eastAsia="Times New Roman" w:cs="Calibri"/>
                <w:color w:val="000000"/>
                <w:sz w:val="18"/>
                <w:szCs w:val="18"/>
                <w:lang w:eastAsia="en-GB"/>
              </w:rPr>
              <w:t xml:space="preserve">: </w:t>
            </w:r>
            <w:r w:rsidR="0080449A">
              <w:rPr>
                <w:rFonts w:eastAsia="Times New Roman" w:cs="Calibri"/>
                <w:color w:val="000000"/>
                <w:sz w:val="18"/>
                <w:szCs w:val="18"/>
                <w:lang w:eastAsia="en-GB"/>
              </w:rPr>
              <w:t>Service user</w:t>
            </w:r>
            <w:r w:rsidRPr="0035768C">
              <w:rPr>
                <w:rFonts w:eastAsia="Times New Roman" w:cs="Calibri"/>
                <w:color w:val="000000"/>
                <w:sz w:val="18"/>
                <w:szCs w:val="18"/>
                <w:lang w:eastAsia="en-GB"/>
              </w:rPr>
              <w:t xml:space="preserve"> or Family Choice - general needs housing/private landlord acceptance as </w:t>
            </w:r>
            <w:r w:rsidR="00736F34">
              <w:rPr>
                <w:rFonts w:eastAsia="Times New Roman" w:cs="Calibri"/>
                <w:color w:val="000000"/>
                <w:sz w:val="18"/>
                <w:szCs w:val="18"/>
                <w:lang w:eastAsia="en-GB"/>
              </w:rPr>
              <w:t xml:space="preserve">service user </w:t>
            </w:r>
            <w:r w:rsidRPr="0035768C">
              <w:rPr>
                <w:rFonts w:eastAsia="Times New Roman" w:cs="Calibri"/>
                <w:color w:val="000000"/>
                <w:sz w:val="18"/>
                <w:szCs w:val="18"/>
                <w:lang w:eastAsia="en-GB"/>
              </w:rPr>
              <w:br/>
              <w:t>NOT covered by Housing Act/Care Act</w:t>
            </w:r>
          </w:p>
        </w:tc>
        <w:tc>
          <w:tcPr>
            <w:tcW w:w="758" w:type="pct"/>
            <w:tcBorders>
              <w:top w:val="nil"/>
              <w:left w:val="nil"/>
              <w:bottom w:val="nil"/>
              <w:right w:val="single" w:sz="4" w:space="0" w:color="000000"/>
            </w:tcBorders>
            <w:shd w:val="clear" w:color="auto" w:fill="auto"/>
            <w:vAlign w:val="center"/>
            <w:hideMark/>
          </w:tcPr>
          <w:p w14:paraId="090A8C4B"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24" w:type="pct"/>
            <w:tcBorders>
              <w:top w:val="nil"/>
              <w:left w:val="nil"/>
              <w:bottom w:val="nil"/>
              <w:right w:val="single" w:sz="4" w:space="0" w:color="000000"/>
            </w:tcBorders>
            <w:shd w:val="clear" w:color="auto" w:fill="auto"/>
            <w:vAlign w:val="center"/>
            <w:hideMark/>
          </w:tcPr>
          <w:p w14:paraId="74B4DFC0"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60" w:type="pct"/>
            <w:tcBorders>
              <w:top w:val="nil"/>
              <w:left w:val="nil"/>
              <w:bottom w:val="nil"/>
              <w:right w:val="single" w:sz="4" w:space="0" w:color="000000"/>
            </w:tcBorders>
            <w:shd w:val="clear" w:color="auto" w:fill="auto"/>
            <w:vAlign w:val="center"/>
            <w:hideMark/>
          </w:tcPr>
          <w:p w14:paraId="59F8C607"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951" w:type="pct"/>
            <w:tcBorders>
              <w:top w:val="nil"/>
              <w:left w:val="nil"/>
              <w:bottom w:val="nil"/>
              <w:right w:val="single" w:sz="4" w:space="0" w:color="000000"/>
            </w:tcBorders>
            <w:shd w:val="clear" w:color="auto" w:fill="auto"/>
            <w:vAlign w:val="center"/>
            <w:hideMark/>
          </w:tcPr>
          <w:p w14:paraId="37D1EF5B"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r>
      <w:tr w:rsidR="0035768C" w:rsidRPr="0035768C" w14:paraId="1FBC03C4" w14:textId="77777777" w:rsidTr="00BE72FE">
        <w:trPr>
          <w:trHeight w:val="480"/>
        </w:trPr>
        <w:tc>
          <w:tcPr>
            <w:tcW w:w="18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839076" w14:textId="0CE2DB9E" w:rsidR="0035768C" w:rsidRPr="0035768C" w:rsidRDefault="0035768C" w:rsidP="0035768C">
            <w:pPr>
              <w:spacing w:after="0" w:line="240" w:lineRule="auto"/>
              <w:rPr>
                <w:rFonts w:eastAsia="Times New Roman" w:cs="Calibri"/>
                <w:b/>
                <w:bCs/>
                <w:color w:val="000000"/>
                <w:sz w:val="18"/>
                <w:szCs w:val="18"/>
                <w:lang w:eastAsia="en-GB"/>
              </w:rPr>
            </w:pPr>
            <w:r w:rsidRPr="0035768C">
              <w:rPr>
                <w:rFonts w:eastAsia="Times New Roman" w:cs="Calibri"/>
                <w:b/>
                <w:bCs/>
                <w:color w:val="000000"/>
                <w:sz w:val="18"/>
                <w:szCs w:val="18"/>
                <w:lang w:eastAsia="en-GB"/>
              </w:rPr>
              <w:t>G9</w:t>
            </w:r>
            <w:r w:rsidRPr="0035768C">
              <w:rPr>
                <w:rFonts w:eastAsia="Times New Roman" w:cs="Calibri"/>
                <w:color w:val="000000"/>
                <w:sz w:val="18"/>
                <w:szCs w:val="18"/>
                <w:lang w:eastAsia="en-GB"/>
              </w:rPr>
              <w:t xml:space="preserve">: </w:t>
            </w:r>
            <w:r w:rsidR="0080449A">
              <w:rPr>
                <w:rFonts w:eastAsia="Times New Roman" w:cs="Calibri"/>
                <w:color w:val="000000"/>
                <w:sz w:val="18"/>
                <w:szCs w:val="18"/>
                <w:lang w:eastAsia="en-GB"/>
              </w:rPr>
              <w:t>Service user</w:t>
            </w:r>
            <w:r w:rsidRPr="0035768C">
              <w:rPr>
                <w:rFonts w:eastAsia="Times New Roman" w:cs="Calibri"/>
                <w:color w:val="000000"/>
                <w:sz w:val="18"/>
                <w:szCs w:val="18"/>
                <w:lang w:eastAsia="en-GB"/>
              </w:rPr>
              <w:t xml:space="preserve"> or Family choice - Supported accommodation</w:t>
            </w:r>
          </w:p>
        </w:tc>
        <w:tc>
          <w:tcPr>
            <w:tcW w:w="758" w:type="pct"/>
            <w:tcBorders>
              <w:top w:val="single" w:sz="4" w:space="0" w:color="000000"/>
              <w:left w:val="nil"/>
              <w:bottom w:val="single" w:sz="4" w:space="0" w:color="000000"/>
              <w:right w:val="single" w:sz="4" w:space="0" w:color="000000"/>
            </w:tcBorders>
            <w:shd w:val="clear" w:color="auto" w:fill="auto"/>
            <w:vAlign w:val="center"/>
            <w:hideMark/>
          </w:tcPr>
          <w:p w14:paraId="2349BA83"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24" w:type="pct"/>
            <w:tcBorders>
              <w:top w:val="single" w:sz="4" w:space="0" w:color="000000"/>
              <w:left w:val="nil"/>
              <w:bottom w:val="single" w:sz="4" w:space="0" w:color="000000"/>
              <w:right w:val="single" w:sz="4" w:space="0" w:color="000000"/>
            </w:tcBorders>
            <w:shd w:val="clear" w:color="auto" w:fill="auto"/>
            <w:vAlign w:val="center"/>
            <w:hideMark/>
          </w:tcPr>
          <w:p w14:paraId="5E84FD8B"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60" w:type="pct"/>
            <w:tcBorders>
              <w:top w:val="single" w:sz="4" w:space="0" w:color="000000"/>
              <w:left w:val="nil"/>
              <w:bottom w:val="single" w:sz="4" w:space="0" w:color="000000"/>
              <w:right w:val="single" w:sz="4" w:space="0" w:color="000000"/>
            </w:tcBorders>
            <w:shd w:val="clear" w:color="auto" w:fill="auto"/>
            <w:vAlign w:val="center"/>
            <w:hideMark/>
          </w:tcPr>
          <w:p w14:paraId="2EFFA20D"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951" w:type="pct"/>
            <w:tcBorders>
              <w:top w:val="single" w:sz="4" w:space="0" w:color="000000"/>
              <w:left w:val="nil"/>
              <w:bottom w:val="single" w:sz="4" w:space="0" w:color="000000"/>
              <w:right w:val="single" w:sz="4" w:space="0" w:color="000000"/>
            </w:tcBorders>
            <w:shd w:val="clear" w:color="auto" w:fill="auto"/>
            <w:vAlign w:val="center"/>
            <w:hideMark/>
          </w:tcPr>
          <w:p w14:paraId="1FF89D6C"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r>
      <w:tr w:rsidR="0035768C" w:rsidRPr="0035768C" w14:paraId="4743DE9A" w14:textId="77777777" w:rsidTr="00BE72FE">
        <w:trPr>
          <w:trHeight w:val="720"/>
        </w:trPr>
        <w:tc>
          <w:tcPr>
            <w:tcW w:w="1808" w:type="pct"/>
            <w:tcBorders>
              <w:top w:val="nil"/>
              <w:left w:val="single" w:sz="4" w:space="0" w:color="000000"/>
              <w:bottom w:val="single" w:sz="4" w:space="0" w:color="000000"/>
              <w:right w:val="single" w:sz="4" w:space="0" w:color="000000"/>
            </w:tcBorders>
            <w:shd w:val="clear" w:color="auto" w:fill="auto"/>
            <w:vAlign w:val="center"/>
            <w:hideMark/>
          </w:tcPr>
          <w:p w14:paraId="0AE92D47" w14:textId="457FA217" w:rsidR="0035768C" w:rsidRPr="0035768C" w:rsidRDefault="0035768C" w:rsidP="0035768C">
            <w:pPr>
              <w:spacing w:after="0" w:line="240" w:lineRule="auto"/>
              <w:rPr>
                <w:rFonts w:eastAsia="Times New Roman" w:cs="Calibri"/>
                <w:b/>
                <w:bCs/>
                <w:color w:val="000000"/>
                <w:sz w:val="18"/>
                <w:szCs w:val="18"/>
                <w:lang w:eastAsia="en-GB"/>
              </w:rPr>
            </w:pPr>
            <w:r w:rsidRPr="0035768C">
              <w:rPr>
                <w:rFonts w:eastAsia="Times New Roman" w:cs="Calibri"/>
                <w:b/>
                <w:bCs/>
                <w:color w:val="000000"/>
                <w:sz w:val="18"/>
                <w:szCs w:val="18"/>
                <w:lang w:eastAsia="en-GB"/>
              </w:rPr>
              <w:t>G10</w:t>
            </w:r>
            <w:r w:rsidRPr="0035768C">
              <w:rPr>
                <w:rFonts w:eastAsia="Times New Roman" w:cs="Calibri"/>
                <w:color w:val="000000"/>
                <w:sz w:val="18"/>
                <w:szCs w:val="18"/>
                <w:lang w:eastAsia="en-GB"/>
              </w:rPr>
              <w:t xml:space="preserve">: </w:t>
            </w:r>
            <w:r w:rsidR="0080449A">
              <w:rPr>
                <w:rFonts w:eastAsia="Times New Roman" w:cs="Calibri"/>
                <w:color w:val="000000"/>
                <w:sz w:val="18"/>
                <w:szCs w:val="18"/>
                <w:lang w:eastAsia="en-GB"/>
              </w:rPr>
              <w:t>Service user</w:t>
            </w:r>
            <w:r w:rsidRPr="0035768C">
              <w:rPr>
                <w:rFonts w:eastAsia="Times New Roman" w:cs="Calibri"/>
                <w:color w:val="000000"/>
                <w:sz w:val="18"/>
                <w:szCs w:val="18"/>
                <w:lang w:eastAsia="en-GB"/>
              </w:rPr>
              <w:t xml:space="preserve"> or Family choice - Emergency accommodation from the Local Authority under the Housing Act</w:t>
            </w:r>
          </w:p>
        </w:tc>
        <w:tc>
          <w:tcPr>
            <w:tcW w:w="758" w:type="pct"/>
            <w:tcBorders>
              <w:top w:val="nil"/>
              <w:left w:val="nil"/>
              <w:bottom w:val="single" w:sz="4" w:space="0" w:color="000000"/>
              <w:right w:val="single" w:sz="4" w:space="0" w:color="000000"/>
            </w:tcBorders>
            <w:shd w:val="clear" w:color="auto" w:fill="auto"/>
            <w:vAlign w:val="center"/>
            <w:hideMark/>
          </w:tcPr>
          <w:p w14:paraId="2E7AC3AD"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24" w:type="pct"/>
            <w:tcBorders>
              <w:top w:val="nil"/>
              <w:left w:val="nil"/>
              <w:bottom w:val="single" w:sz="4" w:space="0" w:color="000000"/>
              <w:right w:val="single" w:sz="4" w:space="0" w:color="000000"/>
            </w:tcBorders>
            <w:shd w:val="clear" w:color="auto" w:fill="auto"/>
            <w:vAlign w:val="center"/>
            <w:hideMark/>
          </w:tcPr>
          <w:p w14:paraId="36B1973E"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60" w:type="pct"/>
            <w:tcBorders>
              <w:top w:val="nil"/>
              <w:left w:val="nil"/>
              <w:bottom w:val="single" w:sz="4" w:space="0" w:color="000000"/>
              <w:right w:val="single" w:sz="4" w:space="0" w:color="000000"/>
            </w:tcBorders>
            <w:shd w:val="clear" w:color="auto" w:fill="auto"/>
            <w:vAlign w:val="center"/>
            <w:hideMark/>
          </w:tcPr>
          <w:p w14:paraId="560405BB"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951" w:type="pct"/>
            <w:tcBorders>
              <w:top w:val="nil"/>
              <w:left w:val="nil"/>
              <w:bottom w:val="single" w:sz="4" w:space="0" w:color="000000"/>
              <w:right w:val="single" w:sz="4" w:space="0" w:color="000000"/>
            </w:tcBorders>
            <w:shd w:val="clear" w:color="auto" w:fill="auto"/>
            <w:vAlign w:val="center"/>
            <w:hideMark/>
          </w:tcPr>
          <w:p w14:paraId="735CB976"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r>
      <w:tr w:rsidR="0035768C" w:rsidRPr="0035768C" w14:paraId="06452983" w14:textId="77777777" w:rsidTr="00BE72FE">
        <w:trPr>
          <w:trHeight w:val="480"/>
        </w:trPr>
        <w:tc>
          <w:tcPr>
            <w:tcW w:w="1808" w:type="pct"/>
            <w:tcBorders>
              <w:top w:val="nil"/>
              <w:left w:val="single" w:sz="4" w:space="0" w:color="000000"/>
              <w:bottom w:val="single" w:sz="4" w:space="0" w:color="000000"/>
              <w:right w:val="single" w:sz="4" w:space="0" w:color="000000"/>
            </w:tcBorders>
            <w:shd w:val="clear" w:color="auto" w:fill="auto"/>
            <w:vAlign w:val="center"/>
            <w:hideMark/>
          </w:tcPr>
          <w:p w14:paraId="11BF81CE" w14:textId="313FFC04" w:rsidR="0035768C" w:rsidRPr="0035768C" w:rsidRDefault="0035768C" w:rsidP="0035768C">
            <w:pPr>
              <w:spacing w:after="0" w:line="240" w:lineRule="auto"/>
              <w:rPr>
                <w:rFonts w:eastAsia="Times New Roman" w:cs="Calibri"/>
                <w:b/>
                <w:bCs/>
                <w:color w:val="000000"/>
                <w:sz w:val="18"/>
                <w:szCs w:val="18"/>
                <w:lang w:eastAsia="en-GB"/>
              </w:rPr>
            </w:pPr>
            <w:r w:rsidRPr="0035768C">
              <w:rPr>
                <w:rFonts w:eastAsia="Times New Roman" w:cs="Calibri"/>
                <w:b/>
                <w:bCs/>
                <w:color w:val="000000"/>
                <w:sz w:val="18"/>
                <w:szCs w:val="18"/>
                <w:lang w:eastAsia="en-GB"/>
              </w:rPr>
              <w:t>G11</w:t>
            </w:r>
            <w:r w:rsidRPr="0035768C">
              <w:rPr>
                <w:rFonts w:eastAsia="Times New Roman" w:cs="Calibri"/>
                <w:color w:val="000000"/>
                <w:sz w:val="18"/>
                <w:szCs w:val="18"/>
                <w:lang w:eastAsia="en-GB"/>
              </w:rPr>
              <w:t xml:space="preserve">: </w:t>
            </w:r>
            <w:r w:rsidR="0080449A">
              <w:rPr>
                <w:rFonts w:eastAsia="Times New Roman" w:cs="Calibri"/>
                <w:color w:val="000000"/>
                <w:sz w:val="18"/>
                <w:szCs w:val="18"/>
                <w:lang w:eastAsia="en-GB"/>
              </w:rPr>
              <w:t>Service user</w:t>
            </w:r>
            <w:r w:rsidRPr="0035768C">
              <w:rPr>
                <w:rFonts w:eastAsia="Times New Roman" w:cs="Calibri"/>
                <w:color w:val="000000"/>
                <w:sz w:val="18"/>
                <w:szCs w:val="18"/>
                <w:lang w:eastAsia="en-GB"/>
              </w:rPr>
              <w:t xml:space="preserve"> or Family choice - Child or young person awaiting social care or family placement</w:t>
            </w:r>
          </w:p>
        </w:tc>
        <w:tc>
          <w:tcPr>
            <w:tcW w:w="758" w:type="pct"/>
            <w:tcBorders>
              <w:top w:val="nil"/>
              <w:left w:val="nil"/>
              <w:bottom w:val="single" w:sz="4" w:space="0" w:color="000000"/>
              <w:right w:val="single" w:sz="4" w:space="0" w:color="000000"/>
            </w:tcBorders>
            <w:shd w:val="clear" w:color="auto" w:fill="auto"/>
            <w:vAlign w:val="center"/>
            <w:hideMark/>
          </w:tcPr>
          <w:p w14:paraId="7AE376BA"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24" w:type="pct"/>
            <w:tcBorders>
              <w:top w:val="nil"/>
              <w:left w:val="nil"/>
              <w:bottom w:val="single" w:sz="4" w:space="0" w:color="000000"/>
              <w:right w:val="single" w:sz="4" w:space="0" w:color="000000"/>
            </w:tcBorders>
            <w:shd w:val="clear" w:color="auto" w:fill="auto"/>
            <w:vAlign w:val="center"/>
            <w:hideMark/>
          </w:tcPr>
          <w:p w14:paraId="034EB4EF"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60" w:type="pct"/>
            <w:tcBorders>
              <w:top w:val="nil"/>
              <w:left w:val="nil"/>
              <w:bottom w:val="single" w:sz="4" w:space="0" w:color="000000"/>
              <w:right w:val="single" w:sz="4" w:space="0" w:color="000000"/>
            </w:tcBorders>
            <w:shd w:val="clear" w:color="auto" w:fill="auto"/>
            <w:vAlign w:val="center"/>
            <w:hideMark/>
          </w:tcPr>
          <w:p w14:paraId="7D7FF5EF"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951" w:type="pct"/>
            <w:tcBorders>
              <w:top w:val="nil"/>
              <w:left w:val="nil"/>
              <w:bottom w:val="single" w:sz="4" w:space="0" w:color="000000"/>
              <w:right w:val="single" w:sz="4" w:space="0" w:color="000000"/>
            </w:tcBorders>
            <w:shd w:val="clear" w:color="auto" w:fill="auto"/>
            <w:vAlign w:val="center"/>
            <w:hideMark/>
          </w:tcPr>
          <w:p w14:paraId="310ACC1C"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r>
      <w:tr w:rsidR="0035768C" w:rsidRPr="0035768C" w14:paraId="444463A1" w14:textId="77777777" w:rsidTr="00BE72FE">
        <w:trPr>
          <w:trHeight w:val="480"/>
        </w:trPr>
        <w:tc>
          <w:tcPr>
            <w:tcW w:w="1808" w:type="pct"/>
            <w:tcBorders>
              <w:top w:val="nil"/>
              <w:left w:val="single" w:sz="4" w:space="0" w:color="000000"/>
              <w:bottom w:val="single" w:sz="4" w:space="0" w:color="000000"/>
              <w:right w:val="single" w:sz="4" w:space="0" w:color="000000"/>
            </w:tcBorders>
            <w:shd w:val="clear" w:color="auto" w:fill="auto"/>
            <w:vAlign w:val="center"/>
            <w:hideMark/>
          </w:tcPr>
          <w:p w14:paraId="26564A2D" w14:textId="2402D4E5" w:rsidR="0035768C" w:rsidRPr="0035768C" w:rsidRDefault="0035768C" w:rsidP="0035768C">
            <w:pPr>
              <w:spacing w:after="0" w:line="240" w:lineRule="auto"/>
              <w:rPr>
                <w:rFonts w:eastAsia="Times New Roman" w:cs="Calibri"/>
                <w:b/>
                <w:bCs/>
                <w:color w:val="000000"/>
                <w:sz w:val="18"/>
                <w:szCs w:val="18"/>
                <w:lang w:eastAsia="en-GB"/>
              </w:rPr>
            </w:pPr>
            <w:r w:rsidRPr="0035768C">
              <w:rPr>
                <w:rFonts w:eastAsia="Times New Roman" w:cs="Calibri"/>
                <w:b/>
                <w:bCs/>
                <w:color w:val="000000"/>
                <w:sz w:val="18"/>
                <w:szCs w:val="18"/>
                <w:lang w:eastAsia="en-GB"/>
              </w:rPr>
              <w:t>G12</w:t>
            </w:r>
            <w:r w:rsidRPr="0035768C">
              <w:rPr>
                <w:rFonts w:eastAsia="Times New Roman" w:cs="Calibri"/>
                <w:color w:val="000000"/>
                <w:sz w:val="18"/>
                <w:szCs w:val="18"/>
                <w:lang w:eastAsia="en-GB"/>
              </w:rPr>
              <w:t xml:space="preserve">: </w:t>
            </w:r>
            <w:r w:rsidR="0080449A">
              <w:rPr>
                <w:rFonts w:eastAsia="Times New Roman" w:cs="Calibri"/>
                <w:color w:val="000000"/>
                <w:sz w:val="18"/>
                <w:szCs w:val="18"/>
                <w:lang w:eastAsia="en-GB"/>
              </w:rPr>
              <w:t>Service user</w:t>
            </w:r>
            <w:r w:rsidRPr="0035768C">
              <w:rPr>
                <w:rFonts w:eastAsia="Times New Roman" w:cs="Calibri"/>
                <w:color w:val="000000"/>
                <w:sz w:val="18"/>
                <w:szCs w:val="18"/>
                <w:lang w:eastAsia="en-GB"/>
              </w:rPr>
              <w:t xml:space="preserve"> or Family choice - Ministry of Justice agreement/permission of proposed placement</w:t>
            </w:r>
          </w:p>
        </w:tc>
        <w:tc>
          <w:tcPr>
            <w:tcW w:w="758" w:type="pct"/>
            <w:tcBorders>
              <w:top w:val="nil"/>
              <w:left w:val="nil"/>
              <w:bottom w:val="single" w:sz="4" w:space="0" w:color="000000"/>
              <w:right w:val="single" w:sz="4" w:space="0" w:color="000000"/>
            </w:tcBorders>
            <w:shd w:val="clear" w:color="auto" w:fill="auto"/>
            <w:vAlign w:val="center"/>
            <w:hideMark/>
          </w:tcPr>
          <w:p w14:paraId="5768740B"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24" w:type="pct"/>
            <w:tcBorders>
              <w:top w:val="nil"/>
              <w:left w:val="nil"/>
              <w:bottom w:val="single" w:sz="4" w:space="0" w:color="000000"/>
              <w:right w:val="single" w:sz="4" w:space="0" w:color="000000"/>
            </w:tcBorders>
            <w:shd w:val="clear" w:color="auto" w:fill="auto"/>
            <w:vAlign w:val="center"/>
            <w:hideMark/>
          </w:tcPr>
          <w:p w14:paraId="5D389FB6"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60" w:type="pct"/>
            <w:tcBorders>
              <w:top w:val="nil"/>
              <w:left w:val="nil"/>
              <w:bottom w:val="single" w:sz="4" w:space="0" w:color="000000"/>
              <w:right w:val="single" w:sz="4" w:space="0" w:color="000000"/>
            </w:tcBorders>
            <w:shd w:val="clear" w:color="auto" w:fill="auto"/>
            <w:vAlign w:val="center"/>
            <w:hideMark/>
          </w:tcPr>
          <w:p w14:paraId="60540186"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951" w:type="pct"/>
            <w:tcBorders>
              <w:top w:val="nil"/>
              <w:left w:val="nil"/>
              <w:bottom w:val="single" w:sz="4" w:space="0" w:color="000000"/>
              <w:right w:val="single" w:sz="4" w:space="0" w:color="000000"/>
            </w:tcBorders>
            <w:shd w:val="clear" w:color="auto" w:fill="auto"/>
            <w:vAlign w:val="center"/>
            <w:hideMark/>
          </w:tcPr>
          <w:p w14:paraId="11CB6DEA"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r>
      <w:tr w:rsidR="0035768C" w:rsidRPr="0035768C" w14:paraId="30868466" w14:textId="77777777" w:rsidTr="00BE72FE">
        <w:trPr>
          <w:trHeight w:val="290"/>
        </w:trPr>
        <w:tc>
          <w:tcPr>
            <w:tcW w:w="1808" w:type="pct"/>
            <w:tcBorders>
              <w:top w:val="nil"/>
              <w:left w:val="single" w:sz="4" w:space="0" w:color="000000"/>
              <w:bottom w:val="single" w:sz="4" w:space="0" w:color="000000"/>
              <w:right w:val="single" w:sz="4" w:space="0" w:color="000000"/>
            </w:tcBorders>
            <w:shd w:val="clear" w:color="auto" w:fill="auto"/>
            <w:vAlign w:val="center"/>
            <w:hideMark/>
          </w:tcPr>
          <w:p w14:paraId="0EAEE51E" w14:textId="77777777" w:rsidR="0035768C" w:rsidRPr="0035768C" w:rsidRDefault="0035768C" w:rsidP="0035768C">
            <w:pPr>
              <w:spacing w:after="0" w:line="240" w:lineRule="auto"/>
              <w:rPr>
                <w:rFonts w:eastAsia="Times New Roman" w:cs="Calibri"/>
                <w:b/>
                <w:bCs/>
                <w:color w:val="000000"/>
                <w:sz w:val="18"/>
                <w:szCs w:val="18"/>
                <w:lang w:eastAsia="en-GB"/>
              </w:rPr>
            </w:pPr>
            <w:r w:rsidRPr="0035768C">
              <w:rPr>
                <w:rFonts w:eastAsia="Times New Roman" w:cs="Calibri"/>
                <w:b/>
                <w:bCs/>
                <w:color w:val="000000"/>
                <w:sz w:val="18"/>
                <w:szCs w:val="18"/>
                <w:lang w:eastAsia="en-GB"/>
              </w:rPr>
              <w:t>H1</w:t>
            </w:r>
            <w:r w:rsidRPr="0035768C">
              <w:rPr>
                <w:rFonts w:eastAsia="Times New Roman" w:cs="Calibri"/>
                <w:color w:val="000000"/>
                <w:sz w:val="18"/>
                <w:szCs w:val="18"/>
                <w:lang w:eastAsia="en-GB"/>
              </w:rPr>
              <w:t>: Disputes</w:t>
            </w:r>
          </w:p>
        </w:tc>
        <w:tc>
          <w:tcPr>
            <w:tcW w:w="758" w:type="pct"/>
            <w:tcBorders>
              <w:top w:val="nil"/>
              <w:left w:val="nil"/>
              <w:bottom w:val="single" w:sz="4" w:space="0" w:color="000000"/>
              <w:right w:val="single" w:sz="4" w:space="0" w:color="000000"/>
            </w:tcBorders>
            <w:shd w:val="clear" w:color="auto" w:fill="auto"/>
            <w:vAlign w:val="center"/>
            <w:hideMark/>
          </w:tcPr>
          <w:p w14:paraId="66986A44"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24" w:type="pct"/>
            <w:tcBorders>
              <w:top w:val="nil"/>
              <w:left w:val="nil"/>
              <w:bottom w:val="single" w:sz="4" w:space="0" w:color="000000"/>
              <w:right w:val="single" w:sz="4" w:space="0" w:color="000000"/>
            </w:tcBorders>
            <w:shd w:val="clear" w:color="auto" w:fill="auto"/>
            <w:vAlign w:val="center"/>
            <w:hideMark/>
          </w:tcPr>
          <w:p w14:paraId="00319FA7"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60" w:type="pct"/>
            <w:tcBorders>
              <w:top w:val="nil"/>
              <w:left w:val="nil"/>
              <w:bottom w:val="single" w:sz="4" w:space="0" w:color="000000"/>
              <w:right w:val="single" w:sz="4" w:space="0" w:color="000000"/>
            </w:tcBorders>
            <w:shd w:val="clear" w:color="auto" w:fill="auto"/>
            <w:vAlign w:val="center"/>
            <w:hideMark/>
          </w:tcPr>
          <w:p w14:paraId="0AC68132"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951" w:type="pct"/>
            <w:tcBorders>
              <w:top w:val="nil"/>
              <w:left w:val="nil"/>
              <w:bottom w:val="single" w:sz="4" w:space="0" w:color="000000"/>
              <w:right w:val="single" w:sz="4" w:space="0" w:color="000000"/>
            </w:tcBorders>
            <w:shd w:val="clear" w:color="auto" w:fill="auto"/>
            <w:vAlign w:val="center"/>
            <w:hideMark/>
          </w:tcPr>
          <w:p w14:paraId="7C56FF21"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r>
      <w:tr w:rsidR="0035768C" w:rsidRPr="0035768C" w14:paraId="1C59993B" w14:textId="77777777" w:rsidTr="00BE72FE">
        <w:trPr>
          <w:trHeight w:val="720"/>
        </w:trPr>
        <w:tc>
          <w:tcPr>
            <w:tcW w:w="1808" w:type="pct"/>
            <w:tcBorders>
              <w:top w:val="nil"/>
              <w:left w:val="single" w:sz="4" w:space="0" w:color="000000"/>
              <w:bottom w:val="nil"/>
              <w:right w:val="single" w:sz="4" w:space="0" w:color="000000"/>
            </w:tcBorders>
            <w:shd w:val="clear" w:color="auto" w:fill="auto"/>
            <w:vAlign w:val="center"/>
            <w:hideMark/>
          </w:tcPr>
          <w:p w14:paraId="33920B81" w14:textId="52128D5B" w:rsidR="0035768C" w:rsidRPr="0035768C" w:rsidRDefault="0035768C" w:rsidP="0080449A">
            <w:pPr>
              <w:spacing w:after="0" w:line="240" w:lineRule="auto"/>
              <w:rPr>
                <w:rFonts w:eastAsia="Times New Roman" w:cs="Calibri"/>
                <w:b/>
                <w:bCs/>
                <w:color w:val="000000"/>
                <w:sz w:val="18"/>
                <w:szCs w:val="18"/>
                <w:lang w:eastAsia="en-GB"/>
              </w:rPr>
            </w:pPr>
            <w:r w:rsidRPr="0035768C">
              <w:rPr>
                <w:rFonts w:eastAsia="Times New Roman" w:cs="Calibri"/>
                <w:b/>
                <w:bCs/>
                <w:color w:val="000000"/>
                <w:sz w:val="18"/>
                <w:szCs w:val="18"/>
                <w:lang w:eastAsia="en-GB"/>
              </w:rPr>
              <w:t>I2</w:t>
            </w:r>
            <w:r w:rsidRPr="0035768C">
              <w:rPr>
                <w:rFonts w:eastAsia="Times New Roman" w:cs="Calibri"/>
                <w:color w:val="000000"/>
                <w:sz w:val="18"/>
                <w:szCs w:val="18"/>
                <w:lang w:eastAsia="en-GB"/>
              </w:rPr>
              <w:t xml:space="preserve">: Housing-Awaiting availability of general needs housing/private landlord accommodation acceptance as </w:t>
            </w:r>
            <w:r w:rsidR="0080449A">
              <w:rPr>
                <w:rFonts w:eastAsia="Times New Roman" w:cs="Calibri"/>
                <w:color w:val="000000"/>
                <w:sz w:val="18"/>
                <w:szCs w:val="18"/>
                <w:lang w:eastAsia="en-GB"/>
              </w:rPr>
              <w:t>service user</w:t>
            </w:r>
            <w:r w:rsidR="0080449A" w:rsidRPr="0035768C">
              <w:rPr>
                <w:rFonts w:eastAsia="Times New Roman" w:cs="Calibri"/>
                <w:color w:val="000000"/>
                <w:sz w:val="18"/>
                <w:szCs w:val="18"/>
                <w:lang w:eastAsia="en-GB"/>
              </w:rPr>
              <w:t xml:space="preserve"> </w:t>
            </w:r>
            <w:r w:rsidRPr="0035768C">
              <w:rPr>
                <w:rFonts w:eastAsia="Times New Roman" w:cs="Calibri"/>
                <w:color w:val="000000"/>
                <w:sz w:val="18"/>
                <w:szCs w:val="18"/>
                <w:lang w:eastAsia="en-GB"/>
              </w:rPr>
              <w:t>NOT covered by Housing Act and/or Care Act</w:t>
            </w:r>
          </w:p>
        </w:tc>
        <w:tc>
          <w:tcPr>
            <w:tcW w:w="758" w:type="pct"/>
            <w:tcBorders>
              <w:top w:val="nil"/>
              <w:left w:val="nil"/>
              <w:bottom w:val="nil"/>
              <w:right w:val="single" w:sz="4" w:space="0" w:color="000000"/>
            </w:tcBorders>
            <w:shd w:val="clear" w:color="auto" w:fill="auto"/>
            <w:vAlign w:val="center"/>
            <w:hideMark/>
          </w:tcPr>
          <w:p w14:paraId="04D03486"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24" w:type="pct"/>
            <w:tcBorders>
              <w:top w:val="nil"/>
              <w:left w:val="nil"/>
              <w:bottom w:val="nil"/>
              <w:right w:val="single" w:sz="4" w:space="0" w:color="000000"/>
            </w:tcBorders>
            <w:shd w:val="clear" w:color="auto" w:fill="auto"/>
            <w:vAlign w:val="center"/>
            <w:hideMark/>
          </w:tcPr>
          <w:p w14:paraId="427BB84B"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60" w:type="pct"/>
            <w:tcBorders>
              <w:top w:val="nil"/>
              <w:left w:val="nil"/>
              <w:bottom w:val="nil"/>
              <w:right w:val="single" w:sz="4" w:space="0" w:color="000000"/>
            </w:tcBorders>
            <w:shd w:val="clear" w:color="auto" w:fill="auto"/>
            <w:vAlign w:val="center"/>
            <w:hideMark/>
          </w:tcPr>
          <w:p w14:paraId="1F59F741"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951" w:type="pct"/>
            <w:tcBorders>
              <w:top w:val="nil"/>
              <w:left w:val="nil"/>
              <w:bottom w:val="nil"/>
              <w:right w:val="single" w:sz="4" w:space="0" w:color="000000"/>
            </w:tcBorders>
            <w:shd w:val="clear" w:color="auto" w:fill="auto"/>
            <w:vAlign w:val="center"/>
            <w:hideMark/>
          </w:tcPr>
          <w:p w14:paraId="596F4291"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r>
      <w:tr w:rsidR="0035768C" w:rsidRPr="0035768C" w14:paraId="2F88894D" w14:textId="77777777" w:rsidTr="00BE72FE">
        <w:trPr>
          <w:trHeight w:val="480"/>
        </w:trPr>
        <w:tc>
          <w:tcPr>
            <w:tcW w:w="1808" w:type="pct"/>
            <w:tcBorders>
              <w:top w:val="single" w:sz="4" w:space="0" w:color="000000"/>
              <w:left w:val="single" w:sz="4" w:space="0" w:color="000000"/>
              <w:bottom w:val="nil"/>
              <w:right w:val="single" w:sz="4" w:space="0" w:color="000000"/>
            </w:tcBorders>
            <w:shd w:val="clear" w:color="auto" w:fill="auto"/>
            <w:vAlign w:val="center"/>
            <w:hideMark/>
          </w:tcPr>
          <w:p w14:paraId="34583D22" w14:textId="2CF19A5D" w:rsidR="0035768C" w:rsidRPr="0035768C" w:rsidRDefault="0035768C" w:rsidP="0080449A">
            <w:pPr>
              <w:spacing w:after="0" w:line="240" w:lineRule="auto"/>
              <w:rPr>
                <w:rFonts w:eastAsia="Times New Roman" w:cs="Calibri"/>
                <w:b/>
                <w:bCs/>
                <w:color w:val="000000"/>
                <w:sz w:val="18"/>
                <w:szCs w:val="18"/>
                <w:lang w:eastAsia="en-GB"/>
              </w:rPr>
            </w:pPr>
            <w:r w:rsidRPr="0035768C">
              <w:rPr>
                <w:rFonts w:eastAsia="Times New Roman" w:cs="Calibri"/>
                <w:b/>
                <w:bCs/>
                <w:color w:val="000000"/>
                <w:sz w:val="18"/>
                <w:szCs w:val="18"/>
                <w:lang w:eastAsia="en-GB"/>
              </w:rPr>
              <w:t>I3</w:t>
            </w:r>
            <w:r w:rsidRPr="0035768C">
              <w:rPr>
                <w:rFonts w:eastAsia="Times New Roman" w:cs="Calibri"/>
                <w:color w:val="000000"/>
                <w:sz w:val="18"/>
                <w:szCs w:val="18"/>
                <w:lang w:eastAsia="en-GB"/>
              </w:rPr>
              <w:t xml:space="preserve">: Housing – single homeless </w:t>
            </w:r>
            <w:r w:rsidR="0080449A">
              <w:rPr>
                <w:rFonts w:eastAsia="Times New Roman" w:cs="Calibri"/>
                <w:color w:val="000000"/>
                <w:sz w:val="18"/>
                <w:szCs w:val="18"/>
                <w:lang w:eastAsia="en-GB"/>
              </w:rPr>
              <w:t>service user</w:t>
            </w:r>
            <w:r w:rsidRPr="0035768C">
              <w:rPr>
                <w:rFonts w:eastAsia="Times New Roman" w:cs="Calibri"/>
                <w:color w:val="000000"/>
                <w:sz w:val="18"/>
                <w:szCs w:val="18"/>
                <w:lang w:eastAsia="en-GB"/>
              </w:rPr>
              <w:t xml:space="preserve">s or asylum seekers NOT </w:t>
            </w:r>
            <w:r w:rsidR="0080449A">
              <w:rPr>
                <w:rFonts w:eastAsia="Times New Roman" w:cs="Calibri"/>
                <w:color w:val="000000"/>
                <w:sz w:val="18"/>
                <w:szCs w:val="18"/>
                <w:lang w:eastAsia="en-GB"/>
              </w:rPr>
              <w:t xml:space="preserve">service user </w:t>
            </w:r>
            <w:r w:rsidRPr="0035768C">
              <w:rPr>
                <w:rFonts w:eastAsia="Times New Roman" w:cs="Calibri"/>
                <w:color w:val="000000"/>
                <w:sz w:val="18"/>
                <w:szCs w:val="18"/>
                <w:lang w:eastAsia="en-GB"/>
              </w:rPr>
              <w:t xml:space="preserve"> not covered by Care Act</w:t>
            </w:r>
          </w:p>
        </w:tc>
        <w:tc>
          <w:tcPr>
            <w:tcW w:w="758" w:type="pct"/>
            <w:tcBorders>
              <w:top w:val="single" w:sz="4" w:space="0" w:color="000000"/>
              <w:left w:val="nil"/>
              <w:bottom w:val="nil"/>
              <w:right w:val="single" w:sz="4" w:space="0" w:color="000000"/>
            </w:tcBorders>
            <w:shd w:val="clear" w:color="auto" w:fill="auto"/>
            <w:vAlign w:val="center"/>
            <w:hideMark/>
          </w:tcPr>
          <w:p w14:paraId="382E0CE1"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24" w:type="pct"/>
            <w:tcBorders>
              <w:top w:val="single" w:sz="4" w:space="0" w:color="000000"/>
              <w:left w:val="nil"/>
              <w:bottom w:val="nil"/>
              <w:right w:val="single" w:sz="4" w:space="0" w:color="000000"/>
            </w:tcBorders>
            <w:shd w:val="clear" w:color="auto" w:fill="auto"/>
            <w:vAlign w:val="center"/>
            <w:hideMark/>
          </w:tcPr>
          <w:p w14:paraId="59B0F12C"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60" w:type="pct"/>
            <w:tcBorders>
              <w:top w:val="single" w:sz="4" w:space="0" w:color="000000"/>
              <w:left w:val="nil"/>
              <w:bottom w:val="nil"/>
              <w:right w:val="single" w:sz="4" w:space="0" w:color="000000"/>
            </w:tcBorders>
            <w:shd w:val="clear" w:color="auto" w:fill="auto"/>
            <w:vAlign w:val="center"/>
            <w:hideMark/>
          </w:tcPr>
          <w:p w14:paraId="7421123A"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951" w:type="pct"/>
            <w:tcBorders>
              <w:top w:val="single" w:sz="4" w:space="0" w:color="000000"/>
              <w:left w:val="nil"/>
              <w:bottom w:val="nil"/>
              <w:right w:val="single" w:sz="4" w:space="0" w:color="000000"/>
            </w:tcBorders>
            <w:shd w:val="clear" w:color="auto" w:fill="auto"/>
            <w:vAlign w:val="center"/>
            <w:hideMark/>
          </w:tcPr>
          <w:p w14:paraId="33C534D4"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r>
      <w:tr w:rsidR="0035768C" w:rsidRPr="0035768C" w14:paraId="13394CEB" w14:textId="77777777" w:rsidTr="00BE72FE">
        <w:trPr>
          <w:trHeight w:val="290"/>
        </w:trPr>
        <w:tc>
          <w:tcPr>
            <w:tcW w:w="1808" w:type="pct"/>
            <w:tcBorders>
              <w:top w:val="single" w:sz="4" w:space="0" w:color="000000"/>
              <w:left w:val="single" w:sz="4" w:space="0" w:color="000000"/>
              <w:bottom w:val="nil"/>
              <w:right w:val="single" w:sz="4" w:space="0" w:color="000000"/>
            </w:tcBorders>
            <w:shd w:val="clear" w:color="auto" w:fill="auto"/>
            <w:vAlign w:val="center"/>
            <w:hideMark/>
          </w:tcPr>
          <w:p w14:paraId="2408121C" w14:textId="77777777" w:rsidR="0035768C" w:rsidRPr="0035768C" w:rsidRDefault="0035768C" w:rsidP="0035768C">
            <w:pPr>
              <w:spacing w:after="0" w:line="240" w:lineRule="auto"/>
              <w:rPr>
                <w:rFonts w:eastAsia="Times New Roman" w:cs="Calibri"/>
                <w:b/>
                <w:bCs/>
                <w:color w:val="000000"/>
                <w:sz w:val="18"/>
                <w:szCs w:val="18"/>
                <w:lang w:eastAsia="en-GB"/>
              </w:rPr>
            </w:pPr>
            <w:r w:rsidRPr="0035768C">
              <w:rPr>
                <w:rFonts w:eastAsia="Times New Roman" w:cs="Calibri"/>
                <w:b/>
                <w:bCs/>
                <w:color w:val="000000"/>
                <w:sz w:val="18"/>
                <w:szCs w:val="18"/>
                <w:lang w:eastAsia="en-GB"/>
              </w:rPr>
              <w:t>J2</w:t>
            </w:r>
            <w:r w:rsidRPr="0035768C">
              <w:rPr>
                <w:rFonts w:eastAsia="Times New Roman" w:cs="Calibri"/>
                <w:color w:val="000000"/>
                <w:sz w:val="18"/>
                <w:szCs w:val="18"/>
                <w:lang w:eastAsia="en-GB"/>
              </w:rPr>
              <w:t>: Housing- Awaiting supported accommodation</w:t>
            </w:r>
          </w:p>
        </w:tc>
        <w:tc>
          <w:tcPr>
            <w:tcW w:w="758" w:type="pct"/>
            <w:tcBorders>
              <w:top w:val="single" w:sz="4" w:space="0" w:color="000000"/>
              <w:left w:val="nil"/>
              <w:bottom w:val="nil"/>
              <w:right w:val="single" w:sz="4" w:space="0" w:color="000000"/>
            </w:tcBorders>
            <w:shd w:val="clear" w:color="auto" w:fill="auto"/>
            <w:vAlign w:val="center"/>
            <w:hideMark/>
          </w:tcPr>
          <w:p w14:paraId="64AB8C6B"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24" w:type="pct"/>
            <w:tcBorders>
              <w:top w:val="single" w:sz="4" w:space="0" w:color="000000"/>
              <w:left w:val="nil"/>
              <w:bottom w:val="nil"/>
              <w:right w:val="single" w:sz="4" w:space="0" w:color="000000"/>
            </w:tcBorders>
            <w:shd w:val="clear" w:color="auto" w:fill="auto"/>
            <w:vAlign w:val="center"/>
            <w:hideMark/>
          </w:tcPr>
          <w:p w14:paraId="2436D351"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60" w:type="pct"/>
            <w:tcBorders>
              <w:top w:val="single" w:sz="4" w:space="0" w:color="000000"/>
              <w:left w:val="nil"/>
              <w:bottom w:val="nil"/>
              <w:right w:val="single" w:sz="4" w:space="0" w:color="000000"/>
            </w:tcBorders>
            <w:shd w:val="clear" w:color="auto" w:fill="auto"/>
            <w:vAlign w:val="center"/>
            <w:hideMark/>
          </w:tcPr>
          <w:p w14:paraId="66559A39"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951" w:type="pct"/>
            <w:tcBorders>
              <w:top w:val="single" w:sz="4" w:space="0" w:color="000000"/>
              <w:left w:val="nil"/>
              <w:bottom w:val="nil"/>
              <w:right w:val="single" w:sz="4" w:space="0" w:color="000000"/>
            </w:tcBorders>
            <w:shd w:val="clear" w:color="auto" w:fill="auto"/>
            <w:vAlign w:val="center"/>
            <w:hideMark/>
          </w:tcPr>
          <w:p w14:paraId="7D0A67B4"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r>
      <w:tr w:rsidR="0035768C" w:rsidRPr="0035768C" w14:paraId="6BEA6D2F" w14:textId="77777777" w:rsidTr="00BE72FE">
        <w:trPr>
          <w:trHeight w:val="480"/>
        </w:trPr>
        <w:tc>
          <w:tcPr>
            <w:tcW w:w="1808" w:type="pct"/>
            <w:tcBorders>
              <w:top w:val="single" w:sz="4" w:space="0" w:color="000000"/>
              <w:left w:val="single" w:sz="4" w:space="0" w:color="000000"/>
              <w:bottom w:val="nil"/>
              <w:right w:val="single" w:sz="4" w:space="0" w:color="000000"/>
            </w:tcBorders>
            <w:shd w:val="clear" w:color="auto" w:fill="auto"/>
            <w:vAlign w:val="center"/>
            <w:hideMark/>
          </w:tcPr>
          <w:p w14:paraId="184895D6" w14:textId="77777777" w:rsidR="0035768C" w:rsidRPr="0035768C" w:rsidRDefault="0035768C" w:rsidP="0035768C">
            <w:pPr>
              <w:spacing w:after="0" w:line="240" w:lineRule="auto"/>
              <w:rPr>
                <w:rFonts w:eastAsia="Times New Roman" w:cs="Calibri"/>
                <w:b/>
                <w:bCs/>
                <w:color w:val="000000"/>
                <w:sz w:val="18"/>
                <w:szCs w:val="18"/>
                <w:lang w:eastAsia="en-GB"/>
              </w:rPr>
            </w:pPr>
            <w:r w:rsidRPr="0035768C">
              <w:rPr>
                <w:rFonts w:eastAsia="Times New Roman" w:cs="Calibri"/>
                <w:b/>
                <w:bCs/>
                <w:color w:val="000000"/>
                <w:sz w:val="18"/>
                <w:szCs w:val="18"/>
                <w:lang w:eastAsia="en-GB"/>
              </w:rPr>
              <w:t>K2</w:t>
            </w:r>
            <w:r w:rsidRPr="0035768C">
              <w:rPr>
                <w:rFonts w:eastAsia="Times New Roman" w:cs="Calibri"/>
                <w:color w:val="000000"/>
                <w:sz w:val="18"/>
                <w:szCs w:val="18"/>
                <w:lang w:eastAsia="en-GB"/>
              </w:rPr>
              <w:t>: Housing- Awaiting emergency accommodation from the Local Authority under the Housing Act</w:t>
            </w:r>
          </w:p>
        </w:tc>
        <w:tc>
          <w:tcPr>
            <w:tcW w:w="758" w:type="pct"/>
            <w:tcBorders>
              <w:top w:val="single" w:sz="4" w:space="0" w:color="000000"/>
              <w:left w:val="nil"/>
              <w:bottom w:val="nil"/>
              <w:right w:val="single" w:sz="4" w:space="0" w:color="000000"/>
            </w:tcBorders>
            <w:shd w:val="clear" w:color="auto" w:fill="auto"/>
            <w:vAlign w:val="center"/>
            <w:hideMark/>
          </w:tcPr>
          <w:p w14:paraId="33A8EAA4"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24" w:type="pct"/>
            <w:tcBorders>
              <w:top w:val="single" w:sz="4" w:space="0" w:color="000000"/>
              <w:left w:val="nil"/>
              <w:bottom w:val="nil"/>
              <w:right w:val="single" w:sz="4" w:space="0" w:color="000000"/>
            </w:tcBorders>
            <w:shd w:val="clear" w:color="auto" w:fill="auto"/>
            <w:vAlign w:val="center"/>
            <w:hideMark/>
          </w:tcPr>
          <w:p w14:paraId="723E5C62"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60" w:type="pct"/>
            <w:tcBorders>
              <w:top w:val="single" w:sz="4" w:space="0" w:color="000000"/>
              <w:left w:val="nil"/>
              <w:bottom w:val="nil"/>
              <w:right w:val="single" w:sz="4" w:space="0" w:color="000000"/>
            </w:tcBorders>
            <w:shd w:val="clear" w:color="auto" w:fill="auto"/>
            <w:vAlign w:val="center"/>
            <w:hideMark/>
          </w:tcPr>
          <w:p w14:paraId="5D6B0E64"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951" w:type="pct"/>
            <w:tcBorders>
              <w:top w:val="single" w:sz="4" w:space="0" w:color="000000"/>
              <w:left w:val="nil"/>
              <w:bottom w:val="nil"/>
              <w:right w:val="single" w:sz="4" w:space="0" w:color="000000"/>
            </w:tcBorders>
            <w:shd w:val="clear" w:color="auto" w:fill="auto"/>
            <w:vAlign w:val="center"/>
            <w:hideMark/>
          </w:tcPr>
          <w:p w14:paraId="6F13F6A8"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r>
      <w:tr w:rsidR="0035768C" w:rsidRPr="0035768C" w14:paraId="38F6A039" w14:textId="77777777" w:rsidTr="00BE72FE">
        <w:trPr>
          <w:trHeight w:val="480"/>
        </w:trPr>
        <w:tc>
          <w:tcPr>
            <w:tcW w:w="1808" w:type="pct"/>
            <w:tcBorders>
              <w:top w:val="single" w:sz="4" w:space="0" w:color="000000"/>
              <w:left w:val="single" w:sz="4" w:space="0" w:color="000000"/>
              <w:bottom w:val="nil"/>
              <w:right w:val="single" w:sz="4" w:space="0" w:color="000000"/>
            </w:tcBorders>
            <w:shd w:val="clear" w:color="auto" w:fill="auto"/>
            <w:vAlign w:val="center"/>
            <w:hideMark/>
          </w:tcPr>
          <w:p w14:paraId="1B6BA27B" w14:textId="77777777" w:rsidR="0035768C" w:rsidRPr="0035768C" w:rsidRDefault="0035768C" w:rsidP="0035768C">
            <w:pPr>
              <w:spacing w:after="0" w:line="240" w:lineRule="auto"/>
              <w:rPr>
                <w:rFonts w:eastAsia="Times New Roman" w:cs="Calibri"/>
                <w:b/>
                <w:bCs/>
                <w:color w:val="000000"/>
                <w:sz w:val="18"/>
                <w:szCs w:val="18"/>
                <w:lang w:eastAsia="en-GB"/>
              </w:rPr>
            </w:pPr>
            <w:r w:rsidRPr="0035768C">
              <w:rPr>
                <w:rFonts w:eastAsia="Times New Roman" w:cs="Calibri"/>
                <w:b/>
                <w:bCs/>
                <w:color w:val="000000"/>
                <w:sz w:val="18"/>
                <w:szCs w:val="18"/>
                <w:lang w:eastAsia="en-GB"/>
              </w:rPr>
              <w:t>L1</w:t>
            </w:r>
            <w:r w:rsidRPr="0035768C">
              <w:rPr>
                <w:rFonts w:eastAsia="Times New Roman" w:cs="Calibri"/>
                <w:color w:val="000000"/>
                <w:sz w:val="18"/>
                <w:szCs w:val="18"/>
                <w:lang w:eastAsia="en-GB"/>
              </w:rPr>
              <w:t>: Child or young person awaiting social care or family placement</w:t>
            </w:r>
          </w:p>
        </w:tc>
        <w:tc>
          <w:tcPr>
            <w:tcW w:w="758" w:type="pct"/>
            <w:tcBorders>
              <w:top w:val="single" w:sz="4" w:space="0" w:color="000000"/>
              <w:left w:val="nil"/>
              <w:bottom w:val="nil"/>
              <w:right w:val="single" w:sz="4" w:space="0" w:color="000000"/>
            </w:tcBorders>
            <w:shd w:val="clear" w:color="auto" w:fill="auto"/>
            <w:vAlign w:val="center"/>
            <w:hideMark/>
          </w:tcPr>
          <w:p w14:paraId="0B450CA6"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24" w:type="pct"/>
            <w:tcBorders>
              <w:top w:val="single" w:sz="4" w:space="0" w:color="000000"/>
              <w:left w:val="nil"/>
              <w:bottom w:val="nil"/>
              <w:right w:val="single" w:sz="4" w:space="0" w:color="000000"/>
            </w:tcBorders>
            <w:shd w:val="clear" w:color="auto" w:fill="auto"/>
            <w:vAlign w:val="center"/>
            <w:hideMark/>
          </w:tcPr>
          <w:p w14:paraId="7302E61D"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60" w:type="pct"/>
            <w:tcBorders>
              <w:top w:val="single" w:sz="4" w:space="0" w:color="000000"/>
              <w:left w:val="nil"/>
              <w:bottom w:val="nil"/>
              <w:right w:val="single" w:sz="4" w:space="0" w:color="000000"/>
            </w:tcBorders>
            <w:shd w:val="clear" w:color="auto" w:fill="auto"/>
            <w:vAlign w:val="center"/>
            <w:hideMark/>
          </w:tcPr>
          <w:p w14:paraId="5142CE03"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951" w:type="pct"/>
            <w:tcBorders>
              <w:top w:val="single" w:sz="4" w:space="0" w:color="000000"/>
              <w:left w:val="nil"/>
              <w:bottom w:val="nil"/>
              <w:right w:val="single" w:sz="4" w:space="0" w:color="000000"/>
            </w:tcBorders>
            <w:shd w:val="clear" w:color="auto" w:fill="auto"/>
            <w:vAlign w:val="center"/>
            <w:hideMark/>
          </w:tcPr>
          <w:p w14:paraId="0AE61D17"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r>
      <w:tr w:rsidR="0035768C" w:rsidRPr="0035768C" w14:paraId="79D1CCED" w14:textId="77777777" w:rsidTr="00BE72FE">
        <w:trPr>
          <w:trHeight w:val="480"/>
        </w:trPr>
        <w:tc>
          <w:tcPr>
            <w:tcW w:w="18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6D6C44" w14:textId="77777777" w:rsidR="0035768C" w:rsidRPr="0035768C" w:rsidRDefault="0035768C" w:rsidP="0035768C">
            <w:pPr>
              <w:spacing w:after="0" w:line="240" w:lineRule="auto"/>
              <w:rPr>
                <w:rFonts w:eastAsia="Times New Roman" w:cs="Calibri"/>
                <w:b/>
                <w:bCs/>
                <w:color w:val="000000"/>
                <w:sz w:val="18"/>
                <w:szCs w:val="18"/>
                <w:lang w:eastAsia="en-GB"/>
              </w:rPr>
            </w:pPr>
            <w:r w:rsidRPr="0035768C">
              <w:rPr>
                <w:rFonts w:eastAsia="Times New Roman" w:cs="Calibri"/>
                <w:b/>
                <w:bCs/>
                <w:color w:val="000000"/>
                <w:sz w:val="18"/>
                <w:szCs w:val="18"/>
                <w:lang w:eastAsia="en-GB"/>
              </w:rPr>
              <w:t>M1</w:t>
            </w:r>
            <w:r w:rsidRPr="0035768C">
              <w:rPr>
                <w:rFonts w:eastAsia="Times New Roman" w:cs="Calibri"/>
                <w:color w:val="000000"/>
                <w:sz w:val="18"/>
                <w:szCs w:val="18"/>
                <w:lang w:eastAsia="en-GB"/>
              </w:rPr>
              <w:t>: Awaiting Ministry of Justice agreement/ permission of proposed placement</w:t>
            </w:r>
          </w:p>
        </w:tc>
        <w:tc>
          <w:tcPr>
            <w:tcW w:w="758" w:type="pct"/>
            <w:tcBorders>
              <w:top w:val="single" w:sz="4" w:space="0" w:color="000000"/>
              <w:left w:val="nil"/>
              <w:bottom w:val="single" w:sz="4" w:space="0" w:color="000000"/>
              <w:right w:val="single" w:sz="4" w:space="0" w:color="000000"/>
            </w:tcBorders>
            <w:shd w:val="clear" w:color="auto" w:fill="auto"/>
            <w:vAlign w:val="center"/>
            <w:hideMark/>
          </w:tcPr>
          <w:p w14:paraId="48DF6A6F"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24" w:type="pct"/>
            <w:tcBorders>
              <w:top w:val="single" w:sz="4" w:space="0" w:color="000000"/>
              <w:left w:val="nil"/>
              <w:bottom w:val="single" w:sz="4" w:space="0" w:color="000000"/>
              <w:right w:val="single" w:sz="4" w:space="0" w:color="000000"/>
            </w:tcBorders>
            <w:shd w:val="clear" w:color="auto" w:fill="auto"/>
            <w:vAlign w:val="center"/>
            <w:hideMark/>
          </w:tcPr>
          <w:p w14:paraId="3E02F639"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60" w:type="pct"/>
            <w:tcBorders>
              <w:top w:val="single" w:sz="4" w:space="0" w:color="000000"/>
              <w:left w:val="nil"/>
              <w:bottom w:val="single" w:sz="4" w:space="0" w:color="000000"/>
              <w:right w:val="single" w:sz="4" w:space="0" w:color="000000"/>
            </w:tcBorders>
            <w:shd w:val="clear" w:color="auto" w:fill="auto"/>
            <w:vAlign w:val="center"/>
            <w:hideMark/>
          </w:tcPr>
          <w:p w14:paraId="12ACB0A4"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951" w:type="pct"/>
            <w:tcBorders>
              <w:top w:val="single" w:sz="4" w:space="0" w:color="000000"/>
              <w:left w:val="nil"/>
              <w:bottom w:val="single" w:sz="4" w:space="0" w:color="000000"/>
              <w:right w:val="single" w:sz="4" w:space="0" w:color="000000"/>
            </w:tcBorders>
            <w:shd w:val="clear" w:color="auto" w:fill="auto"/>
            <w:vAlign w:val="center"/>
            <w:hideMark/>
          </w:tcPr>
          <w:p w14:paraId="06014572"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r>
      <w:tr w:rsidR="0035768C" w:rsidRPr="0035768C" w14:paraId="377ED56E" w14:textId="77777777" w:rsidTr="00BE72FE">
        <w:trPr>
          <w:trHeight w:val="690"/>
        </w:trPr>
        <w:tc>
          <w:tcPr>
            <w:tcW w:w="1808" w:type="pct"/>
            <w:tcBorders>
              <w:top w:val="nil"/>
              <w:left w:val="single" w:sz="4" w:space="0" w:color="000000"/>
              <w:bottom w:val="nil"/>
              <w:right w:val="single" w:sz="4" w:space="0" w:color="000000"/>
            </w:tcBorders>
            <w:shd w:val="clear" w:color="auto" w:fill="auto"/>
            <w:vAlign w:val="center"/>
            <w:hideMark/>
          </w:tcPr>
          <w:p w14:paraId="00AF87E1" w14:textId="77777777" w:rsidR="0035768C" w:rsidRPr="0035768C" w:rsidRDefault="0035768C" w:rsidP="0035768C">
            <w:pPr>
              <w:spacing w:after="0" w:line="240" w:lineRule="auto"/>
              <w:rPr>
                <w:rFonts w:eastAsia="Times New Roman" w:cs="Calibri"/>
                <w:b/>
                <w:bCs/>
                <w:color w:val="000000"/>
                <w:sz w:val="18"/>
                <w:szCs w:val="18"/>
                <w:lang w:eastAsia="en-GB"/>
              </w:rPr>
            </w:pPr>
            <w:r w:rsidRPr="0035768C">
              <w:rPr>
                <w:rFonts w:eastAsia="Times New Roman" w:cs="Calibri"/>
                <w:b/>
                <w:bCs/>
                <w:color w:val="000000"/>
                <w:sz w:val="18"/>
                <w:szCs w:val="18"/>
                <w:lang w:eastAsia="en-GB"/>
              </w:rPr>
              <w:t>N1</w:t>
            </w:r>
            <w:r w:rsidRPr="0035768C">
              <w:rPr>
                <w:rFonts w:eastAsia="Times New Roman" w:cs="Calibri"/>
                <w:color w:val="000000"/>
                <w:sz w:val="18"/>
                <w:szCs w:val="18"/>
                <w:lang w:eastAsia="en-GB"/>
              </w:rPr>
              <w:t>: Awaiting outcome of legal requirements (mental capacity/mental health legislation)</w:t>
            </w:r>
          </w:p>
        </w:tc>
        <w:tc>
          <w:tcPr>
            <w:tcW w:w="758" w:type="pct"/>
            <w:tcBorders>
              <w:top w:val="nil"/>
              <w:left w:val="nil"/>
              <w:bottom w:val="nil"/>
              <w:right w:val="single" w:sz="4" w:space="0" w:color="000000"/>
            </w:tcBorders>
            <w:shd w:val="clear" w:color="auto" w:fill="auto"/>
            <w:vAlign w:val="center"/>
            <w:hideMark/>
          </w:tcPr>
          <w:p w14:paraId="68FC65E1"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24" w:type="pct"/>
            <w:tcBorders>
              <w:top w:val="nil"/>
              <w:left w:val="nil"/>
              <w:bottom w:val="nil"/>
              <w:right w:val="single" w:sz="4" w:space="0" w:color="000000"/>
            </w:tcBorders>
            <w:shd w:val="clear" w:color="auto" w:fill="auto"/>
            <w:vAlign w:val="center"/>
            <w:hideMark/>
          </w:tcPr>
          <w:p w14:paraId="35DD49D9"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60" w:type="pct"/>
            <w:tcBorders>
              <w:top w:val="nil"/>
              <w:left w:val="nil"/>
              <w:bottom w:val="nil"/>
              <w:right w:val="single" w:sz="4" w:space="0" w:color="000000"/>
            </w:tcBorders>
            <w:shd w:val="clear" w:color="auto" w:fill="auto"/>
            <w:vAlign w:val="center"/>
            <w:hideMark/>
          </w:tcPr>
          <w:p w14:paraId="0566D85C"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951" w:type="pct"/>
            <w:tcBorders>
              <w:top w:val="nil"/>
              <w:left w:val="nil"/>
              <w:bottom w:val="nil"/>
              <w:right w:val="single" w:sz="4" w:space="0" w:color="000000"/>
            </w:tcBorders>
            <w:shd w:val="clear" w:color="auto" w:fill="auto"/>
            <w:vAlign w:val="center"/>
            <w:hideMark/>
          </w:tcPr>
          <w:p w14:paraId="558702AF" w14:textId="77777777" w:rsidR="0035768C" w:rsidRPr="0035768C" w:rsidRDefault="0035768C" w:rsidP="0035768C">
            <w:pPr>
              <w:spacing w:after="0" w:line="240" w:lineRule="auto"/>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r w:rsidRPr="0035768C">
              <w:rPr>
                <w:rFonts w:ascii="Times New Roman" w:eastAsia="Times New Roman" w:hAnsi="Times New Roman"/>
                <w:color w:val="000000"/>
                <w:sz w:val="18"/>
                <w:szCs w:val="18"/>
                <w:lang w:eastAsia="en-GB"/>
              </w:rPr>
              <w:t xml:space="preserve"> </w:t>
            </w:r>
            <w:r w:rsidRPr="0035768C">
              <w:rPr>
                <w:rFonts w:ascii="Arial" w:eastAsia="Times New Roman" w:hAnsi="Arial" w:cs="Arial"/>
                <w:color w:val="000000"/>
                <w:sz w:val="18"/>
                <w:szCs w:val="18"/>
                <w:lang w:eastAsia="en-GB"/>
              </w:rPr>
              <w:t>in sheltered or supported housing</w:t>
            </w:r>
          </w:p>
        </w:tc>
      </w:tr>
      <w:tr w:rsidR="0035768C" w:rsidRPr="0035768C" w14:paraId="2E1FF204" w14:textId="77777777" w:rsidTr="00BE72FE">
        <w:trPr>
          <w:trHeight w:val="480"/>
        </w:trPr>
        <w:tc>
          <w:tcPr>
            <w:tcW w:w="18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CEBF58" w14:textId="77777777" w:rsidR="0035768C" w:rsidRPr="0035768C" w:rsidRDefault="0035768C" w:rsidP="0035768C">
            <w:pPr>
              <w:spacing w:after="0" w:line="240" w:lineRule="auto"/>
              <w:jc w:val="both"/>
              <w:rPr>
                <w:rFonts w:eastAsia="Times New Roman" w:cs="Calibri"/>
                <w:b/>
                <w:bCs/>
                <w:color w:val="000000"/>
                <w:sz w:val="18"/>
                <w:szCs w:val="18"/>
                <w:lang w:eastAsia="en-GB"/>
              </w:rPr>
            </w:pPr>
            <w:r w:rsidRPr="0035768C">
              <w:rPr>
                <w:rFonts w:eastAsia="Times New Roman" w:cs="Calibri"/>
                <w:b/>
                <w:bCs/>
                <w:color w:val="000000"/>
                <w:sz w:val="18"/>
                <w:szCs w:val="18"/>
                <w:lang w:eastAsia="en-GB"/>
              </w:rPr>
              <w:t>P1</w:t>
            </w:r>
            <w:r w:rsidRPr="0035768C">
              <w:rPr>
                <w:rFonts w:eastAsia="Times New Roman" w:cs="Calibri"/>
                <w:color w:val="000000"/>
                <w:sz w:val="18"/>
                <w:szCs w:val="18"/>
                <w:lang w:eastAsia="en-GB"/>
              </w:rPr>
              <w:t>: Awaiting residential special school or college placement or availability</w:t>
            </w:r>
          </w:p>
        </w:tc>
        <w:tc>
          <w:tcPr>
            <w:tcW w:w="758" w:type="pct"/>
            <w:tcBorders>
              <w:top w:val="single" w:sz="4" w:space="0" w:color="000000"/>
              <w:left w:val="nil"/>
              <w:bottom w:val="single" w:sz="4" w:space="0" w:color="000000"/>
              <w:right w:val="single" w:sz="4" w:space="0" w:color="000000"/>
            </w:tcBorders>
            <w:shd w:val="clear" w:color="auto" w:fill="auto"/>
            <w:vAlign w:val="center"/>
            <w:hideMark/>
          </w:tcPr>
          <w:p w14:paraId="718F5966"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24" w:type="pct"/>
            <w:tcBorders>
              <w:top w:val="single" w:sz="4" w:space="0" w:color="000000"/>
              <w:left w:val="nil"/>
              <w:bottom w:val="single" w:sz="4" w:space="0" w:color="000000"/>
              <w:right w:val="single" w:sz="4" w:space="0" w:color="000000"/>
            </w:tcBorders>
            <w:shd w:val="clear" w:color="auto" w:fill="auto"/>
            <w:vAlign w:val="center"/>
            <w:hideMark/>
          </w:tcPr>
          <w:p w14:paraId="2365945E"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60" w:type="pct"/>
            <w:tcBorders>
              <w:top w:val="single" w:sz="4" w:space="0" w:color="000000"/>
              <w:left w:val="nil"/>
              <w:bottom w:val="single" w:sz="4" w:space="0" w:color="000000"/>
              <w:right w:val="single" w:sz="4" w:space="0" w:color="000000"/>
            </w:tcBorders>
            <w:shd w:val="clear" w:color="auto" w:fill="auto"/>
            <w:vAlign w:val="center"/>
            <w:hideMark/>
          </w:tcPr>
          <w:p w14:paraId="0AF9ACCC"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951" w:type="pct"/>
            <w:tcBorders>
              <w:top w:val="single" w:sz="4" w:space="0" w:color="000000"/>
              <w:left w:val="nil"/>
              <w:bottom w:val="single" w:sz="4" w:space="0" w:color="000000"/>
              <w:right w:val="single" w:sz="4" w:space="0" w:color="000000"/>
            </w:tcBorders>
            <w:shd w:val="clear" w:color="auto" w:fill="auto"/>
            <w:vAlign w:val="center"/>
            <w:hideMark/>
          </w:tcPr>
          <w:p w14:paraId="2766CF00"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r>
      <w:tr w:rsidR="0035768C" w:rsidRPr="0035768C" w14:paraId="181141F3" w14:textId="77777777" w:rsidTr="00BE72FE">
        <w:trPr>
          <w:trHeight w:val="290"/>
        </w:trPr>
        <w:tc>
          <w:tcPr>
            <w:tcW w:w="1808" w:type="pct"/>
            <w:tcBorders>
              <w:top w:val="nil"/>
              <w:left w:val="single" w:sz="4" w:space="0" w:color="000000"/>
              <w:bottom w:val="single" w:sz="4" w:space="0" w:color="000000"/>
              <w:right w:val="single" w:sz="4" w:space="0" w:color="000000"/>
            </w:tcBorders>
            <w:shd w:val="clear" w:color="auto" w:fill="auto"/>
            <w:vAlign w:val="center"/>
            <w:hideMark/>
          </w:tcPr>
          <w:p w14:paraId="1A945414" w14:textId="77777777" w:rsidR="0035768C" w:rsidRPr="0035768C" w:rsidRDefault="0035768C" w:rsidP="0035768C">
            <w:pPr>
              <w:spacing w:after="0" w:line="240" w:lineRule="auto"/>
              <w:rPr>
                <w:rFonts w:eastAsia="Times New Roman" w:cs="Calibri"/>
                <w:b/>
                <w:bCs/>
                <w:color w:val="000000"/>
                <w:sz w:val="18"/>
                <w:szCs w:val="18"/>
                <w:lang w:eastAsia="en-GB"/>
              </w:rPr>
            </w:pPr>
            <w:r w:rsidRPr="0035768C">
              <w:rPr>
                <w:rFonts w:eastAsia="Times New Roman" w:cs="Calibri"/>
                <w:b/>
                <w:bCs/>
                <w:color w:val="000000"/>
                <w:sz w:val="18"/>
                <w:szCs w:val="18"/>
                <w:lang w:eastAsia="en-GB"/>
              </w:rPr>
              <w:lastRenderedPageBreak/>
              <w:t>Q1</w:t>
            </w:r>
            <w:r w:rsidRPr="0035768C">
              <w:rPr>
                <w:rFonts w:eastAsia="Times New Roman" w:cs="Calibri"/>
                <w:color w:val="000000"/>
                <w:sz w:val="18"/>
                <w:szCs w:val="18"/>
                <w:lang w:eastAsia="en-GB"/>
              </w:rPr>
              <w:t>: Lack of local education support</w:t>
            </w:r>
          </w:p>
        </w:tc>
        <w:tc>
          <w:tcPr>
            <w:tcW w:w="758" w:type="pct"/>
            <w:tcBorders>
              <w:top w:val="nil"/>
              <w:left w:val="nil"/>
              <w:bottom w:val="single" w:sz="4" w:space="0" w:color="000000"/>
              <w:right w:val="single" w:sz="4" w:space="0" w:color="000000"/>
            </w:tcBorders>
            <w:shd w:val="clear" w:color="auto" w:fill="auto"/>
            <w:vAlign w:val="center"/>
            <w:hideMark/>
          </w:tcPr>
          <w:p w14:paraId="476A47D3"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24" w:type="pct"/>
            <w:tcBorders>
              <w:top w:val="nil"/>
              <w:left w:val="nil"/>
              <w:bottom w:val="single" w:sz="4" w:space="0" w:color="000000"/>
              <w:right w:val="single" w:sz="4" w:space="0" w:color="000000"/>
            </w:tcBorders>
            <w:shd w:val="clear" w:color="auto" w:fill="auto"/>
            <w:vAlign w:val="center"/>
            <w:hideMark/>
          </w:tcPr>
          <w:p w14:paraId="53524B35"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60" w:type="pct"/>
            <w:tcBorders>
              <w:top w:val="nil"/>
              <w:left w:val="nil"/>
              <w:bottom w:val="single" w:sz="4" w:space="0" w:color="000000"/>
              <w:right w:val="single" w:sz="4" w:space="0" w:color="000000"/>
            </w:tcBorders>
            <w:shd w:val="clear" w:color="auto" w:fill="auto"/>
            <w:vAlign w:val="center"/>
            <w:hideMark/>
          </w:tcPr>
          <w:p w14:paraId="171C1D21"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951" w:type="pct"/>
            <w:tcBorders>
              <w:top w:val="nil"/>
              <w:left w:val="nil"/>
              <w:bottom w:val="single" w:sz="4" w:space="0" w:color="000000"/>
              <w:right w:val="single" w:sz="4" w:space="0" w:color="000000"/>
            </w:tcBorders>
            <w:shd w:val="clear" w:color="auto" w:fill="auto"/>
            <w:vAlign w:val="center"/>
            <w:hideMark/>
          </w:tcPr>
          <w:p w14:paraId="2C962B8B"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r>
      <w:tr w:rsidR="0035768C" w:rsidRPr="0035768C" w14:paraId="35B55E2B" w14:textId="77777777" w:rsidTr="00BE72FE">
        <w:trPr>
          <w:trHeight w:val="480"/>
        </w:trPr>
        <w:tc>
          <w:tcPr>
            <w:tcW w:w="1808" w:type="pct"/>
            <w:tcBorders>
              <w:top w:val="nil"/>
              <w:left w:val="single" w:sz="4" w:space="0" w:color="000000"/>
              <w:bottom w:val="single" w:sz="4" w:space="0" w:color="000000"/>
              <w:right w:val="single" w:sz="4" w:space="0" w:color="000000"/>
            </w:tcBorders>
            <w:shd w:val="clear" w:color="auto" w:fill="auto"/>
            <w:vAlign w:val="center"/>
            <w:hideMark/>
          </w:tcPr>
          <w:p w14:paraId="691BC192" w14:textId="77777777" w:rsidR="0035768C" w:rsidRPr="0035768C" w:rsidRDefault="0035768C" w:rsidP="0035768C">
            <w:pPr>
              <w:spacing w:after="0" w:line="240" w:lineRule="auto"/>
              <w:rPr>
                <w:rFonts w:eastAsia="Times New Roman" w:cs="Calibri"/>
                <w:b/>
                <w:bCs/>
                <w:color w:val="000000"/>
                <w:sz w:val="18"/>
                <w:szCs w:val="18"/>
                <w:lang w:eastAsia="en-GB"/>
              </w:rPr>
            </w:pPr>
            <w:r w:rsidRPr="0035768C">
              <w:rPr>
                <w:rFonts w:eastAsia="Times New Roman" w:cs="Calibri"/>
                <w:b/>
                <w:bCs/>
                <w:color w:val="000000"/>
                <w:sz w:val="18"/>
                <w:szCs w:val="18"/>
                <w:lang w:eastAsia="en-GB"/>
              </w:rPr>
              <w:t>R1</w:t>
            </w:r>
            <w:r w:rsidRPr="0035768C">
              <w:rPr>
                <w:rFonts w:eastAsia="Times New Roman" w:cs="Calibri"/>
                <w:color w:val="000000"/>
                <w:sz w:val="18"/>
                <w:szCs w:val="18"/>
                <w:lang w:eastAsia="en-GB"/>
              </w:rPr>
              <w:t>: Public safety concern unrelated to clinical treatment need (care team)</w:t>
            </w:r>
          </w:p>
        </w:tc>
        <w:tc>
          <w:tcPr>
            <w:tcW w:w="758" w:type="pct"/>
            <w:tcBorders>
              <w:top w:val="nil"/>
              <w:left w:val="nil"/>
              <w:bottom w:val="single" w:sz="4" w:space="0" w:color="000000"/>
              <w:right w:val="single" w:sz="4" w:space="0" w:color="000000"/>
            </w:tcBorders>
            <w:shd w:val="clear" w:color="auto" w:fill="auto"/>
            <w:vAlign w:val="center"/>
            <w:hideMark/>
          </w:tcPr>
          <w:p w14:paraId="68DDE404"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24" w:type="pct"/>
            <w:tcBorders>
              <w:top w:val="nil"/>
              <w:left w:val="nil"/>
              <w:bottom w:val="single" w:sz="4" w:space="0" w:color="000000"/>
              <w:right w:val="single" w:sz="4" w:space="0" w:color="000000"/>
            </w:tcBorders>
            <w:shd w:val="clear" w:color="auto" w:fill="auto"/>
            <w:vAlign w:val="center"/>
            <w:hideMark/>
          </w:tcPr>
          <w:p w14:paraId="23814F76"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60" w:type="pct"/>
            <w:tcBorders>
              <w:top w:val="nil"/>
              <w:left w:val="nil"/>
              <w:bottom w:val="single" w:sz="4" w:space="0" w:color="000000"/>
              <w:right w:val="single" w:sz="4" w:space="0" w:color="000000"/>
            </w:tcBorders>
            <w:shd w:val="clear" w:color="auto" w:fill="auto"/>
            <w:vAlign w:val="center"/>
            <w:hideMark/>
          </w:tcPr>
          <w:p w14:paraId="32D22BD3"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951" w:type="pct"/>
            <w:tcBorders>
              <w:top w:val="nil"/>
              <w:left w:val="nil"/>
              <w:bottom w:val="single" w:sz="4" w:space="0" w:color="000000"/>
              <w:right w:val="single" w:sz="4" w:space="0" w:color="000000"/>
            </w:tcBorders>
            <w:shd w:val="clear" w:color="auto" w:fill="auto"/>
            <w:vAlign w:val="center"/>
            <w:hideMark/>
          </w:tcPr>
          <w:p w14:paraId="43E7FBD8"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r>
      <w:tr w:rsidR="0035768C" w:rsidRPr="0035768C" w14:paraId="232E8FE6" w14:textId="77777777" w:rsidTr="00BE72FE">
        <w:trPr>
          <w:trHeight w:val="480"/>
        </w:trPr>
        <w:tc>
          <w:tcPr>
            <w:tcW w:w="1808" w:type="pct"/>
            <w:tcBorders>
              <w:top w:val="nil"/>
              <w:left w:val="single" w:sz="4" w:space="0" w:color="000000"/>
              <w:bottom w:val="single" w:sz="4" w:space="0" w:color="000000"/>
              <w:right w:val="single" w:sz="4" w:space="0" w:color="000000"/>
            </w:tcBorders>
            <w:shd w:val="clear" w:color="auto" w:fill="auto"/>
            <w:vAlign w:val="center"/>
            <w:hideMark/>
          </w:tcPr>
          <w:p w14:paraId="09EA6327" w14:textId="77777777" w:rsidR="0035768C" w:rsidRPr="0035768C" w:rsidRDefault="0035768C" w:rsidP="0035768C">
            <w:pPr>
              <w:spacing w:after="0" w:line="240" w:lineRule="auto"/>
              <w:rPr>
                <w:rFonts w:eastAsia="Times New Roman" w:cs="Calibri"/>
                <w:b/>
                <w:bCs/>
                <w:color w:val="000000"/>
                <w:sz w:val="18"/>
                <w:szCs w:val="18"/>
                <w:lang w:eastAsia="en-GB"/>
              </w:rPr>
            </w:pPr>
            <w:r w:rsidRPr="0035768C">
              <w:rPr>
                <w:rFonts w:eastAsia="Times New Roman" w:cs="Calibri"/>
                <w:b/>
                <w:bCs/>
                <w:color w:val="000000"/>
                <w:sz w:val="18"/>
                <w:szCs w:val="18"/>
                <w:lang w:eastAsia="en-GB"/>
              </w:rPr>
              <w:t>R2</w:t>
            </w:r>
            <w:r w:rsidRPr="0035768C">
              <w:rPr>
                <w:rFonts w:eastAsia="Times New Roman" w:cs="Calibri"/>
                <w:color w:val="000000"/>
                <w:sz w:val="18"/>
                <w:szCs w:val="18"/>
                <w:lang w:eastAsia="en-GB"/>
              </w:rPr>
              <w:t>: Public safety concern unrelated to clinical treatment need (Ministry of Justice)</w:t>
            </w:r>
          </w:p>
        </w:tc>
        <w:tc>
          <w:tcPr>
            <w:tcW w:w="758" w:type="pct"/>
            <w:tcBorders>
              <w:top w:val="nil"/>
              <w:left w:val="nil"/>
              <w:bottom w:val="single" w:sz="4" w:space="0" w:color="000000"/>
              <w:right w:val="single" w:sz="4" w:space="0" w:color="000000"/>
            </w:tcBorders>
            <w:shd w:val="clear" w:color="auto" w:fill="auto"/>
            <w:vAlign w:val="center"/>
            <w:hideMark/>
          </w:tcPr>
          <w:p w14:paraId="7FEA863D"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24" w:type="pct"/>
            <w:tcBorders>
              <w:top w:val="nil"/>
              <w:left w:val="nil"/>
              <w:bottom w:val="single" w:sz="4" w:space="0" w:color="000000"/>
              <w:right w:val="single" w:sz="4" w:space="0" w:color="000000"/>
            </w:tcBorders>
            <w:shd w:val="clear" w:color="auto" w:fill="auto"/>
            <w:vAlign w:val="center"/>
            <w:hideMark/>
          </w:tcPr>
          <w:p w14:paraId="632CBF67"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60" w:type="pct"/>
            <w:tcBorders>
              <w:top w:val="nil"/>
              <w:left w:val="nil"/>
              <w:bottom w:val="single" w:sz="4" w:space="0" w:color="000000"/>
              <w:right w:val="single" w:sz="4" w:space="0" w:color="000000"/>
            </w:tcBorders>
            <w:shd w:val="clear" w:color="auto" w:fill="auto"/>
            <w:vAlign w:val="center"/>
            <w:hideMark/>
          </w:tcPr>
          <w:p w14:paraId="46B7CC54"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951" w:type="pct"/>
            <w:tcBorders>
              <w:top w:val="nil"/>
              <w:left w:val="nil"/>
              <w:bottom w:val="single" w:sz="4" w:space="0" w:color="000000"/>
              <w:right w:val="single" w:sz="4" w:space="0" w:color="000000"/>
            </w:tcBorders>
            <w:shd w:val="clear" w:color="auto" w:fill="auto"/>
            <w:vAlign w:val="center"/>
            <w:hideMark/>
          </w:tcPr>
          <w:p w14:paraId="14267A4D"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r>
      <w:tr w:rsidR="0035768C" w:rsidRPr="0035768C" w14:paraId="7D27FB66" w14:textId="77777777" w:rsidTr="00BE72FE">
        <w:trPr>
          <w:trHeight w:val="290"/>
        </w:trPr>
        <w:tc>
          <w:tcPr>
            <w:tcW w:w="1808" w:type="pct"/>
            <w:tcBorders>
              <w:top w:val="nil"/>
              <w:left w:val="single" w:sz="4" w:space="0" w:color="000000"/>
              <w:bottom w:val="single" w:sz="4" w:space="0" w:color="000000"/>
              <w:right w:val="single" w:sz="4" w:space="0" w:color="000000"/>
            </w:tcBorders>
            <w:shd w:val="clear" w:color="auto" w:fill="auto"/>
            <w:vAlign w:val="center"/>
            <w:hideMark/>
          </w:tcPr>
          <w:p w14:paraId="4C533FAC" w14:textId="77777777" w:rsidR="0035768C" w:rsidRPr="0035768C" w:rsidRDefault="0035768C" w:rsidP="0035768C">
            <w:pPr>
              <w:spacing w:after="0" w:line="240" w:lineRule="auto"/>
              <w:rPr>
                <w:rFonts w:eastAsia="Times New Roman" w:cs="Calibri"/>
                <w:b/>
                <w:bCs/>
                <w:color w:val="000000"/>
                <w:sz w:val="18"/>
                <w:szCs w:val="18"/>
                <w:lang w:eastAsia="en-GB"/>
              </w:rPr>
            </w:pPr>
            <w:r w:rsidRPr="0035768C">
              <w:rPr>
                <w:rFonts w:eastAsia="Times New Roman" w:cs="Calibri"/>
                <w:b/>
                <w:bCs/>
                <w:color w:val="000000"/>
                <w:sz w:val="18"/>
                <w:szCs w:val="18"/>
                <w:lang w:eastAsia="en-GB"/>
              </w:rPr>
              <w:t>S1</w:t>
            </w:r>
            <w:r w:rsidRPr="0035768C">
              <w:rPr>
                <w:rFonts w:eastAsia="Times New Roman" w:cs="Calibri"/>
                <w:color w:val="000000"/>
                <w:sz w:val="18"/>
                <w:szCs w:val="18"/>
                <w:lang w:eastAsia="en-GB"/>
              </w:rPr>
              <w:t>: No lawful community care package available</w:t>
            </w:r>
          </w:p>
        </w:tc>
        <w:tc>
          <w:tcPr>
            <w:tcW w:w="758" w:type="pct"/>
            <w:tcBorders>
              <w:top w:val="nil"/>
              <w:left w:val="nil"/>
              <w:bottom w:val="single" w:sz="4" w:space="0" w:color="000000"/>
              <w:right w:val="single" w:sz="4" w:space="0" w:color="000000"/>
            </w:tcBorders>
            <w:shd w:val="clear" w:color="auto" w:fill="auto"/>
            <w:vAlign w:val="center"/>
            <w:hideMark/>
          </w:tcPr>
          <w:p w14:paraId="30BE9083"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24" w:type="pct"/>
            <w:tcBorders>
              <w:top w:val="nil"/>
              <w:left w:val="nil"/>
              <w:bottom w:val="single" w:sz="4" w:space="0" w:color="000000"/>
              <w:right w:val="single" w:sz="4" w:space="0" w:color="000000"/>
            </w:tcBorders>
            <w:shd w:val="clear" w:color="auto" w:fill="auto"/>
            <w:vAlign w:val="center"/>
            <w:hideMark/>
          </w:tcPr>
          <w:p w14:paraId="19BAC211"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60" w:type="pct"/>
            <w:tcBorders>
              <w:top w:val="nil"/>
              <w:left w:val="nil"/>
              <w:bottom w:val="single" w:sz="4" w:space="0" w:color="000000"/>
              <w:right w:val="single" w:sz="4" w:space="0" w:color="000000"/>
            </w:tcBorders>
            <w:shd w:val="clear" w:color="auto" w:fill="auto"/>
            <w:vAlign w:val="center"/>
            <w:hideMark/>
          </w:tcPr>
          <w:p w14:paraId="2CB3BCCD"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951" w:type="pct"/>
            <w:tcBorders>
              <w:top w:val="nil"/>
              <w:left w:val="nil"/>
              <w:bottom w:val="single" w:sz="4" w:space="0" w:color="000000"/>
              <w:right w:val="single" w:sz="4" w:space="0" w:color="000000"/>
            </w:tcBorders>
            <w:shd w:val="clear" w:color="auto" w:fill="auto"/>
            <w:vAlign w:val="center"/>
            <w:hideMark/>
          </w:tcPr>
          <w:p w14:paraId="065EC7E9"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r>
      <w:tr w:rsidR="0035768C" w:rsidRPr="0035768C" w14:paraId="3EB6CD22" w14:textId="77777777" w:rsidTr="00BE72FE">
        <w:trPr>
          <w:trHeight w:val="290"/>
        </w:trPr>
        <w:tc>
          <w:tcPr>
            <w:tcW w:w="1808" w:type="pct"/>
            <w:tcBorders>
              <w:top w:val="nil"/>
              <w:left w:val="single" w:sz="4" w:space="0" w:color="000000"/>
              <w:bottom w:val="single" w:sz="4" w:space="0" w:color="000000"/>
              <w:right w:val="single" w:sz="4" w:space="0" w:color="000000"/>
            </w:tcBorders>
            <w:shd w:val="clear" w:color="auto" w:fill="auto"/>
            <w:vAlign w:val="center"/>
            <w:hideMark/>
          </w:tcPr>
          <w:p w14:paraId="01E47C62" w14:textId="77777777" w:rsidR="0035768C" w:rsidRPr="0035768C" w:rsidRDefault="0035768C" w:rsidP="0035768C">
            <w:pPr>
              <w:spacing w:after="0" w:line="240" w:lineRule="auto"/>
              <w:rPr>
                <w:rFonts w:eastAsia="Times New Roman" w:cs="Calibri"/>
                <w:b/>
                <w:bCs/>
                <w:color w:val="000000"/>
                <w:sz w:val="18"/>
                <w:szCs w:val="18"/>
                <w:lang w:eastAsia="en-GB"/>
              </w:rPr>
            </w:pPr>
            <w:r w:rsidRPr="0035768C">
              <w:rPr>
                <w:rFonts w:eastAsia="Times New Roman" w:cs="Calibri"/>
                <w:b/>
                <w:bCs/>
                <w:color w:val="000000"/>
                <w:sz w:val="18"/>
                <w:szCs w:val="18"/>
                <w:lang w:eastAsia="en-GB"/>
              </w:rPr>
              <w:t>T1</w:t>
            </w:r>
            <w:r w:rsidRPr="0035768C">
              <w:rPr>
                <w:rFonts w:eastAsia="Times New Roman" w:cs="Calibri"/>
                <w:color w:val="000000"/>
                <w:sz w:val="18"/>
                <w:szCs w:val="18"/>
                <w:lang w:eastAsia="en-GB"/>
              </w:rPr>
              <w:t>: Lack of health care service provision</w:t>
            </w:r>
          </w:p>
        </w:tc>
        <w:tc>
          <w:tcPr>
            <w:tcW w:w="758" w:type="pct"/>
            <w:tcBorders>
              <w:top w:val="nil"/>
              <w:left w:val="nil"/>
              <w:bottom w:val="single" w:sz="4" w:space="0" w:color="000000"/>
              <w:right w:val="single" w:sz="4" w:space="0" w:color="000000"/>
            </w:tcBorders>
            <w:shd w:val="clear" w:color="auto" w:fill="auto"/>
            <w:vAlign w:val="center"/>
            <w:hideMark/>
          </w:tcPr>
          <w:p w14:paraId="358466B0"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24" w:type="pct"/>
            <w:tcBorders>
              <w:top w:val="nil"/>
              <w:left w:val="nil"/>
              <w:bottom w:val="single" w:sz="4" w:space="0" w:color="000000"/>
              <w:right w:val="single" w:sz="4" w:space="0" w:color="000000"/>
            </w:tcBorders>
            <w:shd w:val="clear" w:color="auto" w:fill="auto"/>
            <w:vAlign w:val="center"/>
            <w:hideMark/>
          </w:tcPr>
          <w:p w14:paraId="3364326D"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60" w:type="pct"/>
            <w:tcBorders>
              <w:top w:val="nil"/>
              <w:left w:val="nil"/>
              <w:bottom w:val="single" w:sz="4" w:space="0" w:color="000000"/>
              <w:right w:val="single" w:sz="4" w:space="0" w:color="000000"/>
            </w:tcBorders>
            <w:shd w:val="clear" w:color="auto" w:fill="auto"/>
            <w:vAlign w:val="center"/>
            <w:hideMark/>
          </w:tcPr>
          <w:p w14:paraId="25EF4AD4"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951" w:type="pct"/>
            <w:tcBorders>
              <w:top w:val="nil"/>
              <w:left w:val="nil"/>
              <w:bottom w:val="single" w:sz="4" w:space="0" w:color="000000"/>
              <w:right w:val="single" w:sz="4" w:space="0" w:color="000000"/>
            </w:tcBorders>
            <w:shd w:val="clear" w:color="auto" w:fill="auto"/>
            <w:vAlign w:val="center"/>
            <w:hideMark/>
          </w:tcPr>
          <w:p w14:paraId="68166893"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r>
      <w:tr w:rsidR="0035768C" w:rsidRPr="0035768C" w14:paraId="56357949" w14:textId="77777777" w:rsidTr="00BE72FE">
        <w:trPr>
          <w:trHeight w:val="290"/>
        </w:trPr>
        <w:tc>
          <w:tcPr>
            <w:tcW w:w="1808" w:type="pct"/>
            <w:tcBorders>
              <w:top w:val="nil"/>
              <w:left w:val="single" w:sz="4" w:space="0" w:color="000000"/>
              <w:bottom w:val="single" w:sz="4" w:space="0" w:color="000000"/>
              <w:right w:val="single" w:sz="4" w:space="0" w:color="000000"/>
            </w:tcBorders>
            <w:shd w:val="clear" w:color="auto" w:fill="auto"/>
            <w:vAlign w:val="center"/>
            <w:hideMark/>
          </w:tcPr>
          <w:p w14:paraId="05E86341" w14:textId="77777777" w:rsidR="0035768C" w:rsidRPr="0035768C" w:rsidRDefault="0035768C" w:rsidP="0035768C">
            <w:pPr>
              <w:spacing w:after="0" w:line="240" w:lineRule="auto"/>
              <w:rPr>
                <w:rFonts w:eastAsia="Times New Roman" w:cs="Calibri"/>
                <w:b/>
                <w:bCs/>
                <w:color w:val="000000"/>
                <w:sz w:val="18"/>
                <w:szCs w:val="18"/>
                <w:lang w:eastAsia="en-GB"/>
              </w:rPr>
            </w:pPr>
            <w:r w:rsidRPr="0035768C">
              <w:rPr>
                <w:rFonts w:eastAsia="Times New Roman" w:cs="Calibri"/>
                <w:b/>
                <w:bCs/>
                <w:color w:val="000000"/>
                <w:sz w:val="18"/>
                <w:szCs w:val="18"/>
                <w:lang w:eastAsia="en-GB"/>
              </w:rPr>
              <w:t>T2</w:t>
            </w:r>
            <w:r w:rsidRPr="0035768C">
              <w:rPr>
                <w:rFonts w:eastAsia="Times New Roman" w:cs="Calibri"/>
                <w:color w:val="000000"/>
                <w:sz w:val="18"/>
                <w:szCs w:val="18"/>
                <w:lang w:eastAsia="en-GB"/>
              </w:rPr>
              <w:t>: Lack of social care support</w:t>
            </w:r>
          </w:p>
        </w:tc>
        <w:tc>
          <w:tcPr>
            <w:tcW w:w="758" w:type="pct"/>
            <w:tcBorders>
              <w:top w:val="nil"/>
              <w:left w:val="nil"/>
              <w:bottom w:val="single" w:sz="4" w:space="0" w:color="000000"/>
              <w:right w:val="single" w:sz="4" w:space="0" w:color="000000"/>
            </w:tcBorders>
            <w:shd w:val="clear" w:color="auto" w:fill="auto"/>
            <w:vAlign w:val="center"/>
            <w:hideMark/>
          </w:tcPr>
          <w:p w14:paraId="3F34562E"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24" w:type="pct"/>
            <w:tcBorders>
              <w:top w:val="nil"/>
              <w:left w:val="nil"/>
              <w:bottom w:val="single" w:sz="4" w:space="0" w:color="000000"/>
              <w:right w:val="single" w:sz="4" w:space="0" w:color="000000"/>
            </w:tcBorders>
            <w:shd w:val="clear" w:color="auto" w:fill="auto"/>
            <w:vAlign w:val="center"/>
            <w:hideMark/>
          </w:tcPr>
          <w:p w14:paraId="55DB0AEF"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60" w:type="pct"/>
            <w:tcBorders>
              <w:top w:val="nil"/>
              <w:left w:val="nil"/>
              <w:bottom w:val="single" w:sz="4" w:space="0" w:color="000000"/>
              <w:right w:val="single" w:sz="4" w:space="0" w:color="000000"/>
            </w:tcBorders>
            <w:shd w:val="clear" w:color="auto" w:fill="auto"/>
            <w:vAlign w:val="center"/>
            <w:hideMark/>
          </w:tcPr>
          <w:p w14:paraId="4F3F6610"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951" w:type="pct"/>
            <w:tcBorders>
              <w:top w:val="nil"/>
              <w:left w:val="nil"/>
              <w:bottom w:val="single" w:sz="4" w:space="0" w:color="000000"/>
              <w:right w:val="single" w:sz="4" w:space="0" w:color="000000"/>
            </w:tcBorders>
            <w:shd w:val="clear" w:color="auto" w:fill="auto"/>
            <w:vAlign w:val="center"/>
            <w:hideMark/>
          </w:tcPr>
          <w:p w14:paraId="4E3B5B96"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r>
      <w:tr w:rsidR="0035768C" w:rsidRPr="0035768C" w14:paraId="1BEE22B2" w14:textId="77777777" w:rsidTr="00BE72FE">
        <w:trPr>
          <w:trHeight w:val="290"/>
        </w:trPr>
        <w:tc>
          <w:tcPr>
            <w:tcW w:w="1808" w:type="pct"/>
            <w:tcBorders>
              <w:top w:val="nil"/>
              <w:left w:val="single" w:sz="4" w:space="0" w:color="000000"/>
              <w:bottom w:val="single" w:sz="4" w:space="0" w:color="000000"/>
              <w:right w:val="single" w:sz="4" w:space="0" w:color="000000"/>
            </w:tcBorders>
            <w:shd w:val="clear" w:color="auto" w:fill="auto"/>
            <w:vAlign w:val="center"/>
            <w:hideMark/>
          </w:tcPr>
          <w:p w14:paraId="5C7ABFA8" w14:textId="77777777" w:rsidR="0035768C" w:rsidRPr="0035768C" w:rsidRDefault="0035768C" w:rsidP="0035768C">
            <w:pPr>
              <w:spacing w:after="0" w:line="240" w:lineRule="auto"/>
              <w:rPr>
                <w:rFonts w:eastAsia="Times New Roman" w:cs="Calibri"/>
                <w:b/>
                <w:bCs/>
                <w:color w:val="000000"/>
                <w:sz w:val="18"/>
                <w:szCs w:val="18"/>
                <w:lang w:eastAsia="en-GB"/>
              </w:rPr>
            </w:pPr>
            <w:r w:rsidRPr="0035768C">
              <w:rPr>
                <w:rFonts w:eastAsia="Times New Roman" w:cs="Calibri"/>
                <w:b/>
                <w:bCs/>
                <w:color w:val="000000"/>
                <w:sz w:val="18"/>
                <w:szCs w:val="18"/>
                <w:lang w:eastAsia="en-GB"/>
              </w:rPr>
              <w:t>98</w:t>
            </w:r>
            <w:r w:rsidRPr="0035768C">
              <w:rPr>
                <w:rFonts w:eastAsia="Times New Roman" w:cs="Calibri"/>
                <w:color w:val="000000"/>
                <w:sz w:val="18"/>
                <w:szCs w:val="18"/>
                <w:lang w:eastAsia="en-GB"/>
              </w:rPr>
              <w:t>: No reason given</w:t>
            </w:r>
          </w:p>
        </w:tc>
        <w:tc>
          <w:tcPr>
            <w:tcW w:w="758" w:type="pct"/>
            <w:tcBorders>
              <w:top w:val="nil"/>
              <w:left w:val="nil"/>
              <w:bottom w:val="single" w:sz="4" w:space="0" w:color="000000"/>
              <w:right w:val="single" w:sz="4" w:space="0" w:color="000000"/>
            </w:tcBorders>
            <w:shd w:val="clear" w:color="auto" w:fill="auto"/>
            <w:vAlign w:val="center"/>
            <w:hideMark/>
          </w:tcPr>
          <w:p w14:paraId="6C177D93"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24" w:type="pct"/>
            <w:tcBorders>
              <w:top w:val="nil"/>
              <w:left w:val="nil"/>
              <w:bottom w:val="single" w:sz="4" w:space="0" w:color="000000"/>
              <w:right w:val="single" w:sz="4" w:space="0" w:color="000000"/>
            </w:tcBorders>
            <w:shd w:val="clear" w:color="auto" w:fill="auto"/>
            <w:vAlign w:val="center"/>
            <w:hideMark/>
          </w:tcPr>
          <w:p w14:paraId="5C395FAB"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760" w:type="pct"/>
            <w:tcBorders>
              <w:top w:val="nil"/>
              <w:left w:val="nil"/>
              <w:bottom w:val="single" w:sz="4" w:space="0" w:color="000000"/>
              <w:right w:val="single" w:sz="4" w:space="0" w:color="000000"/>
            </w:tcBorders>
            <w:shd w:val="clear" w:color="auto" w:fill="auto"/>
            <w:vAlign w:val="center"/>
            <w:hideMark/>
          </w:tcPr>
          <w:p w14:paraId="20181949"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c>
          <w:tcPr>
            <w:tcW w:w="951" w:type="pct"/>
            <w:tcBorders>
              <w:top w:val="nil"/>
              <w:left w:val="nil"/>
              <w:bottom w:val="single" w:sz="4" w:space="0" w:color="000000"/>
              <w:right w:val="single" w:sz="4" w:space="0" w:color="000000"/>
            </w:tcBorders>
            <w:shd w:val="clear" w:color="auto" w:fill="auto"/>
            <w:vAlign w:val="center"/>
            <w:hideMark/>
          </w:tcPr>
          <w:p w14:paraId="578ECA27" w14:textId="77777777" w:rsidR="0035768C" w:rsidRPr="0035768C" w:rsidRDefault="0035768C" w:rsidP="0035768C">
            <w:pPr>
              <w:spacing w:after="0" w:line="240" w:lineRule="auto"/>
              <w:jc w:val="center"/>
              <w:rPr>
                <w:rFonts w:ascii="Wingdings" w:eastAsia="Times New Roman" w:hAnsi="Wingdings" w:cs="Calibri"/>
                <w:color w:val="000000"/>
                <w:sz w:val="18"/>
                <w:szCs w:val="18"/>
                <w:lang w:eastAsia="en-GB"/>
              </w:rPr>
            </w:pPr>
            <w:r w:rsidRPr="0035768C">
              <w:rPr>
                <w:rFonts w:ascii="Wingdings" w:eastAsia="Times New Roman" w:hAnsi="Wingdings" w:cs="Calibri"/>
                <w:color w:val="000000"/>
                <w:sz w:val="18"/>
                <w:szCs w:val="18"/>
                <w:lang w:eastAsia="en-GB"/>
              </w:rPr>
              <w:t></w:t>
            </w:r>
          </w:p>
        </w:tc>
      </w:tr>
    </w:tbl>
    <w:p w14:paraId="6C923E77" w14:textId="3C07186F" w:rsidR="00E53369" w:rsidRDefault="00E53369" w:rsidP="0093519A">
      <w:pPr>
        <w:ind w:left="709"/>
        <w:jc w:val="both"/>
        <w:rPr>
          <w:b/>
          <w:u w:val="single"/>
        </w:rPr>
      </w:pPr>
    </w:p>
    <w:p w14:paraId="41734148" w14:textId="28043755" w:rsidR="00534DD6" w:rsidRDefault="004575D4" w:rsidP="0093519A">
      <w:pPr>
        <w:tabs>
          <w:tab w:val="left" w:pos="1369"/>
        </w:tabs>
        <w:ind w:left="1362" w:hanging="795"/>
        <w:jc w:val="both"/>
      </w:pPr>
      <w:r>
        <w:t>7</w:t>
      </w:r>
      <w:r w:rsidR="001C1074">
        <w:t>.2</w:t>
      </w:r>
      <w:r w:rsidR="001C1074">
        <w:tab/>
      </w:r>
      <w:r w:rsidR="00534DD6">
        <w:t xml:space="preserve">A </w:t>
      </w:r>
      <w:r w:rsidR="00514826">
        <w:t xml:space="preserve">service user </w:t>
      </w:r>
      <w:r w:rsidR="00534DD6">
        <w:t xml:space="preserve">should only be counted in </w:t>
      </w:r>
      <w:r w:rsidR="00534DD6" w:rsidRPr="00A040ED">
        <w:rPr>
          <w:b/>
        </w:rPr>
        <w:t>ONE</w:t>
      </w:r>
      <w:r w:rsidR="00534DD6">
        <w:t xml:space="preserve"> category of delay</w:t>
      </w:r>
      <w:r w:rsidR="00A040ED">
        <w:t>;</w:t>
      </w:r>
      <w:r w:rsidR="00534DD6">
        <w:t xml:space="preserve"> this category should be the one most appropriately describing their reason for </w:t>
      </w:r>
      <w:r w:rsidR="000948AF">
        <w:t xml:space="preserve">the </w:t>
      </w:r>
      <w:r w:rsidR="00534DD6">
        <w:t>delay</w:t>
      </w:r>
      <w:r w:rsidR="00A040ED">
        <w:t>,</w:t>
      </w:r>
      <w:r w:rsidR="00534DD6">
        <w:t xml:space="preserve"> and </w:t>
      </w:r>
      <w:r w:rsidR="00A040ED">
        <w:t xml:space="preserve">the </w:t>
      </w:r>
      <w:r w:rsidR="00534DD6">
        <w:t xml:space="preserve">total numbers allocated to reasons for </w:t>
      </w:r>
      <w:r w:rsidR="000948AF">
        <w:t xml:space="preserve">the </w:t>
      </w:r>
      <w:r w:rsidR="00534DD6">
        <w:t xml:space="preserve">delay should </w:t>
      </w:r>
      <w:r w:rsidR="00A040ED">
        <w:t xml:space="preserve">be </w:t>
      </w:r>
      <w:r w:rsidR="00534DD6">
        <w:t xml:space="preserve">equal </w:t>
      </w:r>
      <w:r w:rsidR="00A040ED">
        <w:t xml:space="preserve">to </w:t>
      </w:r>
      <w:r w:rsidR="00534DD6">
        <w:t xml:space="preserve">the number of </w:t>
      </w:r>
      <w:r w:rsidR="00514826">
        <w:t>service users</w:t>
      </w:r>
      <w:r w:rsidR="00534DD6">
        <w:t xml:space="preserve"> delayed. </w:t>
      </w:r>
    </w:p>
    <w:p w14:paraId="7D9C5047" w14:textId="5CFC4B41" w:rsidR="00534DD6" w:rsidRDefault="004575D4" w:rsidP="0093519A">
      <w:pPr>
        <w:tabs>
          <w:tab w:val="left" w:pos="1369"/>
        </w:tabs>
        <w:ind w:left="1362" w:hanging="795"/>
        <w:jc w:val="both"/>
      </w:pPr>
      <w:r>
        <w:t>7</w:t>
      </w:r>
      <w:r w:rsidR="001C1074">
        <w:t>.3</w:t>
      </w:r>
      <w:r w:rsidR="001C1074">
        <w:tab/>
      </w:r>
      <w:r w:rsidR="00534DD6" w:rsidRPr="00A06845">
        <w:t xml:space="preserve">For </w:t>
      </w:r>
      <w:r w:rsidR="00514826">
        <w:t>service user</w:t>
      </w:r>
      <w:r w:rsidR="00534DD6" w:rsidRPr="00A06845">
        <w:t xml:space="preserve">s </w:t>
      </w:r>
      <w:r w:rsidR="00A83FE9">
        <w:t>of No Fixed A</w:t>
      </w:r>
      <w:r w:rsidR="00534DD6" w:rsidRPr="00A06845">
        <w:t xml:space="preserve">bode (NFA), the responsible </w:t>
      </w:r>
      <w:r w:rsidR="00981566">
        <w:t>local authority</w:t>
      </w:r>
      <w:r w:rsidR="00534DD6" w:rsidRPr="00A06845">
        <w:t xml:space="preserve"> is the </w:t>
      </w:r>
      <w:r w:rsidR="00981566">
        <w:t>one</w:t>
      </w:r>
      <w:r w:rsidR="00981566" w:rsidRPr="00A06845">
        <w:t xml:space="preserve"> </w:t>
      </w:r>
      <w:r w:rsidR="00534DD6" w:rsidRPr="00A06845">
        <w:t xml:space="preserve">in whose area they normally reside, irrespective of whether they live on the street or in a hostel. </w:t>
      </w:r>
      <w:r w:rsidR="00981566">
        <w:t>Ordinary residence rules apply</w:t>
      </w:r>
      <w:r w:rsidR="00981566">
        <w:rPr>
          <w:rStyle w:val="FootnoteReference"/>
        </w:rPr>
        <w:footnoteReference w:id="4"/>
      </w:r>
      <w:r w:rsidR="00981566">
        <w:t>.</w:t>
      </w:r>
    </w:p>
    <w:p w14:paraId="37274ACF" w14:textId="77777777" w:rsidR="00534DD6" w:rsidRPr="005579DA" w:rsidRDefault="001C1074" w:rsidP="0093519A">
      <w:pPr>
        <w:tabs>
          <w:tab w:val="left" w:pos="1369"/>
        </w:tabs>
        <w:jc w:val="both"/>
        <w:rPr>
          <w:b/>
        </w:rPr>
      </w:pPr>
      <w:r>
        <w:rPr>
          <w:b/>
        </w:rPr>
        <w:tab/>
      </w:r>
      <w:r w:rsidR="00534DD6" w:rsidRPr="005579DA">
        <w:rPr>
          <w:b/>
        </w:rPr>
        <w:t>A) Delay awaiting assessment</w:t>
      </w:r>
    </w:p>
    <w:p w14:paraId="796DC049" w14:textId="0F35423D" w:rsidR="00534DD6" w:rsidRDefault="00534DD6" w:rsidP="0093519A">
      <w:pPr>
        <w:tabs>
          <w:tab w:val="left" w:pos="1369"/>
        </w:tabs>
        <w:ind w:left="1369"/>
        <w:jc w:val="both"/>
      </w:pPr>
      <w:r>
        <w:t xml:space="preserve">All </w:t>
      </w:r>
      <w:r w:rsidR="00514826">
        <w:t>service user</w:t>
      </w:r>
      <w:r>
        <w:t xml:space="preserve">s whose </w:t>
      </w:r>
      <w:r w:rsidR="00AE4DDF">
        <w:t xml:space="preserve">transfer is delayed as a result of delays with </w:t>
      </w:r>
      <w:r w:rsidR="000948AF">
        <w:t xml:space="preserve">the </w:t>
      </w:r>
      <w:r>
        <w:t>completion of</w:t>
      </w:r>
      <w:r w:rsidR="00AE4DDF">
        <w:t xml:space="preserve"> an assessment of c</w:t>
      </w:r>
      <w:r>
        <w:t>are needs and an identification of an appropriate care setting</w:t>
      </w:r>
      <w:r w:rsidR="00A040ED" w:rsidRPr="0037039D">
        <w:t xml:space="preserve"> is considered as delayed awaiting assessment</w:t>
      </w:r>
      <w:r w:rsidRPr="0037039D">
        <w:t xml:space="preserve">. </w:t>
      </w:r>
      <w:r>
        <w:t xml:space="preserve">This can include any assessment by health and/or social care professionals of a </w:t>
      </w:r>
      <w:r w:rsidR="00514826">
        <w:t>service user</w:t>
      </w:r>
      <w:r>
        <w:t xml:space="preserve">’s future care needs. Therefore, delays can be due to either: NHS, </w:t>
      </w:r>
      <w:r w:rsidR="00FE5CB3">
        <w:t>Social Services</w:t>
      </w:r>
      <w:r>
        <w:t xml:space="preserve"> or a combination of both. Trusts will want to identify with their </w:t>
      </w:r>
      <w:r w:rsidR="00FE5CB3">
        <w:t>Social Services</w:t>
      </w:r>
      <w:r>
        <w:t xml:space="preserve"> partners where in the process and </w:t>
      </w:r>
      <w:r w:rsidR="0022318E">
        <w:t>why delays</w:t>
      </w:r>
      <w:r>
        <w:t xml:space="preserve"> are occurring. Any existing local agreements about built-in time to undertake assessments before delay is counted no longer apply.</w:t>
      </w:r>
    </w:p>
    <w:p w14:paraId="0276AF9A" w14:textId="77777777" w:rsidR="00534DD6" w:rsidRDefault="00534DD6" w:rsidP="00A31241">
      <w:pPr>
        <w:tabs>
          <w:tab w:val="left" w:pos="1369"/>
        </w:tabs>
        <w:ind w:left="1369"/>
        <w:jc w:val="both"/>
      </w:pPr>
      <w:r>
        <w:t xml:space="preserve">Trusts need to monitor locally the amount of time taken to arrange assessment. Good practice would suggest </w:t>
      </w:r>
      <w:r w:rsidR="0022318E">
        <w:t xml:space="preserve">that </w:t>
      </w:r>
      <w:r>
        <w:t>this process should be in place prior to the decision to discharge being made.</w:t>
      </w:r>
    </w:p>
    <w:p w14:paraId="1E3B5CD2" w14:textId="77777777" w:rsidR="00534DD6" w:rsidRPr="005579DA" w:rsidRDefault="001C1074" w:rsidP="0093519A">
      <w:pPr>
        <w:tabs>
          <w:tab w:val="left" w:pos="1369"/>
        </w:tabs>
        <w:jc w:val="both"/>
        <w:rPr>
          <w:b/>
        </w:rPr>
      </w:pPr>
      <w:r>
        <w:rPr>
          <w:b/>
        </w:rPr>
        <w:tab/>
      </w:r>
      <w:r w:rsidR="00D1582B">
        <w:rPr>
          <w:b/>
        </w:rPr>
        <w:t>B) Delay</w:t>
      </w:r>
      <w:r w:rsidR="00534DD6" w:rsidRPr="005579DA">
        <w:rPr>
          <w:b/>
        </w:rPr>
        <w:t xml:space="preserve"> awaiting public funding</w:t>
      </w:r>
    </w:p>
    <w:p w14:paraId="6664AEC5" w14:textId="434A926F" w:rsidR="00534DD6" w:rsidRDefault="00534DD6" w:rsidP="0093519A">
      <w:pPr>
        <w:tabs>
          <w:tab w:val="left" w:pos="1369"/>
        </w:tabs>
        <w:ind w:left="1369"/>
        <w:jc w:val="both"/>
      </w:pPr>
      <w:r>
        <w:t xml:space="preserve">All </w:t>
      </w:r>
      <w:r w:rsidR="00514826">
        <w:t>service user</w:t>
      </w:r>
      <w:r>
        <w:t xml:space="preserve"> whose assessment is complete but transfer </w:t>
      </w:r>
      <w:r w:rsidR="00D65F57">
        <w:t xml:space="preserve">have </w:t>
      </w:r>
      <w:r>
        <w:t xml:space="preserve">been delayed due to awaiting </w:t>
      </w:r>
      <w:r w:rsidR="00FE5CB3">
        <w:t>Social Services</w:t>
      </w:r>
      <w:r>
        <w:t xml:space="preserve"> funding (e.g. for residential or home care), or NHS funding (e.g. for nursing care or continuing healthcare). This should also include cases where </w:t>
      </w:r>
      <w:r w:rsidR="00FE5CB3">
        <w:t xml:space="preserve">Social </w:t>
      </w:r>
      <w:r w:rsidR="00FE5CB3">
        <w:lastRenderedPageBreak/>
        <w:t>Services</w:t>
      </w:r>
      <w:r>
        <w:t xml:space="preserve"> and NHS have failed to agree funding for a joint package or an individual is disputing a decision over fully funded NHS continuing care in the independent sector. It does not include delays due to arranging other NHS services (residential or community) – see below.</w:t>
      </w:r>
    </w:p>
    <w:p w14:paraId="3F919B2D" w14:textId="77777777" w:rsidR="00534DD6" w:rsidRPr="005579DA" w:rsidRDefault="001C1074" w:rsidP="0093519A">
      <w:pPr>
        <w:tabs>
          <w:tab w:val="left" w:pos="1369"/>
        </w:tabs>
        <w:jc w:val="both"/>
        <w:rPr>
          <w:b/>
        </w:rPr>
      </w:pPr>
      <w:r>
        <w:rPr>
          <w:b/>
        </w:rPr>
        <w:tab/>
      </w:r>
      <w:r w:rsidR="00534DD6" w:rsidRPr="005579DA">
        <w:rPr>
          <w:b/>
        </w:rPr>
        <w:t>C) Delay awaiting further NHS care, including intermediate care</w:t>
      </w:r>
    </w:p>
    <w:p w14:paraId="4FFADE7F" w14:textId="77F1009F" w:rsidR="00534DD6" w:rsidRDefault="00534DD6" w:rsidP="0093519A">
      <w:pPr>
        <w:tabs>
          <w:tab w:val="left" w:pos="1369"/>
        </w:tabs>
        <w:ind w:left="1369"/>
        <w:jc w:val="both"/>
      </w:pPr>
      <w:r>
        <w:t xml:space="preserve">All </w:t>
      </w:r>
      <w:r w:rsidR="00514826">
        <w:t>service user</w:t>
      </w:r>
      <w:r>
        <w:t xml:space="preserve">s whose assessment is complete but </w:t>
      </w:r>
      <w:r w:rsidR="00D65F57">
        <w:t>transfer have been</w:t>
      </w:r>
      <w:r>
        <w:t xml:space="preserve"> delayed due to awaiting further NHS care, i.e. any non-acute (</w:t>
      </w:r>
      <w:r w:rsidRPr="0037039D">
        <w:t xml:space="preserve">including </w:t>
      </w:r>
      <w:r w:rsidR="00F62E02">
        <w:t>Clinical Commissioning Group</w:t>
      </w:r>
      <w:r w:rsidR="0093519A" w:rsidRPr="0037039D">
        <w:t xml:space="preserve"> (CCG</w:t>
      </w:r>
      <w:r w:rsidR="0093519A">
        <w:t>)</w:t>
      </w:r>
      <w:r>
        <w:t xml:space="preserve"> and mental health) care, </w:t>
      </w:r>
      <w:r w:rsidR="0022318E">
        <w:t xml:space="preserve">and </w:t>
      </w:r>
      <w:r>
        <w:t xml:space="preserve">intermediate care. Also continuing health care fully funded by the NHS in the independent sector. It also includes where a decision has been made to defer a decision on continuing health care eligibility, and to provide NHS-funded care (in a care home, the </w:t>
      </w:r>
      <w:r w:rsidR="00514826">
        <w:t>service user</w:t>
      </w:r>
      <w:r>
        <w:t>'s own home or other settings) until an eligibility decision is made but the transfer into this care is delayed.</w:t>
      </w:r>
    </w:p>
    <w:p w14:paraId="66367D1C" w14:textId="77777777" w:rsidR="00534DD6" w:rsidRDefault="001C1074" w:rsidP="0093519A">
      <w:pPr>
        <w:tabs>
          <w:tab w:val="left" w:pos="1369"/>
        </w:tabs>
        <w:jc w:val="both"/>
      </w:pPr>
      <w:r>
        <w:tab/>
      </w:r>
      <w:r w:rsidR="00534DD6">
        <w:t>Acute delayed transfers of care:</w:t>
      </w:r>
    </w:p>
    <w:p w14:paraId="536A863E" w14:textId="5328A217" w:rsidR="00534DD6" w:rsidRDefault="00534DD6" w:rsidP="0093519A">
      <w:pPr>
        <w:tabs>
          <w:tab w:val="left" w:pos="1369"/>
        </w:tabs>
        <w:ind w:left="1369"/>
        <w:jc w:val="both"/>
      </w:pPr>
      <w:r>
        <w:t xml:space="preserve">Include all delays of </w:t>
      </w:r>
      <w:r w:rsidR="00514826">
        <w:t>service users</w:t>
      </w:r>
      <w:r>
        <w:t xml:space="preserve"> leaving acute care. This includes </w:t>
      </w:r>
      <w:r w:rsidR="00514826">
        <w:t>service user</w:t>
      </w:r>
      <w:r>
        <w:t xml:space="preserve">s waiting to move to non-acute care within the same trust. Do not include delays of </w:t>
      </w:r>
      <w:r w:rsidR="00514826">
        <w:t>service user</w:t>
      </w:r>
      <w:r>
        <w:t>s continuing to receive acute care moving from one bed to another, even if these beds are in different trusts.</w:t>
      </w:r>
    </w:p>
    <w:p w14:paraId="5C4DC615" w14:textId="77777777" w:rsidR="00534DD6" w:rsidRDefault="001C1074" w:rsidP="0093519A">
      <w:pPr>
        <w:tabs>
          <w:tab w:val="left" w:pos="1369"/>
        </w:tabs>
        <w:ind w:left="1372" w:hanging="1372"/>
        <w:jc w:val="both"/>
      </w:pPr>
      <w:r>
        <w:tab/>
      </w:r>
      <w:r w:rsidR="00534DD6">
        <w:t>Non-acute (</w:t>
      </w:r>
      <w:r w:rsidR="00534DD6" w:rsidRPr="0037039D">
        <w:t xml:space="preserve">including </w:t>
      </w:r>
      <w:r w:rsidR="00F62E02">
        <w:t>Clinical Commissioning Group</w:t>
      </w:r>
      <w:r w:rsidR="0093519A" w:rsidRPr="0037039D">
        <w:t xml:space="preserve"> (CCG</w:t>
      </w:r>
      <w:r w:rsidR="0093519A">
        <w:t>)</w:t>
      </w:r>
      <w:r w:rsidR="00534DD6">
        <w:t xml:space="preserve"> and mental health) delayed transfers of care:</w:t>
      </w:r>
    </w:p>
    <w:p w14:paraId="2EB4EB4C" w14:textId="7822000C" w:rsidR="00534DD6" w:rsidRDefault="00534DD6" w:rsidP="0093519A">
      <w:pPr>
        <w:tabs>
          <w:tab w:val="left" w:pos="1369"/>
        </w:tabs>
        <w:ind w:left="1369"/>
        <w:jc w:val="both"/>
      </w:pPr>
      <w:r>
        <w:t xml:space="preserve">Include all delays of </w:t>
      </w:r>
      <w:r w:rsidR="00514826">
        <w:t>service users</w:t>
      </w:r>
      <w:r>
        <w:t xml:space="preserve"> leaving non-acute (</w:t>
      </w:r>
      <w:r w:rsidRPr="0037039D">
        <w:t xml:space="preserve">including </w:t>
      </w:r>
      <w:r w:rsidR="00F62E02">
        <w:t>Clinical Commissioning Group</w:t>
      </w:r>
      <w:r w:rsidR="0093519A" w:rsidRPr="0037039D">
        <w:t xml:space="preserve"> (CCG</w:t>
      </w:r>
      <w:r w:rsidR="0093519A">
        <w:t>)</w:t>
      </w:r>
      <w:r>
        <w:t xml:space="preserve"> and mental health) care. This includes </w:t>
      </w:r>
      <w:r w:rsidR="00514826">
        <w:t>service users</w:t>
      </w:r>
      <w:r>
        <w:t xml:space="preserve"> waiting to move to other types of non-acute (</w:t>
      </w:r>
      <w:r w:rsidRPr="0037039D">
        <w:t xml:space="preserve">including </w:t>
      </w:r>
      <w:r w:rsidR="00F62E02">
        <w:t>Clinical Commissioning Group</w:t>
      </w:r>
      <w:r w:rsidR="0093519A" w:rsidRPr="0037039D">
        <w:t xml:space="preserve"> (CCG</w:t>
      </w:r>
      <w:r w:rsidR="0093519A">
        <w:t>)</w:t>
      </w:r>
      <w:r>
        <w:t xml:space="preserve"> and mental health) care within the same trust. Do not include delays of </w:t>
      </w:r>
      <w:r w:rsidR="00514826">
        <w:t>service users</w:t>
      </w:r>
      <w:r>
        <w:t xml:space="preserve"> continuing to receive the same type of non-acute (</w:t>
      </w:r>
      <w:r w:rsidRPr="0037039D">
        <w:t xml:space="preserve">including </w:t>
      </w:r>
      <w:r w:rsidR="00F62E02">
        <w:t>Clinical Commissioning Group</w:t>
      </w:r>
      <w:r w:rsidR="0093519A" w:rsidRPr="0037039D">
        <w:t xml:space="preserve"> (CCG</w:t>
      </w:r>
      <w:r w:rsidR="0093519A">
        <w:t>)</w:t>
      </w:r>
      <w:r>
        <w:t xml:space="preserve"> or mental health) care moving from one bed to another, even if these beds are in different trusts.</w:t>
      </w:r>
    </w:p>
    <w:p w14:paraId="6DB38A03" w14:textId="0B9123B0" w:rsidR="00534DD6" w:rsidRDefault="00534DD6" w:rsidP="0093519A">
      <w:pPr>
        <w:tabs>
          <w:tab w:val="left" w:pos="1369"/>
        </w:tabs>
        <w:ind w:left="1369"/>
        <w:jc w:val="both"/>
      </w:pPr>
      <w:r>
        <w:t xml:space="preserve">These should not include delays in providing NHS-funded care provided in the </w:t>
      </w:r>
      <w:r w:rsidR="00514826">
        <w:t>service user</w:t>
      </w:r>
      <w:r>
        <w:t xml:space="preserve">’s own home, such as that provided by a District Nurse (rather than a conscious decision to defer consideration of eligibility for continuing health care). These delays should be recorded under ‘E’ – delay due to awaiting care package in own home. See below for details. </w:t>
      </w:r>
    </w:p>
    <w:p w14:paraId="1BC29944" w14:textId="77777777" w:rsidR="00534DD6" w:rsidRPr="00D27089" w:rsidRDefault="001C1074" w:rsidP="0093519A">
      <w:pPr>
        <w:tabs>
          <w:tab w:val="left" w:pos="1369"/>
        </w:tabs>
        <w:jc w:val="both"/>
        <w:rPr>
          <w:b/>
        </w:rPr>
      </w:pPr>
      <w:r>
        <w:rPr>
          <w:b/>
        </w:rPr>
        <w:tab/>
      </w:r>
      <w:r w:rsidR="00534DD6" w:rsidRPr="00D27089">
        <w:rPr>
          <w:b/>
        </w:rPr>
        <w:t>D) Delay awaiting Residential/Nursing Home Placement/Availability</w:t>
      </w:r>
    </w:p>
    <w:p w14:paraId="137E8911" w14:textId="50999E84" w:rsidR="00534DD6" w:rsidRDefault="00534DD6" w:rsidP="0093519A">
      <w:pPr>
        <w:tabs>
          <w:tab w:val="left" w:pos="1369"/>
        </w:tabs>
        <w:ind w:left="1369"/>
        <w:jc w:val="both"/>
      </w:pPr>
      <w:r>
        <w:t xml:space="preserve">All </w:t>
      </w:r>
      <w:r w:rsidR="00514826">
        <w:t>service users</w:t>
      </w:r>
      <w:r>
        <w:t xml:space="preserve"> whose assessment is complete but transfer </w:t>
      </w:r>
      <w:r w:rsidR="00D65F57">
        <w:t>have been</w:t>
      </w:r>
      <w:r w:rsidR="003516BE">
        <w:t xml:space="preserve"> </w:t>
      </w:r>
      <w:r>
        <w:t>delayed due to awaiting Nursing/Residential home placement, because of lack of availability of a suitable place to meet their assessed care needs.</w:t>
      </w:r>
    </w:p>
    <w:p w14:paraId="785D0FF6" w14:textId="6ADA6EB7" w:rsidR="00534DD6" w:rsidRDefault="00534DD6" w:rsidP="0093519A">
      <w:pPr>
        <w:tabs>
          <w:tab w:val="left" w:pos="1369"/>
        </w:tabs>
        <w:ind w:left="1369"/>
        <w:jc w:val="both"/>
      </w:pPr>
      <w:r>
        <w:t xml:space="preserve">This does not include </w:t>
      </w:r>
      <w:r w:rsidR="00514826">
        <w:t>service users</w:t>
      </w:r>
      <w:r>
        <w:t xml:space="preserve"> where </w:t>
      </w:r>
      <w:r w:rsidR="00FE5CB3">
        <w:t>Social Services</w:t>
      </w:r>
      <w:r>
        <w:t xml:space="preserve"> funding has been agreed, but they or their family are exercising their right to choose a home under the Direction on Choice. These </w:t>
      </w:r>
      <w:r w:rsidR="00514826">
        <w:t>service users</w:t>
      </w:r>
      <w:r>
        <w:t xml:space="preserve"> should be counted under category G.</w:t>
      </w:r>
    </w:p>
    <w:p w14:paraId="253A58D0" w14:textId="77777777" w:rsidR="00534DD6" w:rsidRPr="00D27089" w:rsidRDefault="001C1074" w:rsidP="0093519A">
      <w:pPr>
        <w:tabs>
          <w:tab w:val="left" w:pos="1369"/>
        </w:tabs>
        <w:jc w:val="both"/>
        <w:rPr>
          <w:b/>
        </w:rPr>
      </w:pPr>
      <w:r>
        <w:rPr>
          <w:b/>
        </w:rPr>
        <w:lastRenderedPageBreak/>
        <w:tab/>
      </w:r>
      <w:r w:rsidR="00534DD6" w:rsidRPr="00D27089">
        <w:rPr>
          <w:b/>
        </w:rPr>
        <w:t>E) Delay due to awaiting care package in own home</w:t>
      </w:r>
    </w:p>
    <w:p w14:paraId="4A6DF48F" w14:textId="4442F9D1" w:rsidR="00534DD6" w:rsidRDefault="00534DD6" w:rsidP="0093519A">
      <w:pPr>
        <w:tabs>
          <w:tab w:val="left" w:pos="1369"/>
        </w:tabs>
        <w:ind w:left="1369"/>
        <w:jc w:val="both"/>
      </w:pPr>
      <w:r>
        <w:t xml:space="preserve">All </w:t>
      </w:r>
      <w:r w:rsidR="00514826">
        <w:t>service users</w:t>
      </w:r>
      <w:r>
        <w:t xml:space="preserve"> whose assessment is complete but transfer </w:t>
      </w:r>
      <w:r w:rsidR="00D65F57">
        <w:t xml:space="preserve">have been </w:t>
      </w:r>
      <w:r>
        <w:t xml:space="preserve">delayed due to awaiting a care </w:t>
      </w:r>
      <w:r w:rsidR="00AB2784">
        <w:t xml:space="preserve">package </w:t>
      </w:r>
      <w:r>
        <w:t>in their own home.</w:t>
      </w:r>
    </w:p>
    <w:p w14:paraId="774BF959" w14:textId="77777777" w:rsidR="00534DD6" w:rsidRDefault="00534DD6" w:rsidP="0093519A">
      <w:pPr>
        <w:tabs>
          <w:tab w:val="left" w:pos="1369"/>
        </w:tabs>
        <w:ind w:left="1369"/>
        <w:jc w:val="both"/>
      </w:pPr>
      <w:r>
        <w:t xml:space="preserve">The delay should be logged as the responsibility of the agency responsible for providing the service that is delayed. This should be possible to ascertain even where agencies operate in partnership, as statutory responsibilities for care do not change under partnership arrangements. NHS input to a home care package might include the services of a </w:t>
      </w:r>
      <w:r w:rsidR="00521D56">
        <w:t>D</w:t>
      </w:r>
      <w:r>
        <w:t xml:space="preserve">istrict </w:t>
      </w:r>
      <w:r w:rsidR="00521D56">
        <w:t>N</w:t>
      </w:r>
      <w:r>
        <w:t xml:space="preserve">urse or CPN, an </w:t>
      </w:r>
      <w:r w:rsidR="00521D56">
        <w:t>O</w:t>
      </w:r>
      <w:r>
        <w:t xml:space="preserve">ccupational </w:t>
      </w:r>
      <w:r w:rsidR="00521D56">
        <w:t>T</w:t>
      </w:r>
      <w:r>
        <w:t xml:space="preserve">herapist or </w:t>
      </w:r>
      <w:r w:rsidR="00521D56">
        <w:t>P</w:t>
      </w:r>
      <w:r>
        <w:t>hysiotherapist.</w:t>
      </w:r>
    </w:p>
    <w:p w14:paraId="38A9BEA6" w14:textId="58D77554" w:rsidR="00534DD6" w:rsidRDefault="00534DD6" w:rsidP="0093519A">
      <w:pPr>
        <w:tabs>
          <w:tab w:val="left" w:pos="1369"/>
        </w:tabs>
        <w:ind w:left="1369"/>
        <w:jc w:val="both"/>
      </w:pPr>
      <w:r>
        <w:t>The ‘further non-acute (</w:t>
      </w:r>
      <w:r w:rsidRPr="0037039D">
        <w:t xml:space="preserve">including </w:t>
      </w:r>
      <w:r w:rsidR="00F62E02">
        <w:t>Clinical Commissioning Group</w:t>
      </w:r>
      <w:r w:rsidR="0093519A" w:rsidRPr="0037039D">
        <w:t xml:space="preserve"> (CCG</w:t>
      </w:r>
      <w:r w:rsidR="0093519A">
        <w:t>)</w:t>
      </w:r>
      <w:r>
        <w:t xml:space="preserve"> and mental health) NHS care’ box should be used to record NHS services where these are not provided in the </w:t>
      </w:r>
      <w:r w:rsidR="00514826">
        <w:t>service user</w:t>
      </w:r>
      <w:r>
        <w:t>’s home, examples of which might include intermediate care, rehabilitative care, care provided in a community hospital, or fully-funded NHS continuing care.</w:t>
      </w:r>
    </w:p>
    <w:p w14:paraId="6303AEC2" w14:textId="77777777" w:rsidR="00534DD6" w:rsidRDefault="00534DD6" w:rsidP="0093519A">
      <w:pPr>
        <w:tabs>
          <w:tab w:val="left" w:pos="1369"/>
        </w:tabs>
        <w:ind w:left="1369"/>
        <w:jc w:val="both"/>
      </w:pPr>
      <w:r>
        <w:t>The delay should only be logged as the responsibility of both agencies where both NHS and local authority services are delayed.</w:t>
      </w:r>
    </w:p>
    <w:p w14:paraId="1F543B1F" w14:textId="77777777" w:rsidR="00534DD6" w:rsidRPr="00D27089" w:rsidRDefault="001C1074" w:rsidP="0093519A">
      <w:pPr>
        <w:tabs>
          <w:tab w:val="left" w:pos="1369"/>
        </w:tabs>
        <w:jc w:val="both"/>
        <w:rPr>
          <w:b/>
        </w:rPr>
      </w:pPr>
      <w:r>
        <w:rPr>
          <w:b/>
        </w:rPr>
        <w:tab/>
      </w:r>
      <w:r w:rsidR="00534DD6" w:rsidRPr="00D27089">
        <w:rPr>
          <w:b/>
        </w:rPr>
        <w:t>F) Delays due to awaiting community equipment and adaptations</w:t>
      </w:r>
    </w:p>
    <w:p w14:paraId="7D6CC44A" w14:textId="667E441B" w:rsidR="00534DD6" w:rsidRDefault="00534DD6" w:rsidP="0093519A">
      <w:pPr>
        <w:tabs>
          <w:tab w:val="left" w:pos="1369"/>
        </w:tabs>
        <w:ind w:left="1369"/>
        <w:jc w:val="both"/>
      </w:pPr>
      <w:r>
        <w:t xml:space="preserve">All </w:t>
      </w:r>
      <w:r w:rsidR="00514826">
        <w:t>service users</w:t>
      </w:r>
      <w:r>
        <w:t xml:space="preserve"> whose assessment</w:t>
      </w:r>
      <w:r w:rsidR="00951A3D">
        <w:t xml:space="preserve">s </w:t>
      </w:r>
      <w:r w:rsidR="00D65F57">
        <w:t>is</w:t>
      </w:r>
      <w:r>
        <w:t xml:space="preserve"> complete but transfer </w:t>
      </w:r>
      <w:r w:rsidR="00D65F57">
        <w:t>have been</w:t>
      </w:r>
      <w:r w:rsidR="00951A3D">
        <w:t xml:space="preserve"> </w:t>
      </w:r>
      <w:r>
        <w:t>delayed due to awaiting the supply o</w:t>
      </w:r>
      <w:r w:rsidR="005921DD">
        <w:t xml:space="preserve">f items of community equipment </w:t>
      </w:r>
      <w:r>
        <w:t>(Note that the Community Care (Delayed Discharges</w:t>
      </w:r>
      <w:r w:rsidR="005921DD">
        <w:t xml:space="preserve"> etc.) Act (Qualifying Services</w:t>
      </w:r>
      <w:r>
        <w:t xml:space="preserve"> England) Regulations 2003 stipulate that all items of community equipment and minor adaptations m</w:t>
      </w:r>
      <w:r w:rsidR="005921DD">
        <w:t>ust be provided free of charge.</w:t>
      </w:r>
    </w:p>
    <w:p w14:paraId="50B33548" w14:textId="77777777" w:rsidR="00534DD6" w:rsidRDefault="00534DD6" w:rsidP="0093519A">
      <w:pPr>
        <w:tabs>
          <w:tab w:val="left" w:pos="1369"/>
        </w:tabs>
        <w:ind w:left="1369"/>
        <w:jc w:val="both"/>
      </w:pPr>
      <w:r>
        <w:t>Where equipment is provided via a service delivered in partnership between the NHS and the local authority, it should nonetheless be possible to identify the cause of any delay, and the parties responsible. Where delays are solely the responsibility of the council, such delays should be included in the attributable to Social Care columns.</w:t>
      </w:r>
    </w:p>
    <w:p w14:paraId="060FE24D" w14:textId="555B0F91" w:rsidR="00534DD6" w:rsidRPr="00D27089" w:rsidRDefault="001C1074" w:rsidP="0093519A">
      <w:pPr>
        <w:tabs>
          <w:tab w:val="left" w:pos="1369"/>
        </w:tabs>
        <w:jc w:val="both"/>
        <w:rPr>
          <w:b/>
        </w:rPr>
      </w:pPr>
      <w:r>
        <w:rPr>
          <w:b/>
        </w:rPr>
        <w:tab/>
      </w:r>
      <w:r w:rsidR="00534DD6" w:rsidRPr="00D27089">
        <w:rPr>
          <w:b/>
        </w:rPr>
        <w:t>G) Delay due to</w:t>
      </w:r>
      <w:r w:rsidR="00534DD6" w:rsidRPr="00514826">
        <w:rPr>
          <w:b/>
        </w:rPr>
        <w:t xml:space="preserve"> </w:t>
      </w:r>
      <w:r w:rsidR="00514826" w:rsidRPr="00514826">
        <w:rPr>
          <w:b/>
        </w:rPr>
        <w:t>service user</w:t>
      </w:r>
      <w:r w:rsidR="00514826" w:rsidRPr="00D27089">
        <w:rPr>
          <w:b/>
        </w:rPr>
        <w:t xml:space="preserve"> </w:t>
      </w:r>
      <w:r w:rsidR="00534DD6" w:rsidRPr="00D27089">
        <w:rPr>
          <w:b/>
        </w:rPr>
        <w:t>or family exercising choice</w:t>
      </w:r>
    </w:p>
    <w:p w14:paraId="2A6960F7" w14:textId="24A6575B" w:rsidR="00534DD6" w:rsidRDefault="005921DD" w:rsidP="0093519A">
      <w:pPr>
        <w:tabs>
          <w:tab w:val="left" w:pos="1369"/>
        </w:tabs>
        <w:ind w:left="1369"/>
        <w:jc w:val="both"/>
      </w:pPr>
      <w:r w:rsidRPr="005921DD">
        <w:t xml:space="preserve">All </w:t>
      </w:r>
      <w:r w:rsidR="00514826">
        <w:t xml:space="preserve">service users </w:t>
      </w:r>
      <w:r w:rsidRPr="005921DD">
        <w:t xml:space="preserve">whose </w:t>
      </w:r>
      <w:r w:rsidR="0093519A" w:rsidRPr="005921DD">
        <w:t>assessment</w:t>
      </w:r>
      <w:r w:rsidR="00D65F57">
        <w:t xml:space="preserve"> is </w:t>
      </w:r>
      <w:r w:rsidRPr="005921DD">
        <w:t>complete and have been made a reasonable offer of services, bu</w:t>
      </w:r>
      <w:r w:rsidR="00D65F57">
        <w:t>t</w:t>
      </w:r>
      <w:r w:rsidRPr="005921DD">
        <w:t xml:space="preserve"> </w:t>
      </w:r>
      <w:r w:rsidR="00D65F57" w:rsidRPr="005921DD">
        <w:t>has</w:t>
      </w:r>
      <w:r w:rsidRPr="005921DD">
        <w:t xml:space="preserve"> refused that offer</w:t>
      </w:r>
      <w:r w:rsidR="00534DD6">
        <w:t xml:space="preserve">. It would also include delays incurred by </w:t>
      </w:r>
      <w:r w:rsidR="00514826">
        <w:t>service users</w:t>
      </w:r>
      <w:r w:rsidR="00534DD6">
        <w:t xml:space="preserve"> who will be funding their own care e.g. through insisting on placement in a home with no foreseeable vacancies.</w:t>
      </w:r>
    </w:p>
    <w:p w14:paraId="27B9B807" w14:textId="452E0050" w:rsidR="00534DD6" w:rsidRDefault="00534DD6" w:rsidP="0093519A">
      <w:pPr>
        <w:tabs>
          <w:tab w:val="left" w:pos="1369"/>
        </w:tabs>
        <w:ind w:left="1369"/>
        <w:jc w:val="both"/>
      </w:pPr>
      <w:r>
        <w:t xml:space="preserve">Note that the Direction on Choice should not be used as a reason to delay a </w:t>
      </w:r>
      <w:r w:rsidR="00514826">
        <w:t>service user</w:t>
      </w:r>
      <w:r>
        <w:t xml:space="preserve">’s discharge. The provisions of the Direction on Choice continue to apply to </w:t>
      </w:r>
      <w:r w:rsidR="00514826">
        <w:t>service users</w:t>
      </w:r>
      <w:r>
        <w:t xml:space="preserve"> leaving hospital for a place in a care home. Health and social care systems should put in place locally agreed protocols on </w:t>
      </w:r>
      <w:r w:rsidR="00514826">
        <w:t>service user</w:t>
      </w:r>
      <w:r>
        <w:t xml:space="preserve"> information incorporating how the issue of </w:t>
      </w:r>
      <w:r w:rsidR="00514826">
        <w:t>service user</w:t>
      </w:r>
      <w:r>
        <w:t xml:space="preserve"> choice will be dealt with. These should make it clear that an acute setting is not an appropriate place to wait and alternatives will be offered.</w:t>
      </w:r>
    </w:p>
    <w:p w14:paraId="1AD5A549" w14:textId="62556541" w:rsidR="00534DD6" w:rsidRDefault="00534DD6" w:rsidP="0093519A">
      <w:pPr>
        <w:tabs>
          <w:tab w:val="left" w:pos="1369"/>
        </w:tabs>
        <w:ind w:left="1369"/>
        <w:jc w:val="both"/>
      </w:pPr>
      <w:r>
        <w:t xml:space="preserve">Where </w:t>
      </w:r>
      <w:r w:rsidR="00FE5CB3">
        <w:t>Social Services</w:t>
      </w:r>
      <w:r>
        <w:t xml:space="preserve"> are responsible for providing services and a</w:t>
      </w:r>
      <w:r w:rsidR="0037039D">
        <w:t xml:space="preserve"> </w:t>
      </w:r>
      <w:r w:rsidR="00514826">
        <w:t>service user</w:t>
      </w:r>
      <w:r w:rsidR="00E3127C">
        <w:t xml:space="preserve">’s </w:t>
      </w:r>
      <w:r>
        <w:t xml:space="preserve">preferred home of choice is not immediately available, they should offer an interim </w:t>
      </w:r>
      <w:r>
        <w:lastRenderedPageBreak/>
        <w:t xml:space="preserve">package of care. All interim arrangements should be based solely on the </w:t>
      </w:r>
      <w:r w:rsidR="00514826">
        <w:t>service users</w:t>
      </w:r>
      <w:r>
        <w:t xml:space="preserve"> assessed needs </w:t>
      </w:r>
      <w:r w:rsidR="00E3127C">
        <w:t xml:space="preserve">to </w:t>
      </w:r>
      <w:r>
        <w:t xml:space="preserve">sustain or improve their level of independence. If no alternative is provided which can meet the </w:t>
      </w:r>
      <w:r w:rsidR="00514826">
        <w:t>service user</w:t>
      </w:r>
      <w:r>
        <w:t xml:space="preserve">’s needs, </w:t>
      </w:r>
      <w:r w:rsidR="00FE5CB3">
        <w:t>Social Services</w:t>
      </w:r>
      <w:r>
        <w:t xml:space="preserve"> are liable for reimbursement.</w:t>
      </w:r>
    </w:p>
    <w:p w14:paraId="0AFF8F97" w14:textId="7922104F" w:rsidR="0037039D" w:rsidRDefault="00534DD6" w:rsidP="00BE72FE">
      <w:pPr>
        <w:tabs>
          <w:tab w:val="left" w:pos="1369"/>
        </w:tabs>
        <w:ind w:left="1369"/>
        <w:jc w:val="both"/>
        <w:rPr>
          <w:b/>
        </w:rPr>
      </w:pPr>
      <w:r>
        <w:t xml:space="preserve">Where </w:t>
      </w:r>
      <w:r w:rsidR="00514826">
        <w:t>service users</w:t>
      </w:r>
      <w:r>
        <w:t xml:space="preserve"> have been offered appropriate services, either on an interim or permanent basis, by the local authority but are creating an unreasonable delay as above, such delays are not </w:t>
      </w:r>
      <w:r w:rsidR="00E3127C">
        <w:t xml:space="preserve">considered </w:t>
      </w:r>
      <w:r>
        <w:t xml:space="preserve">to be the responsibility of the local authority and thus do not incur reimbursement charges. The responsibility for discharging the </w:t>
      </w:r>
      <w:r w:rsidR="00514826">
        <w:t>service user</w:t>
      </w:r>
      <w:r>
        <w:t xml:space="preserve"> reverts to the NHS body. Such delays should be recorded in the column ‘Attributable to the NHS’.</w:t>
      </w:r>
    </w:p>
    <w:p w14:paraId="37D7A013" w14:textId="77777777" w:rsidR="00534DD6" w:rsidRPr="00D27089" w:rsidRDefault="0037039D" w:rsidP="0093519A">
      <w:pPr>
        <w:tabs>
          <w:tab w:val="left" w:pos="1369"/>
        </w:tabs>
        <w:jc w:val="both"/>
        <w:rPr>
          <w:b/>
        </w:rPr>
      </w:pPr>
      <w:r>
        <w:rPr>
          <w:b/>
        </w:rPr>
        <w:tab/>
      </w:r>
      <w:r w:rsidR="00534DD6" w:rsidRPr="00D27089">
        <w:rPr>
          <w:b/>
        </w:rPr>
        <w:t>H) Disputes</w:t>
      </w:r>
    </w:p>
    <w:p w14:paraId="6624CC12" w14:textId="539368BB" w:rsidR="00534DD6" w:rsidRDefault="00534DD6" w:rsidP="0093519A">
      <w:pPr>
        <w:tabs>
          <w:tab w:val="left" w:pos="1369"/>
        </w:tabs>
        <w:ind w:left="1369"/>
        <w:jc w:val="both"/>
      </w:pPr>
      <w:r>
        <w:t xml:space="preserve">This should be used only to record disputes between statutory agencies, either concerning responsibility for the </w:t>
      </w:r>
      <w:r w:rsidR="00514826">
        <w:t>service user</w:t>
      </w:r>
      <w:r>
        <w:t>’s onward care, or concerning an aspect of the discharge decision, e.g. readiness for discharge or appropriateness of the care package.</w:t>
      </w:r>
    </w:p>
    <w:p w14:paraId="2CB5C035" w14:textId="3DCF948D" w:rsidR="00D27089" w:rsidRDefault="00534DD6" w:rsidP="0093519A">
      <w:pPr>
        <w:tabs>
          <w:tab w:val="left" w:pos="1369"/>
        </w:tabs>
        <w:ind w:left="1369"/>
        <w:jc w:val="both"/>
      </w:pPr>
      <w:r>
        <w:t xml:space="preserve">Disputes may not be recorded as the responsibility of both agencies. NHS bodies and </w:t>
      </w:r>
      <w:r w:rsidR="004F48EC">
        <w:t>Councils</w:t>
      </w:r>
      <w:r>
        <w:t xml:space="preserve"> are expected to operate within a culture of problem solving and partnership, where formal dispute is a last resort. The </w:t>
      </w:r>
      <w:r w:rsidR="00514826">
        <w:t>service user</w:t>
      </w:r>
      <w:r>
        <w:t xml:space="preserve"> should not be involved in the dispute, and should always be cared for in an appropriate environment throughout the process.</w:t>
      </w:r>
    </w:p>
    <w:p w14:paraId="539B79C9" w14:textId="130F59A8" w:rsidR="00534DD6" w:rsidRDefault="00534DD6" w:rsidP="0093519A">
      <w:pPr>
        <w:tabs>
          <w:tab w:val="left" w:pos="1369"/>
        </w:tabs>
        <w:ind w:left="1369"/>
        <w:jc w:val="both"/>
      </w:pPr>
      <w:r>
        <w:t xml:space="preserve">Accordingly, frontline staff should allocate responsibility for the </w:t>
      </w:r>
      <w:r w:rsidR="00514826">
        <w:t>service user</w:t>
      </w:r>
      <w:r>
        <w:t xml:space="preserve">’s care to one organisation, who may then take the dispute to formal resolution without involving the </w:t>
      </w:r>
      <w:r w:rsidR="00514826">
        <w:t>service user</w:t>
      </w:r>
      <w:r>
        <w:t xml:space="preserve"> or affecting his/her care pathway. The delay should be recorded as the responsibility of the agency that is taking interim responsibility for the </w:t>
      </w:r>
      <w:r w:rsidR="00514826">
        <w:t>service user</w:t>
      </w:r>
      <w:r>
        <w:t>’s care.</w:t>
      </w:r>
    </w:p>
    <w:p w14:paraId="0E9BE745" w14:textId="0F482CFE" w:rsidR="00534DD6" w:rsidRDefault="00534DD6" w:rsidP="0093519A">
      <w:pPr>
        <w:tabs>
          <w:tab w:val="left" w:pos="1369"/>
        </w:tabs>
        <w:ind w:left="1369"/>
        <w:jc w:val="both"/>
      </w:pPr>
      <w:r>
        <w:t xml:space="preserve">Where a delay is caused because of a </w:t>
      </w:r>
      <w:r w:rsidR="00514826">
        <w:t>service user</w:t>
      </w:r>
      <w:r>
        <w:t xml:space="preserve">’s disagreement with an aspect of the care package or decision to discharge, this should not be listed under disputes but recorded under </w:t>
      </w:r>
      <w:r w:rsidR="00514826">
        <w:t>service user</w:t>
      </w:r>
      <w:r w:rsidR="00514826" w:rsidRPr="0037039D">
        <w:t xml:space="preserve"> </w:t>
      </w:r>
      <w:r w:rsidR="003516BE" w:rsidRPr="0037039D">
        <w:t>choice. For</w:t>
      </w:r>
      <w:r w:rsidRPr="0037039D">
        <w:t xml:space="preserve"> example, a disagreement with the decision to discharge would be listed </w:t>
      </w:r>
      <w:r w:rsidR="0037039D" w:rsidRPr="0037039D">
        <w:t xml:space="preserve">for an assessment and or responsibility of the </w:t>
      </w:r>
      <w:r w:rsidRPr="0037039D">
        <w:t>NHS</w:t>
      </w:r>
      <w:r w:rsidR="0037039D" w:rsidRPr="0037039D">
        <w:t>.</w:t>
      </w:r>
      <w:r w:rsidRPr="0037039D">
        <w:t xml:space="preserve">  If a </w:t>
      </w:r>
      <w:r w:rsidR="00514826">
        <w:t>service user</w:t>
      </w:r>
      <w:r w:rsidR="00514826" w:rsidRPr="0037039D">
        <w:t xml:space="preserve"> </w:t>
      </w:r>
      <w:r w:rsidRPr="0037039D">
        <w:t xml:space="preserve">had been offered a care package in their own home and they felt they should be offered a residential care placement, it would be listed under </w:t>
      </w:r>
      <w:r w:rsidR="00C30A3E" w:rsidRPr="0037039D">
        <w:t>S</w:t>
      </w:r>
      <w:r w:rsidRPr="0037039D">
        <w:t xml:space="preserve">ocial </w:t>
      </w:r>
      <w:r w:rsidR="00C30A3E" w:rsidRPr="0037039D">
        <w:t>S</w:t>
      </w:r>
      <w:r w:rsidRPr="0037039D">
        <w:t xml:space="preserve">ervices responsibility </w:t>
      </w:r>
      <w:r w:rsidR="0037039D" w:rsidRPr="0037039D">
        <w:t>or</w:t>
      </w:r>
      <w:r w:rsidR="003516BE" w:rsidRPr="0037039D">
        <w:t xml:space="preserve"> </w:t>
      </w:r>
      <w:r w:rsidRPr="0037039D">
        <w:t>residential care.</w:t>
      </w:r>
    </w:p>
    <w:p w14:paraId="0E03EDFA" w14:textId="19C5F6D1" w:rsidR="00534DD6" w:rsidRPr="00D27089" w:rsidRDefault="00CE47C4" w:rsidP="0093519A">
      <w:pPr>
        <w:tabs>
          <w:tab w:val="left" w:pos="1369"/>
        </w:tabs>
        <w:jc w:val="both"/>
        <w:rPr>
          <w:b/>
        </w:rPr>
      </w:pPr>
      <w:r>
        <w:rPr>
          <w:b/>
        </w:rPr>
        <w:tab/>
      </w:r>
      <w:r w:rsidR="00534DD6" w:rsidRPr="00D27089">
        <w:rPr>
          <w:b/>
        </w:rPr>
        <w:t xml:space="preserve">I) Housing – </w:t>
      </w:r>
      <w:r w:rsidR="00514826" w:rsidRPr="00514826">
        <w:rPr>
          <w:b/>
        </w:rPr>
        <w:t>service users</w:t>
      </w:r>
      <w:r w:rsidR="00514826" w:rsidRPr="00D27089">
        <w:rPr>
          <w:b/>
        </w:rPr>
        <w:t xml:space="preserve"> </w:t>
      </w:r>
      <w:r w:rsidR="00534DD6" w:rsidRPr="00D27089">
        <w:rPr>
          <w:b/>
        </w:rPr>
        <w:t>not covered by NHS and Community Care Act</w:t>
      </w:r>
    </w:p>
    <w:p w14:paraId="47CD543B" w14:textId="263BDC5D" w:rsidR="00534DD6" w:rsidRDefault="00534DD6" w:rsidP="0093519A">
      <w:pPr>
        <w:tabs>
          <w:tab w:val="left" w:pos="1369"/>
        </w:tabs>
        <w:ind w:left="1369"/>
        <w:jc w:val="both"/>
      </w:pPr>
      <w:r>
        <w:t>The guidance accompanying the Communi</w:t>
      </w:r>
      <w:r w:rsidR="00AE4DDF">
        <w:t>ty Care (Delayed Discharges</w:t>
      </w:r>
      <w:r>
        <w:t xml:space="preserve">) Act 2003 requires </w:t>
      </w:r>
      <w:r w:rsidR="00FE5CB3">
        <w:t>Social Services</w:t>
      </w:r>
      <w:r>
        <w:t xml:space="preserve"> departments to make appropriate interim arrangements for </w:t>
      </w:r>
      <w:r w:rsidR="00514826">
        <w:t>service users</w:t>
      </w:r>
      <w:r>
        <w:t xml:space="preserve"> delayed waiting for housing, rather than allow them to remain in hospital when they are fit to move on. If there are delays in arranging the interim placement, the reason for delay should be recorded under that of the delayed interim package (</w:t>
      </w:r>
      <w:r w:rsidR="008B21D9">
        <w:t>e.g.</w:t>
      </w:r>
      <w:r>
        <w:t xml:space="preserve"> residential care, care package in own home).</w:t>
      </w:r>
    </w:p>
    <w:p w14:paraId="2B252F0E" w14:textId="3F6659AD" w:rsidR="00534DD6" w:rsidRDefault="00534DD6" w:rsidP="0093519A">
      <w:pPr>
        <w:tabs>
          <w:tab w:val="left" w:pos="1369"/>
        </w:tabs>
        <w:ind w:left="1369"/>
        <w:jc w:val="both"/>
      </w:pPr>
      <w:r>
        <w:lastRenderedPageBreak/>
        <w:t xml:space="preserve">However, some </w:t>
      </w:r>
      <w:r w:rsidR="0080449A">
        <w:t xml:space="preserve">service users </w:t>
      </w:r>
      <w:r>
        <w:t xml:space="preserve">delayed for housing reasons may not be eligible for community care services and therefore are not the responsibility of </w:t>
      </w:r>
      <w:r w:rsidR="00FE5CB3">
        <w:t>Social Services</w:t>
      </w:r>
      <w:r>
        <w:t>. Examples could be asylum seekers or single homeless people.</w:t>
      </w:r>
    </w:p>
    <w:p w14:paraId="4C8AFAD6" w14:textId="3836C760" w:rsidR="00534DD6" w:rsidRDefault="00534DD6" w:rsidP="0093519A">
      <w:pPr>
        <w:tabs>
          <w:tab w:val="left" w:pos="1369"/>
        </w:tabs>
        <w:ind w:left="1369"/>
        <w:jc w:val="both"/>
      </w:pPr>
      <w:r>
        <w:t xml:space="preserve">We have therefore introduced a new box to cover housing delays where these relate to people who are not eligible for community care services. All other </w:t>
      </w:r>
      <w:r w:rsidR="0080449A">
        <w:t xml:space="preserve">service users </w:t>
      </w:r>
      <w:r>
        <w:t>with long-term housing delays should be found an interim placement, and any delays in arranging this logged under the care package they are waiting for as discussed above.</w:t>
      </w:r>
    </w:p>
    <w:p w14:paraId="0AC5B9EA" w14:textId="14091DB0" w:rsidR="00534DD6" w:rsidRDefault="00534DD6" w:rsidP="0093519A">
      <w:pPr>
        <w:tabs>
          <w:tab w:val="left" w:pos="1369"/>
        </w:tabs>
        <w:ind w:left="1369"/>
        <w:jc w:val="both"/>
      </w:pPr>
      <w:r>
        <w:t xml:space="preserve">The focus of the form is on delays to </w:t>
      </w:r>
      <w:r w:rsidR="0080449A">
        <w:t>service users</w:t>
      </w:r>
      <w:r>
        <w:t xml:space="preserve"> leaving the medical environment. Where </w:t>
      </w:r>
      <w:r w:rsidR="0080449A">
        <w:t>service users</w:t>
      </w:r>
      <w:r>
        <w:t xml:space="preserve"> are eligible for community care services, and major home adaptations or alternative housing arrangements are needed for safe discharge, </w:t>
      </w:r>
      <w:r w:rsidR="00FE5CB3">
        <w:t>Social Services</w:t>
      </w:r>
      <w:r>
        <w:t xml:space="preserve"> staff should inform and work with housing counterparts to arrange the necessary services. Remaining in a medical setting whilst long-term adaptations are made, however, is not an appropriate care option. In these circumstances, </w:t>
      </w:r>
      <w:r w:rsidR="00FE5CB3">
        <w:t>Social Services</w:t>
      </w:r>
      <w:r>
        <w:t xml:space="preserve"> will need to make appropriate interim provisions to enable the </w:t>
      </w:r>
      <w:r w:rsidR="0080449A">
        <w:t xml:space="preserve">service user </w:t>
      </w:r>
      <w:r>
        <w:t xml:space="preserve">to move on from the medical environment. </w:t>
      </w:r>
      <w:r w:rsidR="00FE5CB3">
        <w:t>Social Services</w:t>
      </w:r>
      <w:r>
        <w:t xml:space="preserve"> are deemed liable for reimbursement for delays in the arrangements of interim social care provision in these circumstances.</w:t>
      </w:r>
    </w:p>
    <w:p w14:paraId="5E79F523" w14:textId="77777777" w:rsidR="00D27089" w:rsidRDefault="00534DD6" w:rsidP="0093519A">
      <w:pPr>
        <w:tabs>
          <w:tab w:val="left" w:pos="1369"/>
        </w:tabs>
        <w:ind w:left="1369"/>
        <w:jc w:val="both"/>
      </w:pPr>
      <w:r>
        <w:t xml:space="preserve">The revised form reflects these arrangements. If there is likely to be a housing-related delay, </w:t>
      </w:r>
      <w:r w:rsidR="00FE5CB3">
        <w:t>Social Services</w:t>
      </w:r>
      <w:r>
        <w:t xml:space="preserve"> should focus on finding an interim placement. Any delays in providing interim care should be recorded under the appropriate box on the new form, for instance, under domiciliary care or r</w:t>
      </w:r>
      <w:r w:rsidR="00CE47C4">
        <w:t>esidential care, as appropriate.</w:t>
      </w:r>
    </w:p>
    <w:p w14:paraId="07BE2339" w14:textId="2C7D3E4A" w:rsidR="00534DD6" w:rsidRDefault="00534DD6" w:rsidP="0093519A">
      <w:pPr>
        <w:tabs>
          <w:tab w:val="left" w:pos="1369"/>
        </w:tabs>
        <w:ind w:left="1369"/>
        <w:jc w:val="both"/>
      </w:pPr>
      <w:r>
        <w:t xml:space="preserve">Interim arrangements are of course intended to be provided on a temporary basis. If long-term arrangements of housing support are a significant problem in making discharge arrangements for </w:t>
      </w:r>
      <w:r w:rsidR="0080449A">
        <w:t>service users</w:t>
      </w:r>
      <w:r>
        <w:t xml:space="preserve">, </w:t>
      </w:r>
      <w:r w:rsidR="004F48EC">
        <w:t>Councils</w:t>
      </w:r>
      <w:r>
        <w:t xml:space="preserve"> should ensure they have their own monitoring arrangements to inform progress.</w:t>
      </w:r>
    </w:p>
    <w:p w14:paraId="2459FD94" w14:textId="6F6A933D" w:rsidR="00534DD6" w:rsidRDefault="0080449A" w:rsidP="00CD5DA1">
      <w:pPr>
        <w:tabs>
          <w:tab w:val="left" w:pos="1369"/>
        </w:tabs>
        <w:ind w:left="1366"/>
        <w:jc w:val="both"/>
      </w:pPr>
      <w:r>
        <w:t>Service users</w:t>
      </w:r>
      <w:r w:rsidR="00534DD6">
        <w:t xml:space="preserve"> delayed waiting for housing support </w:t>
      </w:r>
      <w:r w:rsidR="0093519A">
        <w:t>is</w:t>
      </w:r>
      <w:r w:rsidR="00534DD6">
        <w:t xml:space="preserve"> not eligible for community care services. This means their discharge is not the responsibility of </w:t>
      </w:r>
      <w:r w:rsidR="00FE5CB3">
        <w:t>Social Services</w:t>
      </w:r>
      <w:r w:rsidR="00534DD6">
        <w:t xml:space="preserve"> and such delays are not eligible for reimbursement. In response to feedback from </w:t>
      </w:r>
      <w:r w:rsidR="004F48EC">
        <w:t>Councils</w:t>
      </w:r>
      <w:r w:rsidR="00534DD6">
        <w:t xml:space="preserve">, we have introduced a new category </w:t>
      </w:r>
      <w:r w:rsidR="00534DD6" w:rsidRPr="0037039D">
        <w:rPr>
          <w:b/>
        </w:rPr>
        <w:t>‘I’</w:t>
      </w:r>
      <w:r w:rsidR="00534DD6">
        <w:t xml:space="preserve"> on the form to cover this group of </w:t>
      </w:r>
      <w:r>
        <w:t>service users</w:t>
      </w:r>
      <w:r w:rsidR="00534DD6">
        <w:t>, who might include asylum seekers or single homeless people. Please see the section</w:t>
      </w:r>
      <w:r w:rsidR="00534DD6" w:rsidRPr="0037039D">
        <w:rPr>
          <w:b/>
        </w:rPr>
        <w:t xml:space="preserve"> I</w:t>
      </w:r>
      <w:r w:rsidR="00534DD6">
        <w:t xml:space="preserve"> in this guidance document for further detail.</w:t>
      </w:r>
    </w:p>
    <w:p w14:paraId="1EB12031" w14:textId="1EA4C681" w:rsidR="00FC5BF1" w:rsidRPr="00D27089" w:rsidRDefault="00FC5BF1" w:rsidP="00BE72FE">
      <w:pPr>
        <w:tabs>
          <w:tab w:val="left" w:pos="1369"/>
        </w:tabs>
        <w:ind w:firstLine="1366"/>
        <w:jc w:val="both"/>
        <w:rPr>
          <w:b/>
        </w:rPr>
      </w:pPr>
      <w:r>
        <w:rPr>
          <w:b/>
        </w:rPr>
        <w:t>J</w:t>
      </w:r>
      <w:r w:rsidRPr="00D27089">
        <w:rPr>
          <w:b/>
        </w:rPr>
        <w:t>) Delay due to</w:t>
      </w:r>
      <w:r>
        <w:rPr>
          <w:b/>
        </w:rPr>
        <w:t xml:space="preserve"> awaiting supported accommodation</w:t>
      </w:r>
    </w:p>
    <w:p w14:paraId="5CACAAC4" w14:textId="77777777" w:rsidR="004943C7" w:rsidRPr="004943C7" w:rsidRDefault="004943C7" w:rsidP="004943C7">
      <w:pPr>
        <w:tabs>
          <w:tab w:val="left" w:pos="1369"/>
        </w:tabs>
        <w:ind w:left="1369"/>
        <w:jc w:val="both"/>
      </w:pPr>
      <w:r w:rsidRPr="004943C7">
        <w:t>This would typically include delays when people are waiting for sheltered housing, long and short term supported housing, extra care housing, adult placement schemes, crisis houses, refuges, therapeutic communities, short stay hostels and other specialist step up/step down accommodation.</w:t>
      </w:r>
    </w:p>
    <w:p w14:paraId="4F6310C3" w14:textId="37A4FC71" w:rsidR="004943C7" w:rsidRPr="004943C7" w:rsidRDefault="004943C7" w:rsidP="00BE72FE">
      <w:pPr>
        <w:tabs>
          <w:tab w:val="left" w:pos="1369"/>
        </w:tabs>
        <w:ind w:left="1418"/>
        <w:jc w:val="both"/>
        <w:rPr>
          <w:b/>
        </w:rPr>
      </w:pPr>
      <w:r>
        <w:rPr>
          <w:b/>
        </w:rPr>
        <w:t>K</w:t>
      </w:r>
      <w:r w:rsidRPr="00D27089">
        <w:rPr>
          <w:b/>
        </w:rPr>
        <w:t>) Delay due to</w:t>
      </w:r>
      <w:r>
        <w:rPr>
          <w:b/>
        </w:rPr>
        <w:t xml:space="preserve"> awaiting </w:t>
      </w:r>
      <w:r w:rsidRPr="004943C7">
        <w:rPr>
          <w:b/>
        </w:rPr>
        <w:t>emergency accommodation from the Local Authority under the Housing Act</w:t>
      </w:r>
    </w:p>
    <w:p w14:paraId="2188222E" w14:textId="1A8D6036" w:rsidR="004943C7" w:rsidRDefault="004943C7" w:rsidP="004943C7">
      <w:pPr>
        <w:tabs>
          <w:tab w:val="left" w:pos="1369"/>
        </w:tabs>
        <w:ind w:left="1369"/>
        <w:jc w:val="both"/>
      </w:pPr>
      <w:r w:rsidRPr="004943C7">
        <w:lastRenderedPageBreak/>
        <w:t>This category should be used when a person cannot be discharged from care because they are awaiting accommodation under the Housing Act, for example, for people who are legally homeless, or have a priority need.</w:t>
      </w:r>
    </w:p>
    <w:p w14:paraId="27086210" w14:textId="5F605663" w:rsidR="004943C7" w:rsidRDefault="004943C7" w:rsidP="004943C7">
      <w:pPr>
        <w:tabs>
          <w:tab w:val="left" w:pos="1369"/>
        </w:tabs>
        <w:ind w:left="1418"/>
        <w:jc w:val="both"/>
        <w:rPr>
          <w:b/>
        </w:rPr>
      </w:pPr>
      <w:r>
        <w:rPr>
          <w:b/>
        </w:rPr>
        <w:t>L</w:t>
      </w:r>
      <w:r w:rsidRPr="00D27089">
        <w:rPr>
          <w:b/>
        </w:rPr>
        <w:t>) Delay due to</w:t>
      </w:r>
      <w:r>
        <w:rPr>
          <w:b/>
        </w:rPr>
        <w:t xml:space="preserve"> awaiting </w:t>
      </w:r>
      <w:r w:rsidRPr="004943C7">
        <w:rPr>
          <w:b/>
        </w:rPr>
        <w:t>emergency accommodation from the Local Authority under the Housing Act</w:t>
      </w:r>
    </w:p>
    <w:p w14:paraId="2DAB68E1" w14:textId="2FD4A363" w:rsidR="00AF1AE4" w:rsidRDefault="00AF1AE4" w:rsidP="00BE72FE">
      <w:pPr>
        <w:tabs>
          <w:tab w:val="left" w:pos="1369"/>
        </w:tabs>
        <w:ind w:left="1369"/>
        <w:jc w:val="both"/>
      </w:pPr>
      <w:r w:rsidRPr="00BE72FE">
        <w:t>This category should be used for children and young people whose discharge is delayed because they are awaiting placements in children's homes, foster care placements or kinship care</w:t>
      </w:r>
    </w:p>
    <w:p w14:paraId="253CA195" w14:textId="7E06A120" w:rsidR="006C0345" w:rsidRDefault="006C0345" w:rsidP="006C0345">
      <w:pPr>
        <w:tabs>
          <w:tab w:val="left" w:pos="1369"/>
        </w:tabs>
        <w:ind w:left="1418"/>
        <w:jc w:val="both"/>
        <w:rPr>
          <w:b/>
        </w:rPr>
      </w:pPr>
      <w:r>
        <w:rPr>
          <w:b/>
        </w:rPr>
        <w:t>M</w:t>
      </w:r>
      <w:r w:rsidRPr="00D27089">
        <w:rPr>
          <w:b/>
        </w:rPr>
        <w:t>) Delay due to</w:t>
      </w:r>
      <w:r>
        <w:rPr>
          <w:b/>
        </w:rPr>
        <w:t xml:space="preserve"> awaiting </w:t>
      </w:r>
      <w:r w:rsidRPr="006C0345">
        <w:rPr>
          <w:b/>
        </w:rPr>
        <w:t>Ministry of Justice agreement/ permission of proposed placement</w:t>
      </w:r>
    </w:p>
    <w:p w14:paraId="6BC090D9" w14:textId="7E7C9E89" w:rsidR="006C0345" w:rsidRDefault="006C0345" w:rsidP="006C0345">
      <w:pPr>
        <w:tabs>
          <w:tab w:val="left" w:pos="1369"/>
        </w:tabs>
        <w:ind w:left="1418"/>
        <w:jc w:val="both"/>
        <w:rPr>
          <w:b/>
        </w:rPr>
      </w:pPr>
      <w:r>
        <w:rPr>
          <w:b/>
        </w:rPr>
        <w:t>N</w:t>
      </w:r>
      <w:r w:rsidRPr="00D27089">
        <w:rPr>
          <w:b/>
        </w:rPr>
        <w:t>) Delay due to</w:t>
      </w:r>
      <w:r>
        <w:rPr>
          <w:b/>
        </w:rPr>
        <w:t xml:space="preserve"> awaiting </w:t>
      </w:r>
      <w:r w:rsidRPr="006C0345">
        <w:rPr>
          <w:b/>
        </w:rPr>
        <w:t>outcome of legal requirements (mental capacity/mental health legislation)</w:t>
      </w:r>
    </w:p>
    <w:p w14:paraId="38C769BB" w14:textId="60648299" w:rsidR="00FC5BF1" w:rsidRDefault="006C0345" w:rsidP="00BE72FE">
      <w:pPr>
        <w:tabs>
          <w:tab w:val="left" w:pos="1369"/>
        </w:tabs>
        <w:ind w:left="1369"/>
        <w:jc w:val="both"/>
      </w:pPr>
      <w:r w:rsidRPr="006C0345">
        <w:t>This could typically include delays relating to decisions from Independent Mental Capacity Advocates (IMCA) and/or for a deprivation of liberty safeguard (DOLs)</w:t>
      </w:r>
    </w:p>
    <w:p w14:paraId="13833C0E" w14:textId="77777777" w:rsidR="00C255F3" w:rsidRDefault="00C255F3">
      <w:pPr>
        <w:spacing w:after="0" w:line="240" w:lineRule="auto"/>
        <w:rPr>
          <w:b/>
        </w:rPr>
      </w:pPr>
      <w:r>
        <w:rPr>
          <w:b/>
        </w:rPr>
        <w:br w:type="page"/>
      </w:r>
    </w:p>
    <w:p w14:paraId="62591587" w14:textId="129C5C07" w:rsidR="00CE47C4" w:rsidRDefault="004575D4" w:rsidP="00CD5DA1">
      <w:pPr>
        <w:tabs>
          <w:tab w:val="left" w:pos="1369"/>
        </w:tabs>
        <w:ind w:left="567"/>
        <w:jc w:val="both"/>
        <w:rPr>
          <w:b/>
        </w:rPr>
      </w:pPr>
      <w:r>
        <w:rPr>
          <w:b/>
        </w:rPr>
        <w:lastRenderedPageBreak/>
        <w:t>8</w:t>
      </w:r>
      <w:r w:rsidR="0091571E" w:rsidRPr="00CD5DA1">
        <w:rPr>
          <w:b/>
        </w:rPr>
        <w:tab/>
      </w:r>
      <w:r w:rsidR="00754FCB">
        <w:rPr>
          <w:b/>
        </w:rPr>
        <w:t>Placement without Prejudice</w:t>
      </w:r>
    </w:p>
    <w:p w14:paraId="3F872833" w14:textId="0C3F5111" w:rsidR="0091571E" w:rsidRDefault="004575D4" w:rsidP="00CD5DA1">
      <w:pPr>
        <w:tabs>
          <w:tab w:val="left" w:pos="1418"/>
        </w:tabs>
        <w:ind w:left="1440" w:hanging="873"/>
        <w:jc w:val="both"/>
      </w:pPr>
      <w:r>
        <w:rPr>
          <w:b/>
        </w:rPr>
        <w:t>8</w:t>
      </w:r>
      <w:r w:rsidR="0091571E">
        <w:rPr>
          <w:b/>
        </w:rPr>
        <w:t>.1</w:t>
      </w:r>
      <w:r w:rsidR="0091571E">
        <w:rPr>
          <w:b/>
        </w:rPr>
        <w:tab/>
      </w:r>
      <w:r w:rsidR="0091571E" w:rsidRPr="00CD5DA1">
        <w:t>Decisions to fund placements or packages are not causes for extended hospital stays</w:t>
      </w:r>
      <w:r w:rsidR="0091571E">
        <w:t xml:space="preserve"> and should not be a cause of delayed transfer of care. The following needs to be in place to support the </w:t>
      </w:r>
      <w:r w:rsidR="0080449A">
        <w:t xml:space="preserve">service user </w:t>
      </w:r>
      <w:r w:rsidR="0091571E">
        <w:t xml:space="preserve">and teams working with </w:t>
      </w:r>
      <w:r w:rsidR="0080449A">
        <w:t>service users</w:t>
      </w:r>
      <w:r w:rsidR="0091571E">
        <w:t xml:space="preserve"> so as to expedite discharge when appropriate;</w:t>
      </w:r>
    </w:p>
    <w:p w14:paraId="3F1DEFE3" w14:textId="1AE5FC95" w:rsidR="0091571E" w:rsidRPr="00CD5DA1" w:rsidRDefault="0091571E" w:rsidP="00CD5DA1">
      <w:pPr>
        <w:pStyle w:val="ListParagraph"/>
        <w:numPr>
          <w:ilvl w:val="0"/>
          <w:numId w:val="18"/>
        </w:numPr>
        <w:tabs>
          <w:tab w:val="left" w:pos="1843"/>
        </w:tabs>
        <w:ind w:left="1843" w:hanging="425"/>
        <w:jc w:val="both"/>
      </w:pPr>
      <w:r w:rsidRPr="00CD5DA1">
        <w:t>Clear funding systems and processes with good guidance are available and known by all.</w:t>
      </w:r>
    </w:p>
    <w:p w14:paraId="7A88BC9D" w14:textId="04178F90" w:rsidR="0091571E" w:rsidRPr="00CD5DA1" w:rsidRDefault="0091571E" w:rsidP="00CD5DA1">
      <w:pPr>
        <w:pStyle w:val="ListParagraph"/>
        <w:numPr>
          <w:ilvl w:val="1"/>
          <w:numId w:val="18"/>
        </w:numPr>
        <w:tabs>
          <w:tab w:val="left" w:pos="1843"/>
        </w:tabs>
        <w:ind w:left="1843" w:hanging="425"/>
        <w:jc w:val="both"/>
      </w:pPr>
      <w:r w:rsidRPr="00CD5DA1">
        <w:t>Accessible information is made available to people and their support network, upon decision to admit for private funders.</w:t>
      </w:r>
    </w:p>
    <w:p w14:paraId="6AB8DB7A" w14:textId="16EB39F8" w:rsidR="0091571E" w:rsidRPr="00CD5DA1" w:rsidRDefault="0091571E" w:rsidP="00CD5DA1">
      <w:pPr>
        <w:pStyle w:val="ListParagraph"/>
        <w:numPr>
          <w:ilvl w:val="0"/>
          <w:numId w:val="18"/>
        </w:numPr>
        <w:tabs>
          <w:tab w:val="left" w:pos="1369"/>
          <w:tab w:val="left" w:pos="1843"/>
        </w:tabs>
        <w:ind w:hanging="22"/>
        <w:jc w:val="both"/>
      </w:pPr>
      <w:r w:rsidRPr="00CD5DA1">
        <w:t>Interagency agreements are in place for individuals with complex needs.</w:t>
      </w:r>
    </w:p>
    <w:p w14:paraId="50C8CEAE" w14:textId="591B8A7A" w:rsidR="0091571E" w:rsidRPr="00CD5DA1" w:rsidRDefault="0091571E" w:rsidP="00CD5DA1">
      <w:pPr>
        <w:pStyle w:val="ListParagraph"/>
        <w:numPr>
          <w:ilvl w:val="0"/>
          <w:numId w:val="18"/>
        </w:numPr>
        <w:tabs>
          <w:tab w:val="left" w:pos="1369"/>
          <w:tab w:val="left" w:pos="1843"/>
        </w:tabs>
        <w:ind w:hanging="22"/>
        <w:jc w:val="both"/>
      </w:pPr>
      <w:r w:rsidRPr="00CD5DA1">
        <w:t>Strong assurance process is in place for checking the quality of assessments.</w:t>
      </w:r>
    </w:p>
    <w:p w14:paraId="42ADD09D" w14:textId="027B1D47" w:rsidR="0091571E" w:rsidRPr="00CD5DA1" w:rsidRDefault="0091571E" w:rsidP="00CD5DA1">
      <w:pPr>
        <w:pStyle w:val="ListParagraph"/>
        <w:numPr>
          <w:ilvl w:val="0"/>
          <w:numId w:val="18"/>
        </w:numPr>
        <w:tabs>
          <w:tab w:val="left" w:pos="1843"/>
          <w:tab w:val="left" w:pos="1985"/>
        </w:tabs>
        <w:ind w:left="1843" w:hanging="425"/>
        <w:jc w:val="both"/>
      </w:pPr>
      <w:r w:rsidRPr="00CD5DA1">
        <w:t xml:space="preserve">Clear S117 process and responsible </w:t>
      </w:r>
      <w:r w:rsidR="00970FE3">
        <w:t>ICB</w:t>
      </w:r>
      <w:r w:rsidRPr="00CD5DA1">
        <w:t>/ LA funding officer identified and known to staff.</w:t>
      </w:r>
    </w:p>
    <w:p w14:paraId="2128E3FD" w14:textId="56E9BF50" w:rsidR="0091571E" w:rsidRPr="00CD5DA1" w:rsidRDefault="0091571E" w:rsidP="00CD5DA1">
      <w:pPr>
        <w:pStyle w:val="ListParagraph"/>
        <w:numPr>
          <w:ilvl w:val="1"/>
          <w:numId w:val="18"/>
        </w:numPr>
        <w:tabs>
          <w:tab w:val="left" w:pos="1369"/>
        </w:tabs>
        <w:ind w:left="1843" w:hanging="425"/>
        <w:jc w:val="both"/>
      </w:pPr>
      <w:r w:rsidRPr="00CD5DA1">
        <w:t>All staff understand how to identify individuals with S117 aftercare needs.</w:t>
      </w:r>
    </w:p>
    <w:p w14:paraId="38BF294B" w14:textId="52E0CA01" w:rsidR="0091571E" w:rsidRPr="00CD5DA1" w:rsidRDefault="0091571E" w:rsidP="00CD5DA1">
      <w:pPr>
        <w:pStyle w:val="ListParagraph"/>
        <w:numPr>
          <w:ilvl w:val="1"/>
          <w:numId w:val="18"/>
        </w:numPr>
        <w:tabs>
          <w:tab w:val="left" w:pos="1369"/>
        </w:tabs>
        <w:ind w:left="1843" w:hanging="425"/>
        <w:jc w:val="both"/>
      </w:pPr>
      <w:r w:rsidRPr="00CD5DA1">
        <w:t>Daily decision making aroun</w:t>
      </w:r>
      <w:r w:rsidR="00754FCB" w:rsidRPr="00754FCB">
        <w:t>d funding done outside of panel</w:t>
      </w:r>
      <w:r w:rsidRPr="00CD5DA1">
        <w:t>, with no delays caused. Single decision maker in place.</w:t>
      </w:r>
    </w:p>
    <w:p w14:paraId="189FE78F" w14:textId="68A948A1" w:rsidR="0091571E" w:rsidRPr="00CD5DA1" w:rsidRDefault="0091571E" w:rsidP="00CD5DA1">
      <w:pPr>
        <w:pStyle w:val="ListParagraph"/>
        <w:numPr>
          <w:ilvl w:val="0"/>
          <w:numId w:val="19"/>
        </w:numPr>
        <w:tabs>
          <w:tab w:val="left" w:pos="1843"/>
        </w:tabs>
        <w:jc w:val="both"/>
      </w:pPr>
      <w:r w:rsidRPr="00CD5DA1">
        <w:t>Streamlined collaborative panel process.</w:t>
      </w:r>
    </w:p>
    <w:p w14:paraId="3156271F" w14:textId="16574D9F" w:rsidR="0091571E" w:rsidRDefault="0091571E" w:rsidP="00CD5DA1">
      <w:pPr>
        <w:pStyle w:val="ListParagraph"/>
        <w:numPr>
          <w:ilvl w:val="0"/>
          <w:numId w:val="19"/>
        </w:numPr>
        <w:tabs>
          <w:tab w:val="left" w:pos="1843"/>
        </w:tabs>
        <w:jc w:val="both"/>
      </w:pPr>
      <w:r w:rsidRPr="00CD5DA1">
        <w:t>No one waits more than 48 hours for a funding decision</w:t>
      </w:r>
    </w:p>
    <w:p w14:paraId="7AC0C98B" w14:textId="5560EDAA" w:rsidR="00754FCB" w:rsidRPr="00CD5DA1" w:rsidRDefault="004575D4" w:rsidP="00CD5DA1">
      <w:pPr>
        <w:tabs>
          <w:tab w:val="left" w:pos="1418"/>
        </w:tabs>
        <w:ind w:left="567"/>
        <w:jc w:val="both"/>
        <w:rPr>
          <w:b/>
        </w:rPr>
      </w:pPr>
      <w:r>
        <w:rPr>
          <w:b/>
        </w:rPr>
        <w:t>9</w:t>
      </w:r>
      <w:r w:rsidR="00754FCB" w:rsidRPr="00CD5DA1">
        <w:rPr>
          <w:b/>
        </w:rPr>
        <w:tab/>
        <w:t>Disputes and escalations</w:t>
      </w:r>
    </w:p>
    <w:p w14:paraId="0BB9F2E7" w14:textId="09883E7B" w:rsidR="00754FCB" w:rsidRDefault="004575D4" w:rsidP="00CD5DA1">
      <w:pPr>
        <w:tabs>
          <w:tab w:val="left" w:pos="1418"/>
        </w:tabs>
        <w:ind w:left="1418" w:hanging="851"/>
        <w:jc w:val="both"/>
      </w:pPr>
      <w:r>
        <w:t>9</w:t>
      </w:r>
      <w:r w:rsidR="00754FCB">
        <w:t>.1</w:t>
      </w:r>
      <w:r w:rsidR="00754FCB">
        <w:tab/>
      </w:r>
      <w:r w:rsidR="00754FCB">
        <w:tab/>
      </w:r>
      <w:r w:rsidR="00754FCB" w:rsidRPr="00CD5DA1">
        <w:rPr>
          <w:b/>
        </w:rPr>
        <w:t>Disputes</w:t>
      </w:r>
      <w:r w:rsidR="00754FCB">
        <w:t xml:space="preserve"> – where disputes arise, these should be resolved in the first instance through the MDT process with escalation to operational line managers for discussion</w:t>
      </w:r>
      <w:r w:rsidR="00BD2578">
        <w:t>, agreement and resolution.</w:t>
      </w:r>
      <w:r w:rsidR="00BD2578">
        <w:tab/>
      </w:r>
    </w:p>
    <w:p w14:paraId="7C6BB373" w14:textId="3A7F2652" w:rsidR="00BD2578" w:rsidRDefault="004575D4" w:rsidP="00CD5DA1">
      <w:pPr>
        <w:tabs>
          <w:tab w:val="left" w:pos="1418"/>
        </w:tabs>
        <w:ind w:left="1418" w:hanging="851"/>
        <w:jc w:val="both"/>
      </w:pPr>
      <w:r>
        <w:t>9</w:t>
      </w:r>
      <w:r w:rsidR="00BD2578">
        <w:t>.2</w:t>
      </w:r>
      <w:r w:rsidR="00BD2578">
        <w:tab/>
      </w:r>
      <w:r w:rsidR="00BD2578">
        <w:tab/>
      </w:r>
      <w:r w:rsidR="00BD2578" w:rsidRPr="00CD5DA1">
        <w:rPr>
          <w:b/>
        </w:rPr>
        <w:t>Escalation</w:t>
      </w:r>
      <w:r w:rsidR="00BD2578">
        <w:t xml:space="preserve"> - where the dispute cannot be resolved at operational level this should be escalated to health and social care commissioners for discussion, agreement and resolution.</w:t>
      </w:r>
    </w:p>
    <w:p w14:paraId="4024B581" w14:textId="09B15C14" w:rsidR="00BD2578" w:rsidRDefault="004575D4" w:rsidP="00CD5DA1">
      <w:pPr>
        <w:tabs>
          <w:tab w:val="left" w:pos="1418"/>
        </w:tabs>
        <w:ind w:left="1418" w:hanging="851"/>
        <w:jc w:val="both"/>
      </w:pPr>
      <w:r>
        <w:t>9</w:t>
      </w:r>
      <w:r w:rsidR="00BD2578">
        <w:t>.3</w:t>
      </w:r>
      <w:r w:rsidR="00BD2578">
        <w:tab/>
        <w:t xml:space="preserve">A person’s care must not be delayed whilst disputes are resolved. </w:t>
      </w:r>
    </w:p>
    <w:p w14:paraId="3F21B53A" w14:textId="2BE9F4FB" w:rsidR="00CD5DA1" w:rsidRPr="00CD5DA1" w:rsidRDefault="004575D4" w:rsidP="00CD5DA1">
      <w:pPr>
        <w:tabs>
          <w:tab w:val="left" w:pos="1418"/>
        </w:tabs>
        <w:ind w:left="1418" w:hanging="851"/>
        <w:jc w:val="both"/>
      </w:pPr>
      <w:r>
        <w:t>9</w:t>
      </w:r>
      <w:r w:rsidR="00CD5DA1">
        <w:t xml:space="preserve">.4 </w:t>
      </w:r>
      <w:r w:rsidR="00CD5DA1">
        <w:tab/>
      </w:r>
      <w:r w:rsidR="00CD5DA1" w:rsidRPr="00CD5DA1">
        <w:t xml:space="preserve">Where </w:t>
      </w:r>
      <w:r w:rsidR="00D202F7">
        <w:t xml:space="preserve">the </w:t>
      </w:r>
      <w:r w:rsidR="001B2F5D">
        <w:t>CRFD</w:t>
      </w:r>
      <w:r w:rsidR="001B2F5D" w:rsidRPr="00CD5DA1">
        <w:t xml:space="preserve"> </w:t>
      </w:r>
      <w:r w:rsidR="00D202F7">
        <w:t>is identified the data</w:t>
      </w:r>
      <w:r w:rsidR="00CD5DA1" w:rsidRPr="00CD5DA1">
        <w:t xml:space="preserve"> </w:t>
      </w:r>
      <w:r w:rsidR="00D202F7">
        <w:t>is r</w:t>
      </w:r>
      <w:r w:rsidR="00A00492">
        <w:t>eported to MHLDA COVID-19 SiteR</w:t>
      </w:r>
      <w:r w:rsidR="00D202F7">
        <w:t>ep from 1</w:t>
      </w:r>
      <w:r w:rsidR="00D202F7" w:rsidRPr="00D202F7">
        <w:rPr>
          <w:vertAlign w:val="superscript"/>
        </w:rPr>
        <w:t>st</w:t>
      </w:r>
      <w:r w:rsidR="00D202F7">
        <w:t xml:space="preserve"> April 2023</w:t>
      </w:r>
      <w:r w:rsidR="00CD5DA1" w:rsidRPr="00CD5DA1">
        <w:t>.</w:t>
      </w:r>
      <w:r w:rsidR="00A00492">
        <w:t xml:space="preserve"> In addition, when version 6 of MHSDS goes live in April 2024 changes will be made to the delayed discharge reason codes to support the new definition. </w:t>
      </w:r>
    </w:p>
    <w:p w14:paraId="7180698F" w14:textId="45E7BAF0" w:rsidR="00CD5DA1" w:rsidRDefault="00CD5DA1" w:rsidP="0004041C">
      <w:pPr>
        <w:tabs>
          <w:tab w:val="left" w:pos="1418"/>
        </w:tabs>
        <w:jc w:val="both"/>
      </w:pPr>
    </w:p>
    <w:p w14:paraId="65FB6007" w14:textId="284C1AB4" w:rsidR="002770C7" w:rsidRDefault="002770C7" w:rsidP="0004041C">
      <w:pPr>
        <w:tabs>
          <w:tab w:val="left" w:pos="1418"/>
        </w:tabs>
        <w:jc w:val="both"/>
      </w:pPr>
    </w:p>
    <w:p w14:paraId="0AA93187" w14:textId="77777777" w:rsidR="002770C7" w:rsidRPr="0091571E" w:rsidRDefault="002770C7" w:rsidP="0004041C">
      <w:pPr>
        <w:tabs>
          <w:tab w:val="left" w:pos="1418"/>
        </w:tabs>
        <w:jc w:val="both"/>
        <w:sectPr w:rsidR="002770C7" w:rsidRPr="0091571E">
          <w:headerReference w:type="default" r:id="rId11"/>
          <w:footerReference w:type="default" r:id="rId12"/>
          <w:pgSz w:w="11906" w:h="16838"/>
          <w:pgMar w:top="1440" w:right="1440" w:bottom="1440" w:left="1440" w:header="708" w:footer="708" w:gutter="0"/>
          <w:cols w:space="708"/>
          <w:docGrid w:linePitch="360"/>
        </w:sectPr>
      </w:pPr>
    </w:p>
    <w:p w14:paraId="5F78967C" w14:textId="2BB30BF9" w:rsidR="006C6237" w:rsidRDefault="00713552" w:rsidP="006C6237">
      <w:pPr>
        <w:tabs>
          <w:tab w:val="left" w:pos="1369"/>
        </w:tabs>
        <w:rPr>
          <w:b/>
        </w:rPr>
      </w:pPr>
      <w:r>
        <w:rPr>
          <w:b/>
        </w:rPr>
        <w:lastRenderedPageBreak/>
        <w:t xml:space="preserve">Appendix </w:t>
      </w:r>
      <w:r w:rsidR="00A42DEF">
        <w:rPr>
          <w:b/>
        </w:rPr>
        <w:t>1</w:t>
      </w:r>
      <w:r>
        <w:rPr>
          <w:b/>
        </w:rPr>
        <w:t xml:space="preserve"> – </w:t>
      </w:r>
      <w:r w:rsidR="00CD6755">
        <w:rPr>
          <w:b/>
        </w:rPr>
        <w:t>Reporting in PowerBI – Inpatients Dashboard</w:t>
      </w:r>
    </w:p>
    <w:p w14:paraId="482FA42D" w14:textId="6CB22429" w:rsidR="00CD6755" w:rsidRPr="00CD5DA1" w:rsidRDefault="002D397A" w:rsidP="006C6237">
      <w:pPr>
        <w:tabs>
          <w:tab w:val="left" w:pos="1369"/>
        </w:tabs>
        <w:rPr>
          <w:b/>
        </w:rPr>
      </w:pPr>
      <w:r>
        <w:rPr>
          <w:b/>
          <w:noProof/>
          <w:lang w:eastAsia="en-GB"/>
        </w:rPr>
        <w:drawing>
          <wp:inline distT="0" distB="0" distL="0" distR="0" wp14:anchorId="50A8E5AC" wp14:editId="3563595C">
            <wp:extent cx="8389748" cy="48423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13284" cy="4855929"/>
                    </a:xfrm>
                    <a:prstGeom prst="rect">
                      <a:avLst/>
                    </a:prstGeom>
                    <a:noFill/>
                    <a:ln>
                      <a:noFill/>
                    </a:ln>
                  </pic:spPr>
                </pic:pic>
              </a:graphicData>
            </a:graphic>
          </wp:inline>
        </w:drawing>
      </w:r>
    </w:p>
    <w:p w14:paraId="42BA462B" w14:textId="4B5B4914" w:rsidR="002770C7" w:rsidRDefault="002770C7">
      <w:pPr>
        <w:spacing w:after="0" w:line="240" w:lineRule="auto"/>
      </w:pPr>
    </w:p>
    <w:p w14:paraId="5E5F4945" w14:textId="77777777" w:rsidR="00C9225A" w:rsidRDefault="00C9225A">
      <w:pPr>
        <w:spacing w:after="0" w:line="240" w:lineRule="auto"/>
        <w:rPr>
          <w:b/>
        </w:rPr>
      </w:pPr>
      <w:r>
        <w:rPr>
          <w:b/>
        </w:rPr>
        <w:br w:type="page"/>
      </w:r>
    </w:p>
    <w:p w14:paraId="41253B5B" w14:textId="2E240575" w:rsidR="006C6237" w:rsidRDefault="0005627E" w:rsidP="006C6237">
      <w:pPr>
        <w:tabs>
          <w:tab w:val="left" w:pos="1369"/>
        </w:tabs>
        <w:rPr>
          <w:b/>
        </w:rPr>
      </w:pPr>
      <w:r w:rsidRPr="002770C7">
        <w:rPr>
          <w:b/>
        </w:rPr>
        <w:lastRenderedPageBreak/>
        <w:t xml:space="preserve">Appendix </w:t>
      </w:r>
      <w:r w:rsidR="00A42DEF">
        <w:rPr>
          <w:b/>
        </w:rPr>
        <w:t xml:space="preserve">2 </w:t>
      </w:r>
      <w:r w:rsidRPr="002770C7">
        <w:rPr>
          <w:b/>
        </w:rPr>
        <w:t>–</w:t>
      </w:r>
      <w:r w:rsidR="00891792">
        <w:rPr>
          <w:b/>
        </w:rPr>
        <w:t xml:space="preserve"> Key Practices and </w:t>
      </w:r>
      <w:r w:rsidR="00C9225A">
        <w:rPr>
          <w:b/>
        </w:rPr>
        <w:t>Principles</w:t>
      </w:r>
      <w:r w:rsidR="00891792">
        <w:rPr>
          <w:b/>
        </w:rPr>
        <w:t xml:space="preserve"> 10</w:t>
      </w:r>
      <w:r w:rsidR="00891792" w:rsidRPr="002770C7">
        <w:rPr>
          <w:b/>
        </w:rPr>
        <w:t xml:space="preserve"> steps</w:t>
      </w:r>
    </w:p>
    <w:p w14:paraId="0248F04D" w14:textId="77777777" w:rsidR="005268BD" w:rsidRDefault="005268BD" w:rsidP="006C6237">
      <w:pPr>
        <w:tabs>
          <w:tab w:val="left" w:pos="1369"/>
        </w:tabs>
        <w:rPr>
          <w:b/>
        </w:rPr>
      </w:pPr>
    </w:p>
    <w:p w14:paraId="5CDE5943" w14:textId="75316051" w:rsidR="00E23BD9" w:rsidRDefault="00981B7A" w:rsidP="006C6237">
      <w:pPr>
        <w:tabs>
          <w:tab w:val="left" w:pos="1369"/>
        </w:tabs>
        <w:rPr>
          <w:b/>
        </w:rPr>
      </w:pPr>
      <w:r>
        <w:rPr>
          <w:b/>
        </w:rPr>
        <w:t>The 10 steps</w:t>
      </w:r>
    </w:p>
    <w:p w14:paraId="4DB35E76" w14:textId="251935DA" w:rsidR="00E23BD9" w:rsidRPr="00981B7A" w:rsidRDefault="00E23BD9" w:rsidP="00015651">
      <w:pPr>
        <w:pStyle w:val="ListParagraph"/>
        <w:numPr>
          <w:ilvl w:val="2"/>
          <w:numId w:val="9"/>
        </w:numPr>
        <w:tabs>
          <w:tab w:val="left" w:pos="1369"/>
        </w:tabs>
        <w:spacing w:line="360" w:lineRule="auto"/>
        <w:ind w:left="425" w:hanging="357"/>
      </w:pPr>
      <w:r w:rsidRPr="00981B7A">
        <w:t xml:space="preserve">Start planning for discharge or transfer before or on admission. </w:t>
      </w:r>
    </w:p>
    <w:p w14:paraId="105EE843" w14:textId="3B6036CA" w:rsidR="00E23BD9" w:rsidRPr="00981B7A" w:rsidRDefault="00E23BD9" w:rsidP="00015651">
      <w:pPr>
        <w:pStyle w:val="ListParagraph"/>
        <w:numPr>
          <w:ilvl w:val="2"/>
          <w:numId w:val="9"/>
        </w:numPr>
        <w:tabs>
          <w:tab w:val="left" w:pos="1369"/>
        </w:tabs>
        <w:spacing w:line="360" w:lineRule="auto"/>
        <w:ind w:left="425" w:hanging="357"/>
      </w:pPr>
      <w:r w:rsidRPr="00981B7A">
        <w:t xml:space="preserve">Identify whether the patient has simple or complex discharge and transfer planning needs, involving the patient and carer in your decision. </w:t>
      </w:r>
    </w:p>
    <w:p w14:paraId="56DE6DDF" w14:textId="0D4E5D74" w:rsidR="00E23BD9" w:rsidRPr="00981B7A" w:rsidRDefault="00E23BD9" w:rsidP="00015651">
      <w:pPr>
        <w:pStyle w:val="ListParagraph"/>
        <w:numPr>
          <w:ilvl w:val="2"/>
          <w:numId w:val="9"/>
        </w:numPr>
        <w:tabs>
          <w:tab w:val="left" w:pos="1369"/>
        </w:tabs>
        <w:spacing w:line="360" w:lineRule="auto"/>
        <w:ind w:left="425" w:hanging="357"/>
      </w:pPr>
      <w:r w:rsidRPr="00981B7A">
        <w:t xml:space="preserve">Develop a clinical management plan for every patient within 24 hours of admission. </w:t>
      </w:r>
    </w:p>
    <w:p w14:paraId="1980EB3B" w14:textId="1D609473" w:rsidR="00E23BD9" w:rsidRPr="00981B7A" w:rsidRDefault="00E23BD9" w:rsidP="00015651">
      <w:pPr>
        <w:pStyle w:val="ListParagraph"/>
        <w:numPr>
          <w:ilvl w:val="2"/>
          <w:numId w:val="9"/>
        </w:numPr>
        <w:tabs>
          <w:tab w:val="left" w:pos="1369"/>
        </w:tabs>
        <w:spacing w:line="360" w:lineRule="auto"/>
        <w:ind w:left="425" w:hanging="357"/>
      </w:pPr>
      <w:r w:rsidRPr="00981B7A">
        <w:t xml:space="preserve">Co-ordinate the discharge or transfer of care process through effective leadership and handover of responsibilities at ward level. </w:t>
      </w:r>
    </w:p>
    <w:p w14:paraId="2C676AA1" w14:textId="12C380BD" w:rsidR="00E23BD9" w:rsidRPr="00981B7A" w:rsidRDefault="00E23BD9" w:rsidP="00015651">
      <w:pPr>
        <w:pStyle w:val="ListParagraph"/>
        <w:numPr>
          <w:ilvl w:val="2"/>
          <w:numId w:val="9"/>
        </w:numPr>
        <w:tabs>
          <w:tab w:val="left" w:pos="1369"/>
        </w:tabs>
        <w:spacing w:line="360" w:lineRule="auto"/>
        <w:ind w:left="425" w:hanging="357"/>
      </w:pPr>
      <w:r w:rsidRPr="00981B7A">
        <w:t xml:space="preserve">Set an expected date of discharge or transfer within 24–48 hours of admission, and discuss with the patient and carer. </w:t>
      </w:r>
    </w:p>
    <w:p w14:paraId="3F805D8E" w14:textId="1531655C" w:rsidR="00E23BD9" w:rsidRPr="00981B7A" w:rsidRDefault="00E23BD9" w:rsidP="00015651">
      <w:pPr>
        <w:pStyle w:val="ListParagraph"/>
        <w:numPr>
          <w:ilvl w:val="2"/>
          <w:numId w:val="9"/>
        </w:numPr>
        <w:tabs>
          <w:tab w:val="left" w:pos="1369"/>
        </w:tabs>
        <w:spacing w:line="360" w:lineRule="auto"/>
        <w:ind w:left="425" w:hanging="357"/>
      </w:pPr>
      <w:r w:rsidRPr="00981B7A">
        <w:t xml:space="preserve">Review the clinical management plan with the patient each day, take any necessary action and update progress towards the discharge or transfer date. </w:t>
      </w:r>
    </w:p>
    <w:p w14:paraId="5FB7A105" w14:textId="1E1708DB" w:rsidR="00E23BD9" w:rsidRPr="00981B7A" w:rsidRDefault="00E23BD9" w:rsidP="00015651">
      <w:pPr>
        <w:pStyle w:val="ListParagraph"/>
        <w:numPr>
          <w:ilvl w:val="2"/>
          <w:numId w:val="9"/>
        </w:numPr>
        <w:tabs>
          <w:tab w:val="left" w:pos="1369"/>
        </w:tabs>
        <w:spacing w:line="360" w:lineRule="auto"/>
        <w:ind w:left="425" w:hanging="357"/>
      </w:pPr>
      <w:r w:rsidRPr="00981B7A">
        <w:t>Involve patients and carers so that they can make informed decisions and choices that deliver a personalised care pathway and maximise their independence.</w:t>
      </w:r>
    </w:p>
    <w:p w14:paraId="7919F2F6" w14:textId="58AB1E8B" w:rsidR="00E23BD9" w:rsidRPr="00981B7A" w:rsidRDefault="00E23BD9" w:rsidP="00015651">
      <w:pPr>
        <w:pStyle w:val="ListParagraph"/>
        <w:numPr>
          <w:ilvl w:val="2"/>
          <w:numId w:val="9"/>
        </w:numPr>
        <w:tabs>
          <w:tab w:val="left" w:pos="1369"/>
        </w:tabs>
        <w:spacing w:line="360" w:lineRule="auto"/>
        <w:ind w:left="425" w:hanging="357"/>
      </w:pPr>
      <w:r w:rsidRPr="00981B7A">
        <w:t xml:space="preserve">Plan discharges and transfers to take place over seven days to deliver continuity of care for the patient. </w:t>
      </w:r>
    </w:p>
    <w:p w14:paraId="2E957819" w14:textId="4381CD87" w:rsidR="00E23BD9" w:rsidRPr="00981B7A" w:rsidRDefault="00E23BD9" w:rsidP="00015651">
      <w:pPr>
        <w:pStyle w:val="ListParagraph"/>
        <w:numPr>
          <w:ilvl w:val="2"/>
          <w:numId w:val="9"/>
        </w:numPr>
        <w:tabs>
          <w:tab w:val="left" w:pos="1369"/>
        </w:tabs>
        <w:spacing w:line="360" w:lineRule="auto"/>
        <w:ind w:left="425" w:hanging="357"/>
      </w:pPr>
      <w:r w:rsidRPr="00981B7A">
        <w:t xml:space="preserve">Use a discharge checklist 24–48 hours prior to transfer. </w:t>
      </w:r>
    </w:p>
    <w:p w14:paraId="0AE3C8E3" w14:textId="1DF0DE5E" w:rsidR="00E23BD9" w:rsidRPr="00981B7A" w:rsidRDefault="00E23BD9" w:rsidP="00015651">
      <w:pPr>
        <w:pStyle w:val="ListParagraph"/>
        <w:numPr>
          <w:ilvl w:val="2"/>
          <w:numId w:val="9"/>
        </w:numPr>
        <w:tabs>
          <w:tab w:val="left" w:pos="1369"/>
        </w:tabs>
        <w:spacing w:line="360" w:lineRule="auto"/>
        <w:ind w:left="425" w:hanging="357"/>
      </w:pPr>
      <w:r w:rsidRPr="00981B7A">
        <w:t>Make decisions to discharge and transfer patients each day.</w:t>
      </w:r>
    </w:p>
    <w:p w14:paraId="33F94693" w14:textId="18721983" w:rsidR="00E23BD9" w:rsidRDefault="00E23BD9" w:rsidP="006C6237">
      <w:pPr>
        <w:tabs>
          <w:tab w:val="left" w:pos="1369"/>
        </w:tabs>
      </w:pPr>
    </w:p>
    <w:p w14:paraId="6C49790D" w14:textId="77777777" w:rsidR="00015651" w:rsidRDefault="00015651" w:rsidP="006C6237">
      <w:pPr>
        <w:tabs>
          <w:tab w:val="left" w:pos="1369"/>
        </w:tabs>
      </w:pPr>
    </w:p>
    <w:p w14:paraId="494A2871" w14:textId="58CC7874" w:rsidR="00E23BD9" w:rsidRDefault="008536DA" w:rsidP="000D3F7B">
      <w:pPr>
        <w:tabs>
          <w:tab w:val="left" w:pos="1369"/>
        </w:tabs>
      </w:pPr>
      <w:r w:rsidRPr="008536DA">
        <w:t xml:space="preserve">For further </w:t>
      </w:r>
      <w:r>
        <w:t xml:space="preserve">detailed </w:t>
      </w:r>
      <w:r w:rsidRPr="008536DA">
        <w:t>information</w:t>
      </w:r>
      <w:r>
        <w:t xml:space="preserve"> on each step</w:t>
      </w:r>
      <w:r w:rsidRPr="008536DA">
        <w:t xml:space="preserve">, please click on the </w:t>
      </w:r>
      <w:hyperlink r:id="rId14" w:history="1">
        <w:r w:rsidRPr="000D3F7B">
          <w:rPr>
            <w:rStyle w:val="Hyperlink"/>
          </w:rPr>
          <w:t>Department of Health Policy guide on 10 Steps</w:t>
        </w:r>
      </w:hyperlink>
      <w:r w:rsidRPr="008536DA">
        <w:t xml:space="preserve"> </w:t>
      </w:r>
      <w:r>
        <w:t xml:space="preserve">to achieving safe and timely discharge </w:t>
      </w:r>
      <w:r w:rsidR="00E23BD9">
        <w:t xml:space="preserve"> </w:t>
      </w:r>
    </w:p>
    <w:sectPr w:rsidR="00E23BD9" w:rsidSect="00AE4DDF">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6BAC6" w14:textId="77777777" w:rsidR="009E7B69" w:rsidRDefault="009E7B69" w:rsidP="00D65301">
      <w:pPr>
        <w:spacing w:after="0" w:line="240" w:lineRule="auto"/>
      </w:pPr>
      <w:r>
        <w:separator/>
      </w:r>
    </w:p>
  </w:endnote>
  <w:endnote w:type="continuationSeparator" w:id="0">
    <w:p w14:paraId="51631BFE" w14:textId="77777777" w:rsidR="009E7B69" w:rsidRDefault="009E7B69" w:rsidP="00D65301">
      <w:pPr>
        <w:spacing w:after="0" w:line="240" w:lineRule="auto"/>
      </w:pPr>
      <w:r>
        <w:continuationSeparator/>
      </w:r>
    </w:p>
  </w:endnote>
  <w:endnote w:type="continuationNotice" w:id="1">
    <w:p w14:paraId="44FC7D53" w14:textId="77777777" w:rsidR="009E7B69" w:rsidRDefault="009E7B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85499" w14:textId="71574F03" w:rsidR="00795F08" w:rsidRDefault="00795F08">
    <w:pPr>
      <w:pStyle w:val="Footer"/>
    </w:pPr>
    <w:r>
      <w:ptab w:relativeTo="margin" w:alignment="center" w:leader="none"/>
    </w:r>
    <w:r>
      <w:t>V2.0</w:t>
    </w:r>
    <w:r>
      <w:ptab w:relativeTo="margin" w:alignment="right" w:leader="none"/>
    </w:r>
    <w:r>
      <w:t>Review Date March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D0199" w14:textId="77777777" w:rsidR="009E7B69" w:rsidRDefault="009E7B69" w:rsidP="00D65301">
      <w:pPr>
        <w:spacing w:after="0" w:line="240" w:lineRule="auto"/>
      </w:pPr>
      <w:r>
        <w:separator/>
      </w:r>
    </w:p>
  </w:footnote>
  <w:footnote w:type="continuationSeparator" w:id="0">
    <w:p w14:paraId="7FB90459" w14:textId="77777777" w:rsidR="009E7B69" w:rsidRDefault="009E7B69" w:rsidP="00D65301">
      <w:pPr>
        <w:spacing w:after="0" w:line="240" w:lineRule="auto"/>
      </w:pPr>
      <w:r>
        <w:continuationSeparator/>
      </w:r>
    </w:p>
  </w:footnote>
  <w:footnote w:type="continuationNotice" w:id="1">
    <w:p w14:paraId="3A0D6BBD" w14:textId="77777777" w:rsidR="009E7B69" w:rsidRDefault="009E7B69">
      <w:pPr>
        <w:spacing w:after="0" w:line="240" w:lineRule="auto"/>
      </w:pPr>
    </w:p>
  </w:footnote>
  <w:footnote w:id="2">
    <w:p w14:paraId="0D9549A1" w14:textId="5C5BB5F4" w:rsidR="00795F08" w:rsidRDefault="00795F08">
      <w:pPr>
        <w:pStyle w:val="FootnoteText"/>
      </w:pPr>
      <w:r>
        <w:rPr>
          <w:rStyle w:val="FootnoteReference"/>
        </w:rPr>
        <w:footnoteRef/>
      </w:r>
      <w:r>
        <w:t xml:space="preserve"> National guidance has been issued to support implementing Clinically Ready for Discharge - </w:t>
      </w:r>
      <w:hyperlink r:id="rId1" w:history="1">
        <w:r w:rsidRPr="009A06B2">
          <w:rPr>
            <w:rStyle w:val="Hyperlink"/>
          </w:rPr>
          <w:t>Implementing The New Clinically Ready For Discharge Definition</w:t>
        </w:r>
      </w:hyperlink>
    </w:p>
  </w:footnote>
  <w:footnote w:id="3">
    <w:p w14:paraId="03F2F3DE" w14:textId="77777777" w:rsidR="00795F08" w:rsidRDefault="00795F08">
      <w:pPr>
        <w:pStyle w:val="FootnoteText"/>
      </w:pPr>
      <w:r>
        <w:rPr>
          <w:rStyle w:val="FootnoteReference"/>
        </w:rPr>
        <w:footnoteRef/>
      </w:r>
      <w:r>
        <w:t xml:space="preserve"> Care Act, HM Gov 2014 - </w:t>
      </w:r>
      <w:hyperlink r:id="rId2" w:history="1">
        <w:r w:rsidRPr="008E2A0E">
          <w:rPr>
            <w:rStyle w:val="Hyperlink"/>
          </w:rPr>
          <w:t>http://www.legislation.gov.uk/ukpga/2014/23/contents/enacted</w:t>
        </w:r>
      </w:hyperlink>
      <w:r>
        <w:t xml:space="preserve"> </w:t>
      </w:r>
    </w:p>
    <w:p w14:paraId="1A823D2E" w14:textId="77777777" w:rsidR="00795F08" w:rsidRDefault="00795F08">
      <w:pPr>
        <w:pStyle w:val="FootnoteText"/>
      </w:pPr>
    </w:p>
  </w:footnote>
  <w:footnote w:id="4">
    <w:p w14:paraId="72B7DE39" w14:textId="788BB45C" w:rsidR="00795F08" w:rsidRDefault="00795F08">
      <w:pPr>
        <w:pStyle w:val="FootnoteText"/>
      </w:pPr>
      <w:r>
        <w:rPr>
          <w:rStyle w:val="FootnoteReference"/>
        </w:rPr>
        <w:footnoteRef/>
      </w:r>
      <w:r>
        <w:t xml:space="preserve"> HM Gov, updated June 2017 - </w:t>
      </w:r>
      <w:r w:rsidRPr="00981566">
        <w:t>https://www.gov.uk/government/publications/identifying-the-ordinary-residence-of-people-in-need-of-community-care-services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BEFC0" w14:textId="63A29B38" w:rsidR="00795F08" w:rsidRDefault="00172D97" w:rsidP="00361E48">
    <w:pPr>
      <w:pStyle w:val="Header"/>
      <w:tabs>
        <w:tab w:val="clear" w:pos="4513"/>
        <w:tab w:val="clear" w:pos="9026"/>
      </w:tabs>
      <w:ind w:left="-1134" w:firstLine="283"/>
    </w:pPr>
    <w:r>
      <w:rPr>
        <w:noProof/>
        <w:lang w:eastAsia="en-GB"/>
      </w:rPr>
      <w:drawing>
        <wp:anchor distT="0" distB="0" distL="114300" distR="114300" simplePos="0" relativeHeight="251658240" behindDoc="0" locked="0" layoutInCell="1" allowOverlap="1" wp14:anchorId="34606E33" wp14:editId="3351DFC8">
          <wp:simplePos x="0" y="0"/>
          <wp:positionH relativeFrom="column">
            <wp:posOffset>4448175</wp:posOffset>
          </wp:positionH>
          <wp:positionV relativeFrom="paragraph">
            <wp:posOffset>-144780</wp:posOffset>
          </wp:positionV>
          <wp:extent cx="1571625" cy="785495"/>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LFT logo.png"/>
                  <pic:cNvPicPr/>
                </pic:nvPicPr>
                <pic:blipFill>
                  <a:blip r:embed="rId1">
                    <a:extLst>
                      <a:ext uri="{28A0092B-C50C-407E-A947-70E740481C1C}">
                        <a14:useLocalDpi xmlns:a14="http://schemas.microsoft.com/office/drawing/2010/main" val="0"/>
                      </a:ext>
                    </a:extLst>
                  </a:blip>
                  <a:stretch>
                    <a:fillRect/>
                  </a:stretch>
                </pic:blipFill>
                <pic:spPr>
                  <a:xfrm>
                    <a:off x="0" y="0"/>
                    <a:ext cx="1571625" cy="785495"/>
                  </a:xfrm>
                  <a:prstGeom prst="rect">
                    <a:avLst/>
                  </a:prstGeom>
                </pic:spPr>
              </pic:pic>
            </a:graphicData>
          </a:graphic>
          <wp14:sizeRelH relativeFrom="page">
            <wp14:pctWidth>0</wp14:pctWidth>
          </wp14:sizeRelH>
          <wp14:sizeRelV relativeFrom="page">
            <wp14:pctHeight>0</wp14:pctHeight>
          </wp14:sizeRelV>
        </wp:anchor>
      </w:drawing>
    </w:r>
    <w:r w:rsidR="00795F08">
      <w:t xml:space="preserve">                   </w:t>
    </w:r>
    <w:r w:rsidR="00795F08">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4F6"/>
    <w:multiLevelType w:val="multilevel"/>
    <w:tmpl w:val="0270FB62"/>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50D6427"/>
    <w:multiLevelType w:val="multilevel"/>
    <w:tmpl w:val="03144FB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6692351"/>
    <w:multiLevelType w:val="multilevel"/>
    <w:tmpl w:val="ACD6422C"/>
    <w:lvl w:ilvl="0">
      <w:start w:val="2"/>
      <w:numFmt w:val="decimal"/>
      <w:lvlText w:val="%1.0"/>
      <w:lvlJc w:val="left"/>
      <w:pPr>
        <w:ind w:left="1440" w:hanging="360"/>
      </w:pPr>
      <w:rPr>
        <w:rFonts w:hint="default"/>
        <w:u w:val="none"/>
      </w:rPr>
    </w:lvl>
    <w:lvl w:ilvl="1">
      <w:start w:val="1"/>
      <w:numFmt w:val="decimal"/>
      <w:lvlText w:val="%1.%2"/>
      <w:lvlJc w:val="left"/>
      <w:pPr>
        <w:ind w:left="2160" w:hanging="360"/>
      </w:pPr>
      <w:rPr>
        <w:rFonts w:hint="default"/>
        <w:b w:val="0"/>
        <w:u w:val="none"/>
      </w:rPr>
    </w:lvl>
    <w:lvl w:ilvl="2">
      <w:start w:val="1"/>
      <w:numFmt w:val="decimal"/>
      <w:lvlText w:val="%1.%2.%3"/>
      <w:lvlJc w:val="left"/>
      <w:pPr>
        <w:ind w:left="3240" w:hanging="720"/>
      </w:pPr>
      <w:rPr>
        <w:rFonts w:hint="default"/>
        <w:u w:val="single"/>
      </w:rPr>
    </w:lvl>
    <w:lvl w:ilvl="3">
      <w:start w:val="1"/>
      <w:numFmt w:val="decimal"/>
      <w:lvlText w:val="%1.%2.%3.%4"/>
      <w:lvlJc w:val="left"/>
      <w:pPr>
        <w:ind w:left="3960" w:hanging="720"/>
      </w:pPr>
      <w:rPr>
        <w:rFonts w:hint="default"/>
        <w:u w:val="single"/>
      </w:rPr>
    </w:lvl>
    <w:lvl w:ilvl="4">
      <w:start w:val="1"/>
      <w:numFmt w:val="decimal"/>
      <w:lvlText w:val="%1.%2.%3.%4.%5"/>
      <w:lvlJc w:val="left"/>
      <w:pPr>
        <w:ind w:left="5040" w:hanging="1080"/>
      </w:pPr>
      <w:rPr>
        <w:rFonts w:hint="default"/>
        <w:u w:val="single"/>
      </w:rPr>
    </w:lvl>
    <w:lvl w:ilvl="5">
      <w:start w:val="1"/>
      <w:numFmt w:val="decimal"/>
      <w:lvlText w:val="%1.%2.%3.%4.%5.%6"/>
      <w:lvlJc w:val="left"/>
      <w:pPr>
        <w:ind w:left="5760" w:hanging="1080"/>
      </w:pPr>
      <w:rPr>
        <w:rFonts w:hint="default"/>
        <w:u w:val="single"/>
      </w:rPr>
    </w:lvl>
    <w:lvl w:ilvl="6">
      <w:start w:val="1"/>
      <w:numFmt w:val="decimal"/>
      <w:lvlText w:val="%1.%2.%3.%4.%5.%6.%7"/>
      <w:lvlJc w:val="left"/>
      <w:pPr>
        <w:ind w:left="6840" w:hanging="1440"/>
      </w:pPr>
      <w:rPr>
        <w:rFonts w:hint="default"/>
        <w:u w:val="single"/>
      </w:rPr>
    </w:lvl>
    <w:lvl w:ilvl="7">
      <w:start w:val="1"/>
      <w:numFmt w:val="decimal"/>
      <w:lvlText w:val="%1.%2.%3.%4.%5.%6.%7.%8"/>
      <w:lvlJc w:val="left"/>
      <w:pPr>
        <w:ind w:left="7560" w:hanging="1440"/>
      </w:pPr>
      <w:rPr>
        <w:rFonts w:hint="default"/>
        <w:u w:val="single"/>
      </w:rPr>
    </w:lvl>
    <w:lvl w:ilvl="8">
      <w:start w:val="1"/>
      <w:numFmt w:val="decimal"/>
      <w:lvlText w:val="%1.%2.%3.%4.%5.%6.%7.%8.%9"/>
      <w:lvlJc w:val="left"/>
      <w:pPr>
        <w:ind w:left="8640" w:hanging="1800"/>
      </w:pPr>
      <w:rPr>
        <w:rFonts w:hint="default"/>
        <w:u w:val="single"/>
      </w:rPr>
    </w:lvl>
  </w:abstractNum>
  <w:abstractNum w:abstractNumId="3" w15:restartNumberingAfterBreak="0">
    <w:nsid w:val="19772FC7"/>
    <w:multiLevelType w:val="multilevel"/>
    <w:tmpl w:val="A836B464"/>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 w15:restartNumberingAfterBreak="0">
    <w:nsid w:val="199C3E76"/>
    <w:multiLevelType w:val="hybridMultilevel"/>
    <w:tmpl w:val="CBC25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019F1"/>
    <w:multiLevelType w:val="multilevel"/>
    <w:tmpl w:val="ACD6422C"/>
    <w:lvl w:ilvl="0">
      <w:start w:val="2"/>
      <w:numFmt w:val="decimal"/>
      <w:lvlText w:val="%1.0"/>
      <w:lvlJc w:val="left"/>
      <w:pPr>
        <w:ind w:left="1440" w:hanging="360"/>
      </w:pPr>
      <w:rPr>
        <w:rFonts w:hint="default"/>
        <w:u w:val="none"/>
      </w:rPr>
    </w:lvl>
    <w:lvl w:ilvl="1">
      <w:start w:val="1"/>
      <w:numFmt w:val="decimal"/>
      <w:lvlText w:val="%1.%2"/>
      <w:lvlJc w:val="left"/>
      <w:pPr>
        <w:ind w:left="2160" w:hanging="360"/>
      </w:pPr>
      <w:rPr>
        <w:rFonts w:hint="default"/>
        <w:b w:val="0"/>
        <w:u w:val="none"/>
      </w:rPr>
    </w:lvl>
    <w:lvl w:ilvl="2">
      <w:start w:val="1"/>
      <w:numFmt w:val="decimal"/>
      <w:lvlText w:val="%1.%2.%3"/>
      <w:lvlJc w:val="left"/>
      <w:pPr>
        <w:ind w:left="3240" w:hanging="720"/>
      </w:pPr>
      <w:rPr>
        <w:rFonts w:hint="default"/>
        <w:u w:val="single"/>
      </w:rPr>
    </w:lvl>
    <w:lvl w:ilvl="3">
      <w:start w:val="1"/>
      <w:numFmt w:val="decimal"/>
      <w:lvlText w:val="%1.%2.%3.%4"/>
      <w:lvlJc w:val="left"/>
      <w:pPr>
        <w:ind w:left="3960" w:hanging="720"/>
      </w:pPr>
      <w:rPr>
        <w:rFonts w:hint="default"/>
        <w:u w:val="single"/>
      </w:rPr>
    </w:lvl>
    <w:lvl w:ilvl="4">
      <w:start w:val="1"/>
      <w:numFmt w:val="decimal"/>
      <w:lvlText w:val="%1.%2.%3.%4.%5"/>
      <w:lvlJc w:val="left"/>
      <w:pPr>
        <w:ind w:left="5040" w:hanging="1080"/>
      </w:pPr>
      <w:rPr>
        <w:rFonts w:hint="default"/>
        <w:u w:val="single"/>
      </w:rPr>
    </w:lvl>
    <w:lvl w:ilvl="5">
      <w:start w:val="1"/>
      <w:numFmt w:val="decimal"/>
      <w:lvlText w:val="%1.%2.%3.%4.%5.%6"/>
      <w:lvlJc w:val="left"/>
      <w:pPr>
        <w:ind w:left="5760" w:hanging="1080"/>
      </w:pPr>
      <w:rPr>
        <w:rFonts w:hint="default"/>
        <w:u w:val="single"/>
      </w:rPr>
    </w:lvl>
    <w:lvl w:ilvl="6">
      <w:start w:val="1"/>
      <w:numFmt w:val="decimal"/>
      <w:lvlText w:val="%1.%2.%3.%4.%5.%6.%7"/>
      <w:lvlJc w:val="left"/>
      <w:pPr>
        <w:ind w:left="6840" w:hanging="1440"/>
      </w:pPr>
      <w:rPr>
        <w:rFonts w:hint="default"/>
        <w:u w:val="single"/>
      </w:rPr>
    </w:lvl>
    <w:lvl w:ilvl="7">
      <w:start w:val="1"/>
      <w:numFmt w:val="decimal"/>
      <w:lvlText w:val="%1.%2.%3.%4.%5.%6.%7.%8"/>
      <w:lvlJc w:val="left"/>
      <w:pPr>
        <w:ind w:left="7560" w:hanging="1440"/>
      </w:pPr>
      <w:rPr>
        <w:rFonts w:hint="default"/>
        <w:u w:val="single"/>
      </w:rPr>
    </w:lvl>
    <w:lvl w:ilvl="8">
      <w:start w:val="1"/>
      <w:numFmt w:val="decimal"/>
      <w:lvlText w:val="%1.%2.%3.%4.%5.%6.%7.%8.%9"/>
      <w:lvlJc w:val="left"/>
      <w:pPr>
        <w:ind w:left="8640" w:hanging="1800"/>
      </w:pPr>
      <w:rPr>
        <w:rFonts w:hint="default"/>
        <w:u w:val="single"/>
      </w:rPr>
    </w:lvl>
  </w:abstractNum>
  <w:abstractNum w:abstractNumId="6" w15:restartNumberingAfterBreak="0">
    <w:nsid w:val="2B39733B"/>
    <w:multiLevelType w:val="hybridMultilevel"/>
    <w:tmpl w:val="F7C4B1F6"/>
    <w:lvl w:ilvl="0" w:tplc="BB9868BA">
      <w:start w:val="1"/>
      <w:numFmt w:val="decimal"/>
      <w:lvlText w:val="%1."/>
      <w:lvlJc w:val="left"/>
      <w:pPr>
        <w:ind w:left="720" w:hanging="360"/>
      </w:pPr>
      <w:rPr>
        <w:b w:val="0"/>
      </w:rPr>
    </w:lvl>
    <w:lvl w:ilvl="1" w:tplc="3522E60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D112E1"/>
    <w:multiLevelType w:val="hybridMultilevel"/>
    <w:tmpl w:val="CAE8A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FA0C3B"/>
    <w:multiLevelType w:val="multilevel"/>
    <w:tmpl w:val="909AFBD6"/>
    <w:lvl w:ilvl="0">
      <w:start w:val="2"/>
      <w:numFmt w:val="decimal"/>
      <w:lvlText w:val="%1.0"/>
      <w:lvlJc w:val="left"/>
      <w:pPr>
        <w:ind w:left="1440" w:hanging="360"/>
      </w:pPr>
      <w:rPr>
        <w:rFonts w:hint="default"/>
        <w:u w:val="none"/>
      </w:rPr>
    </w:lvl>
    <w:lvl w:ilvl="1">
      <w:start w:val="1"/>
      <w:numFmt w:val="decimal"/>
      <w:lvlText w:val="%1.%2"/>
      <w:lvlJc w:val="left"/>
      <w:pPr>
        <w:ind w:left="2160" w:hanging="360"/>
      </w:pPr>
      <w:rPr>
        <w:rFonts w:hint="default"/>
        <w:u w:val="none"/>
      </w:rPr>
    </w:lvl>
    <w:lvl w:ilvl="2">
      <w:start w:val="1"/>
      <w:numFmt w:val="decimal"/>
      <w:lvlText w:val="%1.%2.%3"/>
      <w:lvlJc w:val="left"/>
      <w:pPr>
        <w:ind w:left="3240" w:hanging="720"/>
      </w:pPr>
      <w:rPr>
        <w:rFonts w:hint="default"/>
        <w:u w:val="single"/>
      </w:rPr>
    </w:lvl>
    <w:lvl w:ilvl="3">
      <w:start w:val="1"/>
      <w:numFmt w:val="decimal"/>
      <w:lvlText w:val="%1.%2.%3.%4"/>
      <w:lvlJc w:val="left"/>
      <w:pPr>
        <w:ind w:left="3960" w:hanging="720"/>
      </w:pPr>
      <w:rPr>
        <w:rFonts w:hint="default"/>
        <w:u w:val="single"/>
      </w:rPr>
    </w:lvl>
    <w:lvl w:ilvl="4">
      <w:start w:val="1"/>
      <w:numFmt w:val="decimal"/>
      <w:lvlText w:val="%1.%2.%3.%4.%5"/>
      <w:lvlJc w:val="left"/>
      <w:pPr>
        <w:ind w:left="5040" w:hanging="1080"/>
      </w:pPr>
      <w:rPr>
        <w:rFonts w:hint="default"/>
        <w:u w:val="single"/>
      </w:rPr>
    </w:lvl>
    <w:lvl w:ilvl="5">
      <w:start w:val="1"/>
      <w:numFmt w:val="decimal"/>
      <w:lvlText w:val="%1.%2.%3.%4.%5.%6"/>
      <w:lvlJc w:val="left"/>
      <w:pPr>
        <w:ind w:left="5760" w:hanging="1080"/>
      </w:pPr>
      <w:rPr>
        <w:rFonts w:hint="default"/>
        <w:u w:val="single"/>
      </w:rPr>
    </w:lvl>
    <w:lvl w:ilvl="6">
      <w:start w:val="1"/>
      <w:numFmt w:val="decimal"/>
      <w:lvlText w:val="%1.%2.%3.%4.%5.%6.%7"/>
      <w:lvlJc w:val="left"/>
      <w:pPr>
        <w:ind w:left="6840" w:hanging="1440"/>
      </w:pPr>
      <w:rPr>
        <w:rFonts w:hint="default"/>
        <w:u w:val="single"/>
      </w:rPr>
    </w:lvl>
    <w:lvl w:ilvl="7">
      <w:start w:val="1"/>
      <w:numFmt w:val="decimal"/>
      <w:lvlText w:val="%1.%2.%3.%4.%5.%6.%7.%8"/>
      <w:lvlJc w:val="left"/>
      <w:pPr>
        <w:ind w:left="7560" w:hanging="1440"/>
      </w:pPr>
      <w:rPr>
        <w:rFonts w:hint="default"/>
        <w:u w:val="single"/>
      </w:rPr>
    </w:lvl>
    <w:lvl w:ilvl="8">
      <w:start w:val="1"/>
      <w:numFmt w:val="decimal"/>
      <w:lvlText w:val="%1.%2.%3.%4.%5.%6.%7.%8.%9"/>
      <w:lvlJc w:val="left"/>
      <w:pPr>
        <w:ind w:left="8640" w:hanging="1800"/>
      </w:pPr>
      <w:rPr>
        <w:rFonts w:hint="default"/>
        <w:u w:val="single"/>
      </w:rPr>
    </w:lvl>
  </w:abstractNum>
  <w:abstractNum w:abstractNumId="9" w15:restartNumberingAfterBreak="0">
    <w:nsid w:val="395541FD"/>
    <w:multiLevelType w:val="hybridMultilevel"/>
    <w:tmpl w:val="AAEEDA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3AC8555A"/>
    <w:multiLevelType w:val="hybridMultilevel"/>
    <w:tmpl w:val="0E4CD350"/>
    <w:lvl w:ilvl="0" w:tplc="D0DE8DD0">
      <w:start w:val="1"/>
      <w:numFmt w:val="lowerLetter"/>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1" w15:restartNumberingAfterBreak="0">
    <w:nsid w:val="3D812DCA"/>
    <w:multiLevelType w:val="multilevel"/>
    <w:tmpl w:val="A836B464"/>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160" w:hanging="1440"/>
      </w:pPr>
      <w:rPr>
        <w:rFonts w:cs="Times New Roman" w:hint="default"/>
      </w:rPr>
    </w:lvl>
  </w:abstractNum>
  <w:abstractNum w:abstractNumId="12" w15:restartNumberingAfterBreak="0">
    <w:nsid w:val="41535516"/>
    <w:multiLevelType w:val="hybridMultilevel"/>
    <w:tmpl w:val="7FA0BC84"/>
    <w:lvl w:ilvl="0" w:tplc="A7342764">
      <w:start w:val="7"/>
      <w:numFmt w:val="bullet"/>
      <w:lvlText w:val="•"/>
      <w:lvlJc w:val="left"/>
      <w:pPr>
        <w:ind w:left="1778" w:hanging="360"/>
      </w:pPr>
      <w:rPr>
        <w:rFonts w:ascii="Calibri" w:eastAsia="Calibri" w:hAnsi="Calibri"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3" w15:restartNumberingAfterBreak="0">
    <w:nsid w:val="44C743F4"/>
    <w:multiLevelType w:val="multilevel"/>
    <w:tmpl w:val="3140B9A0"/>
    <w:lvl w:ilvl="0">
      <w:start w:val="2"/>
      <w:numFmt w:val="decimal"/>
      <w:lvlText w:val="%1.0"/>
      <w:lvlJc w:val="left"/>
      <w:pPr>
        <w:ind w:left="1440" w:hanging="360"/>
      </w:pPr>
      <w:rPr>
        <w:rFonts w:hint="default"/>
        <w:u w:val="none"/>
      </w:rPr>
    </w:lvl>
    <w:lvl w:ilvl="1">
      <w:start w:val="1"/>
      <w:numFmt w:val="bullet"/>
      <w:lvlText w:val=""/>
      <w:lvlJc w:val="left"/>
      <w:pPr>
        <w:ind w:left="2160" w:hanging="360"/>
      </w:pPr>
      <w:rPr>
        <w:rFonts w:ascii="Symbol" w:hAnsi="Symbol" w:hint="default"/>
        <w:b w:val="0"/>
        <w:u w:val="none"/>
      </w:rPr>
    </w:lvl>
    <w:lvl w:ilvl="2">
      <w:start w:val="1"/>
      <w:numFmt w:val="decimal"/>
      <w:lvlText w:val="%1.%2.%3"/>
      <w:lvlJc w:val="left"/>
      <w:pPr>
        <w:ind w:left="3240" w:hanging="720"/>
      </w:pPr>
      <w:rPr>
        <w:rFonts w:hint="default"/>
        <w:u w:val="single"/>
      </w:rPr>
    </w:lvl>
    <w:lvl w:ilvl="3">
      <w:start w:val="1"/>
      <w:numFmt w:val="decimal"/>
      <w:lvlText w:val="%1.%2.%3.%4"/>
      <w:lvlJc w:val="left"/>
      <w:pPr>
        <w:ind w:left="3960" w:hanging="720"/>
      </w:pPr>
      <w:rPr>
        <w:rFonts w:hint="default"/>
        <w:u w:val="single"/>
      </w:rPr>
    </w:lvl>
    <w:lvl w:ilvl="4">
      <w:start w:val="1"/>
      <w:numFmt w:val="decimal"/>
      <w:lvlText w:val="%1.%2.%3.%4.%5"/>
      <w:lvlJc w:val="left"/>
      <w:pPr>
        <w:ind w:left="5040" w:hanging="1080"/>
      </w:pPr>
      <w:rPr>
        <w:rFonts w:hint="default"/>
        <w:u w:val="single"/>
      </w:rPr>
    </w:lvl>
    <w:lvl w:ilvl="5">
      <w:start w:val="1"/>
      <w:numFmt w:val="decimal"/>
      <w:lvlText w:val="%1.%2.%3.%4.%5.%6"/>
      <w:lvlJc w:val="left"/>
      <w:pPr>
        <w:ind w:left="5760" w:hanging="1080"/>
      </w:pPr>
      <w:rPr>
        <w:rFonts w:hint="default"/>
        <w:u w:val="single"/>
      </w:rPr>
    </w:lvl>
    <w:lvl w:ilvl="6">
      <w:start w:val="1"/>
      <w:numFmt w:val="decimal"/>
      <w:lvlText w:val="%1.%2.%3.%4.%5.%6.%7"/>
      <w:lvlJc w:val="left"/>
      <w:pPr>
        <w:ind w:left="6840" w:hanging="1440"/>
      </w:pPr>
      <w:rPr>
        <w:rFonts w:hint="default"/>
        <w:u w:val="single"/>
      </w:rPr>
    </w:lvl>
    <w:lvl w:ilvl="7">
      <w:start w:val="1"/>
      <w:numFmt w:val="decimal"/>
      <w:lvlText w:val="%1.%2.%3.%4.%5.%6.%7.%8"/>
      <w:lvlJc w:val="left"/>
      <w:pPr>
        <w:ind w:left="7560" w:hanging="1440"/>
      </w:pPr>
      <w:rPr>
        <w:rFonts w:hint="default"/>
        <w:u w:val="single"/>
      </w:rPr>
    </w:lvl>
    <w:lvl w:ilvl="8">
      <w:start w:val="1"/>
      <w:numFmt w:val="decimal"/>
      <w:lvlText w:val="%1.%2.%3.%4.%5.%6.%7.%8.%9"/>
      <w:lvlJc w:val="left"/>
      <w:pPr>
        <w:ind w:left="8640" w:hanging="1800"/>
      </w:pPr>
      <w:rPr>
        <w:rFonts w:hint="default"/>
        <w:u w:val="single"/>
      </w:rPr>
    </w:lvl>
  </w:abstractNum>
  <w:abstractNum w:abstractNumId="14" w15:restartNumberingAfterBreak="0">
    <w:nsid w:val="480B0EFB"/>
    <w:multiLevelType w:val="multilevel"/>
    <w:tmpl w:val="B9826848"/>
    <w:lvl w:ilvl="0">
      <w:start w:val="2"/>
      <w:numFmt w:val="decimal"/>
      <w:lvlText w:val="%1"/>
      <w:lvlJc w:val="left"/>
      <w:pPr>
        <w:ind w:left="375" w:hanging="375"/>
      </w:pPr>
    </w:lvl>
    <w:lvl w:ilvl="1">
      <w:start w:val="14"/>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4D84777C"/>
    <w:multiLevelType w:val="multilevel"/>
    <w:tmpl w:val="378C55D4"/>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b w:val="0"/>
        <w:u w:val="none"/>
      </w:rPr>
    </w:lvl>
    <w:lvl w:ilvl="2">
      <w:start w:val="1"/>
      <w:numFmt w:val="decimal"/>
      <w:lvlText w:val="%1.%2.%3"/>
      <w:lvlJc w:val="left"/>
      <w:pPr>
        <w:ind w:left="3240" w:hanging="720"/>
      </w:pPr>
      <w:rPr>
        <w:rFonts w:hint="default"/>
        <w:u w:val="single"/>
      </w:rPr>
    </w:lvl>
    <w:lvl w:ilvl="3">
      <w:start w:val="1"/>
      <w:numFmt w:val="decimal"/>
      <w:lvlText w:val="%1.%2.%3.%4"/>
      <w:lvlJc w:val="left"/>
      <w:pPr>
        <w:ind w:left="3960" w:hanging="720"/>
      </w:pPr>
      <w:rPr>
        <w:rFonts w:hint="default"/>
        <w:u w:val="single"/>
      </w:rPr>
    </w:lvl>
    <w:lvl w:ilvl="4">
      <w:start w:val="1"/>
      <w:numFmt w:val="decimal"/>
      <w:lvlText w:val="%1.%2.%3.%4.%5"/>
      <w:lvlJc w:val="left"/>
      <w:pPr>
        <w:ind w:left="5040" w:hanging="1080"/>
      </w:pPr>
      <w:rPr>
        <w:rFonts w:hint="default"/>
        <w:u w:val="single"/>
      </w:rPr>
    </w:lvl>
    <w:lvl w:ilvl="5">
      <w:start w:val="1"/>
      <w:numFmt w:val="decimal"/>
      <w:lvlText w:val="%1.%2.%3.%4.%5.%6"/>
      <w:lvlJc w:val="left"/>
      <w:pPr>
        <w:ind w:left="5760" w:hanging="1080"/>
      </w:pPr>
      <w:rPr>
        <w:rFonts w:hint="default"/>
        <w:u w:val="single"/>
      </w:rPr>
    </w:lvl>
    <w:lvl w:ilvl="6">
      <w:start w:val="1"/>
      <w:numFmt w:val="decimal"/>
      <w:lvlText w:val="%1.%2.%3.%4.%5.%6.%7"/>
      <w:lvlJc w:val="left"/>
      <w:pPr>
        <w:ind w:left="6840" w:hanging="1440"/>
      </w:pPr>
      <w:rPr>
        <w:rFonts w:hint="default"/>
        <w:u w:val="single"/>
      </w:rPr>
    </w:lvl>
    <w:lvl w:ilvl="7">
      <w:start w:val="1"/>
      <w:numFmt w:val="decimal"/>
      <w:lvlText w:val="%1.%2.%3.%4.%5.%6.%7.%8"/>
      <w:lvlJc w:val="left"/>
      <w:pPr>
        <w:ind w:left="7560" w:hanging="1440"/>
      </w:pPr>
      <w:rPr>
        <w:rFonts w:hint="default"/>
        <w:u w:val="single"/>
      </w:rPr>
    </w:lvl>
    <w:lvl w:ilvl="8">
      <w:start w:val="1"/>
      <w:numFmt w:val="decimal"/>
      <w:lvlText w:val="%1.%2.%3.%4.%5.%6.%7.%8.%9"/>
      <w:lvlJc w:val="left"/>
      <w:pPr>
        <w:ind w:left="8640" w:hanging="1800"/>
      </w:pPr>
      <w:rPr>
        <w:rFonts w:hint="default"/>
        <w:u w:val="single"/>
      </w:rPr>
    </w:lvl>
  </w:abstractNum>
  <w:abstractNum w:abstractNumId="16" w15:restartNumberingAfterBreak="0">
    <w:nsid w:val="4D96411C"/>
    <w:multiLevelType w:val="multilevel"/>
    <w:tmpl w:val="4D80B7E0"/>
    <w:lvl w:ilvl="0">
      <w:start w:val="5"/>
      <w:numFmt w:val="decimal"/>
      <w:lvlText w:val="%1"/>
      <w:lvlJc w:val="left"/>
      <w:pPr>
        <w:ind w:left="360"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549467B7"/>
    <w:multiLevelType w:val="hybridMultilevel"/>
    <w:tmpl w:val="A66606AA"/>
    <w:lvl w:ilvl="0" w:tplc="08090017">
      <w:start w:val="1"/>
      <w:numFmt w:val="lowerLetter"/>
      <w:lvlText w:val="%1)"/>
      <w:lvlJc w:val="left"/>
      <w:pPr>
        <w:ind w:left="1260" w:hanging="360"/>
      </w:pPr>
    </w:lvl>
    <w:lvl w:ilvl="1" w:tplc="08090019">
      <w:start w:val="1"/>
      <w:numFmt w:val="lowerLetter"/>
      <w:lvlText w:val="%2."/>
      <w:lvlJc w:val="left"/>
      <w:pPr>
        <w:ind w:left="1980" w:hanging="360"/>
      </w:pPr>
    </w:lvl>
    <w:lvl w:ilvl="2" w:tplc="FBAEFFBE">
      <w:start w:val="1"/>
      <w:numFmt w:val="decimal"/>
      <w:lvlText w:val="%3."/>
      <w:lvlJc w:val="left"/>
      <w:pPr>
        <w:ind w:left="2880" w:hanging="360"/>
      </w:pPr>
      <w:rPr>
        <w:rFonts w:hint="default"/>
      </w:r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8" w15:restartNumberingAfterBreak="0">
    <w:nsid w:val="57731513"/>
    <w:multiLevelType w:val="multilevel"/>
    <w:tmpl w:val="0809001D"/>
    <w:styleLink w:val="Style1"/>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5B5A6442"/>
    <w:multiLevelType w:val="hybridMultilevel"/>
    <w:tmpl w:val="FAC623F0"/>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5D682B26"/>
    <w:multiLevelType w:val="multilevel"/>
    <w:tmpl w:val="3140B9A0"/>
    <w:lvl w:ilvl="0">
      <w:start w:val="2"/>
      <w:numFmt w:val="decimal"/>
      <w:lvlText w:val="%1.0"/>
      <w:lvlJc w:val="left"/>
      <w:pPr>
        <w:ind w:left="1440" w:hanging="360"/>
      </w:pPr>
      <w:rPr>
        <w:rFonts w:hint="default"/>
        <w:u w:val="none"/>
      </w:rPr>
    </w:lvl>
    <w:lvl w:ilvl="1">
      <w:start w:val="1"/>
      <w:numFmt w:val="bullet"/>
      <w:lvlText w:val=""/>
      <w:lvlJc w:val="left"/>
      <w:pPr>
        <w:ind w:left="2160" w:hanging="360"/>
      </w:pPr>
      <w:rPr>
        <w:rFonts w:ascii="Symbol" w:hAnsi="Symbol" w:hint="default"/>
        <w:b w:val="0"/>
        <w:u w:val="none"/>
      </w:rPr>
    </w:lvl>
    <w:lvl w:ilvl="2">
      <w:start w:val="1"/>
      <w:numFmt w:val="decimal"/>
      <w:lvlText w:val="%1.%2.%3"/>
      <w:lvlJc w:val="left"/>
      <w:pPr>
        <w:ind w:left="3240" w:hanging="720"/>
      </w:pPr>
      <w:rPr>
        <w:rFonts w:hint="default"/>
        <w:u w:val="single"/>
      </w:rPr>
    </w:lvl>
    <w:lvl w:ilvl="3">
      <w:start w:val="1"/>
      <w:numFmt w:val="decimal"/>
      <w:lvlText w:val="%1.%2.%3.%4"/>
      <w:lvlJc w:val="left"/>
      <w:pPr>
        <w:ind w:left="3960" w:hanging="720"/>
      </w:pPr>
      <w:rPr>
        <w:rFonts w:hint="default"/>
        <w:u w:val="single"/>
      </w:rPr>
    </w:lvl>
    <w:lvl w:ilvl="4">
      <w:start w:val="1"/>
      <w:numFmt w:val="decimal"/>
      <w:lvlText w:val="%1.%2.%3.%4.%5"/>
      <w:lvlJc w:val="left"/>
      <w:pPr>
        <w:ind w:left="5040" w:hanging="1080"/>
      </w:pPr>
      <w:rPr>
        <w:rFonts w:hint="default"/>
        <w:u w:val="single"/>
      </w:rPr>
    </w:lvl>
    <w:lvl w:ilvl="5">
      <w:start w:val="1"/>
      <w:numFmt w:val="decimal"/>
      <w:lvlText w:val="%1.%2.%3.%4.%5.%6"/>
      <w:lvlJc w:val="left"/>
      <w:pPr>
        <w:ind w:left="5760" w:hanging="1080"/>
      </w:pPr>
      <w:rPr>
        <w:rFonts w:hint="default"/>
        <w:u w:val="single"/>
      </w:rPr>
    </w:lvl>
    <w:lvl w:ilvl="6">
      <w:start w:val="1"/>
      <w:numFmt w:val="decimal"/>
      <w:lvlText w:val="%1.%2.%3.%4.%5.%6.%7"/>
      <w:lvlJc w:val="left"/>
      <w:pPr>
        <w:ind w:left="6840" w:hanging="1440"/>
      </w:pPr>
      <w:rPr>
        <w:rFonts w:hint="default"/>
        <w:u w:val="single"/>
      </w:rPr>
    </w:lvl>
    <w:lvl w:ilvl="7">
      <w:start w:val="1"/>
      <w:numFmt w:val="decimal"/>
      <w:lvlText w:val="%1.%2.%3.%4.%5.%6.%7.%8"/>
      <w:lvlJc w:val="left"/>
      <w:pPr>
        <w:ind w:left="7560" w:hanging="1440"/>
      </w:pPr>
      <w:rPr>
        <w:rFonts w:hint="default"/>
        <w:u w:val="single"/>
      </w:rPr>
    </w:lvl>
    <w:lvl w:ilvl="8">
      <w:start w:val="1"/>
      <w:numFmt w:val="decimal"/>
      <w:lvlText w:val="%1.%2.%3.%4.%5.%6.%7.%8.%9"/>
      <w:lvlJc w:val="left"/>
      <w:pPr>
        <w:ind w:left="8640" w:hanging="1800"/>
      </w:pPr>
      <w:rPr>
        <w:rFonts w:hint="default"/>
        <w:u w:val="single"/>
      </w:rPr>
    </w:lvl>
  </w:abstractNum>
  <w:abstractNum w:abstractNumId="21" w15:restartNumberingAfterBreak="0">
    <w:nsid w:val="635C0C4A"/>
    <w:multiLevelType w:val="multilevel"/>
    <w:tmpl w:val="673AAAB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4130715"/>
    <w:multiLevelType w:val="hybridMultilevel"/>
    <w:tmpl w:val="E064E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327FE5"/>
    <w:multiLevelType w:val="multilevel"/>
    <w:tmpl w:val="ACD6422C"/>
    <w:lvl w:ilvl="0">
      <w:start w:val="2"/>
      <w:numFmt w:val="decimal"/>
      <w:lvlText w:val="%1.0"/>
      <w:lvlJc w:val="left"/>
      <w:pPr>
        <w:ind w:left="1440" w:hanging="360"/>
      </w:pPr>
      <w:rPr>
        <w:rFonts w:hint="default"/>
        <w:u w:val="none"/>
      </w:rPr>
    </w:lvl>
    <w:lvl w:ilvl="1">
      <w:start w:val="1"/>
      <w:numFmt w:val="decimal"/>
      <w:lvlText w:val="%1.%2"/>
      <w:lvlJc w:val="left"/>
      <w:pPr>
        <w:ind w:left="2160" w:hanging="360"/>
      </w:pPr>
      <w:rPr>
        <w:rFonts w:hint="default"/>
        <w:b w:val="0"/>
        <w:u w:val="none"/>
      </w:rPr>
    </w:lvl>
    <w:lvl w:ilvl="2">
      <w:start w:val="1"/>
      <w:numFmt w:val="decimal"/>
      <w:lvlText w:val="%1.%2.%3"/>
      <w:lvlJc w:val="left"/>
      <w:pPr>
        <w:ind w:left="3240" w:hanging="720"/>
      </w:pPr>
      <w:rPr>
        <w:rFonts w:hint="default"/>
        <w:u w:val="single"/>
      </w:rPr>
    </w:lvl>
    <w:lvl w:ilvl="3">
      <w:start w:val="1"/>
      <w:numFmt w:val="decimal"/>
      <w:lvlText w:val="%1.%2.%3.%4"/>
      <w:lvlJc w:val="left"/>
      <w:pPr>
        <w:ind w:left="3960" w:hanging="720"/>
      </w:pPr>
      <w:rPr>
        <w:rFonts w:hint="default"/>
        <w:u w:val="single"/>
      </w:rPr>
    </w:lvl>
    <w:lvl w:ilvl="4">
      <w:start w:val="1"/>
      <w:numFmt w:val="decimal"/>
      <w:lvlText w:val="%1.%2.%3.%4.%5"/>
      <w:lvlJc w:val="left"/>
      <w:pPr>
        <w:ind w:left="5040" w:hanging="1080"/>
      </w:pPr>
      <w:rPr>
        <w:rFonts w:hint="default"/>
        <w:u w:val="single"/>
      </w:rPr>
    </w:lvl>
    <w:lvl w:ilvl="5">
      <w:start w:val="1"/>
      <w:numFmt w:val="decimal"/>
      <w:lvlText w:val="%1.%2.%3.%4.%5.%6"/>
      <w:lvlJc w:val="left"/>
      <w:pPr>
        <w:ind w:left="5760" w:hanging="1080"/>
      </w:pPr>
      <w:rPr>
        <w:rFonts w:hint="default"/>
        <w:u w:val="single"/>
      </w:rPr>
    </w:lvl>
    <w:lvl w:ilvl="6">
      <w:start w:val="1"/>
      <w:numFmt w:val="decimal"/>
      <w:lvlText w:val="%1.%2.%3.%4.%5.%6.%7"/>
      <w:lvlJc w:val="left"/>
      <w:pPr>
        <w:ind w:left="6840" w:hanging="1440"/>
      </w:pPr>
      <w:rPr>
        <w:rFonts w:hint="default"/>
        <w:u w:val="single"/>
      </w:rPr>
    </w:lvl>
    <w:lvl w:ilvl="7">
      <w:start w:val="1"/>
      <w:numFmt w:val="decimal"/>
      <w:lvlText w:val="%1.%2.%3.%4.%5.%6.%7.%8"/>
      <w:lvlJc w:val="left"/>
      <w:pPr>
        <w:ind w:left="7560" w:hanging="1440"/>
      </w:pPr>
      <w:rPr>
        <w:rFonts w:hint="default"/>
        <w:u w:val="single"/>
      </w:rPr>
    </w:lvl>
    <w:lvl w:ilvl="8">
      <w:start w:val="1"/>
      <w:numFmt w:val="decimal"/>
      <w:lvlText w:val="%1.%2.%3.%4.%5.%6.%7.%8.%9"/>
      <w:lvlJc w:val="left"/>
      <w:pPr>
        <w:ind w:left="8640" w:hanging="1800"/>
      </w:pPr>
      <w:rPr>
        <w:rFonts w:hint="default"/>
        <w:u w:val="single"/>
      </w:rPr>
    </w:lvl>
  </w:abstractNum>
  <w:abstractNum w:abstractNumId="24" w15:restartNumberingAfterBreak="0">
    <w:nsid w:val="7417574F"/>
    <w:multiLevelType w:val="hybridMultilevel"/>
    <w:tmpl w:val="70E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8829A1"/>
    <w:multiLevelType w:val="multilevel"/>
    <w:tmpl w:val="0809001D"/>
    <w:numStyleLink w:val="Style1"/>
  </w:abstractNum>
  <w:abstractNum w:abstractNumId="26" w15:restartNumberingAfterBreak="0">
    <w:nsid w:val="7D1034DC"/>
    <w:multiLevelType w:val="hybridMultilevel"/>
    <w:tmpl w:val="29EE1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8"/>
  </w:num>
  <w:num w:numId="3">
    <w:abstractNumId w:val="25"/>
  </w:num>
  <w:num w:numId="4">
    <w:abstractNumId w:val="3"/>
  </w:num>
  <w:num w:numId="5">
    <w:abstractNumId w:val="5"/>
  </w:num>
  <w:num w:numId="6">
    <w:abstractNumId w:val="0"/>
  </w:num>
  <w:num w:numId="7">
    <w:abstractNumId w:val="6"/>
  </w:num>
  <w:num w:numId="8">
    <w:abstractNumId w:val="21"/>
  </w:num>
  <w:num w:numId="9">
    <w:abstractNumId w:val="17"/>
  </w:num>
  <w:num w:numId="10">
    <w:abstractNumId w:val="22"/>
  </w:num>
  <w:num w:numId="11">
    <w:abstractNumId w:val="7"/>
  </w:num>
  <w:num w:numId="12">
    <w:abstractNumId w:val="19"/>
  </w:num>
  <w:num w:numId="13">
    <w:abstractNumId w:val="16"/>
  </w:num>
  <w:num w:numId="14">
    <w:abstractNumId w:val="8"/>
  </w:num>
  <w:num w:numId="15">
    <w:abstractNumId w:val="23"/>
  </w:num>
  <w:num w:numId="16">
    <w:abstractNumId w:val="20"/>
  </w:num>
  <w:num w:numId="17">
    <w:abstractNumId w:val="13"/>
  </w:num>
  <w:num w:numId="18">
    <w:abstractNumId w:val="15"/>
  </w:num>
  <w:num w:numId="19">
    <w:abstractNumId w:val="12"/>
  </w:num>
  <w:num w:numId="20">
    <w:abstractNumId w:val="14"/>
    <w:lvlOverride w:ilvl="0">
      <w:startOverride w:val="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4"/>
  </w:num>
  <w:num w:numId="25">
    <w:abstractNumId w:val="26"/>
  </w:num>
  <w:num w:numId="26">
    <w:abstractNumId w:val="2"/>
  </w:num>
  <w:num w:numId="27">
    <w:abstractNumId w:val="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9E2"/>
    <w:rsid w:val="000002B0"/>
    <w:rsid w:val="000004BB"/>
    <w:rsid w:val="00002649"/>
    <w:rsid w:val="00005082"/>
    <w:rsid w:val="000076CE"/>
    <w:rsid w:val="00015651"/>
    <w:rsid w:val="000157EC"/>
    <w:rsid w:val="00026C22"/>
    <w:rsid w:val="00032ABB"/>
    <w:rsid w:val="00040060"/>
    <w:rsid w:val="0004041C"/>
    <w:rsid w:val="000430FF"/>
    <w:rsid w:val="000527AB"/>
    <w:rsid w:val="0005627E"/>
    <w:rsid w:val="000564C0"/>
    <w:rsid w:val="000579F5"/>
    <w:rsid w:val="00062231"/>
    <w:rsid w:val="00064FB4"/>
    <w:rsid w:val="00066ED9"/>
    <w:rsid w:val="00067E86"/>
    <w:rsid w:val="00072712"/>
    <w:rsid w:val="0008674A"/>
    <w:rsid w:val="00090320"/>
    <w:rsid w:val="00091A93"/>
    <w:rsid w:val="00093F8A"/>
    <w:rsid w:val="000946E0"/>
    <w:rsid w:val="000948AF"/>
    <w:rsid w:val="000960DC"/>
    <w:rsid w:val="000A499B"/>
    <w:rsid w:val="000B6D29"/>
    <w:rsid w:val="000C7615"/>
    <w:rsid w:val="000D090E"/>
    <w:rsid w:val="000D3F7B"/>
    <w:rsid w:val="000D62B4"/>
    <w:rsid w:val="000E1B66"/>
    <w:rsid w:val="000E1E13"/>
    <w:rsid w:val="000E2BE4"/>
    <w:rsid w:val="000E344A"/>
    <w:rsid w:val="000E6F9D"/>
    <w:rsid w:val="000F64D4"/>
    <w:rsid w:val="000F6A5C"/>
    <w:rsid w:val="00102765"/>
    <w:rsid w:val="00113D68"/>
    <w:rsid w:val="0012712E"/>
    <w:rsid w:val="00132EE7"/>
    <w:rsid w:val="001419DD"/>
    <w:rsid w:val="00151813"/>
    <w:rsid w:val="0015577A"/>
    <w:rsid w:val="00167C58"/>
    <w:rsid w:val="00172D97"/>
    <w:rsid w:val="001917CC"/>
    <w:rsid w:val="001B2F5D"/>
    <w:rsid w:val="001B5D57"/>
    <w:rsid w:val="001C1074"/>
    <w:rsid w:val="001D6908"/>
    <w:rsid w:val="001E435C"/>
    <w:rsid w:val="001E50F5"/>
    <w:rsid w:val="001F0B48"/>
    <w:rsid w:val="001F40A7"/>
    <w:rsid w:val="0020230D"/>
    <w:rsid w:val="00210415"/>
    <w:rsid w:val="00215695"/>
    <w:rsid w:val="0022318E"/>
    <w:rsid w:val="00223248"/>
    <w:rsid w:val="00226345"/>
    <w:rsid w:val="00240271"/>
    <w:rsid w:val="00240896"/>
    <w:rsid w:val="002544C6"/>
    <w:rsid w:val="00274D75"/>
    <w:rsid w:val="002770C7"/>
    <w:rsid w:val="00295797"/>
    <w:rsid w:val="002A1D45"/>
    <w:rsid w:val="002B576F"/>
    <w:rsid w:val="002C077C"/>
    <w:rsid w:val="002C1EAD"/>
    <w:rsid w:val="002D15E9"/>
    <w:rsid w:val="002D397A"/>
    <w:rsid w:val="002F1084"/>
    <w:rsid w:val="002F2F38"/>
    <w:rsid w:val="002F5353"/>
    <w:rsid w:val="0030494B"/>
    <w:rsid w:val="00307FE1"/>
    <w:rsid w:val="00311430"/>
    <w:rsid w:val="00311B7C"/>
    <w:rsid w:val="00312395"/>
    <w:rsid w:val="003132DF"/>
    <w:rsid w:val="003151F0"/>
    <w:rsid w:val="00320093"/>
    <w:rsid w:val="00320BB5"/>
    <w:rsid w:val="003259CA"/>
    <w:rsid w:val="003319BE"/>
    <w:rsid w:val="003360FA"/>
    <w:rsid w:val="0033746A"/>
    <w:rsid w:val="003444E4"/>
    <w:rsid w:val="00347E4D"/>
    <w:rsid w:val="003516BE"/>
    <w:rsid w:val="0035768C"/>
    <w:rsid w:val="003615DA"/>
    <w:rsid w:val="00361E48"/>
    <w:rsid w:val="00362370"/>
    <w:rsid w:val="0037039D"/>
    <w:rsid w:val="003732A3"/>
    <w:rsid w:val="003845ED"/>
    <w:rsid w:val="00386256"/>
    <w:rsid w:val="003A28D7"/>
    <w:rsid w:val="003A7C71"/>
    <w:rsid w:val="003B5CAE"/>
    <w:rsid w:val="003B658B"/>
    <w:rsid w:val="003C52E4"/>
    <w:rsid w:val="003C5FC0"/>
    <w:rsid w:val="003C6F29"/>
    <w:rsid w:val="003D050E"/>
    <w:rsid w:val="003D43EF"/>
    <w:rsid w:val="003D4680"/>
    <w:rsid w:val="003D6A1E"/>
    <w:rsid w:val="003E1ACC"/>
    <w:rsid w:val="003E43AA"/>
    <w:rsid w:val="003E44DE"/>
    <w:rsid w:val="003F2232"/>
    <w:rsid w:val="003F3B25"/>
    <w:rsid w:val="003F4E44"/>
    <w:rsid w:val="003F6752"/>
    <w:rsid w:val="003F7B3B"/>
    <w:rsid w:val="004041EE"/>
    <w:rsid w:val="004044A5"/>
    <w:rsid w:val="00406D37"/>
    <w:rsid w:val="00423433"/>
    <w:rsid w:val="00451437"/>
    <w:rsid w:val="00452AED"/>
    <w:rsid w:val="00454C8B"/>
    <w:rsid w:val="004575D4"/>
    <w:rsid w:val="0046061E"/>
    <w:rsid w:val="004859FD"/>
    <w:rsid w:val="00487159"/>
    <w:rsid w:val="004943C7"/>
    <w:rsid w:val="004A4030"/>
    <w:rsid w:val="004B0645"/>
    <w:rsid w:val="004B082B"/>
    <w:rsid w:val="004B12B4"/>
    <w:rsid w:val="004C2977"/>
    <w:rsid w:val="004D15B0"/>
    <w:rsid w:val="004D452F"/>
    <w:rsid w:val="004E1A30"/>
    <w:rsid w:val="004E1A88"/>
    <w:rsid w:val="004E5F17"/>
    <w:rsid w:val="004E7252"/>
    <w:rsid w:val="004F248E"/>
    <w:rsid w:val="004F48EC"/>
    <w:rsid w:val="00503223"/>
    <w:rsid w:val="0051044B"/>
    <w:rsid w:val="00510737"/>
    <w:rsid w:val="00514826"/>
    <w:rsid w:val="00521D56"/>
    <w:rsid w:val="00524B35"/>
    <w:rsid w:val="00525A0C"/>
    <w:rsid w:val="005268BD"/>
    <w:rsid w:val="005347BE"/>
    <w:rsid w:val="00534DD6"/>
    <w:rsid w:val="0053552B"/>
    <w:rsid w:val="00536CDE"/>
    <w:rsid w:val="0054039F"/>
    <w:rsid w:val="00540444"/>
    <w:rsid w:val="005420B8"/>
    <w:rsid w:val="00543153"/>
    <w:rsid w:val="00543D64"/>
    <w:rsid w:val="0054590A"/>
    <w:rsid w:val="00545F8A"/>
    <w:rsid w:val="0055025C"/>
    <w:rsid w:val="00555D79"/>
    <w:rsid w:val="005579DA"/>
    <w:rsid w:val="00577B5E"/>
    <w:rsid w:val="00582025"/>
    <w:rsid w:val="00587E82"/>
    <w:rsid w:val="005907D0"/>
    <w:rsid w:val="005921DD"/>
    <w:rsid w:val="005931C8"/>
    <w:rsid w:val="005C3C0F"/>
    <w:rsid w:val="005C3D19"/>
    <w:rsid w:val="005C610F"/>
    <w:rsid w:val="005C6446"/>
    <w:rsid w:val="005C79D2"/>
    <w:rsid w:val="005D5F0A"/>
    <w:rsid w:val="005D782F"/>
    <w:rsid w:val="005F193C"/>
    <w:rsid w:val="005F53B0"/>
    <w:rsid w:val="005F5B86"/>
    <w:rsid w:val="005F7428"/>
    <w:rsid w:val="0060010E"/>
    <w:rsid w:val="00623B45"/>
    <w:rsid w:val="0062656C"/>
    <w:rsid w:val="00627B12"/>
    <w:rsid w:val="00632624"/>
    <w:rsid w:val="006432AD"/>
    <w:rsid w:val="00643347"/>
    <w:rsid w:val="00643ACE"/>
    <w:rsid w:val="006576A7"/>
    <w:rsid w:val="00660162"/>
    <w:rsid w:val="006626FB"/>
    <w:rsid w:val="006702E2"/>
    <w:rsid w:val="00671314"/>
    <w:rsid w:val="006726CE"/>
    <w:rsid w:val="0068054E"/>
    <w:rsid w:val="00694D59"/>
    <w:rsid w:val="006A2901"/>
    <w:rsid w:val="006A5F1B"/>
    <w:rsid w:val="006B5ED1"/>
    <w:rsid w:val="006C0345"/>
    <w:rsid w:val="006C4FCA"/>
    <w:rsid w:val="006C59C4"/>
    <w:rsid w:val="006C6237"/>
    <w:rsid w:val="006D0B14"/>
    <w:rsid w:val="006E08D4"/>
    <w:rsid w:val="006E09B1"/>
    <w:rsid w:val="006E5319"/>
    <w:rsid w:val="006E6501"/>
    <w:rsid w:val="006E71EB"/>
    <w:rsid w:val="006F010C"/>
    <w:rsid w:val="006F49B5"/>
    <w:rsid w:val="006F4E49"/>
    <w:rsid w:val="00713552"/>
    <w:rsid w:val="0071509A"/>
    <w:rsid w:val="0072278C"/>
    <w:rsid w:val="00733586"/>
    <w:rsid w:val="007338A3"/>
    <w:rsid w:val="007339EF"/>
    <w:rsid w:val="0073658B"/>
    <w:rsid w:val="00736F34"/>
    <w:rsid w:val="00737088"/>
    <w:rsid w:val="00752292"/>
    <w:rsid w:val="00753239"/>
    <w:rsid w:val="007534BE"/>
    <w:rsid w:val="00754FCB"/>
    <w:rsid w:val="00761567"/>
    <w:rsid w:val="007625A9"/>
    <w:rsid w:val="00763537"/>
    <w:rsid w:val="00767F84"/>
    <w:rsid w:val="007749E1"/>
    <w:rsid w:val="00781D09"/>
    <w:rsid w:val="0078391A"/>
    <w:rsid w:val="00785FAE"/>
    <w:rsid w:val="00786382"/>
    <w:rsid w:val="00791797"/>
    <w:rsid w:val="00795F08"/>
    <w:rsid w:val="007A1A37"/>
    <w:rsid w:val="007A60C4"/>
    <w:rsid w:val="007A646B"/>
    <w:rsid w:val="007B0ADC"/>
    <w:rsid w:val="007B59EA"/>
    <w:rsid w:val="007B5FB5"/>
    <w:rsid w:val="007C0004"/>
    <w:rsid w:val="007C4E66"/>
    <w:rsid w:val="007C7DDB"/>
    <w:rsid w:val="007E6CB5"/>
    <w:rsid w:val="00800FDF"/>
    <w:rsid w:val="0080449A"/>
    <w:rsid w:val="00807A11"/>
    <w:rsid w:val="00811C7A"/>
    <w:rsid w:val="00812A35"/>
    <w:rsid w:val="00831172"/>
    <w:rsid w:val="00851119"/>
    <w:rsid w:val="008536DA"/>
    <w:rsid w:val="008627EF"/>
    <w:rsid w:val="00865189"/>
    <w:rsid w:val="00867287"/>
    <w:rsid w:val="008768F5"/>
    <w:rsid w:val="00880B40"/>
    <w:rsid w:val="00891792"/>
    <w:rsid w:val="00892311"/>
    <w:rsid w:val="008A26B1"/>
    <w:rsid w:val="008A5F35"/>
    <w:rsid w:val="008B21D9"/>
    <w:rsid w:val="008B57E6"/>
    <w:rsid w:val="008C6A6B"/>
    <w:rsid w:val="008D17CF"/>
    <w:rsid w:val="008D1C00"/>
    <w:rsid w:val="008E0C14"/>
    <w:rsid w:val="008E328A"/>
    <w:rsid w:val="008E4046"/>
    <w:rsid w:val="008E6540"/>
    <w:rsid w:val="00900CAD"/>
    <w:rsid w:val="0090218D"/>
    <w:rsid w:val="009029BD"/>
    <w:rsid w:val="0090420F"/>
    <w:rsid w:val="00913F44"/>
    <w:rsid w:val="009155A5"/>
    <w:rsid w:val="0091571E"/>
    <w:rsid w:val="009219C0"/>
    <w:rsid w:val="00932AE0"/>
    <w:rsid w:val="0093519A"/>
    <w:rsid w:val="009356C0"/>
    <w:rsid w:val="00940131"/>
    <w:rsid w:val="0094213F"/>
    <w:rsid w:val="00945DC8"/>
    <w:rsid w:val="009473B5"/>
    <w:rsid w:val="0095112A"/>
    <w:rsid w:val="00951A3D"/>
    <w:rsid w:val="00952414"/>
    <w:rsid w:val="00952788"/>
    <w:rsid w:val="00954FBD"/>
    <w:rsid w:val="00957A4B"/>
    <w:rsid w:val="00970FE3"/>
    <w:rsid w:val="00981566"/>
    <w:rsid w:val="00981B7A"/>
    <w:rsid w:val="00990399"/>
    <w:rsid w:val="009A06B2"/>
    <w:rsid w:val="009B1065"/>
    <w:rsid w:val="009B28B5"/>
    <w:rsid w:val="009B53C9"/>
    <w:rsid w:val="009C5F40"/>
    <w:rsid w:val="009D1F35"/>
    <w:rsid w:val="009D2528"/>
    <w:rsid w:val="009D51FA"/>
    <w:rsid w:val="009E349B"/>
    <w:rsid w:val="009E5C43"/>
    <w:rsid w:val="009E7B69"/>
    <w:rsid w:val="009F44DC"/>
    <w:rsid w:val="009F5B91"/>
    <w:rsid w:val="009F6F82"/>
    <w:rsid w:val="009F793A"/>
    <w:rsid w:val="00A00492"/>
    <w:rsid w:val="00A040ED"/>
    <w:rsid w:val="00A06845"/>
    <w:rsid w:val="00A20A55"/>
    <w:rsid w:val="00A23DAE"/>
    <w:rsid w:val="00A31241"/>
    <w:rsid w:val="00A34E8C"/>
    <w:rsid w:val="00A37904"/>
    <w:rsid w:val="00A40EB3"/>
    <w:rsid w:val="00A422EE"/>
    <w:rsid w:val="00A42DEF"/>
    <w:rsid w:val="00A50742"/>
    <w:rsid w:val="00A525A8"/>
    <w:rsid w:val="00A552C3"/>
    <w:rsid w:val="00A56671"/>
    <w:rsid w:val="00A57677"/>
    <w:rsid w:val="00A6013A"/>
    <w:rsid w:val="00A603D4"/>
    <w:rsid w:val="00A676D5"/>
    <w:rsid w:val="00A74091"/>
    <w:rsid w:val="00A76B9F"/>
    <w:rsid w:val="00A832F5"/>
    <w:rsid w:val="00A83FE9"/>
    <w:rsid w:val="00A84C09"/>
    <w:rsid w:val="00A85267"/>
    <w:rsid w:val="00A93DAE"/>
    <w:rsid w:val="00A970B4"/>
    <w:rsid w:val="00A97AE7"/>
    <w:rsid w:val="00AA0465"/>
    <w:rsid w:val="00AA7678"/>
    <w:rsid w:val="00AB1CC3"/>
    <w:rsid w:val="00AB2784"/>
    <w:rsid w:val="00AE4DDF"/>
    <w:rsid w:val="00AE5E87"/>
    <w:rsid w:val="00AF1AE4"/>
    <w:rsid w:val="00AF5F41"/>
    <w:rsid w:val="00AF6B15"/>
    <w:rsid w:val="00B15431"/>
    <w:rsid w:val="00B350DC"/>
    <w:rsid w:val="00B5055E"/>
    <w:rsid w:val="00B51141"/>
    <w:rsid w:val="00B638C4"/>
    <w:rsid w:val="00B64A4B"/>
    <w:rsid w:val="00B66C33"/>
    <w:rsid w:val="00B6732B"/>
    <w:rsid w:val="00B82FB1"/>
    <w:rsid w:val="00BA5330"/>
    <w:rsid w:val="00BB2226"/>
    <w:rsid w:val="00BC0C04"/>
    <w:rsid w:val="00BC245E"/>
    <w:rsid w:val="00BD2578"/>
    <w:rsid w:val="00BD2AB0"/>
    <w:rsid w:val="00BD7485"/>
    <w:rsid w:val="00BE01B7"/>
    <w:rsid w:val="00BE0214"/>
    <w:rsid w:val="00BE590D"/>
    <w:rsid w:val="00BE6E5B"/>
    <w:rsid w:val="00BE72FE"/>
    <w:rsid w:val="00BE7D58"/>
    <w:rsid w:val="00BF1CB5"/>
    <w:rsid w:val="00C0170D"/>
    <w:rsid w:val="00C119E2"/>
    <w:rsid w:val="00C11F22"/>
    <w:rsid w:val="00C13295"/>
    <w:rsid w:val="00C20840"/>
    <w:rsid w:val="00C255F3"/>
    <w:rsid w:val="00C30A3E"/>
    <w:rsid w:val="00C32939"/>
    <w:rsid w:val="00C336AB"/>
    <w:rsid w:val="00C34984"/>
    <w:rsid w:val="00C51FDC"/>
    <w:rsid w:val="00C5229C"/>
    <w:rsid w:val="00C52EEA"/>
    <w:rsid w:val="00C53B0F"/>
    <w:rsid w:val="00C56E0A"/>
    <w:rsid w:val="00C7582B"/>
    <w:rsid w:val="00C84153"/>
    <w:rsid w:val="00C9225A"/>
    <w:rsid w:val="00C93A3F"/>
    <w:rsid w:val="00CA148D"/>
    <w:rsid w:val="00CA3ECD"/>
    <w:rsid w:val="00CC0B00"/>
    <w:rsid w:val="00CC3866"/>
    <w:rsid w:val="00CD5DA1"/>
    <w:rsid w:val="00CD6755"/>
    <w:rsid w:val="00CE320A"/>
    <w:rsid w:val="00CE47C4"/>
    <w:rsid w:val="00CF5635"/>
    <w:rsid w:val="00D13FC3"/>
    <w:rsid w:val="00D149C4"/>
    <w:rsid w:val="00D1582B"/>
    <w:rsid w:val="00D15D5F"/>
    <w:rsid w:val="00D16CF4"/>
    <w:rsid w:val="00D17104"/>
    <w:rsid w:val="00D202F7"/>
    <w:rsid w:val="00D213D9"/>
    <w:rsid w:val="00D26C42"/>
    <w:rsid w:val="00D27089"/>
    <w:rsid w:val="00D51463"/>
    <w:rsid w:val="00D51CC1"/>
    <w:rsid w:val="00D65301"/>
    <w:rsid w:val="00D65F57"/>
    <w:rsid w:val="00D84108"/>
    <w:rsid w:val="00D925E0"/>
    <w:rsid w:val="00D95729"/>
    <w:rsid w:val="00DA5C30"/>
    <w:rsid w:val="00DB226B"/>
    <w:rsid w:val="00DB6195"/>
    <w:rsid w:val="00DB6E8F"/>
    <w:rsid w:val="00DC00D1"/>
    <w:rsid w:val="00DC161A"/>
    <w:rsid w:val="00DC58D4"/>
    <w:rsid w:val="00DD3862"/>
    <w:rsid w:val="00DD6D94"/>
    <w:rsid w:val="00DF39DA"/>
    <w:rsid w:val="00E00722"/>
    <w:rsid w:val="00E06A30"/>
    <w:rsid w:val="00E167C7"/>
    <w:rsid w:val="00E17C75"/>
    <w:rsid w:val="00E20154"/>
    <w:rsid w:val="00E20ED7"/>
    <w:rsid w:val="00E21511"/>
    <w:rsid w:val="00E22028"/>
    <w:rsid w:val="00E23BD9"/>
    <w:rsid w:val="00E240EA"/>
    <w:rsid w:val="00E3127C"/>
    <w:rsid w:val="00E32B5C"/>
    <w:rsid w:val="00E377D0"/>
    <w:rsid w:val="00E415CB"/>
    <w:rsid w:val="00E43344"/>
    <w:rsid w:val="00E43D69"/>
    <w:rsid w:val="00E4761A"/>
    <w:rsid w:val="00E52688"/>
    <w:rsid w:val="00E53369"/>
    <w:rsid w:val="00E60E53"/>
    <w:rsid w:val="00E64AE2"/>
    <w:rsid w:val="00E66C2E"/>
    <w:rsid w:val="00E82BBB"/>
    <w:rsid w:val="00E84718"/>
    <w:rsid w:val="00E85D69"/>
    <w:rsid w:val="00E93569"/>
    <w:rsid w:val="00EC1844"/>
    <w:rsid w:val="00EC429B"/>
    <w:rsid w:val="00EC778D"/>
    <w:rsid w:val="00ED2F29"/>
    <w:rsid w:val="00ED7C18"/>
    <w:rsid w:val="00EE0ED9"/>
    <w:rsid w:val="00EF6094"/>
    <w:rsid w:val="00F25791"/>
    <w:rsid w:val="00F32C15"/>
    <w:rsid w:val="00F35518"/>
    <w:rsid w:val="00F469B9"/>
    <w:rsid w:val="00F50E39"/>
    <w:rsid w:val="00F52C84"/>
    <w:rsid w:val="00F61D8D"/>
    <w:rsid w:val="00F62E02"/>
    <w:rsid w:val="00F6661B"/>
    <w:rsid w:val="00F67A6A"/>
    <w:rsid w:val="00F74A90"/>
    <w:rsid w:val="00F93B95"/>
    <w:rsid w:val="00F97FFC"/>
    <w:rsid w:val="00FC5BF1"/>
    <w:rsid w:val="00FE5CB3"/>
    <w:rsid w:val="00FE5CEA"/>
    <w:rsid w:val="00FE5EDE"/>
    <w:rsid w:val="00FE692F"/>
    <w:rsid w:val="00FF0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DCADCC"/>
  <w14:defaultImageDpi w14:val="0"/>
  <w15:docId w15:val="{73AC6E06-768F-4B67-92BA-9CCEAE542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119E2"/>
    <w:pPr>
      <w:ind w:left="720"/>
      <w:contextualSpacing/>
    </w:pPr>
  </w:style>
  <w:style w:type="character" w:styleId="Hyperlink">
    <w:name w:val="Hyperlink"/>
    <w:uiPriority w:val="99"/>
    <w:rsid w:val="005F53B0"/>
    <w:rPr>
      <w:rFonts w:cs="Times New Roman"/>
      <w:color w:val="0000FF"/>
      <w:u w:val="single"/>
    </w:rPr>
  </w:style>
  <w:style w:type="character" w:styleId="FollowedHyperlink">
    <w:name w:val="FollowedHyperlink"/>
    <w:uiPriority w:val="99"/>
    <w:semiHidden/>
    <w:rsid w:val="005F53B0"/>
    <w:rPr>
      <w:rFonts w:cs="Times New Roman"/>
      <w:color w:val="800080"/>
      <w:u w:val="single"/>
    </w:rPr>
  </w:style>
  <w:style w:type="table" w:styleId="TableGrid">
    <w:name w:val="Table Grid"/>
    <w:basedOn w:val="TableNormal"/>
    <w:rsid w:val="009F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B106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B1065"/>
    <w:rPr>
      <w:rFonts w:ascii="Tahoma" w:hAnsi="Tahoma"/>
      <w:sz w:val="16"/>
    </w:rPr>
  </w:style>
  <w:style w:type="paragraph" w:styleId="Header">
    <w:name w:val="header"/>
    <w:basedOn w:val="Normal"/>
    <w:link w:val="HeaderChar"/>
    <w:uiPriority w:val="99"/>
    <w:rsid w:val="00D65301"/>
    <w:pPr>
      <w:tabs>
        <w:tab w:val="center" w:pos="4513"/>
        <w:tab w:val="right" w:pos="9026"/>
      </w:tabs>
      <w:spacing w:after="0" w:line="240" w:lineRule="auto"/>
    </w:pPr>
  </w:style>
  <w:style w:type="character" w:customStyle="1" w:styleId="HeaderChar">
    <w:name w:val="Header Char"/>
    <w:link w:val="Header"/>
    <w:uiPriority w:val="99"/>
    <w:locked/>
    <w:rsid w:val="00D65301"/>
    <w:rPr>
      <w:rFonts w:cs="Times New Roman"/>
    </w:rPr>
  </w:style>
  <w:style w:type="paragraph" w:styleId="Footer">
    <w:name w:val="footer"/>
    <w:basedOn w:val="Normal"/>
    <w:link w:val="FooterChar"/>
    <w:uiPriority w:val="99"/>
    <w:rsid w:val="00D65301"/>
    <w:pPr>
      <w:tabs>
        <w:tab w:val="center" w:pos="4513"/>
        <w:tab w:val="right" w:pos="9026"/>
      </w:tabs>
      <w:spacing w:after="0" w:line="240" w:lineRule="auto"/>
    </w:pPr>
  </w:style>
  <w:style w:type="character" w:customStyle="1" w:styleId="FooterChar">
    <w:name w:val="Footer Char"/>
    <w:link w:val="Footer"/>
    <w:uiPriority w:val="99"/>
    <w:locked/>
    <w:rsid w:val="00D65301"/>
    <w:rPr>
      <w:rFonts w:cs="Times New Roman"/>
    </w:rPr>
  </w:style>
  <w:style w:type="table" w:styleId="LightList-Accent1">
    <w:name w:val="Light List Accent 1"/>
    <w:basedOn w:val="TableNormal"/>
    <w:uiPriority w:val="99"/>
    <w:rsid w:val="00545F8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1">
    <w:name w:val="Style1"/>
    <w:rsid w:val="00DD25D8"/>
    <w:pPr>
      <w:numPr>
        <w:numId w:val="2"/>
      </w:numPr>
    </w:pPr>
  </w:style>
  <w:style w:type="paragraph" w:customStyle="1" w:styleId="Default">
    <w:name w:val="Default"/>
    <w:rsid w:val="00DC00D1"/>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952414"/>
    <w:rPr>
      <w:sz w:val="16"/>
      <w:szCs w:val="16"/>
    </w:rPr>
  </w:style>
  <w:style w:type="paragraph" w:styleId="CommentText">
    <w:name w:val="annotation text"/>
    <w:basedOn w:val="Normal"/>
    <w:link w:val="CommentTextChar"/>
    <w:uiPriority w:val="99"/>
    <w:semiHidden/>
    <w:unhideWhenUsed/>
    <w:rsid w:val="00952414"/>
    <w:pPr>
      <w:spacing w:line="240" w:lineRule="auto"/>
    </w:pPr>
    <w:rPr>
      <w:sz w:val="20"/>
      <w:szCs w:val="20"/>
    </w:rPr>
  </w:style>
  <w:style w:type="character" w:customStyle="1" w:styleId="CommentTextChar">
    <w:name w:val="Comment Text Char"/>
    <w:basedOn w:val="DefaultParagraphFont"/>
    <w:link w:val="CommentText"/>
    <w:uiPriority w:val="99"/>
    <w:semiHidden/>
    <w:rsid w:val="00952414"/>
    <w:rPr>
      <w:lang w:eastAsia="en-US"/>
    </w:rPr>
  </w:style>
  <w:style w:type="paragraph" w:styleId="CommentSubject">
    <w:name w:val="annotation subject"/>
    <w:basedOn w:val="CommentText"/>
    <w:next w:val="CommentText"/>
    <w:link w:val="CommentSubjectChar"/>
    <w:uiPriority w:val="99"/>
    <w:semiHidden/>
    <w:unhideWhenUsed/>
    <w:rsid w:val="00952414"/>
    <w:rPr>
      <w:b/>
      <w:bCs/>
    </w:rPr>
  </w:style>
  <w:style w:type="character" w:customStyle="1" w:styleId="CommentSubjectChar">
    <w:name w:val="Comment Subject Char"/>
    <w:basedOn w:val="CommentTextChar"/>
    <w:link w:val="CommentSubject"/>
    <w:uiPriority w:val="99"/>
    <w:semiHidden/>
    <w:rsid w:val="00952414"/>
    <w:rPr>
      <w:b/>
      <w:bCs/>
      <w:lang w:eastAsia="en-US"/>
    </w:rPr>
  </w:style>
  <w:style w:type="paragraph" w:styleId="FootnoteText">
    <w:name w:val="footnote text"/>
    <w:basedOn w:val="Normal"/>
    <w:link w:val="FootnoteTextChar"/>
    <w:uiPriority w:val="99"/>
    <w:semiHidden/>
    <w:unhideWhenUsed/>
    <w:rsid w:val="004E1A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1A30"/>
    <w:rPr>
      <w:lang w:eastAsia="en-US"/>
    </w:rPr>
  </w:style>
  <w:style w:type="character" w:styleId="FootnoteReference">
    <w:name w:val="footnote reference"/>
    <w:basedOn w:val="DefaultParagraphFont"/>
    <w:uiPriority w:val="99"/>
    <w:semiHidden/>
    <w:unhideWhenUsed/>
    <w:rsid w:val="004E1A30"/>
    <w:rPr>
      <w:vertAlign w:val="superscript"/>
    </w:rPr>
  </w:style>
  <w:style w:type="paragraph" w:styleId="NormalWeb">
    <w:name w:val="Normal (Web)"/>
    <w:basedOn w:val="Normal"/>
    <w:uiPriority w:val="99"/>
    <w:unhideWhenUsed/>
    <w:rsid w:val="004943C7"/>
    <w:pPr>
      <w:spacing w:before="100" w:beforeAutospacing="1" w:after="100" w:afterAutospacing="1" w:line="240" w:lineRule="auto"/>
    </w:pPr>
    <w:rPr>
      <w:rFonts w:ascii="Times New Roman" w:eastAsia="Times New Roman" w:hAnsi="Times New Roman"/>
      <w:sz w:val="24"/>
      <w:szCs w:val="24"/>
      <w:lang w:eastAsia="en-GB"/>
    </w:rPr>
  </w:style>
  <w:style w:type="paragraph" w:styleId="EndnoteText">
    <w:name w:val="endnote text"/>
    <w:basedOn w:val="Normal"/>
    <w:link w:val="EndnoteTextChar"/>
    <w:uiPriority w:val="99"/>
    <w:semiHidden/>
    <w:unhideWhenUsed/>
    <w:rsid w:val="009A06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06B2"/>
    <w:rPr>
      <w:lang w:eastAsia="en-US"/>
    </w:rPr>
  </w:style>
  <w:style w:type="character" w:styleId="EndnoteReference">
    <w:name w:val="endnote reference"/>
    <w:basedOn w:val="DefaultParagraphFont"/>
    <w:uiPriority w:val="99"/>
    <w:semiHidden/>
    <w:unhideWhenUsed/>
    <w:rsid w:val="009A06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14838">
      <w:bodyDiv w:val="1"/>
      <w:marLeft w:val="0"/>
      <w:marRight w:val="0"/>
      <w:marTop w:val="0"/>
      <w:marBottom w:val="0"/>
      <w:divBdr>
        <w:top w:val="none" w:sz="0" w:space="0" w:color="auto"/>
        <w:left w:val="none" w:sz="0" w:space="0" w:color="auto"/>
        <w:bottom w:val="none" w:sz="0" w:space="0" w:color="auto"/>
        <w:right w:val="none" w:sz="0" w:space="0" w:color="auto"/>
      </w:divBdr>
    </w:div>
    <w:div w:id="64501127">
      <w:bodyDiv w:val="1"/>
      <w:marLeft w:val="0"/>
      <w:marRight w:val="0"/>
      <w:marTop w:val="0"/>
      <w:marBottom w:val="0"/>
      <w:divBdr>
        <w:top w:val="none" w:sz="0" w:space="0" w:color="auto"/>
        <w:left w:val="none" w:sz="0" w:space="0" w:color="auto"/>
        <w:bottom w:val="none" w:sz="0" w:space="0" w:color="auto"/>
        <w:right w:val="none" w:sz="0" w:space="0" w:color="auto"/>
      </w:divBdr>
    </w:div>
    <w:div w:id="145053434">
      <w:marLeft w:val="0"/>
      <w:marRight w:val="0"/>
      <w:marTop w:val="0"/>
      <w:marBottom w:val="0"/>
      <w:divBdr>
        <w:top w:val="none" w:sz="0" w:space="0" w:color="auto"/>
        <w:left w:val="none" w:sz="0" w:space="0" w:color="auto"/>
        <w:bottom w:val="none" w:sz="0" w:space="0" w:color="auto"/>
        <w:right w:val="none" w:sz="0" w:space="0" w:color="auto"/>
      </w:divBdr>
    </w:div>
    <w:div w:id="743575236">
      <w:bodyDiv w:val="1"/>
      <w:marLeft w:val="0"/>
      <w:marRight w:val="0"/>
      <w:marTop w:val="0"/>
      <w:marBottom w:val="0"/>
      <w:divBdr>
        <w:top w:val="none" w:sz="0" w:space="0" w:color="auto"/>
        <w:left w:val="none" w:sz="0" w:space="0" w:color="auto"/>
        <w:bottom w:val="none" w:sz="0" w:space="0" w:color="auto"/>
        <w:right w:val="none" w:sz="0" w:space="0" w:color="auto"/>
      </w:divBdr>
    </w:div>
    <w:div w:id="785461653">
      <w:bodyDiv w:val="1"/>
      <w:marLeft w:val="0"/>
      <w:marRight w:val="0"/>
      <w:marTop w:val="0"/>
      <w:marBottom w:val="0"/>
      <w:divBdr>
        <w:top w:val="none" w:sz="0" w:space="0" w:color="auto"/>
        <w:left w:val="none" w:sz="0" w:space="0" w:color="auto"/>
        <w:bottom w:val="none" w:sz="0" w:space="0" w:color="auto"/>
        <w:right w:val="none" w:sz="0" w:space="0" w:color="auto"/>
      </w:divBdr>
    </w:div>
    <w:div w:id="888106307">
      <w:bodyDiv w:val="1"/>
      <w:marLeft w:val="0"/>
      <w:marRight w:val="0"/>
      <w:marTop w:val="0"/>
      <w:marBottom w:val="0"/>
      <w:divBdr>
        <w:top w:val="none" w:sz="0" w:space="0" w:color="auto"/>
        <w:left w:val="none" w:sz="0" w:space="0" w:color="auto"/>
        <w:bottom w:val="none" w:sz="0" w:space="0" w:color="auto"/>
        <w:right w:val="none" w:sz="0" w:space="0" w:color="auto"/>
      </w:divBdr>
    </w:div>
    <w:div w:id="1139374854">
      <w:bodyDiv w:val="1"/>
      <w:marLeft w:val="0"/>
      <w:marRight w:val="0"/>
      <w:marTop w:val="0"/>
      <w:marBottom w:val="0"/>
      <w:divBdr>
        <w:top w:val="none" w:sz="0" w:space="0" w:color="auto"/>
        <w:left w:val="none" w:sz="0" w:space="0" w:color="auto"/>
        <w:bottom w:val="none" w:sz="0" w:space="0" w:color="auto"/>
        <w:right w:val="none" w:sz="0" w:space="0" w:color="auto"/>
      </w:divBdr>
    </w:div>
    <w:div w:id="1326663036">
      <w:bodyDiv w:val="1"/>
      <w:marLeft w:val="0"/>
      <w:marRight w:val="0"/>
      <w:marTop w:val="0"/>
      <w:marBottom w:val="0"/>
      <w:divBdr>
        <w:top w:val="none" w:sz="0" w:space="0" w:color="auto"/>
        <w:left w:val="none" w:sz="0" w:space="0" w:color="auto"/>
        <w:bottom w:val="none" w:sz="0" w:space="0" w:color="auto"/>
        <w:right w:val="none" w:sz="0" w:space="0" w:color="auto"/>
      </w:divBdr>
    </w:div>
    <w:div w:id="1403599541">
      <w:bodyDiv w:val="1"/>
      <w:marLeft w:val="0"/>
      <w:marRight w:val="0"/>
      <w:marTop w:val="0"/>
      <w:marBottom w:val="0"/>
      <w:divBdr>
        <w:top w:val="none" w:sz="0" w:space="0" w:color="auto"/>
        <w:left w:val="none" w:sz="0" w:space="0" w:color="auto"/>
        <w:bottom w:val="none" w:sz="0" w:space="0" w:color="auto"/>
        <w:right w:val="none" w:sz="0" w:space="0" w:color="auto"/>
      </w:divBdr>
    </w:div>
    <w:div w:id="1440176731">
      <w:bodyDiv w:val="1"/>
      <w:marLeft w:val="0"/>
      <w:marRight w:val="0"/>
      <w:marTop w:val="0"/>
      <w:marBottom w:val="0"/>
      <w:divBdr>
        <w:top w:val="none" w:sz="0" w:space="0" w:color="auto"/>
        <w:left w:val="none" w:sz="0" w:space="0" w:color="auto"/>
        <w:bottom w:val="none" w:sz="0" w:space="0" w:color="auto"/>
        <w:right w:val="none" w:sz="0" w:space="0" w:color="auto"/>
      </w:divBdr>
    </w:div>
    <w:div w:id="1706127821">
      <w:bodyDiv w:val="1"/>
      <w:marLeft w:val="0"/>
      <w:marRight w:val="0"/>
      <w:marTop w:val="0"/>
      <w:marBottom w:val="0"/>
      <w:divBdr>
        <w:top w:val="none" w:sz="0" w:space="0" w:color="auto"/>
        <w:left w:val="none" w:sz="0" w:space="0" w:color="auto"/>
        <w:bottom w:val="none" w:sz="0" w:space="0" w:color="auto"/>
        <w:right w:val="none" w:sz="0" w:space="0" w:color="auto"/>
      </w:divBdr>
    </w:div>
    <w:div w:id="197802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heffieldmca.org.uk/UserFiles/File/Ward_Collab/Ward_Principles/Ready_to_Go_Hospital_Discharge_Planning.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legislation.gov.uk/ukpga/2014/23/contents/enacted" TargetMode="External"/><Relationship Id="rId1" Type="http://schemas.openxmlformats.org/officeDocument/2006/relationships/hyperlink" Target="https://future.nhs.uk/AdultMH/view?objectId=3868084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d648a74-5c83-46a7-8e4c-7f989ae960a5">
      <Terms xmlns="http://schemas.microsoft.com/office/infopath/2007/PartnerControls"/>
    </lcf76f155ced4ddcb4097134ff3c332f>
    <_ip_UnifiedCompliancePolicyProperties xmlns="http://schemas.microsoft.com/sharepoint/v3" xsi:nil="true"/>
    <TaxCatchAll xmlns="6194e418-5875-4308-b033-74eb9c1813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519BAE8345774E8669FA46DF2DD9E1" ma:contentTypeVersion="18" ma:contentTypeDescription="Create a new document." ma:contentTypeScope="" ma:versionID="1d304660248941d8de63399c5086ecd4">
  <xsd:schema xmlns:xsd="http://www.w3.org/2001/XMLSchema" xmlns:xs="http://www.w3.org/2001/XMLSchema" xmlns:p="http://schemas.microsoft.com/office/2006/metadata/properties" xmlns:ns1="http://schemas.microsoft.com/sharepoint/v3" xmlns:ns2="4d648a74-5c83-46a7-8e4c-7f989ae960a5" xmlns:ns3="6194e418-5875-4308-b033-74eb9c181361" targetNamespace="http://schemas.microsoft.com/office/2006/metadata/properties" ma:root="true" ma:fieldsID="3b6868caa64c83e89c838ae469ce62f2" ns1:_="" ns2:_="" ns3:_="">
    <xsd:import namespace="http://schemas.microsoft.com/sharepoint/v3"/>
    <xsd:import namespace="4d648a74-5c83-46a7-8e4c-7f989ae960a5"/>
    <xsd:import namespace="6194e418-5875-4308-b033-74eb9c1813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648a74-5c83-46a7-8e4c-7f989ae96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94e418-5875-4308-b033-74eb9c18136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6777f02-5793-47ea-9637-5fc0f7654bd6}" ma:internalName="TaxCatchAll" ma:showField="CatchAllData" ma:web="6194e418-5875-4308-b033-74eb9c181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4AF6F-EF5B-4BB5-9ABC-F29CB36BDD15}">
  <ds:schemaRefs>
    <ds:schemaRef ds:uri="http://schemas.microsoft.com/office/2006/metadata/properties"/>
    <ds:schemaRef ds:uri="http://schemas.microsoft.com/office/infopath/2007/PartnerControls"/>
    <ds:schemaRef ds:uri="http://schemas.microsoft.com/sharepoint/v3"/>
    <ds:schemaRef ds:uri="4d648a74-5c83-46a7-8e4c-7f989ae960a5"/>
    <ds:schemaRef ds:uri="6194e418-5875-4308-b033-74eb9c181361"/>
  </ds:schemaRefs>
</ds:datastoreItem>
</file>

<file path=customXml/itemProps2.xml><?xml version="1.0" encoding="utf-8"?>
<ds:datastoreItem xmlns:ds="http://schemas.openxmlformats.org/officeDocument/2006/customXml" ds:itemID="{32E5F1BA-92E4-4DDD-8534-2755EACE4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648a74-5c83-46a7-8e4c-7f989ae960a5"/>
    <ds:schemaRef ds:uri="6194e418-5875-4308-b033-74eb9c181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9FE71-5D93-4088-BAEF-6C96E292CA0B}">
  <ds:schemaRefs>
    <ds:schemaRef ds:uri="http://schemas.microsoft.com/sharepoint/v3/contenttype/forms"/>
  </ds:schemaRefs>
</ds:datastoreItem>
</file>

<file path=customXml/itemProps4.xml><?xml version="1.0" encoding="utf-8"?>
<ds:datastoreItem xmlns:ds="http://schemas.openxmlformats.org/officeDocument/2006/customXml" ds:itemID="{CAA937BE-A6A1-40B2-BABE-C437FE617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4987</Words>
  <Characters>28428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Delayed Transfers of Care Standard Operating Procedure</vt:lpstr>
    </vt:vector>
  </TitlesOfParts>
  <Company>South West Yorkshire Mental Health Trust</Company>
  <LinksUpToDate>false</LinksUpToDate>
  <CharactersWithSpaces>33349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Delayed Transfers of Care Standard Operating Procedure</dc:title>
  <dc:creator>Ludwell Claire</dc:creator>
  <cp:lastModifiedBy>Flaherty Janet</cp:lastModifiedBy>
  <cp:revision>2</cp:revision>
  <cp:lastPrinted>2017-07-18T13:49:00Z</cp:lastPrinted>
  <dcterms:created xsi:type="dcterms:W3CDTF">2023-04-17T08:37:00Z</dcterms:created>
  <dcterms:modified xsi:type="dcterms:W3CDTF">2023-04-17T08:37:00Z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0x0101000520255F436F3649B927277219ECCBA8</vt:lpwstr>
  </property>
  <property fmtid="{D5CDD505-2E9C-101B-9397-08002B2CF9AE}" pid="3" name="Portfolio">
    <vt:lpwstr/>
  </property>
  <property fmtid="{D5CDD505-2E9C-101B-9397-08002B2CF9AE}" pid="4" name="Document type">
    <vt:lpwstr/>
  </property>
  <property fmtid="{D5CDD505-2E9C-101B-9397-08002B2CF9AE}" pid="5" name="Tagged">
    <vt:lpwstr/>
  </property>
  <property fmtid="{D5CDD505-2E9C-101B-9397-08002B2CF9AE}" pid="6" name="MediaServiceImageTags">
    <vt:lpwstr/>
  </property>
  <property fmtid="{D5CDD505-2E9C-101B-9397-08002B2CF9AE}" pid="7" name="GrammarlyDocumentId">
    <vt:lpwstr>752497afb94a1aa966d58502aeb39b091b06298e2f0e60a2cce47dbcea20d714</vt:lpwstr>
  </property>
</Properties>
</file>