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5343" w14:textId="77777777" w:rsidR="00B13FDF" w:rsidRPr="00123208" w:rsidRDefault="00B13FDF" w:rsidP="00B13FDF">
      <w:pPr>
        <w:rPr>
          <w:rFonts w:cs="Arial"/>
          <w:szCs w:val="22"/>
        </w:rPr>
      </w:pPr>
    </w:p>
    <w:p w14:paraId="29CC0004" w14:textId="77777777" w:rsidR="00B13FDF" w:rsidRPr="00061076" w:rsidRDefault="00B13FDF" w:rsidP="00B13FDF">
      <w:pPr>
        <w:jc w:val="center"/>
        <w:rPr>
          <w:rFonts w:cs="Arial"/>
          <w:b/>
          <w:sz w:val="32"/>
          <w:szCs w:val="32"/>
        </w:rPr>
      </w:pPr>
      <w:r w:rsidRPr="00061076">
        <w:rPr>
          <w:rFonts w:cs="Arial"/>
          <w:b/>
          <w:sz w:val="32"/>
          <w:szCs w:val="32"/>
        </w:rPr>
        <w:t>Salary Overpayments Policy</w:t>
      </w:r>
    </w:p>
    <w:p w14:paraId="122968A8" w14:textId="77777777" w:rsidR="00B13FDF" w:rsidRPr="00123208" w:rsidRDefault="00B13FDF" w:rsidP="00B13FDF">
      <w:pPr>
        <w:rPr>
          <w:rFonts w:cs="Arial"/>
          <w:szCs w:val="22"/>
        </w:rPr>
      </w:pPr>
    </w:p>
    <w:p w14:paraId="59A0A848" w14:textId="77777777" w:rsidR="00B13FDF" w:rsidRDefault="00B13FDF" w:rsidP="00B13FDF"/>
    <w:p w14:paraId="0364B54A" w14:textId="77777777" w:rsidR="00B13FDF" w:rsidRDefault="00B13FDF" w:rsidP="00B13FDF"/>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13FDF" w14:paraId="5DA7A8B9" w14:textId="77777777" w:rsidTr="00AD112A">
        <w:tc>
          <w:tcPr>
            <w:tcW w:w="4513" w:type="dxa"/>
          </w:tcPr>
          <w:p w14:paraId="498B9746" w14:textId="77777777" w:rsidR="00B13FDF" w:rsidRDefault="00B13FDF" w:rsidP="00AD112A">
            <w:pPr>
              <w:spacing w:before="40" w:after="40"/>
            </w:pPr>
            <w:r>
              <w:t>Version number :</w:t>
            </w:r>
          </w:p>
        </w:tc>
        <w:tc>
          <w:tcPr>
            <w:tcW w:w="4487" w:type="dxa"/>
          </w:tcPr>
          <w:p w14:paraId="0B372589" w14:textId="7DE5E773" w:rsidR="00B13FDF" w:rsidRDefault="00B13FDF" w:rsidP="00AD112A">
            <w:pPr>
              <w:spacing w:before="40" w:after="40"/>
            </w:pPr>
            <w:r>
              <w:t>2.</w:t>
            </w:r>
            <w:r w:rsidR="00ED4162">
              <w:t>3</w:t>
            </w:r>
          </w:p>
        </w:tc>
      </w:tr>
      <w:tr w:rsidR="00B13FDF" w14:paraId="79EF174C" w14:textId="77777777" w:rsidTr="00AD112A">
        <w:tc>
          <w:tcPr>
            <w:tcW w:w="4513" w:type="dxa"/>
          </w:tcPr>
          <w:p w14:paraId="0400A4A4" w14:textId="77777777" w:rsidR="00B13FDF" w:rsidRDefault="00B13FDF" w:rsidP="00AD112A">
            <w:pPr>
              <w:spacing w:before="40" w:after="40"/>
            </w:pPr>
            <w:r>
              <w:t xml:space="preserve">Consultation Groups </w:t>
            </w:r>
          </w:p>
        </w:tc>
        <w:tc>
          <w:tcPr>
            <w:tcW w:w="4487" w:type="dxa"/>
          </w:tcPr>
          <w:p w14:paraId="27B8DC7B" w14:textId="77777777" w:rsidR="00B13FDF" w:rsidRDefault="00B13FDF" w:rsidP="00AD112A">
            <w:pPr>
              <w:spacing w:before="40" w:after="40"/>
            </w:pPr>
            <w:r w:rsidRPr="00157A42">
              <w:t>JSC Policy sub group</w:t>
            </w:r>
          </w:p>
        </w:tc>
      </w:tr>
      <w:tr w:rsidR="00B13FDF" w14:paraId="2511C324" w14:textId="77777777" w:rsidTr="00AD112A">
        <w:tc>
          <w:tcPr>
            <w:tcW w:w="4513" w:type="dxa"/>
          </w:tcPr>
          <w:p w14:paraId="645DBCC9" w14:textId="77777777" w:rsidR="00B13FDF" w:rsidRDefault="00B13FDF" w:rsidP="00AD112A">
            <w:pPr>
              <w:spacing w:before="40" w:after="40"/>
            </w:pPr>
            <w:r>
              <w:t>Approved by (Sponsor Group)</w:t>
            </w:r>
          </w:p>
        </w:tc>
        <w:tc>
          <w:tcPr>
            <w:tcW w:w="4487" w:type="dxa"/>
          </w:tcPr>
          <w:p w14:paraId="7B2066B9" w14:textId="77777777" w:rsidR="00B13FDF" w:rsidRDefault="00B13FDF" w:rsidP="00AD112A">
            <w:pPr>
              <w:spacing w:before="40" w:after="40"/>
            </w:pPr>
            <w:r>
              <w:t>JSC Policy sub group</w:t>
            </w:r>
          </w:p>
        </w:tc>
      </w:tr>
      <w:tr w:rsidR="00B13FDF" w14:paraId="5B6A20E0" w14:textId="77777777" w:rsidTr="00AD112A">
        <w:tc>
          <w:tcPr>
            <w:tcW w:w="4513" w:type="dxa"/>
          </w:tcPr>
          <w:p w14:paraId="35780057" w14:textId="77777777" w:rsidR="00B13FDF" w:rsidRDefault="00B13FDF" w:rsidP="00AD112A">
            <w:pPr>
              <w:spacing w:before="40" w:after="40"/>
            </w:pPr>
            <w:r>
              <w:t>Ratified by:</w:t>
            </w:r>
          </w:p>
        </w:tc>
        <w:tc>
          <w:tcPr>
            <w:tcW w:w="4487" w:type="dxa"/>
          </w:tcPr>
          <w:p w14:paraId="57B1CF4A" w14:textId="77777777" w:rsidR="00B13FDF" w:rsidRDefault="00B13FDF" w:rsidP="00AD112A">
            <w:pPr>
              <w:spacing w:before="40" w:after="40"/>
            </w:pPr>
            <w:r>
              <w:t>JSC, People and Culture Team</w:t>
            </w:r>
          </w:p>
        </w:tc>
      </w:tr>
      <w:tr w:rsidR="00B13FDF" w14:paraId="2B4F8E83" w14:textId="77777777" w:rsidTr="00AD112A">
        <w:tc>
          <w:tcPr>
            <w:tcW w:w="4513" w:type="dxa"/>
          </w:tcPr>
          <w:p w14:paraId="117C06CC" w14:textId="77777777" w:rsidR="00B13FDF" w:rsidRDefault="00B13FDF" w:rsidP="00AD112A">
            <w:pPr>
              <w:spacing w:before="40" w:after="40"/>
            </w:pPr>
            <w:r>
              <w:t>Date ratified:</w:t>
            </w:r>
          </w:p>
        </w:tc>
        <w:tc>
          <w:tcPr>
            <w:tcW w:w="4487" w:type="dxa"/>
          </w:tcPr>
          <w:p w14:paraId="5E1D7648" w14:textId="77777777" w:rsidR="00B13FDF" w:rsidRDefault="00B13FDF" w:rsidP="00AD112A">
            <w:pPr>
              <w:spacing w:before="40" w:after="40"/>
            </w:pPr>
            <w:r>
              <w:t>4</w:t>
            </w:r>
            <w:r w:rsidRPr="00BF79B6">
              <w:rPr>
                <w:vertAlign w:val="superscript"/>
              </w:rPr>
              <w:t>th</w:t>
            </w:r>
            <w:r>
              <w:t xml:space="preserve"> December 2019</w:t>
            </w:r>
          </w:p>
        </w:tc>
      </w:tr>
      <w:tr w:rsidR="00B13FDF" w14:paraId="0C3F4F72" w14:textId="77777777" w:rsidTr="00AD112A">
        <w:tc>
          <w:tcPr>
            <w:tcW w:w="4513" w:type="dxa"/>
          </w:tcPr>
          <w:p w14:paraId="261AEFB7" w14:textId="77777777" w:rsidR="00B13FDF" w:rsidRDefault="00B13FDF" w:rsidP="00AD112A">
            <w:pPr>
              <w:spacing w:before="40" w:after="40"/>
            </w:pPr>
            <w:r>
              <w:t>Name of originator/author:</w:t>
            </w:r>
          </w:p>
        </w:tc>
        <w:tc>
          <w:tcPr>
            <w:tcW w:w="4487" w:type="dxa"/>
          </w:tcPr>
          <w:p w14:paraId="726AF4D4" w14:textId="76F31CC4" w:rsidR="00B13FDF" w:rsidRDefault="00B13FDF" w:rsidP="00AD112A">
            <w:pPr>
              <w:spacing w:before="40" w:after="40"/>
            </w:pPr>
            <w:r w:rsidRPr="00157A42">
              <w:t>Head of Counter Fraud and North East London Pay Consortium</w:t>
            </w:r>
          </w:p>
        </w:tc>
      </w:tr>
      <w:tr w:rsidR="00B13FDF" w14:paraId="7680ADFB" w14:textId="77777777" w:rsidTr="00AD112A">
        <w:tc>
          <w:tcPr>
            <w:tcW w:w="4513" w:type="dxa"/>
          </w:tcPr>
          <w:p w14:paraId="73D78793" w14:textId="77777777" w:rsidR="00B13FDF" w:rsidRDefault="00B13FDF" w:rsidP="00AD112A">
            <w:pPr>
              <w:spacing w:before="40" w:after="40"/>
            </w:pPr>
            <w:r>
              <w:t>Executive Director lead :</w:t>
            </w:r>
          </w:p>
        </w:tc>
        <w:tc>
          <w:tcPr>
            <w:tcW w:w="4487" w:type="dxa"/>
          </w:tcPr>
          <w:p w14:paraId="2E791754" w14:textId="67A37A2B" w:rsidR="00B13FDF" w:rsidRPr="00D7314B" w:rsidRDefault="007457A9" w:rsidP="00AD112A">
            <w:pPr>
              <w:spacing w:before="40" w:after="40"/>
            </w:pPr>
            <w:r w:rsidRPr="00D7314B">
              <w:rPr>
                <w:bCs/>
              </w:rPr>
              <w:t>Chief People Officer</w:t>
            </w:r>
          </w:p>
        </w:tc>
      </w:tr>
      <w:tr w:rsidR="00B13FDF" w14:paraId="18BC3CA3" w14:textId="77777777" w:rsidTr="00AD112A">
        <w:tc>
          <w:tcPr>
            <w:tcW w:w="4513" w:type="dxa"/>
          </w:tcPr>
          <w:p w14:paraId="419F666D" w14:textId="77777777" w:rsidR="00B13FDF" w:rsidRDefault="00B13FDF" w:rsidP="00AD112A">
            <w:pPr>
              <w:spacing w:before="40" w:after="40"/>
            </w:pPr>
            <w:r>
              <w:t>Implementation Date :</w:t>
            </w:r>
          </w:p>
        </w:tc>
        <w:tc>
          <w:tcPr>
            <w:tcW w:w="4487" w:type="dxa"/>
          </w:tcPr>
          <w:p w14:paraId="1B294156" w14:textId="77777777" w:rsidR="00B13FDF" w:rsidRDefault="00B13FDF" w:rsidP="00AD112A">
            <w:pPr>
              <w:spacing w:before="40" w:after="40"/>
            </w:pPr>
            <w:r>
              <w:t>February 2020</w:t>
            </w:r>
          </w:p>
        </w:tc>
      </w:tr>
      <w:tr w:rsidR="00B13FDF" w14:paraId="23634653" w14:textId="77777777" w:rsidTr="00AD112A">
        <w:tc>
          <w:tcPr>
            <w:tcW w:w="4513" w:type="dxa"/>
          </w:tcPr>
          <w:p w14:paraId="086EFC21" w14:textId="77777777" w:rsidR="00B13FDF" w:rsidRDefault="00B13FDF" w:rsidP="00AD112A">
            <w:pPr>
              <w:spacing w:before="40" w:after="40"/>
            </w:pPr>
            <w:r>
              <w:t xml:space="preserve">Last Review Date </w:t>
            </w:r>
          </w:p>
        </w:tc>
        <w:tc>
          <w:tcPr>
            <w:tcW w:w="4487" w:type="dxa"/>
          </w:tcPr>
          <w:p w14:paraId="24CB3955" w14:textId="77777777" w:rsidR="00B13FDF" w:rsidRDefault="00B13FDF" w:rsidP="00AD112A">
            <w:pPr>
              <w:spacing w:before="40" w:after="40"/>
            </w:pPr>
            <w:r>
              <w:t>December 2019</w:t>
            </w:r>
          </w:p>
        </w:tc>
      </w:tr>
      <w:tr w:rsidR="00B13FDF" w14:paraId="3576E798" w14:textId="77777777" w:rsidTr="00AD112A">
        <w:tc>
          <w:tcPr>
            <w:tcW w:w="4513" w:type="dxa"/>
          </w:tcPr>
          <w:p w14:paraId="328DACD4" w14:textId="77777777" w:rsidR="00B13FDF" w:rsidRDefault="00B13FDF" w:rsidP="00AD112A">
            <w:pPr>
              <w:spacing w:before="40" w:after="40"/>
            </w:pPr>
            <w:r>
              <w:t>Next Review date:</w:t>
            </w:r>
          </w:p>
        </w:tc>
        <w:tc>
          <w:tcPr>
            <w:tcW w:w="4487" w:type="dxa"/>
          </w:tcPr>
          <w:p w14:paraId="002C1038" w14:textId="20557036" w:rsidR="00B13FDF" w:rsidRDefault="00ED4162" w:rsidP="00AD112A">
            <w:pPr>
              <w:spacing w:before="40" w:after="40"/>
            </w:pPr>
            <w:r>
              <w:t>June 2024</w:t>
            </w:r>
          </w:p>
        </w:tc>
      </w:tr>
    </w:tbl>
    <w:p w14:paraId="2D9F955A" w14:textId="77777777" w:rsidR="00B13FDF" w:rsidRDefault="00B13FDF" w:rsidP="00B13FDF"/>
    <w:p w14:paraId="5E316B78" w14:textId="77777777" w:rsidR="00B13FDF" w:rsidRPr="00157A42" w:rsidRDefault="00B13FDF" w:rsidP="00B13FDF"/>
    <w:tbl>
      <w:tblPr>
        <w:tblStyle w:val="TableGrid1"/>
        <w:tblW w:w="0" w:type="auto"/>
        <w:tblLook w:val="04A0" w:firstRow="1" w:lastRow="0" w:firstColumn="1" w:lastColumn="0" w:noHBand="0" w:noVBand="1"/>
      </w:tblPr>
      <w:tblGrid>
        <w:gridCol w:w="4510"/>
        <w:gridCol w:w="4506"/>
      </w:tblGrid>
      <w:tr w:rsidR="00B13FDF" w:rsidRPr="00157A42" w14:paraId="317428A2" w14:textId="77777777" w:rsidTr="00AD112A">
        <w:tc>
          <w:tcPr>
            <w:tcW w:w="4621" w:type="dxa"/>
          </w:tcPr>
          <w:p w14:paraId="28F4C944" w14:textId="77777777" w:rsidR="00B13FDF" w:rsidRPr="00157A42" w:rsidRDefault="00B13FDF" w:rsidP="00AD112A">
            <w:r w:rsidRPr="00157A42">
              <w:t xml:space="preserve">Services </w:t>
            </w:r>
          </w:p>
        </w:tc>
        <w:tc>
          <w:tcPr>
            <w:tcW w:w="4621" w:type="dxa"/>
          </w:tcPr>
          <w:p w14:paraId="51D9F40B" w14:textId="77777777" w:rsidR="00B13FDF" w:rsidRPr="00157A42" w:rsidRDefault="00B13FDF" w:rsidP="00AD112A">
            <w:r w:rsidRPr="00157A42">
              <w:t xml:space="preserve">Applicable </w:t>
            </w:r>
          </w:p>
        </w:tc>
      </w:tr>
      <w:tr w:rsidR="00B13FDF" w:rsidRPr="00157A42" w14:paraId="6DE72BC1" w14:textId="77777777" w:rsidTr="00AD112A">
        <w:tc>
          <w:tcPr>
            <w:tcW w:w="4621" w:type="dxa"/>
          </w:tcPr>
          <w:p w14:paraId="50479223" w14:textId="058FC171" w:rsidR="00B13FDF" w:rsidRPr="00157A42" w:rsidRDefault="00ED4162" w:rsidP="00AD112A">
            <w:r w:rsidRPr="00157A42">
              <w:t>Trust wide</w:t>
            </w:r>
            <w:bookmarkStart w:id="0" w:name="_GoBack"/>
            <w:bookmarkEnd w:id="0"/>
          </w:p>
        </w:tc>
        <w:tc>
          <w:tcPr>
            <w:tcW w:w="4621" w:type="dxa"/>
          </w:tcPr>
          <w:p w14:paraId="64BE26E6" w14:textId="77777777" w:rsidR="00B13FDF" w:rsidRPr="00157A42" w:rsidRDefault="00B13FDF" w:rsidP="00AD112A">
            <w:r>
              <w:t>X</w:t>
            </w:r>
          </w:p>
        </w:tc>
      </w:tr>
      <w:tr w:rsidR="00B13FDF" w:rsidRPr="00157A42" w14:paraId="48A951E6" w14:textId="77777777" w:rsidTr="00AD112A">
        <w:tc>
          <w:tcPr>
            <w:tcW w:w="4621" w:type="dxa"/>
          </w:tcPr>
          <w:p w14:paraId="58868206" w14:textId="77777777" w:rsidR="00B13FDF" w:rsidRPr="00157A42" w:rsidRDefault="00B13FDF" w:rsidP="00AD112A">
            <w:r w:rsidRPr="00157A42">
              <w:t xml:space="preserve">Mental Health and LD </w:t>
            </w:r>
          </w:p>
        </w:tc>
        <w:tc>
          <w:tcPr>
            <w:tcW w:w="4621" w:type="dxa"/>
          </w:tcPr>
          <w:p w14:paraId="3B370436" w14:textId="77777777" w:rsidR="00B13FDF" w:rsidRPr="00157A42" w:rsidRDefault="00B13FDF" w:rsidP="00AD112A"/>
        </w:tc>
      </w:tr>
      <w:tr w:rsidR="00B13FDF" w:rsidRPr="00157A42" w14:paraId="5760D9F6" w14:textId="77777777" w:rsidTr="00AD112A">
        <w:tc>
          <w:tcPr>
            <w:tcW w:w="4621" w:type="dxa"/>
          </w:tcPr>
          <w:p w14:paraId="22B7CCEF" w14:textId="77777777" w:rsidR="00B13FDF" w:rsidRPr="00157A42" w:rsidRDefault="00B13FDF" w:rsidP="00AD112A">
            <w:r w:rsidRPr="00157A42">
              <w:t xml:space="preserve">Community Health Services </w:t>
            </w:r>
          </w:p>
        </w:tc>
        <w:tc>
          <w:tcPr>
            <w:tcW w:w="4621" w:type="dxa"/>
          </w:tcPr>
          <w:p w14:paraId="003DA147" w14:textId="77777777" w:rsidR="00B13FDF" w:rsidRPr="00157A42" w:rsidRDefault="00B13FDF" w:rsidP="00AD112A"/>
        </w:tc>
      </w:tr>
    </w:tbl>
    <w:p w14:paraId="3996A2E9" w14:textId="77777777" w:rsidR="00B13FDF" w:rsidRPr="00157A42" w:rsidRDefault="00B13FDF" w:rsidP="00B13FDF">
      <w:pPr>
        <w:sectPr w:rsidR="00B13FDF" w:rsidRPr="00157A42" w:rsidSect="00266359">
          <w:footerReference w:type="even" r:id="rId7"/>
          <w:footerReference w:type="default" r:id="rId8"/>
          <w:headerReference w:type="first" r:id="rId9"/>
          <w:footerReference w:type="first" r:id="rId10"/>
          <w:pgSz w:w="11906" w:h="16838" w:code="9"/>
          <w:pgMar w:top="1440" w:right="1440" w:bottom="1440" w:left="1440" w:header="706" w:footer="706" w:gutter="0"/>
          <w:cols w:space="708"/>
          <w:titlePg/>
          <w:docGrid w:linePitch="360"/>
        </w:sectPr>
      </w:pPr>
    </w:p>
    <w:p w14:paraId="62F4A620" w14:textId="77777777" w:rsidR="00B13FDF" w:rsidRPr="00123208" w:rsidRDefault="00B13FDF" w:rsidP="00B13FDF">
      <w:pPr>
        <w:rPr>
          <w:rFonts w:cs="Arial"/>
          <w:szCs w:val="22"/>
        </w:rPr>
      </w:pPr>
    </w:p>
    <w:p w14:paraId="5E95FF87" w14:textId="77777777" w:rsidR="00B13FDF" w:rsidRPr="00123208" w:rsidRDefault="00B13FDF" w:rsidP="00B13FDF">
      <w:pPr>
        <w:rPr>
          <w:rFonts w:cs="Arial"/>
          <w:szCs w:val="22"/>
        </w:rPr>
      </w:pPr>
    </w:p>
    <w:p w14:paraId="3B78B915" w14:textId="77777777" w:rsidR="00B13FDF" w:rsidRPr="00087B2D" w:rsidRDefault="00B13FDF" w:rsidP="00B13FDF">
      <w:pPr>
        <w:jc w:val="center"/>
        <w:rPr>
          <w:rFonts w:cs="Arial"/>
          <w:b/>
          <w:szCs w:val="22"/>
        </w:rPr>
      </w:pPr>
      <w:bookmarkStart w:id="1" w:name="OLE_LINK3"/>
      <w:bookmarkStart w:id="2" w:name="OLE_LINK4"/>
      <w:r w:rsidRPr="00087B2D">
        <w:rPr>
          <w:rFonts w:cs="Arial"/>
          <w:b/>
          <w:szCs w:val="22"/>
        </w:rPr>
        <w:t>Version Control Summary</w:t>
      </w:r>
    </w:p>
    <w:p w14:paraId="216128B5" w14:textId="77777777" w:rsidR="00B13FDF" w:rsidRPr="00087B2D" w:rsidRDefault="00B13FDF" w:rsidP="00B13FDF">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678"/>
        <w:gridCol w:w="1556"/>
        <w:gridCol w:w="1624"/>
        <w:gridCol w:w="1855"/>
      </w:tblGrid>
      <w:tr w:rsidR="00B13FDF" w:rsidRPr="00087B2D" w14:paraId="4F90CFCA" w14:textId="77777777" w:rsidTr="00AD112A">
        <w:tc>
          <w:tcPr>
            <w:tcW w:w="1848" w:type="dxa"/>
          </w:tcPr>
          <w:p w14:paraId="27636592" w14:textId="77777777" w:rsidR="00B13FDF" w:rsidRPr="00087B2D" w:rsidRDefault="00B13FDF" w:rsidP="00AD112A">
            <w:pPr>
              <w:rPr>
                <w:rFonts w:cs="Arial"/>
                <w:b/>
                <w:szCs w:val="22"/>
              </w:rPr>
            </w:pPr>
            <w:r w:rsidRPr="00087B2D">
              <w:rPr>
                <w:rFonts w:cs="Arial"/>
                <w:b/>
                <w:szCs w:val="22"/>
              </w:rPr>
              <w:t>Version</w:t>
            </w:r>
          </w:p>
        </w:tc>
        <w:tc>
          <w:tcPr>
            <w:tcW w:w="1848" w:type="dxa"/>
          </w:tcPr>
          <w:p w14:paraId="2B3C6643" w14:textId="77777777" w:rsidR="00B13FDF" w:rsidRPr="00087B2D" w:rsidRDefault="00B13FDF" w:rsidP="00AD112A">
            <w:pPr>
              <w:rPr>
                <w:rFonts w:cs="Arial"/>
                <w:b/>
                <w:szCs w:val="22"/>
              </w:rPr>
            </w:pPr>
            <w:r w:rsidRPr="00087B2D">
              <w:rPr>
                <w:rFonts w:cs="Arial"/>
                <w:b/>
                <w:szCs w:val="22"/>
              </w:rPr>
              <w:t>Date</w:t>
            </w:r>
          </w:p>
        </w:tc>
        <w:tc>
          <w:tcPr>
            <w:tcW w:w="1848" w:type="dxa"/>
          </w:tcPr>
          <w:p w14:paraId="472BD21C" w14:textId="77777777" w:rsidR="00B13FDF" w:rsidRPr="00087B2D" w:rsidRDefault="00B13FDF" w:rsidP="00AD112A">
            <w:pPr>
              <w:rPr>
                <w:rFonts w:cs="Arial"/>
                <w:b/>
                <w:szCs w:val="22"/>
              </w:rPr>
            </w:pPr>
            <w:r w:rsidRPr="00087B2D">
              <w:rPr>
                <w:rFonts w:cs="Arial"/>
                <w:b/>
                <w:szCs w:val="22"/>
              </w:rPr>
              <w:t>Author</w:t>
            </w:r>
          </w:p>
        </w:tc>
        <w:tc>
          <w:tcPr>
            <w:tcW w:w="1849" w:type="dxa"/>
          </w:tcPr>
          <w:p w14:paraId="772857BB" w14:textId="77777777" w:rsidR="00B13FDF" w:rsidRPr="00087B2D" w:rsidRDefault="00B13FDF" w:rsidP="00AD112A">
            <w:pPr>
              <w:rPr>
                <w:rFonts w:cs="Arial"/>
                <w:b/>
                <w:szCs w:val="22"/>
              </w:rPr>
            </w:pPr>
            <w:r w:rsidRPr="00087B2D">
              <w:rPr>
                <w:rFonts w:cs="Arial"/>
                <w:b/>
                <w:szCs w:val="22"/>
              </w:rPr>
              <w:t>Status</w:t>
            </w:r>
          </w:p>
        </w:tc>
        <w:tc>
          <w:tcPr>
            <w:tcW w:w="1849" w:type="dxa"/>
          </w:tcPr>
          <w:p w14:paraId="61BA9FC9" w14:textId="77777777" w:rsidR="00B13FDF" w:rsidRPr="00087B2D" w:rsidRDefault="00B13FDF" w:rsidP="00AD112A">
            <w:pPr>
              <w:rPr>
                <w:rFonts w:cs="Arial"/>
                <w:b/>
                <w:szCs w:val="22"/>
              </w:rPr>
            </w:pPr>
            <w:r w:rsidRPr="00087B2D">
              <w:rPr>
                <w:rFonts w:cs="Arial"/>
                <w:b/>
                <w:szCs w:val="22"/>
              </w:rPr>
              <w:t>Comment</w:t>
            </w:r>
          </w:p>
        </w:tc>
      </w:tr>
      <w:tr w:rsidR="00B13FDF" w:rsidRPr="00087B2D" w14:paraId="75AC47FE" w14:textId="77777777" w:rsidTr="00AD112A">
        <w:tc>
          <w:tcPr>
            <w:tcW w:w="1848" w:type="dxa"/>
          </w:tcPr>
          <w:p w14:paraId="01805632" w14:textId="77777777" w:rsidR="00B13FDF" w:rsidRPr="00087B2D" w:rsidRDefault="00B13FDF" w:rsidP="00AD112A">
            <w:pPr>
              <w:rPr>
                <w:rFonts w:cs="Arial"/>
                <w:szCs w:val="22"/>
              </w:rPr>
            </w:pPr>
            <w:r w:rsidRPr="00087B2D">
              <w:rPr>
                <w:rFonts w:cs="Arial"/>
                <w:szCs w:val="22"/>
              </w:rPr>
              <w:t>1</w:t>
            </w:r>
          </w:p>
        </w:tc>
        <w:tc>
          <w:tcPr>
            <w:tcW w:w="1848" w:type="dxa"/>
          </w:tcPr>
          <w:p w14:paraId="33777F87" w14:textId="77777777" w:rsidR="00B13FDF" w:rsidRPr="00087B2D" w:rsidRDefault="00B13FDF" w:rsidP="00AD112A">
            <w:pPr>
              <w:rPr>
                <w:rFonts w:cs="Arial"/>
                <w:szCs w:val="22"/>
              </w:rPr>
            </w:pPr>
            <w:r w:rsidRPr="00087B2D">
              <w:rPr>
                <w:rFonts w:cs="Arial"/>
                <w:szCs w:val="22"/>
              </w:rPr>
              <w:t>1.2.2016</w:t>
            </w:r>
          </w:p>
        </w:tc>
        <w:tc>
          <w:tcPr>
            <w:tcW w:w="1848" w:type="dxa"/>
          </w:tcPr>
          <w:p w14:paraId="0A641CD6" w14:textId="6A80868C" w:rsidR="00B13FDF" w:rsidRPr="00087B2D" w:rsidRDefault="00B13FDF" w:rsidP="00AD112A">
            <w:pPr>
              <w:rPr>
                <w:rFonts w:cs="Arial"/>
                <w:szCs w:val="22"/>
              </w:rPr>
            </w:pPr>
          </w:p>
        </w:tc>
        <w:tc>
          <w:tcPr>
            <w:tcW w:w="1849" w:type="dxa"/>
          </w:tcPr>
          <w:p w14:paraId="3DB304F6" w14:textId="77777777" w:rsidR="00B13FDF" w:rsidRPr="00087B2D" w:rsidRDefault="00B13FDF" w:rsidP="00AD112A">
            <w:pPr>
              <w:rPr>
                <w:rFonts w:cs="Arial"/>
                <w:szCs w:val="22"/>
              </w:rPr>
            </w:pPr>
            <w:r w:rsidRPr="00087B2D">
              <w:rPr>
                <w:rFonts w:cs="Arial"/>
                <w:szCs w:val="22"/>
              </w:rPr>
              <w:t>draft</w:t>
            </w:r>
          </w:p>
        </w:tc>
        <w:tc>
          <w:tcPr>
            <w:tcW w:w="1849" w:type="dxa"/>
          </w:tcPr>
          <w:p w14:paraId="17D230F1" w14:textId="5FB68FE2" w:rsidR="00B13FDF" w:rsidRPr="00087B2D" w:rsidRDefault="00B13FDF" w:rsidP="00AD112A">
            <w:pPr>
              <w:rPr>
                <w:rFonts w:cs="Arial"/>
                <w:szCs w:val="22"/>
              </w:rPr>
            </w:pPr>
            <w:r w:rsidRPr="00087B2D">
              <w:rPr>
                <w:rFonts w:cs="Arial"/>
                <w:szCs w:val="22"/>
              </w:rPr>
              <w:t xml:space="preserve">This new policy incorporates the </w:t>
            </w:r>
            <w:r>
              <w:rPr>
                <w:rFonts w:cs="Arial"/>
                <w:szCs w:val="22"/>
              </w:rPr>
              <w:t>NELPC</w:t>
            </w:r>
            <w:r w:rsidRPr="00087B2D">
              <w:rPr>
                <w:rFonts w:cs="Arial"/>
                <w:szCs w:val="22"/>
              </w:rPr>
              <w:t>’s Salary Overpayments Recovery Procedure.</w:t>
            </w:r>
          </w:p>
        </w:tc>
      </w:tr>
      <w:tr w:rsidR="00B13FDF" w:rsidRPr="00087B2D" w14:paraId="3B9507DE" w14:textId="77777777" w:rsidTr="00AD112A">
        <w:tc>
          <w:tcPr>
            <w:tcW w:w="1848" w:type="dxa"/>
          </w:tcPr>
          <w:p w14:paraId="6D52CF2F" w14:textId="77777777" w:rsidR="00B13FDF" w:rsidRPr="00087B2D" w:rsidRDefault="00B13FDF" w:rsidP="00AD112A">
            <w:pPr>
              <w:rPr>
                <w:rFonts w:cs="Arial"/>
                <w:szCs w:val="22"/>
              </w:rPr>
            </w:pPr>
            <w:r w:rsidRPr="00087B2D">
              <w:rPr>
                <w:rFonts w:cs="Arial"/>
                <w:szCs w:val="22"/>
              </w:rPr>
              <w:t>2</w:t>
            </w:r>
          </w:p>
        </w:tc>
        <w:tc>
          <w:tcPr>
            <w:tcW w:w="1848" w:type="dxa"/>
          </w:tcPr>
          <w:p w14:paraId="1CE33E47" w14:textId="77777777" w:rsidR="00B13FDF" w:rsidRPr="00087B2D" w:rsidRDefault="00B13FDF" w:rsidP="00AD112A">
            <w:pPr>
              <w:rPr>
                <w:rFonts w:cs="Arial"/>
                <w:szCs w:val="22"/>
              </w:rPr>
            </w:pPr>
            <w:r w:rsidRPr="00087B2D">
              <w:rPr>
                <w:rFonts w:cs="Arial"/>
                <w:szCs w:val="22"/>
              </w:rPr>
              <w:t>16.10.2019</w:t>
            </w:r>
          </w:p>
        </w:tc>
        <w:tc>
          <w:tcPr>
            <w:tcW w:w="1848" w:type="dxa"/>
          </w:tcPr>
          <w:p w14:paraId="54D8FB8A" w14:textId="79BAC7EF" w:rsidR="00B13FDF" w:rsidRPr="00087B2D" w:rsidRDefault="00B13FDF" w:rsidP="00AD112A">
            <w:pPr>
              <w:rPr>
                <w:rFonts w:cs="Arial"/>
                <w:szCs w:val="22"/>
              </w:rPr>
            </w:pPr>
          </w:p>
        </w:tc>
        <w:tc>
          <w:tcPr>
            <w:tcW w:w="1849" w:type="dxa"/>
          </w:tcPr>
          <w:p w14:paraId="2336BD7E" w14:textId="77777777" w:rsidR="00B13FDF" w:rsidRPr="00087B2D" w:rsidRDefault="00B13FDF" w:rsidP="00AD112A">
            <w:pPr>
              <w:rPr>
                <w:rFonts w:cs="Arial"/>
                <w:szCs w:val="22"/>
              </w:rPr>
            </w:pPr>
          </w:p>
        </w:tc>
        <w:tc>
          <w:tcPr>
            <w:tcW w:w="1849" w:type="dxa"/>
          </w:tcPr>
          <w:p w14:paraId="061054E2" w14:textId="77777777" w:rsidR="00B13FDF" w:rsidRPr="00087B2D" w:rsidRDefault="00B13FDF" w:rsidP="00AD112A">
            <w:pPr>
              <w:rPr>
                <w:rFonts w:cs="Arial"/>
                <w:szCs w:val="22"/>
              </w:rPr>
            </w:pPr>
            <w:r w:rsidRPr="00087B2D">
              <w:rPr>
                <w:rFonts w:cs="Arial"/>
                <w:szCs w:val="22"/>
              </w:rPr>
              <w:t>Three yearly review</w:t>
            </w:r>
          </w:p>
        </w:tc>
      </w:tr>
      <w:tr w:rsidR="00B13FDF" w:rsidRPr="00087B2D" w14:paraId="149F01C5" w14:textId="77777777" w:rsidTr="00AD112A">
        <w:tc>
          <w:tcPr>
            <w:tcW w:w="1848" w:type="dxa"/>
          </w:tcPr>
          <w:p w14:paraId="5F5B981A" w14:textId="77777777" w:rsidR="00B13FDF" w:rsidRPr="00087B2D" w:rsidRDefault="00B13FDF" w:rsidP="00AD112A">
            <w:pPr>
              <w:rPr>
                <w:rFonts w:cs="Arial"/>
                <w:szCs w:val="22"/>
              </w:rPr>
            </w:pPr>
            <w:r>
              <w:rPr>
                <w:rFonts w:cs="Arial"/>
                <w:szCs w:val="22"/>
              </w:rPr>
              <w:t>2.1</w:t>
            </w:r>
          </w:p>
        </w:tc>
        <w:tc>
          <w:tcPr>
            <w:tcW w:w="1848" w:type="dxa"/>
          </w:tcPr>
          <w:p w14:paraId="57E71016" w14:textId="77777777" w:rsidR="00B13FDF" w:rsidRPr="00087B2D" w:rsidRDefault="00B13FDF" w:rsidP="00AD112A">
            <w:pPr>
              <w:rPr>
                <w:rFonts w:cs="Arial"/>
                <w:szCs w:val="22"/>
              </w:rPr>
            </w:pPr>
            <w:r>
              <w:rPr>
                <w:rFonts w:cs="Arial"/>
                <w:szCs w:val="22"/>
              </w:rPr>
              <w:t>Dec 2022</w:t>
            </w:r>
          </w:p>
        </w:tc>
        <w:tc>
          <w:tcPr>
            <w:tcW w:w="1848" w:type="dxa"/>
          </w:tcPr>
          <w:p w14:paraId="5660F262" w14:textId="77777777" w:rsidR="00B13FDF" w:rsidRPr="00087B2D" w:rsidRDefault="00B13FDF" w:rsidP="00AD112A">
            <w:pPr>
              <w:rPr>
                <w:rFonts w:cs="Arial"/>
                <w:szCs w:val="22"/>
              </w:rPr>
            </w:pPr>
          </w:p>
        </w:tc>
        <w:tc>
          <w:tcPr>
            <w:tcW w:w="1849" w:type="dxa"/>
          </w:tcPr>
          <w:p w14:paraId="603F8400" w14:textId="77777777" w:rsidR="00B13FDF" w:rsidRPr="00087B2D" w:rsidRDefault="00B13FDF" w:rsidP="00AD112A">
            <w:pPr>
              <w:rPr>
                <w:rFonts w:cs="Arial"/>
                <w:szCs w:val="22"/>
              </w:rPr>
            </w:pPr>
            <w:r>
              <w:rPr>
                <w:rFonts w:cs="Arial"/>
                <w:szCs w:val="22"/>
              </w:rPr>
              <w:t>Extended</w:t>
            </w:r>
          </w:p>
        </w:tc>
        <w:tc>
          <w:tcPr>
            <w:tcW w:w="1849" w:type="dxa"/>
          </w:tcPr>
          <w:p w14:paraId="7FB7CB23" w14:textId="77777777" w:rsidR="00B13FDF" w:rsidRPr="007F4DC4" w:rsidRDefault="00B13FDF" w:rsidP="00AD112A">
            <w:pPr>
              <w:jc w:val="left"/>
              <w:rPr>
                <w:rFonts w:cs="Arial"/>
                <w:szCs w:val="22"/>
              </w:rPr>
            </w:pPr>
            <w:r w:rsidRPr="007F4DC4">
              <w:rPr>
                <w:rFonts w:cs="Arial"/>
                <w:szCs w:val="22"/>
              </w:rPr>
              <w:t>Extended for 6 months by ELFT Unite Branch</w:t>
            </w:r>
          </w:p>
          <w:p w14:paraId="48F9076F" w14:textId="77777777" w:rsidR="00B13FDF" w:rsidRPr="00087B2D" w:rsidRDefault="00B13FDF" w:rsidP="00AD112A">
            <w:pPr>
              <w:rPr>
                <w:rFonts w:cs="Arial"/>
                <w:szCs w:val="22"/>
              </w:rPr>
            </w:pPr>
          </w:p>
        </w:tc>
      </w:tr>
      <w:tr w:rsidR="007457A9" w:rsidRPr="00087B2D" w14:paraId="4496EA83" w14:textId="77777777" w:rsidTr="00AD112A">
        <w:tc>
          <w:tcPr>
            <w:tcW w:w="1848" w:type="dxa"/>
          </w:tcPr>
          <w:p w14:paraId="6220E962" w14:textId="3529F1EA" w:rsidR="007457A9" w:rsidRDefault="007457A9" w:rsidP="00AD112A">
            <w:pPr>
              <w:rPr>
                <w:rFonts w:cs="Arial"/>
                <w:szCs w:val="22"/>
              </w:rPr>
            </w:pPr>
            <w:r>
              <w:rPr>
                <w:rFonts w:cs="Arial"/>
                <w:szCs w:val="22"/>
              </w:rPr>
              <w:t>2.2</w:t>
            </w:r>
          </w:p>
        </w:tc>
        <w:tc>
          <w:tcPr>
            <w:tcW w:w="1848" w:type="dxa"/>
          </w:tcPr>
          <w:p w14:paraId="23A64E70" w14:textId="2204AC28" w:rsidR="007457A9" w:rsidRDefault="007457A9" w:rsidP="00AD112A">
            <w:pPr>
              <w:rPr>
                <w:rFonts w:cs="Arial"/>
                <w:szCs w:val="22"/>
              </w:rPr>
            </w:pPr>
            <w:r>
              <w:rPr>
                <w:rFonts w:cs="Arial"/>
                <w:szCs w:val="22"/>
              </w:rPr>
              <w:t>April 2023</w:t>
            </w:r>
          </w:p>
        </w:tc>
        <w:tc>
          <w:tcPr>
            <w:tcW w:w="1848" w:type="dxa"/>
          </w:tcPr>
          <w:p w14:paraId="3E1BDF80" w14:textId="4B7526D4" w:rsidR="007457A9" w:rsidRPr="0089131B" w:rsidRDefault="0089131B" w:rsidP="00AD112A">
            <w:pPr>
              <w:rPr>
                <w:rFonts w:cs="Arial"/>
                <w:szCs w:val="22"/>
              </w:rPr>
            </w:pPr>
            <w:r w:rsidRPr="0089131B">
              <w:rPr>
                <w:rFonts w:cs="Arial"/>
                <w:bCs/>
                <w:szCs w:val="22"/>
              </w:rPr>
              <w:t>Chief People Officer</w:t>
            </w:r>
          </w:p>
        </w:tc>
        <w:tc>
          <w:tcPr>
            <w:tcW w:w="1849" w:type="dxa"/>
          </w:tcPr>
          <w:p w14:paraId="4E5A0FE9" w14:textId="77777777" w:rsidR="007457A9" w:rsidRDefault="007457A9" w:rsidP="00AD112A">
            <w:pPr>
              <w:rPr>
                <w:rFonts w:cs="Arial"/>
                <w:szCs w:val="22"/>
              </w:rPr>
            </w:pPr>
          </w:p>
        </w:tc>
        <w:tc>
          <w:tcPr>
            <w:tcW w:w="1849" w:type="dxa"/>
          </w:tcPr>
          <w:p w14:paraId="70213263" w14:textId="14B2D6BC" w:rsidR="007457A9" w:rsidRPr="007F4DC4" w:rsidRDefault="007457A9" w:rsidP="00AD112A">
            <w:pPr>
              <w:jc w:val="left"/>
              <w:rPr>
                <w:rFonts w:cs="Arial"/>
                <w:szCs w:val="22"/>
              </w:rPr>
            </w:pPr>
            <w:r>
              <w:rPr>
                <w:rFonts w:cs="Arial"/>
                <w:szCs w:val="22"/>
              </w:rPr>
              <w:t>U</w:t>
            </w:r>
            <w:r w:rsidRPr="007457A9">
              <w:rPr>
                <w:rFonts w:cs="Arial"/>
                <w:szCs w:val="22"/>
              </w:rPr>
              <w:t>pdated the name of the Payroll provider from NELPC to University Hospitals Birmingham.  No other changes have been made.   </w:t>
            </w:r>
          </w:p>
        </w:tc>
      </w:tr>
      <w:tr w:rsidR="00ED4162" w:rsidRPr="00087B2D" w14:paraId="1625DBD1" w14:textId="77777777" w:rsidTr="00AD112A">
        <w:tc>
          <w:tcPr>
            <w:tcW w:w="1848" w:type="dxa"/>
          </w:tcPr>
          <w:p w14:paraId="195EC837" w14:textId="4993EA35" w:rsidR="00ED4162" w:rsidRDefault="00ED4162" w:rsidP="00AD112A">
            <w:pPr>
              <w:rPr>
                <w:rFonts w:cs="Arial"/>
                <w:szCs w:val="22"/>
              </w:rPr>
            </w:pPr>
            <w:r>
              <w:rPr>
                <w:rFonts w:cs="Arial"/>
                <w:szCs w:val="22"/>
              </w:rPr>
              <w:t>2.3</w:t>
            </w:r>
          </w:p>
        </w:tc>
        <w:tc>
          <w:tcPr>
            <w:tcW w:w="1848" w:type="dxa"/>
          </w:tcPr>
          <w:p w14:paraId="6433A96A" w14:textId="228176D0" w:rsidR="00ED4162" w:rsidRDefault="00ED4162" w:rsidP="00AD112A">
            <w:pPr>
              <w:rPr>
                <w:rFonts w:cs="Arial"/>
                <w:szCs w:val="22"/>
              </w:rPr>
            </w:pPr>
            <w:r>
              <w:rPr>
                <w:rFonts w:cs="Arial"/>
                <w:szCs w:val="22"/>
              </w:rPr>
              <w:t>July 2023</w:t>
            </w:r>
          </w:p>
        </w:tc>
        <w:tc>
          <w:tcPr>
            <w:tcW w:w="1848" w:type="dxa"/>
          </w:tcPr>
          <w:p w14:paraId="2CF733A1" w14:textId="77777777" w:rsidR="00ED4162" w:rsidRPr="0089131B" w:rsidRDefault="00ED4162" w:rsidP="00AD112A">
            <w:pPr>
              <w:rPr>
                <w:rFonts w:cs="Arial"/>
                <w:bCs/>
                <w:szCs w:val="22"/>
              </w:rPr>
            </w:pPr>
          </w:p>
        </w:tc>
        <w:tc>
          <w:tcPr>
            <w:tcW w:w="1849" w:type="dxa"/>
          </w:tcPr>
          <w:p w14:paraId="22848573" w14:textId="77777777" w:rsidR="00ED4162" w:rsidRDefault="00ED4162" w:rsidP="00AD112A">
            <w:pPr>
              <w:rPr>
                <w:rFonts w:cs="Arial"/>
                <w:szCs w:val="22"/>
              </w:rPr>
            </w:pPr>
          </w:p>
        </w:tc>
        <w:tc>
          <w:tcPr>
            <w:tcW w:w="1849" w:type="dxa"/>
          </w:tcPr>
          <w:p w14:paraId="51005E13" w14:textId="780B1F57" w:rsidR="00ED4162" w:rsidRDefault="00ED4162" w:rsidP="00AD112A">
            <w:pPr>
              <w:jc w:val="left"/>
              <w:rPr>
                <w:rFonts w:cs="Arial"/>
                <w:szCs w:val="22"/>
              </w:rPr>
            </w:pPr>
            <w:r>
              <w:rPr>
                <w:rFonts w:cs="Arial"/>
                <w:szCs w:val="22"/>
              </w:rPr>
              <w:t>Extended for 1 year</w:t>
            </w:r>
          </w:p>
        </w:tc>
      </w:tr>
      <w:bookmarkEnd w:id="1"/>
      <w:bookmarkEnd w:id="2"/>
    </w:tbl>
    <w:p w14:paraId="3313B13E" w14:textId="77777777" w:rsidR="00B13FDF" w:rsidRPr="00087B2D" w:rsidRDefault="00B13FDF" w:rsidP="00B13FDF">
      <w:pPr>
        <w:rPr>
          <w:rFonts w:cs="Arial"/>
          <w:b/>
          <w:szCs w:val="22"/>
        </w:rPr>
      </w:pPr>
    </w:p>
    <w:p w14:paraId="158366BA" w14:textId="77777777" w:rsidR="00B13FDF" w:rsidRPr="00123208" w:rsidRDefault="00B13FDF" w:rsidP="00B13FDF">
      <w:pPr>
        <w:rPr>
          <w:rFonts w:cs="Arial"/>
          <w:szCs w:val="22"/>
        </w:rPr>
        <w:sectPr w:rsidR="00B13FDF" w:rsidRPr="00123208" w:rsidSect="00AA06D3">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6D08A0D2" w14:textId="77777777" w:rsidR="00B13FDF" w:rsidRDefault="00B13FDF" w:rsidP="00B13FDF">
      <w:pPr>
        <w:jc w:val="center"/>
        <w:rPr>
          <w:rFonts w:cs="Arial"/>
          <w:b/>
          <w:szCs w:val="22"/>
        </w:rPr>
      </w:pPr>
      <w:r w:rsidRPr="00087B2D">
        <w:rPr>
          <w:rFonts w:cs="Arial"/>
          <w:b/>
          <w:szCs w:val="22"/>
        </w:rPr>
        <w:lastRenderedPageBreak/>
        <w:t>Contents</w:t>
      </w:r>
    </w:p>
    <w:p w14:paraId="7F0E7B6A" w14:textId="77777777" w:rsidR="00B13FDF" w:rsidRPr="00087B2D" w:rsidRDefault="00B13FDF" w:rsidP="00B13FDF">
      <w:pPr>
        <w:jc w:val="center"/>
        <w:rPr>
          <w:rFonts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749"/>
        <w:gridCol w:w="987"/>
      </w:tblGrid>
      <w:tr w:rsidR="00B13FDF" w:rsidRPr="00123208" w14:paraId="3F126126" w14:textId="77777777" w:rsidTr="00AD112A">
        <w:trPr>
          <w:tblHeader/>
          <w:jc w:val="center"/>
        </w:trPr>
        <w:tc>
          <w:tcPr>
            <w:tcW w:w="8117" w:type="dxa"/>
            <w:gridSpan w:val="2"/>
            <w:vAlign w:val="center"/>
          </w:tcPr>
          <w:p w14:paraId="69A19DB2" w14:textId="77777777" w:rsidR="00B13FDF" w:rsidRPr="00123208" w:rsidRDefault="00B13FDF" w:rsidP="00AD112A">
            <w:pPr>
              <w:rPr>
                <w:rFonts w:cs="Arial"/>
                <w:b/>
                <w:szCs w:val="22"/>
              </w:rPr>
            </w:pPr>
            <w:r w:rsidRPr="00123208">
              <w:rPr>
                <w:rFonts w:cs="Arial"/>
                <w:b/>
                <w:szCs w:val="22"/>
              </w:rPr>
              <w:t>Paragraph</w:t>
            </w:r>
          </w:p>
        </w:tc>
        <w:tc>
          <w:tcPr>
            <w:tcW w:w="987" w:type="dxa"/>
            <w:vAlign w:val="center"/>
          </w:tcPr>
          <w:p w14:paraId="782BB02B" w14:textId="77777777" w:rsidR="00B13FDF" w:rsidRPr="00123208" w:rsidRDefault="00B13FDF" w:rsidP="00AD112A">
            <w:pPr>
              <w:jc w:val="center"/>
              <w:rPr>
                <w:rFonts w:cs="Arial"/>
                <w:b/>
                <w:szCs w:val="22"/>
              </w:rPr>
            </w:pPr>
            <w:r w:rsidRPr="00123208">
              <w:rPr>
                <w:rFonts w:cs="Arial"/>
                <w:b/>
                <w:szCs w:val="22"/>
              </w:rPr>
              <w:t>Page</w:t>
            </w:r>
          </w:p>
        </w:tc>
      </w:tr>
      <w:tr w:rsidR="00B13FDF" w:rsidRPr="00123208" w14:paraId="655A97DD" w14:textId="77777777" w:rsidTr="00AD112A">
        <w:trPr>
          <w:trHeight w:val="574"/>
          <w:jc w:val="center"/>
        </w:trPr>
        <w:tc>
          <w:tcPr>
            <w:tcW w:w="1368" w:type="dxa"/>
            <w:vAlign w:val="center"/>
          </w:tcPr>
          <w:p w14:paraId="3F25CEA3" w14:textId="77777777" w:rsidR="00B13FDF" w:rsidRPr="00123208" w:rsidRDefault="00B13FDF" w:rsidP="00AD112A">
            <w:pPr>
              <w:spacing w:before="80" w:after="80"/>
              <w:jc w:val="center"/>
              <w:rPr>
                <w:rFonts w:cs="Arial"/>
                <w:szCs w:val="22"/>
              </w:rPr>
            </w:pPr>
          </w:p>
          <w:p w14:paraId="28752945" w14:textId="77777777" w:rsidR="00B13FDF" w:rsidRPr="00123208" w:rsidRDefault="00B13FDF" w:rsidP="00AD112A">
            <w:pPr>
              <w:spacing w:before="80" w:after="80"/>
              <w:jc w:val="center"/>
              <w:rPr>
                <w:rFonts w:cs="Arial"/>
                <w:szCs w:val="22"/>
              </w:rPr>
            </w:pPr>
          </w:p>
          <w:p w14:paraId="31BCFEAE" w14:textId="77777777" w:rsidR="00B13FDF" w:rsidRPr="00123208" w:rsidRDefault="00B13FDF" w:rsidP="00AD112A">
            <w:pPr>
              <w:spacing w:before="80" w:after="80"/>
              <w:jc w:val="center"/>
              <w:rPr>
                <w:rFonts w:cs="Arial"/>
                <w:szCs w:val="22"/>
              </w:rPr>
            </w:pPr>
            <w:r w:rsidRPr="00123208">
              <w:rPr>
                <w:rFonts w:cs="Arial"/>
                <w:szCs w:val="22"/>
              </w:rPr>
              <w:t>1</w:t>
            </w:r>
          </w:p>
        </w:tc>
        <w:tc>
          <w:tcPr>
            <w:tcW w:w="6749" w:type="dxa"/>
            <w:vAlign w:val="center"/>
          </w:tcPr>
          <w:p w14:paraId="3A831F0B" w14:textId="77777777" w:rsidR="00B13FDF" w:rsidRDefault="00B13FDF" w:rsidP="00AD112A">
            <w:pPr>
              <w:spacing w:before="80" w:after="80"/>
              <w:rPr>
                <w:rFonts w:cs="Arial"/>
                <w:szCs w:val="22"/>
              </w:rPr>
            </w:pPr>
          </w:p>
          <w:p w14:paraId="534ACDEC" w14:textId="77777777" w:rsidR="00B13FDF" w:rsidRDefault="00B13FDF" w:rsidP="00AD112A">
            <w:pPr>
              <w:spacing w:before="80" w:after="80"/>
              <w:rPr>
                <w:rFonts w:cs="Arial"/>
                <w:szCs w:val="22"/>
              </w:rPr>
            </w:pPr>
          </w:p>
          <w:p w14:paraId="77CACA45" w14:textId="77777777" w:rsidR="00B13FDF" w:rsidRPr="00123208" w:rsidRDefault="00B13FDF" w:rsidP="00AD112A">
            <w:pPr>
              <w:spacing w:before="80" w:after="80"/>
              <w:rPr>
                <w:rFonts w:cs="Arial"/>
                <w:szCs w:val="22"/>
              </w:rPr>
            </w:pPr>
            <w:r>
              <w:rPr>
                <w:rFonts w:cs="Arial"/>
                <w:szCs w:val="22"/>
              </w:rPr>
              <w:t>I</w:t>
            </w:r>
            <w:r w:rsidRPr="00123208">
              <w:rPr>
                <w:rFonts w:cs="Arial"/>
                <w:szCs w:val="22"/>
              </w:rPr>
              <w:t>ntroduction</w:t>
            </w:r>
          </w:p>
        </w:tc>
        <w:tc>
          <w:tcPr>
            <w:tcW w:w="987" w:type="dxa"/>
            <w:vAlign w:val="center"/>
          </w:tcPr>
          <w:p w14:paraId="39BEBCB7" w14:textId="77777777" w:rsidR="00B13FDF" w:rsidRPr="00123208" w:rsidRDefault="00B13FDF" w:rsidP="00AD112A">
            <w:pPr>
              <w:spacing w:before="80" w:after="80"/>
              <w:jc w:val="center"/>
              <w:rPr>
                <w:rFonts w:cs="Arial"/>
                <w:szCs w:val="22"/>
              </w:rPr>
            </w:pPr>
            <w:r>
              <w:rPr>
                <w:rFonts w:cs="Arial"/>
                <w:szCs w:val="22"/>
              </w:rPr>
              <w:t>4</w:t>
            </w:r>
          </w:p>
        </w:tc>
      </w:tr>
      <w:tr w:rsidR="00B13FDF" w:rsidRPr="00123208" w14:paraId="5DE30319" w14:textId="77777777" w:rsidTr="00AD112A">
        <w:trPr>
          <w:jc w:val="center"/>
        </w:trPr>
        <w:tc>
          <w:tcPr>
            <w:tcW w:w="1368" w:type="dxa"/>
            <w:vAlign w:val="center"/>
          </w:tcPr>
          <w:p w14:paraId="5F80DBE4" w14:textId="77777777" w:rsidR="00B13FDF" w:rsidRPr="00123208" w:rsidRDefault="00B13FDF" w:rsidP="00AD112A">
            <w:pPr>
              <w:spacing w:before="80" w:after="80"/>
              <w:jc w:val="center"/>
              <w:rPr>
                <w:rFonts w:cs="Arial"/>
                <w:szCs w:val="22"/>
              </w:rPr>
            </w:pPr>
            <w:r w:rsidRPr="00123208">
              <w:rPr>
                <w:rFonts w:cs="Arial"/>
                <w:szCs w:val="22"/>
              </w:rPr>
              <w:t>2</w:t>
            </w:r>
          </w:p>
        </w:tc>
        <w:tc>
          <w:tcPr>
            <w:tcW w:w="6749" w:type="dxa"/>
            <w:vAlign w:val="center"/>
          </w:tcPr>
          <w:p w14:paraId="6D80952A" w14:textId="77777777" w:rsidR="00B13FDF" w:rsidRPr="00123208" w:rsidRDefault="00B13FDF" w:rsidP="00AD112A">
            <w:pPr>
              <w:spacing w:before="80" w:after="80"/>
              <w:rPr>
                <w:rFonts w:cs="Arial"/>
                <w:szCs w:val="22"/>
              </w:rPr>
            </w:pPr>
            <w:r w:rsidRPr="00123208">
              <w:rPr>
                <w:rFonts w:cs="Arial"/>
                <w:szCs w:val="22"/>
              </w:rPr>
              <w:t>Purpose</w:t>
            </w:r>
          </w:p>
        </w:tc>
        <w:tc>
          <w:tcPr>
            <w:tcW w:w="987" w:type="dxa"/>
            <w:vAlign w:val="center"/>
          </w:tcPr>
          <w:p w14:paraId="78E75634" w14:textId="77777777" w:rsidR="00B13FDF" w:rsidRPr="00123208" w:rsidRDefault="00B13FDF" w:rsidP="00AD112A">
            <w:pPr>
              <w:spacing w:before="80" w:after="80"/>
              <w:jc w:val="center"/>
              <w:rPr>
                <w:rFonts w:cs="Arial"/>
                <w:szCs w:val="22"/>
              </w:rPr>
            </w:pPr>
            <w:r>
              <w:rPr>
                <w:rFonts w:cs="Arial"/>
                <w:szCs w:val="22"/>
              </w:rPr>
              <w:t>4</w:t>
            </w:r>
          </w:p>
        </w:tc>
      </w:tr>
      <w:tr w:rsidR="00B13FDF" w:rsidRPr="00123208" w14:paraId="7F60660C" w14:textId="77777777" w:rsidTr="00AD112A">
        <w:trPr>
          <w:jc w:val="center"/>
        </w:trPr>
        <w:tc>
          <w:tcPr>
            <w:tcW w:w="1368" w:type="dxa"/>
            <w:vAlign w:val="center"/>
          </w:tcPr>
          <w:p w14:paraId="68FAB9CF" w14:textId="77777777" w:rsidR="00B13FDF" w:rsidRPr="00123208" w:rsidRDefault="00B13FDF" w:rsidP="00AD112A">
            <w:pPr>
              <w:spacing w:before="80" w:after="80"/>
              <w:jc w:val="center"/>
              <w:rPr>
                <w:rFonts w:cs="Arial"/>
                <w:szCs w:val="22"/>
              </w:rPr>
            </w:pPr>
            <w:r w:rsidRPr="00123208">
              <w:rPr>
                <w:rFonts w:cs="Arial"/>
                <w:szCs w:val="22"/>
              </w:rPr>
              <w:t>3</w:t>
            </w:r>
          </w:p>
        </w:tc>
        <w:tc>
          <w:tcPr>
            <w:tcW w:w="6749" w:type="dxa"/>
            <w:vAlign w:val="center"/>
          </w:tcPr>
          <w:p w14:paraId="75B73155" w14:textId="77777777" w:rsidR="00B13FDF" w:rsidRPr="00123208" w:rsidRDefault="00B13FDF" w:rsidP="00AD112A">
            <w:pPr>
              <w:spacing w:before="80" w:after="80"/>
              <w:rPr>
                <w:rFonts w:cs="Arial"/>
                <w:szCs w:val="22"/>
              </w:rPr>
            </w:pPr>
            <w:r w:rsidRPr="00123208">
              <w:rPr>
                <w:rFonts w:cs="Arial"/>
                <w:szCs w:val="22"/>
              </w:rPr>
              <w:t>Duties</w:t>
            </w:r>
          </w:p>
        </w:tc>
        <w:tc>
          <w:tcPr>
            <w:tcW w:w="987" w:type="dxa"/>
            <w:vAlign w:val="center"/>
          </w:tcPr>
          <w:p w14:paraId="0FEC82BE" w14:textId="77777777" w:rsidR="00B13FDF" w:rsidRPr="00123208" w:rsidRDefault="00B13FDF" w:rsidP="00AD112A">
            <w:pPr>
              <w:spacing w:before="80" w:after="80"/>
              <w:jc w:val="center"/>
              <w:rPr>
                <w:rFonts w:cs="Arial"/>
                <w:szCs w:val="22"/>
              </w:rPr>
            </w:pPr>
            <w:r>
              <w:rPr>
                <w:rFonts w:cs="Arial"/>
                <w:szCs w:val="22"/>
              </w:rPr>
              <w:t>5</w:t>
            </w:r>
          </w:p>
        </w:tc>
      </w:tr>
      <w:tr w:rsidR="00B13FDF" w:rsidRPr="00123208" w14:paraId="4F8070FC" w14:textId="77777777" w:rsidTr="00AD112A">
        <w:trPr>
          <w:jc w:val="center"/>
        </w:trPr>
        <w:tc>
          <w:tcPr>
            <w:tcW w:w="1368" w:type="dxa"/>
            <w:vAlign w:val="center"/>
          </w:tcPr>
          <w:p w14:paraId="3037CEF3" w14:textId="77777777" w:rsidR="00B13FDF" w:rsidRPr="00123208" w:rsidRDefault="00B13FDF" w:rsidP="00AD112A">
            <w:pPr>
              <w:spacing w:before="80" w:after="80"/>
              <w:jc w:val="center"/>
              <w:rPr>
                <w:rFonts w:cs="Arial"/>
                <w:szCs w:val="22"/>
              </w:rPr>
            </w:pPr>
            <w:r>
              <w:rPr>
                <w:rFonts w:cs="Arial"/>
                <w:szCs w:val="22"/>
              </w:rPr>
              <w:t>4</w:t>
            </w:r>
          </w:p>
        </w:tc>
        <w:tc>
          <w:tcPr>
            <w:tcW w:w="6749" w:type="dxa"/>
            <w:vAlign w:val="center"/>
          </w:tcPr>
          <w:p w14:paraId="680B0C07" w14:textId="77777777" w:rsidR="00B13FDF" w:rsidRPr="00123208" w:rsidRDefault="00B13FDF" w:rsidP="00AD112A">
            <w:pPr>
              <w:spacing w:before="80" w:after="80"/>
              <w:rPr>
                <w:rFonts w:cs="Arial"/>
                <w:szCs w:val="22"/>
              </w:rPr>
            </w:pPr>
            <w:r>
              <w:rPr>
                <w:rFonts w:cs="Arial"/>
                <w:szCs w:val="22"/>
              </w:rPr>
              <w:t>Definitions</w:t>
            </w:r>
          </w:p>
        </w:tc>
        <w:tc>
          <w:tcPr>
            <w:tcW w:w="987" w:type="dxa"/>
            <w:vAlign w:val="center"/>
          </w:tcPr>
          <w:p w14:paraId="0AD95AE3" w14:textId="77777777" w:rsidR="00B13FDF" w:rsidRPr="00123208" w:rsidRDefault="00B13FDF" w:rsidP="00AD112A">
            <w:pPr>
              <w:spacing w:before="80" w:after="80"/>
              <w:jc w:val="center"/>
              <w:rPr>
                <w:rFonts w:cs="Arial"/>
                <w:szCs w:val="22"/>
              </w:rPr>
            </w:pPr>
            <w:r>
              <w:rPr>
                <w:rFonts w:cs="Arial"/>
                <w:szCs w:val="22"/>
              </w:rPr>
              <w:t>6</w:t>
            </w:r>
          </w:p>
        </w:tc>
      </w:tr>
      <w:tr w:rsidR="00B13FDF" w:rsidRPr="00123208" w14:paraId="7079D822" w14:textId="77777777" w:rsidTr="00AD112A">
        <w:trPr>
          <w:jc w:val="center"/>
        </w:trPr>
        <w:tc>
          <w:tcPr>
            <w:tcW w:w="1368" w:type="dxa"/>
            <w:vAlign w:val="center"/>
          </w:tcPr>
          <w:p w14:paraId="0D7B4812" w14:textId="77777777" w:rsidR="00B13FDF" w:rsidRPr="00123208" w:rsidRDefault="00B13FDF" w:rsidP="00AD112A">
            <w:pPr>
              <w:spacing w:before="80" w:after="80"/>
              <w:jc w:val="center"/>
              <w:rPr>
                <w:rFonts w:cs="Arial"/>
                <w:szCs w:val="22"/>
              </w:rPr>
            </w:pPr>
            <w:r>
              <w:rPr>
                <w:rFonts w:cs="Arial"/>
                <w:szCs w:val="22"/>
              </w:rPr>
              <w:t>5</w:t>
            </w:r>
          </w:p>
        </w:tc>
        <w:tc>
          <w:tcPr>
            <w:tcW w:w="6749" w:type="dxa"/>
            <w:vAlign w:val="center"/>
          </w:tcPr>
          <w:p w14:paraId="4D8889D1" w14:textId="77777777" w:rsidR="00B13FDF" w:rsidRPr="00663E2A" w:rsidRDefault="00B13FDF" w:rsidP="00AD112A">
            <w:pPr>
              <w:spacing w:before="80" w:after="80"/>
              <w:rPr>
                <w:rFonts w:cs="Arial"/>
                <w:szCs w:val="22"/>
              </w:rPr>
            </w:pPr>
            <w:r w:rsidRPr="00663E2A">
              <w:rPr>
                <w:rFonts w:cs="Arial"/>
                <w:szCs w:val="22"/>
              </w:rPr>
              <w:t xml:space="preserve">Procedure for current staff </w:t>
            </w:r>
          </w:p>
        </w:tc>
        <w:tc>
          <w:tcPr>
            <w:tcW w:w="987" w:type="dxa"/>
            <w:vAlign w:val="center"/>
          </w:tcPr>
          <w:p w14:paraId="0A1C085F" w14:textId="77777777" w:rsidR="00B13FDF" w:rsidRPr="00123208" w:rsidRDefault="00B13FDF" w:rsidP="00AD112A">
            <w:pPr>
              <w:spacing w:before="80" w:after="80"/>
              <w:jc w:val="center"/>
              <w:rPr>
                <w:rFonts w:cs="Arial"/>
                <w:szCs w:val="22"/>
              </w:rPr>
            </w:pPr>
            <w:r>
              <w:rPr>
                <w:rFonts w:cs="Arial"/>
                <w:szCs w:val="22"/>
              </w:rPr>
              <w:t>7</w:t>
            </w:r>
          </w:p>
        </w:tc>
      </w:tr>
      <w:tr w:rsidR="00B13FDF" w:rsidRPr="00123208" w14:paraId="3D161DFD" w14:textId="77777777" w:rsidTr="00AD112A">
        <w:trPr>
          <w:jc w:val="center"/>
        </w:trPr>
        <w:tc>
          <w:tcPr>
            <w:tcW w:w="1368" w:type="dxa"/>
            <w:vAlign w:val="center"/>
          </w:tcPr>
          <w:p w14:paraId="0D659654" w14:textId="77777777" w:rsidR="00B13FDF" w:rsidRPr="00123208" w:rsidRDefault="00B13FDF" w:rsidP="00AD112A">
            <w:pPr>
              <w:spacing w:before="80" w:after="80"/>
              <w:jc w:val="center"/>
              <w:rPr>
                <w:rFonts w:cs="Arial"/>
                <w:szCs w:val="22"/>
              </w:rPr>
            </w:pPr>
            <w:r>
              <w:rPr>
                <w:rFonts w:cs="Arial"/>
                <w:szCs w:val="22"/>
              </w:rPr>
              <w:t>6</w:t>
            </w:r>
          </w:p>
        </w:tc>
        <w:tc>
          <w:tcPr>
            <w:tcW w:w="6749" w:type="dxa"/>
            <w:vAlign w:val="center"/>
          </w:tcPr>
          <w:p w14:paraId="0D44BF4E" w14:textId="77777777" w:rsidR="00B13FDF" w:rsidRPr="00123208" w:rsidRDefault="00B13FDF" w:rsidP="00AD112A">
            <w:pPr>
              <w:spacing w:before="80" w:after="80"/>
              <w:rPr>
                <w:rFonts w:cs="Arial"/>
                <w:szCs w:val="22"/>
              </w:rPr>
            </w:pPr>
            <w:r>
              <w:rPr>
                <w:rFonts w:cs="Arial"/>
                <w:szCs w:val="22"/>
              </w:rPr>
              <w:t>Procedures for leavers</w:t>
            </w:r>
          </w:p>
        </w:tc>
        <w:tc>
          <w:tcPr>
            <w:tcW w:w="987" w:type="dxa"/>
            <w:vAlign w:val="center"/>
          </w:tcPr>
          <w:p w14:paraId="216BBBF3" w14:textId="77777777" w:rsidR="00B13FDF" w:rsidRPr="00123208" w:rsidRDefault="00B13FDF" w:rsidP="00AD112A">
            <w:pPr>
              <w:spacing w:before="80" w:after="80"/>
              <w:jc w:val="center"/>
              <w:rPr>
                <w:rFonts w:cs="Arial"/>
                <w:szCs w:val="22"/>
              </w:rPr>
            </w:pPr>
            <w:r>
              <w:rPr>
                <w:rFonts w:cs="Arial"/>
                <w:szCs w:val="22"/>
              </w:rPr>
              <w:t>9</w:t>
            </w:r>
          </w:p>
        </w:tc>
      </w:tr>
      <w:tr w:rsidR="00B13FDF" w:rsidRPr="00123208" w14:paraId="6397DE48" w14:textId="77777777" w:rsidTr="00AD112A">
        <w:trPr>
          <w:jc w:val="center"/>
        </w:trPr>
        <w:tc>
          <w:tcPr>
            <w:tcW w:w="1368" w:type="dxa"/>
            <w:vAlign w:val="center"/>
          </w:tcPr>
          <w:p w14:paraId="14893C0B" w14:textId="77777777" w:rsidR="00B13FDF" w:rsidRPr="00123208" w:rsidRDefault="00B13FDF" w:rsidP="00AD112A">
            <w:pPr>
              <w:spacing w:before="80" w:after="80"/>
              <w:jc w:val="center"/>
              <w:rPr>
                <w:rFonts w:cs="Arial"/>
                <w:szCs w:val="22"/>
              </w:rPr>
            </w:pPr>
            <w:r>
              <w:rPr>
                <w:rFonts w:cs="Arial"/>
                <w:szCs w:val="22"/>
              </w:rPr>
              <w:t>7</w:t>
            </w:r>
          </w:p>
        </w:tc>
        <w:tc>
          <w:tcPr>
            <w:tcW w:w="6749" w:type="dxa"/>
            <w:vAlign w:val="center"/>
          </w:tcPr>
          <w:p w14:paraId="6FD13042" w14:textId="77777777" w:rsidR="00B13FDF" w:rsidRPr="00123208" w:rsidRDefault="00B13FDF" w:rsidP="00AD112A">
            <w:pPr>
              <w:spacing w:before="80" w:after="80"/>
              <w:rPr>
                <w:rFonts w:cs="Arial"/>
                <w:szCs w:val="22"/>
              </w:rPr>
            </w:pPr>
            <w:r>
              <w:rPr>
                <w:rFonts w:cs="Arial"/>
                <w:szCs w:val="22"/>
              </w:rPr>
              <w:t xml:space="preserve">Procedure for bank staff </w:t>
            </w:r>
          </w:p>
        </w:tc>
        <w:tc>
          <w:tcPr>
            <w:tcW w:w="987" w:type="dxa"/>
            <w:vAlign w:val="center"/>
          </w:tcPr>
          <w:p w14:paraId="47355201" w14:textId="77777777" w:rsidR="00B13FDF" w:rsidRPr="00123208" w:rsidRDefault="00B13FDF" w:rsidP="00AD112A">
            <w:pPr>
              <w:spacing w:before="80" w:after="80"/>
              <w:jc w:val="center"/>
              <w:rPr>
                <w:rFonts w:cs="Arial"/>
                <w:szCs w:val="22"/>
              </w:rPr>
            </w:pPr>
            <w:r>
              <w:rPr>
                <w:rFonts w:cs="Arial"/>
                <w:szCs w:val="22"/>
              </w:rPr>
              <w:t>11</w:t>
            </w:r>
          </w:p>
        </w:tc>
      </w:tr>
      <w:tr w:rsidR="00B13FDF" w:rsidRPr="00123208" w14:paraId="327CC60B" w14:textId="77777777" w:rsidTr="00AD112A">
        <w:trPr>
          <w:jc w:val="center"/>
        </w:trPr>
        <w:tc>
          <w:tcPr>
            <w:tcW w:w="1368" w:type="dxa"/>
            <w:vAlign w:val="center"/>
          </w:tcPr>
          <w:p w14:paraId="54375BE7" w14:textId="77777777" w:rsidR="00B13FDF" w:rsidRPr="00123208" w:rsidRDefault="00B13FDF" w:rsidP="00AD112A">
            <w:pPr>
              <w:spacing w:before="80" w:after="80"/>
              <w:jc w:val="center"/>
              <w:rPr>
                <w:rFonts w:cs="Arial"/>
                <w:szCs w:val="22"/>
              </w:rPr>
            </w:pPr>
            <w:r>
              <w:rPr>
                <w:rFonts w:cs="Arial"/>
                <w:szCs w:val="22"/>
              </w:rPr>
              <w:t>8</w:t>
            </w:r>
          </w:p>
        </w:tc>
        <w:tc>
          <w:tcPr>
            <w:tcW w:w="6749" w:type="dxa"/>
            <w:vAlign w:val="center"/>
          </w:tcPr>
          <w:p w14:paraId="6ACD8E66" w14:textId="77777777" w:rsidR="00B13FDF" w:rsidRPr="00AB11A6" w:rsidRDefault="00B13FDF" w:rsidP="00AD112A">
            <w:pPr>
              <w:rPr>
                <w:rFonts w:cs="Arial"/>
                <w:szCs w:val="22"/>
              </w:rPr>
            </w:pPr>
            <w:r w:rsidRPr="00AB11A6">
              <w:rPr>
                <w:rFonts w:cs="Arial"/>
                <w:szCs w:val="22"/>
              </w:rPr>
              <w:t>Offsetting overpayments against sums owed to employees</w:t>
            </w:r>
          </w:p>
        </w:tc>
        <w:tc>
          <w:tcPr>
            <w:tcW w:w="987" w:type="dxa"/>
            <w:vAlign w:val="center"/>
          </w:tcPr>
          <w:p w14:paraId="6ADCC4F4" w14:textId="77777777" w:rsidR="00B13FDF" w:rsidRPr="00123208" w:rsidRDefault="00B13FDF" w:rsidP="00AD112A">
            <w:pPr>
              <w:spacing w:before="80" w:after="80"/>
              <w:jc w:val="center"/>
              <w:rPr>
                <w:rFonts w:cs="Arial"/>
                <w:szCs w:val="22"/>
              </w:rPr>
            </w:pPr>
            <w:r>
              <w:rPr>
                <w:rFonts w:cs="Arial"/>
                <w:szCs w:val="22"/>
              </w:rPr>
              <w:t>12</w:t>
            </w:r>
          </w:p>
        </w:tc>
      </w:tr>
      <w:tr w:rsidR="00B13FDF" w:rsidRPr="00123208" w14:paraId="3FC370E4" w14:textId="77777777" w:rsidTr="00AD112A">
        <w:trPr>
          <w:jc w:val="center"/>
        </w:trPr>
        <w:tc>
          <w:tcPr>
            <w:tcW w:w="1368" w:type="dxa"/>
            <w:vAlign w:val="center"/>
          </w:tcPr>
          <w:p w14:paraId="77C66225" w14:textId="77777777" w:rsidR="00B13FDF" w:rsidRDefault="00B13FDF" w:rsidP="00AD112A">
            <w:pPr>
              <w:spacing w:before="80" w:after="80"/>
              <w:jc w:val="center"/>
              <w:rPr>
                <w:rFonts w:cs="Arial"/>
                <w:szCs w:val="22"/>
              </w:rPr>
            </w:pPr>
            <w:r>
              <w:rPr>
                <w:rFonts w:cs="Arial"/>
                <w:szCs w:val="22"/>
              </w:rPr>
              <w:t>9</w:t>
            </w:r>
          </w:p>
        </w:tc>
        <w:tc>
          <w:tcPr>
            <w:tcW w:w="6749" w:type="dxa"/>
            <w:vAlign w:val="center"/>
          </w:tcPr>
          <w:p w14:paraId="10B01098" w14:textId="77777777" w:rsidR="00B13FDF" w:rsidRPr="00AB11A6" w:rsidRDefault="00B13FDF" w:rsidP="00AD112A">
            <w:pPr>
              <w:rPr>
                <w:rFonts w:cs="Arial"/>
                <w:szCs w:val="22"/>
              </w:rPr>
            </w:pPr>
            <w:r w:rsidRPr="00AB11A6">
              <w:rPr>
                <w:rFonts w:cs="Arial"/>
                <w:szCs w:val="22"/>
              </w:rPr>
              <w:t>Procedure for death in service cases</w:t>
            </w:r>
          </w:p>
        </w:tc>
        <w:tc>
          <w:tcPr>
            <w:tcW w:w="987" w:type="dxa"/>
            <w:vAlign w:val="center"/>
          </w:tcPr>
          <w:p w14:paraId="4D79411A"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6D5B5FC4" w14:textId="77777777" w:rsidTr="00AD112A">
        <w:trPr>
          <w:jc w:val="center"/>
        </w:trPr>
        <w:tc>
          <w:tcPr>
            <w:tcW w:w="1368" w:type="dxa"/>
            <w:vAlign w:val="center"/>
          </w:tcPr>
          <w:p w14:paraId="47CEAAA0" w14:textId="77777777" w:rsidR="00B13FDF" w:rsidRDefault="00B13FDF" w:rsidP="00AD112A">
            <w:pPr>
              <w:spacing w:before="80" w:after="80"/>
              <w:jc w:val="center"/>
              <w:rPr>
                <w:rFonts w:cs="Arial"/>
                <w:szCs w:val="22"/>
              </w:rPr>
            </w:pPr>
            <w:r>
              <w:rPr>
                <w:rFonts w:cs="Arial"/>
                <w:szCs w:val="22"/>
              </w:rPr>
              <w:t>10</w:t>
            </w:r>
          </w:p>
        </w:tc>
        <w:tc>
          <w:tcPr>
            <w:tcW w:w="6749" w:type="dxa"/>
            <w:vAlign w:val="center"/>
          </w:tcPr>
          <w:p w14:paraId="5E74A71F" w14:textId="77777777" w:rsidR="00B13FDF" w:rsidRPr="00AB11A6" w:rsidRDefault="00B13FDF" w:rsidP="00AD112A">
            <w:pPr>
              <w:rPr>
                <w:rFonts w:cs="Arial"/>
                <w:szCs w:val="22"/>
              </w:rPr>
            </w:pPr>
            <w:r w:rsidRPr="00AB11A6">
              <w:rPr>
                <w:rFonts w:cs="Arial"/>
                <w:szCs w:val="22"/>
              </w:rPr>
              <w:t>Standard employee letter templates</w:t>
            </w:r>
          </w:p>
        </w:tc>
        <w:tc>
          <w:tcPr>
            <w:tcW w:w="987" w:type="dxa"/>
            <w:vAlign w:val="center"/>
          </w:tcPr>
          <w:p w14:paraId="3C3C38CA"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4699B343" w14:textId="77777777" w:rsidTr="00AD112A">
        <w:trPr>
          <w:jc w:val="center"/>
        </w:trPr>
        <w:tc>
          <w:tcPr>
            <w:tcW w:w="1368" w:type="dxa"/>
            <w:vAlign w:val="center"/>
          </w:tcPr>
          <w:p w14:paraId="6575DFDB" w14:textId="77777777" w:rsidR="00B13FDF" w:rsidRDefault="00B13FDF" w:rsidP="00AD112A">
            <w:pPr>
              <w:spacing w:before="80" w:after="80"/>
              <w:jc w:val="center"/>
              <w:rPr>
                <w:rFonts w:cs="Arial"/>
                <w:szCs w:val="22"/>
              </w:rPr>
            </w:pPr>
            <w:r>
              <w:rPr>
                <w:rFonts w:cs="Arial"/>
                <w:szCs w:val="22"/>
              </w:rPr>
              <w:t>11</w:t>
            </w:r>
          </w:p>
        </w:tc>
        <w:tc>
          <w:tcPr>
            <w:tcW w:w="6749" w:type="dxa"/>
            <w:vAlign w:val="center"/>
          </w:tcPr>
          <w:p w14:paraId="7619C5EC" w14:textId="77777777" w:rsidR="00B13FDF" w:rsidRPr="00AB11A6" w:rsidRDefault="00B13FDF" w:rsidP="00AD112A">
            <w:pPr>
              <w:rPr>
                <w:rFonts w:cs="Arial"/>
                <w:szCs w:val="22"/>
              </w:rPr>
            </w:pPr>
            <w:r w:rsidRPr="00AB11A6">
              <w:rPr>
                <w:rFonts w:cs="Arial"/>
                <w:szCs w:val="22"/>
              </w:rPr>
              <w:t>Reporting of overpayments</w:t>
            </w:r>
          </w:p>
          <w:p w14:paraId="55CAE81E" w14:textId="77777777" w:rsidR="00B13FDF" w:rsidRPr="00AB11A6" w:rsidRDefault="00B13FDF" w:rsidP="00AD112A">
            <w:pPr>
              <w:rPr>
                <w:rFonts w:cs="Arial"/>
                <w:szCs w:val="22"/>
              </w:rPr>
            </w:pPr>
          </w:p>
        </w:tc>
        <w:tc>
          <w:tcPr>
            <w:tcW w:w="987" w:type="dxa"/>
            <w:vAlign w:val="center"/>
          </w:tcPr>
          <w:p w14:paraId="6437AAA0"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11170FA1" w14:textId="77777777" w:rsidTr="00AD112A">
        <w:trPr>
          <w:jc w:val="center"/>
        </w:trPr>
        <w:tc>
          <w:tcPr>
            <w:tcW w:w="1368" w:type="dxa"/>
            <w:vAlign w:val="center"/>
          </w:tcPr>
          <w:p w14:paraId="117EE3D7" w14:textId="77777777" w:rsidR="00B13FDF" w:rsidRDefault="00B13FDF" w:rsidP="00AD112A">
            <w:pPr>
              <w:spacing w:before="80" w:after="80"/>
              <w:jc w:val="center"/>
              <w:rPr>
                <w:rFonts w:cs="Arial"/>
                <w:szCs w:val="22"/>
              </w:rPr>
            </w:pPr>
            <w:r>
              <w:rPr>
                <w:rFonts w:cs="Arial"/>
                <w:szCs w:val="22"/>
              </w:rPr>
              <w:t>12</w:t>
            </w:r>
          </w:p>
        </w:tc>
        <w:tc>
          <w:tcPr>
            <w:tcW w:w="6749" w:type="dxa"/>
            <w:vAlign w:val="center"/>
          </w:tcPr>
          <w:p w14:paraId="4BF7620E" w14:textId="77777777" w:rsidR="00B13FDF" w:rsidRPr="00AB11A6" w:rsidRDefault="00B13FDF" w:rsidP="00AD112A">
            <w:pPr>
              <w:rPr>
                <w:rFonts w:cs="Arial"/>
                <w:szCs w:val="22"/>
              </w:rPr>
            </w:pPr>
            <w:r w:rsidRPr="00AB11A6">
              <w:rPr>
                <w:rFonts w:cs="Arial"/>
                <w:szCs w:val="22"/>
              </w:rPr>
              <w:t>Non-compliance</w:t>
            </w:r>
          </w:p>
        </w:tc>
        <w:tc>
          <w:tcPr>
            <w:tcW w:w="987" w:type="dxa"/>
            <w:vAlign w:val="center"/>
          </w:tcPr>
          <w:p w14:paraId="6C79A0B4" w14:textId="77777777" w:rsidR="00B13FDF" w:rsidRPr="00123208" w:rsidRDefault="00B13FDF" w:rsidP="00AD112A">
            <w:pPr>
              <w:spacing w:before="80" w:after="80"/>
              <w:jc w:val="center"/>
              <w:rPr>
                <w:rFonts w:cs="Arial"/>
                <w:szCs w:val="22"/>
              </w:rPr>
            </w:pPr>
            <w:r>
              <w:rPr>
                <w:rFonts w:cs="Arial"/>
                <w:szCs w:val="22"/>
              </w:rPr>
              <w:t>14</w:t>
            </w:r>
          </w:p>
        </w:tc>
      </w:tr>
      <w:tr w:rsidR="00B13FDF" w:rsidRPr="00123208" w14:paraId="3385181F" w14:textId="77777777" w:rsidTr="00AD112A">
        <w:trPr>
          <w:jc w:val="center"/>
        </w:trPr>
        <w:tc>
          <w:tcPr>
            <w:tcW w:w="1368" w:type="dxa"/>
            <w:vAlign w:val="center"/>
          </w:tcPr>
          <w:p w14:paraId="3CBF5F3E" w14:textId="77777777" w:rsidR="00B13FDF" w:rsidRPr="00123208" w:rsidRDefault="00B13FDF" w:rsidP="00AD112A">
            <w:pPr>
              <w:spacing w:before="80" w:after="80"/>
              <w:jc w:val="center"/>
              <w:rPr>
                <w:rFonts w:cs="Arial"/>
                <w:szCs w:val="22"/>
              </w:rPr>
            </w:pPr>
            <w:r>
              <w:rPr>
                <w:rFonts w:cs="Arial"/>
                <w:szCs w:val="22"/>
              </w:rPr>
              <w:t>13</w:t>
            </w:r>
          </w:p>
        </w:tc>
        <w:tc>
          <w:tcPr>
            <w:tcW w:w="6749" w:type="dxa"/>
            <w:vAlign w:val="center"/>
          </w:tcPr>
          <w:p w14:paraId="14B59981" w14:textId="77777777" w:rsidR="00B13FDF" w:rsidRPr="00AB11A6" w:rsidRDefault="00B13FDF" w:rsidP="00AD112A">
            <w:pPr>
              <w:spacing w:before="80" w:after="80"/>
              <w:rPr>
                <w:rFonts w:cs="Arial"/>
                <w:szCs w:val="22"/>
              </w:rPr>
            </w:pPr>
            <w:r w:rsidRPr="00AB11A6">
              <w:rPr>
                <w:rFonts w:cs="Arial"/>
                <w:szCs w:val="22"/>
              </w:rPr>
              <w:t>References</w:t>
            </w:r>
          </w:p>
        </w:tc>
        <w:tc>
          <w:tcPr>
            <w:tcW w:w="987" w:type="dxa"/>
            <w:vAlign w:val="center"/>
          </w:tcPr>
          <w:p w14:paraId="15CEA463" w14:textId="77777777" w:rsidR="00B13FDF" w:rsidRPr="00123208" w:rsidRDefault="00B13FDF" w:rsidP="00AD112A">
            <w:pPr>
              <w:spacing w:before="80" w:after="80"/>
              <w:jc w:val="center"/>
              <w:rPr>
                <w:rFonts w:cs="Arial"/>
                <w:szCs w:val="22"/>
              </w:rPr>
            </w:pPr>
            <w:r>
              <w:rPr>
                <w:rFonts w:cs="Arial"/>
                <w:szCs w:val="22"/>
              </w:rPr>
              <w:t>14</w:t>
            </w:r>
          </w:p>
        </w:tc>
      </w:tr>
      <w:tr w:rsidR="00B13FDF" w:rsidRPr="00123208" w14:paraId="66DE13C0" w14:textId="77777777" w:rsidTr="00AD112A">
        <w:trPr>
          <w:jc w:val="center"/>
        </w:trPr>
        <w:tc>
          <w:tcPr>
            <w:tcW w:w="1368" w:type="dxa"/>
            <w:vAlign w:val="center"/>
          </w:tcPr>
          <w:p w14:paraId="13FB32E8" w14:textId="77777777" w:rsidR="00B13FDF" w:rsidRDefault="00B13FDF" w:rsidP="00AD112A">
            <w:pPr>
              <w:spacing w:before="80" w:after="80"/>
              <w:jc w:val="center"/>
              <w:rPr>
                <w:rFonts w:cs="Arial"/>
                <w:szCs w:val="22"/>
              </w:rPr>
            </w:pPr>
            <w:r>
              <w:rPr>
                <w:rFonts w:cs="Arial"/>
                <w:szCs w:val="22"/>
              </w:rPr>
              <w:t>Appendix A</w:t>
            </w:r>
          </w:p>
        </w:tc>
        <w:tc>
          <w:tcPr>
            <w:tcW w:w="6749" w:type="dxa"/>
            <w:vAlign w:val="center"/>
          </w:tcPr>
          <w:p w14:paraId="26DCB95C" w14:textId="77777777" w:rsidR="00B13FDF" w:rsidRPr="00AB11A6" w:rsidRDefault="00B13FDF" w:rsidP="00AD112A">
            <w:pPr>
              <w:spacing w:before="80" w:after="80"/>
              <w:rPr>
                <w:rFonts w:cs="Arial"/>
                <w:szCs w:val="22"/>
              </w:rPr>
            </w:pPr>
            <w:r w:rsidRPr="00AB11A6">
              <w:rPr>
                <w:rFonts w:eastAsiaTheme="minorEastAsia" w:cs="Arial"/>
                <w:bCs/>
                <w:szCs w:val="22"/>
                <w:lang w:eastAsia="en-US"/>
              </w:rPr>
              <w:t>Process Flowchart for employees</w:t>
            </w:r>
          </w:p>
        </w:tc>
        <w:tc>
          <w:tcPr>
            <w:tcW w:w="987" w:type="dxa"/>
            <w:vAlign w:val="center"/>
          </w:tcPr>
          <w:p w14:paraId="7CBFD868" w14:textId="77777777" w:rsidR="00B13FDF" w:rsidRPr="00123208" w:rsidRDefault="00B13FDF" w:rsidP="00AD112A">
            <w:pPr>
              <w:spacing w:before="80" w:after="80"/>
              <w:jc w:val="center"/>
              <w:rPr>
                <w:rFonts w:cs="Arial"/>
                <w:szCs w:val="22"/>
              </w:rPr>
            </w:pPr>
          </w:p>
        </w:tc>
      </w:tr>
      <w:tr w:rsidR="00B13FDF" w:rsidRPr="00123208" w14:paraId="4F24A496" w14:textId="77777777" w:rsidTr="00AD112A">
        <w:trPr>
          <w:jc w:val="center"/>
        </w:trPr>
        <w:tc>
          <w:tcPr>
            <w:tcW w:w="1368" w:type="dxa"/>
            <w:vAlign w:val="center"/>
          </w:tcPr>
          <w:p w14:paraId="70A8A442" w14:textId="77777777" w:rsidR="00B13FDF" w:rsidRDefault="00B13FDF" w:rsidP="00AD112A">
            <w:pPr>
              <w:spacing w:before="80" w:after="80"/>
              <w:jc w:val="center"/>
              <w:rPr>
                <w:rFonts w:cs="Arial"/>
                <w:szCs w:val="22"/>
              </w:rPr>
            </w:pPr>
            <w:r>
              <w:rPr>
                <w:rFonts w:cs="Arial"/>
                <w:szCs w:val="22"/>
              </w:rPr>
              <w:t>Appendix B</w:t>
            </w:r>
          </w:p>
        </w:tc>
        <w:tc>
          <w:tcPr>
            <w:tcW w:w="6749" w:type="dxa"/>
            <w:vAlign w:val="center"/>
          </w:tcPr>
          <w:p w14:paraId="10B26D51" w14:textId="77777777" w:rsidR="00B13FDF" w:rsidRPr="00AB11A6" w:rsidRDefault="00B13FDF" w:rsidP="00AD112A">
            <w:pPr>
              <w:spacing w:before="0" w:after="0"/>
              <w:jc w:val="left"/>
              <w:rPr>
                <w:rFonts w:cs="Arial"/>
                <w:szCs w:val="22"/>
              </w:rPr>
            </w:pPr>
            <w:r w:rsidRPr="00AB11A6">
              <w:rPr>
                <w:rFonts w:eastAsiaTheme="minorEastAsia" w:cs="Arial"/>
                <w:bCs/>
                <w:szCs w:val="22"/>
                <w:lang w:eastAsia="en-US"/>
              </w:rPr>
              <w:t>Process Flowchart for Former employees</w:t>
            </w:r>
          </w:p>
        </w:tc>
        <w:tc>
          <w:tcPr>
            <w:tcW w:w="987" w:type="dxa"/>
            <w:vAlign w:val="center"/>
          </w:tcPr>
          <w:p w14:paraId="28188149" w14:textId="77777777" w:rsidR="00B13FDF" w:rsidRPr="00123208" w:rsidRDefault="00B13FDF" w:rsidP="00AD112A">
            <w:pPr>
              <w:spacing w:before="80" w:after="80"/>
              <w:jc w:val="center"/>
              <w:rPr>
                <w:rFonts w:cs="Arial"/>
                <w:szCs w:val="22"/>
              </w:rPr>
            </w:pPr>
          </w:p>
        </w:tc>
      </w:tr>
      <w:tr w:rsidR="00B13FDF" w:rsidRPr="00123208" w14:paraId="40D7D428" w14:textId="77777777" w:rsidTr="00AD112A">
        <w:trPr>
          <w:jc w:val="center"/>
        </w:trPr>
        <w:tc>
          <w:tcPr>
            <w:tcW w:w="1368" w:type="dxa"/>
            <w:vAlign w:val="center"/>
          </w:tcPr>
          <w:p w14:paraId="4BCAEAE1" w14:textId="77777777" w:rsidR="00B13FDF" w:rsidRDefault="00B13FDF" w:rsidP="00AD112A">
            <w:pPr>
              <w:spacing w:before="80" w:after="80"/>
              <w:jc w:val="center"/>
              <w:rPr>
                <w:rFonts w:cs="Arial"/>
                <w:szCs w:val="22"/>
              </w:rPr>
            </w:pPr>
            <w:r>
              <w:rPr>
                <w:rFonts w:cs="Arial"/>
                <w:szCs w:val="22"/>
              </w:rPr>
              <w:t>Appendix C</w:t>
            </w:r>
          </w:p>
        </w:tc>
        <w:tc>
          <w:tcPr>
            <w:tcW w:w="6749" w:type="dxa"/>
            <w:vAlign w:val="center"/>
          </w:tcPr>
          <w:p w14:paraId="42A19227" w14:textId="77777777" w:rsidR="00B13FDF" w:rsidRPr="00AB11A6" w:rsidRDefault="00B13FDF" w:rsidP="00AD112A">
            <w:pPr>
              <w:spacing w:before="80" w:after="80"/>
              <w:rPr>
                <w:rFonts w:cs="Arial"/>
                <w:szCs w:val="22"/>
              </w:rPr>
            </w:pPr>
            <w:r w:rsidRPr="00AB11A6">
              <w:rPr>
                <w:rFonts w:cs="Arial"/>
                <w:szCs w:val="22"/>
              </w:rPr>
              <w:t>Request to extend repayment period beyond 12 month</w:t>
            </w:r>
          </w:p>
        </w:tc>
        <w:tc>
          <w:tcPr>
            <w:tcW w:w="987" w:type="dxa"/>
            <w:vAlign w:val="center"/>
          </w:tcPr>
          <w:p w14:paraId="4B70C8E5" w14:textId="77777777" w:rsidR="00B13FDF" w:rsidRPr="00123208" w:rsidRDefault="00B13FDF" w:rsidP="00AD112A">
            <w:pPr>
              <w:spacing w:before="80" w:after="80"/>
              <w:jc w:val="center"/>
              <w:rPr>
                <w:rFonts w:cs="Arial"/>
                <w:szCs w:val="22"/>
              </w:rPr>
            </w:pPr>
          </w:p>
        </w:tc>
      </w:tr>
    </w:tbl>
    <w:p w14:paraId="32F2C9A4" w14:textId="77777777" w:rsidR="00B13FDF" w:rsidRDefault="00B13FDF" w:rsidP="00B13FDF">
      <w:pPr>
        <w:pStyle w:val="ListParagraph"/>
        <w:ind w:left="709"/>
        <w:rPr>
          <w:rFonts w:cs="Arial"/>
          <w:b/>
          <w:szCs w:val="22"/>
          <w:highlight w:val="yellow"/>
        </w:rPr>
      </w:pPr>
    </w:p>
    <w:p w14:paraId="272E5A84" w14:textId="77777777" w:rsidR="00B13FDF" w:rsidRDefault="00B13FDF" w:rsidP="00B13FDF">
      <w:pPr>
        <w:pStyle w:val="ListParagraph"/>
        <w:ind w:left="709"/>
        <w:rPr>
          <w:rFonts w:cs="Arial"/>
          <w:b/>
          <w:szCs w:val="22"/>
          <w:highlight w:val="yellow"/>
        </w:rPr>
      </w:pPr>
    </w:p>
    <w:p w14:paraId="38534DCC" w14:textId="77777777" w:rsidR="00B13FDF" w:rsidRDefault="00B13FDF" w:rsidP="00B13FDF">
      <w:pPr>
        <w:pStyle w:val="ListParagraph"/>
        <w:ind w:left="709"/>
        <w:rPr>
          <w:rFonts w:cs="Arial"/>
          <w:b/>
          <w:szCs w:val="22"/>
          <w:highlight w:val="yellow"/>
        </w:rPr>
      </w:pPr>
    </w:p>
    <w:p w14:paraId="6EDC6EC3" w14:textId="77777777" w:rsidR="00B13FDF" w:rsidRDefault="00B13FDF" w:rsidP="00B13FDF">
      <w:pPr>
        <w:pStyle w:val="ListParagraph"/>
        <w:ind w:left="709"/>
        <w:rPr>
          <w:rFonts w:cs="Arial"/>
          <w:b/>
          <w:szCs w:val="22"/>
          <w:highlight w:val="yellow"/>
        </w:rPr>
      </w:pPr>
    </w:p>
    <w:p w14:paraId="19921F03" w14:textId="77777777" w:rsidR="00B13FDF" w:rsidRDefault="00B13FDF" w:rsidP="00B13FDF">
      <w:pPr>
        <w:pStyle w:val="ListParagraph"/>
        <w:ind w:left="709"/>
        <w:rPr>
          <w:rFonts w:cs="Arial"/>
          <w:b/>
          <w:szCs w:val="22"/>
          <w:highlight w:val="yellow"/>
        </w:rPr>
      </w:pPr>
    </w:p>
    <w:p w14:paraId="15BC666C" w14:textId="77777777" w:rsidR="00B13FDF" w:rsidRDefault="00B13FDF" w:rsidP="00B13FDF">
      <w:pPr>
        <w:pStyle w:val="ListParagraph"/>
        <w:ind w:left="709"/>
        <w:rPr>
          <w:rFonts w:cs="Arial"/>
          <w:b/>
          <w:szCs w:val="22"/>
          <w:highlight w:val="yellow"/>
        </w:rPr>
      </w:pPr>
    </w:p>
    <w:p w14:paraId="77B1F6C7" w14:textId="77777777" w:rsidR="00B13FDF" w:rsidRDefault="00B13FDF" w:rsidP="00B13FDF">
      <w:pPr>
        <w:pStyle w:val="ListParagraph"/>
        <w:ind w:left="709"/>
        <w:rPr>
          <w:rFonts w:cs="Arial"/>
          <w:b/>
          <w:szCs w:val="22"/>
          <w:highlight w:val="yellow"/>
        </w:rPr>
      </w:pPr>
    </w:p>
    <w:p w14:paraId="01551D51" w14:textId="77777777" w:rsidR="00B13FDF" w:rsidRDefault="00B13FDF" w:rsidP="00B13FDF">
      <w:pPr>
        <w:pStyle w:val="ListParagraph"/>
        <w:ind w:left="709"/>
        <w:rPr>
          <w:rFonts w:cs="Arial"/>
          <w:b/>
          <w:szCs w:val="22"/>
          <w:highlight w:val="yellow"/>
        </w:rPr>
      </w:pPr>
    </w:p>
    <w:p w14:paraId="39526AFE" w14:textId="77777777" w:rsidR="00B13FDF" w:rsidRDefault="00B13FDF" w:rsidP="00B13FDF">
      <w:pPr>
        <w:pStyle w:val="ListParagraph"/>
        <w:ind w:left="709"/>
        <w:rPr>
          <w:rFonts w:cs="Arial"/>
          <w:b/>
          <w:szCs w:val="22"/>
          <w:highlight w:val="yellow"/>
        </w:rPr>
      </w:pPr>
    </w:p>
    <w:p w14:paraId="29DF5F74" w14:textId="77777777" w:rsidR="00B13FDF" w:rsidRDefault="00B13FDF" w:rsidP="00B13FDF">
      <w:pPr>
        <w:pStyle w:val="ListParagraph"/>
        <w:ind w:left="709"/>
        <w:rPr>
          <w:rFonts w:cs="Arial"/>
          <w:b/>
          <w:szCs w:val="22"/>
          <w:highlight w:val="yellow"/>
        </w:rPr>
      </w:pPr>
    </w:p>
    <w:p w14:paraId="795DA786" w14:textId="77777777" w:rsidR="00B13FDF" w:rsidRDefault="00B13FDF" w:rsidP="00B13FDF">
      <w:pPr>
        <w:pStyle w:val="ListParagraph"/>
        <w:ind w:left="709"/>
        <w:rPr>
          <w:rFonts w:cs="Arial"/>
          <w:b/>
          <w:szCs w:val="22"/>
          <w:highlight w:val="yellow"/>
        </w:rPr>
      </w:pPr>
    </w:p>
    <w:p w14:paraId="18F0BD56" w14:textId="77777777" w:rsidR="00B13FDF" w:rsidRDefault="00B13FDF" w:rsidP="00B13FDF">
      <w:pPr>
        <w:pStyle w:val="ListParagraph"/>
        <w:ind w:left="709"/>
        <w:rPr>
          <w:rFonts w:cs="Arial"/>
          <w:b/>
          <w:szCs w:val="22"/>
          <w:highlight w:val="yellow"/>
        </w:rPr>
      </w:pPr>
    </w:p>
    <w:p w14:paraId="669C573E" w14:textId="77777777" w:rsidR="00B13FDF" w:rsidRDefault="00B13FDF" w:rsidP="00B13FDF">
      <w:pPr>
        <w:pStyle w:val="ListParagraph"/>
        <w:ind w:left="709"/>
        <w:rPr>
          <w:rFonts w:cs="Arial"/>
          <w:b/>
          <w:szCs w:val="22"/>
          <w:highlight w:val="yellow"/>
        </w:rPr>
      </w:pPr>
    </w:p>
    <w:p w14:paraId="16CBDEE9" w14:textId="77777777" w:rsidR="00B13FDF" w:rsidRDefault="00B13FDF" w:rsidP="00B13FDF">
      <w:pPr>
        <w:pStyle w:val="ListParagraph"/>
        <w:numPr>
          <w:ilvl w:val="0"/>
          <w:numId w:val="1"/>
        </w:numPr>
        <w:ind w:left="709" w:hanging="709"/>
        <w:rPr>
          <w:rFonts w:cs="Arial"/>
          <w:b/>
          <w:szCs w:val="22"/>
        </w:rPr>
      </w:pPr>
      <w:r>
        <w:rPr>
          <w:rFonts w:cs="Arial"/>
          <w:b/>
          <w:szCs w:val="22"/>
        </w:rPr>
        <w:t>Introduction</w:t>
      </w:r>
    </w:p>
    <w:p w14:paraId="26334E03" w14:textId="77777777" w:rsidR="00B13FDF" w:rsidRDefault="00B13FDF" w:rsidP="00B13FDF">
      <w:pPr>
        <w:pStyle w:val="ListParagraph"/>
        <w:ind w:left="709"/>
        <w:rPr>
          <w:rFonts w:cs="Arial"/>
          <w:b/>
          <w:szCs w:val="22"/>
        </w:rPr>
      </w:pPr>
    </w:p>
    <w:p w14:paraId="194499DD" w14:textId="77777777" w:rsidR="00B13FDF" w:rsidRPr="00957B9C" w:rsidRDefault="00B13FDF" w:rsidP="00B13FDF">
      <w:pPr>
        <w:pStyle w:val="ListParagraph"/>
        <w:ind w:left="709"/>
        <w:rPr>
          <w:rFonts w:cs="Arial"/>
          <w:b/>
          <w:szCs w:val="22"/>
        </w:rPr>
      </w:pPr>
    </w:p>
    <w:p w14:paraId="77CF85C7" w14:textId="7B66A71C" w:rsidR="00B13FDF" w:rsidRPr="00957B9C" w:rsidRDefault="00B13FDF" w:rsidP="00B13FDF">
      <w:pPr>
        <w:pStyle w:val="Heading2"/>
        <w:numPr>
          <w:ilvl w:val="1"/>
          <w:numId w:val="1"/>
        </w:numPr>
        <w:ind w:left="709" w:hanging="709"/>
        <w:jc w:val="both"/>
        <w:rPr>
          <w:rFonts w:ascii="Arial" w:hAnsi="Arial" w:cs="Arial"/>
          <w:b w:val="0"/>
          <w:snapToGrid w:val="0"/>
          <w:sz w:val="22"/>
          <w:szCs w:val="22"/>
        </w:rPr>
      </w:pPr>
      <w:r w:rsidRPr="00957B9C">
        <w:rPr>
          <w:rFonts w:ascii="Arial" w:hAnsi="Arial" w:cs="Arial"/>
          <w:b w:val="0"/>
          <w:snapToGrid w:val="0"/>
          <w:sz w:val="22"/>
          <w:szCs w:val="22"/>
        </w:rPr>
        <w:t xml:space="preserve">The Trust and it’s contracted payroll provider, </w:t>
      </w:r>
      <w:r>
        <w:rPr>
          <w:rFonts w:ascii="Arial" w:hAnsi="Arial" w:cs="Arial"/>
          <w:b w:val="0"/>
          <w:snapToGrid w:val="0"/>
          <w:sz w:val="22"/>
          <w:szCs w:val="22"/>
        </w:rPr>
        <w:t xml:space="preserve">University Hospital Birmingham  ‘Payroll’ </w:t>
      </w:r>
      <w:r w:rsidRPr="00957B9C">
        <w:rPr>
          <w:rFonts w:ascii="Arial" w:hAnsi="Arial" w:cs="Arial"/>
          <w:b w:val="0"/>
          <w:snapToGrid w:val="0"/>
          <w:sz w:val="22"/>
          <w:szCs w:val="22"/>
        </w:rPr>
        <w:t>has a duty to determine employees’ pay correctly and not to misrepresent it.  The Trust’s intention will always be that errors are kept to an absolute minimum, and are notified to staff as soon as possible.</w:t>
      </w:r>
    </w:p>
    <w:p w14:paraId="6F4C22F8" w14:textId="77777777" w:rsidR="00B13FDF" w:rsidRPr="00957B9C" w:rsidRDefault="00B13FDF" w:rsidP="00B13FDF">
      <w:pPr>
        <w:widowControl w:val="0"/>
        <w:ind w:left="709" w:hanging="709"/>
        <w:rPr>
          <w:rFonts w:cs="Arial"/>
          <w:snapToGrid w:val="0"/>
          <w:szCs w:val="22"/>
        </w:rPr>
      </w:pPr>
      <w:r w:rsidRPr="00957B9C">
        <w:rPr>
          <w:rFonts w:cs="Arial"/>
          <w:snapToGrid w:val="0"/>
          <w:szCs w:val="22"/>
        </w:rPr>
        <w:t>1.2</w:t>
      </w:r>
      <w:r w:rsidRPr="00957B9C">
        <w:rPr>
          <w:rFonts w:cs="Arial"/>
          <w:snapToGrid w:val="0"/>
          <w:szCs w:val="22"/>
        </w:rPr>
        <w:tab/>
        <w:t>However, sometimes errors do occur resulting in the Trust making incorrect salary and allowance payments to employees in error.   Whilst the Trust has processes in place to minimise these errors, when a salary overpayment does occur, the Trust, as a public body; is duty bound to pursue recovery and not in a position to waive its duty to reclaim overpayment of salary under any circumstances.</w:t>
      </w:r>
    </w:p>
    <w:p w14:paraId="56E671B6" w14:textId="77777777" w:rsidR="00B13FDF" w:rsidRPr="00123208" w:rsidRDefault="00B13FDF" w:rsidP="00B13FDF">
      <w:pPr>
        <w:widowControl w:val="0"/>
        <w:ind w:left="709" w:hanging="709"/>
        <w:rPr>
          <w:rFonts w:cs="Arial"/>
          <w:snapToGrid w:val="0"/>
          <w:szCs w:val="22"/>
        </w:rPr>
      </w:pPr>
      <w:r w:rsidRPr="00957B9C">
        <w:rPr>
          <w:rFonts w:cs="Arial"/>
          <w:snapToGrid w:val="0"/>
          <w:szCs w:val="22"/>
        </w:rPr>
        <w:t>1.3</w:t>
      </w:r>
      <w:r w:rsidRPr="00957B9C">
        <w:rPr>
          <w:rFonts w:cs="Arial"/>
          <w:snapToGrid w:val="0"/>
          <w:szCs w:val="22"/>
        </w:rPr>
        <w:tab/>
        <w:t>If a salary payment error occurs, the trust will seek to recover the overpayment or pay arrears in accordance with this policy.</w:t>
      </w:r>
    </w:p>
    <w:p w14:paraId="61A5496D" w14:textId="77777777" w:rsidR="00B13FDF" w:rsidRPr="00123208" w:rsidRDefault="00B13FDF" w:rsidP="00B13FDF">
      <w:pPr>
        <w:ind w:left="720" w:hanging="720"/>
        <w:rPr>
          <w:rFonts w:cs="Arial"/>
          <w:szCs w:val="22"/>
        </w:rPr>
      </w:pPr>
      <w:r w:rsidRPr="00123208">
        <w:rPr>
          <w:rFonts w:cs="Arial"/>
          <w:szCs w:val="22"/>
        </w:rPr>
        <w:t>1.4</w:t>
      </w:r>
      <w:r w:rsidRPr="00123208">
        <w:rPr>
          <w:rFonts w:cs="Arial"/>
          <w:szCs w:val="22"/>
        </w:rPr>
        <w:tab/>
        <w:t>There is a general right for the employer to recover money paid by mistake. Section 13 of the Employment Rights Act 1996 covers the right not to suffer unauthorised deductions. Deductions for overpaid wages is specifically excluded from protection by the Act and therefore, an employee cannot bring a claim in the Employment Tribunal for deduction of wages in these circumstances, as set out in section 14(1)(a) of the Act</w:t>
      </w:r>
      <w:r>
        <w:rPr>
          <w:rFonts w:cs="Arial"/>
          <w:szCs w:val="22"/>
        </w:rPr>
        <w:t>, as applicable in the contract of employment.</w:t>
      </w:r>
      <w:r w:rsidRPr="00123208">
        <w:rPr>
          <w:rFonts w:cs="Arial"/>
          <w:szCs w:val="22"/>
        </w:rPr>
        <w:t xml:space="preserve">.    </w:t>
      </w:r>
    </w:p>
    <w:p w14:paraId="1CFED389" w14:textId="77777777" w:rsidR="00B13FDF" w:rsidRPr="00123208" w:rsidRDefault="00B13FDF" w:rsidP="00B13FDF">
      <w:pPr>
        <w:widowControl w:val="0"/>
        <w:ind w:left="720" w:hanging="720"/>
        <w:rPr>
          <w:rFonts w:cs="Arial"/>
          <w:snapToGrid w:val="0"/>
          <w:szCs w:val="22"/>
        </w:rPr>
      </w:pPr>
      <w:r w:rsidRPr="00123208">
        <w:rPr>
          <w:rFonts w:cs="Arial"/>
          <w:snapToGrid w:val="0"/>
          <w:szCs w:val="22"/>
        </w:rPr>
        <w:t>1.5</w:t>
      </w:r>
      <w:r w:rsidRPr="00123208">
        <w:rPr>
          <w:rFonts w:cs="Arial"/>
          <w:snapToGrid w:val="0"/>
          <w:szCs w:val="22"/>
        </w:rPr>
        <w:tab/>
        <w:t xml:space="preserve">This policy applies to all staff (both employees and former employees), and sets out the principles and procedures by which the Trust will manage and handle the recovery of overpayments in salary and allowances made to staff. </w:t>
      </w:r>
    </w:p>
    <w:p w14:paraId="7705E8B0" w14:textId="77777777" w:rsidR="00B13FDF" w:rsidRDefault="00B13FDF" w:rsidP="00B13FDF">
      <w:pPr>
        <w:pStyle w:val="ListParagraph"/>
        <w:ind w:left="709" w:hanging="709"/>
        <w:rPr>
          <w:rFonts w:cs="Arial"/>
          <w:szCs w:val="22"/>
        </w:rPr>
      </w:pPr>
      <w:r w:rsidRPr="00957B9C">
        <w:rPr>
          <w:rFonts w:cs="Arial"/>
          <w:szCs w:val="22"/>
        </w:rPr>
        <w:t>1.6</w:t>
      </w:r>
      <w:r w:rsidRPr="00957B9C">
        <w:rPr>
          <w:rFonts w:cs="Arial"/>
          <w:szCs w:val="22"/>
        </w:rPr>
        <w:tab/>
        <w:t xml:space="preserve">This policy does not </w:t>
      </w:r>
      <w:r>
        <w:rPr>
          <w:rFonts w:cs="Arial"/>
          <w:szCs w:val="22"/>
        </w:rPr>
        <w:t>apply for the recovery of proceeds of fraud or theft. In such cases refer to the Counter Fraud and Bribery Policy.</w:t>
      </w:r>
    </w:p>
    <w:p w14:paraId="38BC9170" w14:textId="77777777" w:rsidR="00B13FDF" w:rsidRDefault="00B13FDF" w:rsidP="00B13FDF">
      <w:pPr>
        <w:pStyle w:val="ListParagraph"/>
        <w:ind w:left="709" w:hanging="709"/>
        <w:rPr>
          <w:rFonts w:cs="Arial"/>
          <w:szCs w:val="22"/>
        </w:rPr>
      </w:pPr>
    </w:p>
    <w:p w14:paraId="352445F0" w14:textId="77777777" w:rsidR="00B13FDF" w:rsidRDefault="00B13FDF" w:rsidP="00B13FDF">
      <w:pPr>
        <w:pStyle w:val="ListParagraph"/>
        <w:ind w:left="709" w:hanging="709"/>
        <w:rPr>
          <w:rFonts w:cs="Arial"/>
          <w:szCs w:val="22"/>
        </w:rPr>
      </w:pPr>
    </w:p>
    <w:p w14:paraId="4B9BD045" w14:textId="77777777" w:rsidR="00B13FDF" w:rsidRPr="00957B9C" w:rsidRDefault="00B13FDF" w:rsidP="00B13FDF">
      <w:pPr>
        <w:pStyle w:val="ListParagraph"/>
        <w:ind w:left="709" w:hanging="709"/>
        <w:rPr>
          <w:rFonts w:cs="Arial"/>
          <w:szCs w:val="22"/>
        </w:rPr>
      </w:pPr>
    </w:p>
    <w:p w14:paraId="3391B6DE" w14:textId="77777777" w:rsidR="00B13FDF" w:rsidRDefault="00B13FDF" w:rsidP="00B13FDF">
      <w:pPr>
        <w:pStyle w:val="ListParagraph"/>
        <w:numPr>
          <w:ilvl w:val="0"/>
          <w:numId w:val="1"/>
        </w:numPr>
        <w:rPr>
          <w:rFonts w:cs="Arial"/>
          <w:b/>
          <w:szCs w:val="22"/>
        </w:rPr>
      </w:pPr>
      <w:r w:rsidRPr="00123208">
        <w:rPr>
          <w:rFonts w:cs="Arial"/>
          <w:b/>
          <w:szCs w:val="22"/>
        </w:rPr>
        <w:t>Purpose</w:t>
      </w:r>
    </w:p>
    <w:p w14:paraId="78212748" w14:textId="77777777" w:rsidR="00B13FDF" w:rsidRDefault="00B13FDF" w:rsidP="00B13FDF">
      <w:pPr>
        <w:pStyle w:val="ListParagraph"/>
        <w:ind w:left="1080"/>
        <w:rPr>
          <w:rFonts w:cs="Arial"/>
          <w:b/>
          <w:szCs w:val="22"/>
        </w:rPr>
      </w:pPr>
    </w:p>
    <w:p w14:paraId="2AECDDAF" w14:textId="77777777" w:rsidR="00B13FDF" w:rsidRPr="00123208" w:rsidRDefault="00B13FDF" w:rsidP="00B13FDF">
      <w:pPr>
        <w:pStyle w:val="ListParagraph"/>
        <w:ind w:left="1080"/>
        <w:rPr>
          <w:rFonts w:cs="Arial"/>
          <w:b/>
          <w:szCs w:val="22"/>
        </w:rPr>
      </w:pPr>
    </w:p>
    <w:p w14:paraId="5C014509" w14:textId="77777777" w:rsidR="00B13FDF" w:rsidRPr="00123208" w:rsidRDefault="00B13FDF" w:rsidP="00B13FDF">
      <w:pPr>
        <w:autoSpaceDE w:val="0"/>
        <w:autoSpaceDN w:val="0"/>
        <w:adjustRightInd w:val="0"/>
        <w:spacing w:before="0" w:after="0"/>
        <w:ind w:left="709" w:hanging="709"/>
        <w:rPr>
          <w:rFonts w:eastAsiaTheme="minorEastAsia" w:cs="Arial"/>
          <w:szCs w:val="22"/>
        </w:rPr>
      </w:pPr>
      <w:r w:rsidRPr="00123208">
        <w:rPr>
          <w:rFonts w:eastAsiaTheme="minorEastAsia" w:cs="Arial"/>
          <w:szCs w:val="22"/>
        </w:rPr>
        <w:t>2.1</w:t>
      </w:r>
      <w:r w:rsidRPr="00123208">
        <w:rPr>
          <w:rFonts w:eastAsiaTheme="minorEastAsia" w:cs="Arial"/>
          <w:szCs w:val="22"/>
        </w:rPr>
        <w:tab/>
        <w:t>The aim of this policy is to ensure that where an overpayment of salary, allowances or expenses occurs; the employee and other relevant stakeholders are made aware as soon as possible so that the Trust can recover the overpayment within an acceptable time frame.</w:t>
      </w:r>
    </w:p>
    <w:p w14:paraId="37C24888" w14:textId="77777777" w:rsidR="00B13FDF" w:rsidRPr="00123208" w:rsidRDefault="00B13FDF" w:rsidP="00B13FDF">
      <w:pPr>
        <w:autoSpaceDE w:val="0"/>
        <w:autoSpaceDN w:val="0"/>
        <w:adjustRightInd w:val="0"/>
        <w:spacing w:before="0" w:after="0"/>
        <w:rPr>
          <w:rFonts w:eastAsiaTheme="minorEastAsia" w:cs="Arial"/>
          <w:szCs w:val="22"/>
        </w:rPr>
      </w:pPr>
    </w:p>
    <w:p w14:paraId="33655037" w14:textId="77777777" w:rsidR="00B13FDF" w:rsidRPr="00123208" w:rsidRDefault="00B13FDF" w:rsidP="00B13FDF">
      <w:pPr>
        <w:autoSpaceDE w:val="0"/>
        <w:autoSpaceDN w:val="0"/>
        <w:adjustRightInd w:val="0"/>
        <w:spacing w:before="0" w:after="0"/>
        <w:ind w:left="709" w:hanging="709"/>
        <w:rPr>
          <w:rFonts w:eastAsiaTheme="minorEastAsia" w:cs="Arial"/>
          <w:szCs w:val="22"/>
        </w:rPr>
      </w:pPr>
      <w:r w:rsidRPr="00123208">
        <w:rPr>
          <w:rFonts w:eastAsiaTheme="minorEastAsia" w:cs="Arial"/>
          <w:szCs w:val="22"/>
        </w:rPr>
        <w:t>2.2</w:t>
      </w:r>
      <w:r w:rsidRPr="00123208">
        <w:rPr>
          <w:rFonts w:eastAsiaTheme="minorEastAsia" w:cs="Arial"/>
          <w:szCs w:val="22"/>
        </w:rPr>
        <w:tab/>
        <w:t>The policy also sets out how recovery will be made, and provides a repayment timescale framework to ensure that all employees are treated equitably.</w:t>
      </w:r>
    </w:p>
    <w:p w14:paraId="50C31A68" w14:textId="77777777" w:rsidR="00B13FDF" w:rsidRDefault="00B13FDF" w:rsidP="00B13FDF">
      <w:pPr>
        <w:pStyle w:val="BodyText"/>
        <w:ind w:left="720" w:hanging="720"/>
        <w:rPr>
          <w:rFonts w:ascii="Arial" w:hAnsi="Arial" w:cs="Arial"/>
          <w:b w:val="0"/>
          <w:sz w:val="22"/>
          <w:szCs w:val="22"/>
        </w:rPr>
      </w:pPr>
    </w:p>
    <w:p w14:paraId="67D8EC1C" w14:textId="77777777" w:rsidR="00B13FDF" w:rsidRPr="00123208" w:rsidRDefault="00B13FDF" w:rsidP="00B13FDF">
      <w:pPr>
        <w:pStyle w:val="BodyText"/>
        <w:ind w:left="720" w:hanging="720"/>
        <w:rPr>
          <w:rFonts w:ascii="Arial" w:hAnsi="Arial" w:cs="Arial"/>
          <w:b w:val="0"/>
          <w:sz w:val="22"/>
          <w:szCs w:val="22"/>
        </w:rPr>
      </w:pPr>
      <w:r w:rsidRPr="00123208">
        <w:rPr>
          <w:rFonts w:ascii="Arial" w:hAnsi="Arial" w:cs="Arial"/>
          <w:b w:val="0"/>
          <w:sz w:val="22"/>
          <w:szCs w:val="22"/>
        </w:rPr>
        <w:t>2.3</w:t>
      </w:r>
      <w:r w:rsidRPr="00123208">
        <w:rPr>
          <w:rFonts w:ascii="Arial" w:hAnsi="Arial" w:cs="Arial"/>
          <w:b w:val="0"/>
          <w:sz w:val="22"/>
          <w:szCs w:val="22"/>
        </w:rPr>
        <w:tab/>
        <w:t>The application of this procedure and associated procedures is not intended for normal routine payroll adjustments such as:</w:t>
      </w:r>
    </w:p>
    <w:p w14:paraId="07E6D055" w14:textId="77777777" w:rsidR="00B13FDF" w:rsidRPr="00123208" w:rsidRDefault="00B13FDF" w:rsidP="00B13FDF">
      <w:pPr>
        <w:pStyle w:val="BodyText"/>
        <w:rPr>
          <w:rFonts w:ascii="Arial" w:hAnsi="Arial" w:cs="Arial"/>
          <w:b w:val="0"/>
          <w:sz w:val="22"/>
          <w:szCs w:val="22"/>
        </w:rPr>
      </w:pPr>
    </w:p>
    <w:p w14:paraId="3CD2FE68" w14:textId="77777777"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low value overpayments resulting from administrative error (e.g. overpayment of overtime pay in one month which is recovered in the following month);</w:t>
      </w:r>
    </w:p>
    <w:p w14:paraId="0576B819" w14:textId="2C25DD13"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 xml:space="preserve">continuing average sick pay payments made to employees after returning to work from sick leave where the return notification to </w:t>
      </w:r>
      <w:r>
        <w:rPr>
          <w:rFonts w:cs="Arial"/>
          <w:szCs w:val="22"/>
        </w:rPr>
        <w:t xml:space="preserve">payroll </w:t>
      </w:r>
      <w:r w:rsidRPr="00123208">
        <w:rPr>
          <w:rFonts w:cs="Arial"/>
          <w:szCs w:val="22"/>
        </w:rPr>
        <w:t xml:space="preserve">is pending;  </w:t>
      </w:r>
    </w:p>
    <w:p w14:paraId="3681422B" w14:textId="77777777"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Routine changes to pay that have occurred after ESR has closed for the period and which are actioned in the following period requiring a retrospective adjustment to pay (e.g. reduction from full time to part time hours effective from 25</w:t>
      </w:r>
      <w:r w:rsidRPr="00123208">
        <w:rPr>
          <w:rFonts w:cs="Arial"/>
          <w:szCs w:val="22"/>
          <w:vertAlign w:val="superscript"/>
        </w:rPr>
        <w:t>th</w:t>
      </w:r>
      <w:r w:rsidRPr="00123208">
        <w:rPr>
          <w:rFonts w:cs="Arial"/>
          <w:szCs w:val="22"/>
        </w:rPr>
        <w:t xml:space="preserve"> of the month which is actioned and pay adjusted retrospectively in the following month).</w:t>
      </w:r>
    </w:p>
    <w:p w14:paraId="17D4301C" w14:textId="77777777" w:rsidR="00B13FDF" w:rsidRPr="00123208" w:rsidRDefault="00B13FDF" w:rsidP="00B13FDF">
      <w:pPr>
        <w:rPr>
          <w:rFonts w:cs="Arial"/>
          <w:szCs w:val="22"/>
        </w:rPr>
      </w:pPr>
    </w:p>
    <w:p w14:paraId="42465666" w14:textId="77777777" w:rsidR="00B13FDF" w:rsidRPr="00123208" w:rsidRDefault="00B13FDF" w:rsidP="00B13FDF">
      <w:pPr>
        <w:rPr>
          <w:rFonts w:cs="Arial"/>
          <w:szCs w:val="22"/>
        </w:rPr>
      </w:pPr>
      <w:r w:rsidRPr="00123208">
        <w:rPr>
          <w:rFonts w:cs="Arial"/>
          <w:szCs w:val="22"/>
        </w:rPr>
        <w:t>2.4</w:t>
      </w:r>
      <w:r w:rsidRPr="00123208">
        <w:rPr>
          <w:rFonts w:cs="Arial"/>
          <w:szCs w:val="22"/>
        </w:rPr>
        <w:tab/>
        <w:t>In defining routine payroll adjustments, such cases must not:</w:t>
      </w:r>
    </w:p>
    <w:p w14:paraId="1F6D51B0" w14:textId="77777777" w:rsidR="00B13FDF" w:rsidRPr="00123208" w:rsidRDefault="00B13FDF" w:rsidP="00B13FDF">
      <w:pPr>
        <w:numPr>
          <w:ilvl w:val="0"/>
          <w:numId w:val="4"/>
        </w:numPr>
        <w:spacing w:before="0" w:after="0"/>
        <w:jc w:val="left"/>
        <w:rPr>
          <w:rFonts w:cs="Arial"/>
          <w:szCs w:val="22"/>
        </w:rPr>
      </w:pPr>
      <w:r w:rsidRPr="00123208">
        <w:rPr>
          <w:rFonts w:cs="Arial"/>
          <w:szCs w:val="22"/>
        </w:rPr>
        <w:t xml:space="preserve">require more than one salary deduction in terms of recovery, and </w:t>
      </w:r>
    </w:p>
    <w:p w14:paraId="3FE37D1E" w14:textId="77777777" w:rsidR="00B13FDF" w:rsidRPr="00123208" w:rsidRDefault="00B13FDF" w:rsidP="00B13FDF">
      <w:pPr>
        <w:numPr>
          <w:ilvl w:val="0"/>
          <w:numId w:val="4"/>
        </w:numPr>
        <w:spacing w:before="0" w:after="0"/>
        <w:jc w:val="left"/>
        <w:rPr>
          <w:rFonts w:cs="Arial"/>
          <w:szCs w:val="22"/>
        </w:rPr>
      </w:pPr>
      <w:r w:rsidRPr="00123208">
        <w:rPr>
          <w:rFonts w:cs="Arial"/>
          <w:szCs w:val="22"/>
        </w:rPr>
        <w:t>Date beyond the previous pay period for which the adjustment relates.</w:t>
      </w:r>
    </w:p>
    <w:p w14:paraId="1543B9DF" w14:textId="439EFE24" w:rsidR="00B13FDF" w:rsidRDefault="00B13FDF" w:rsidP="00B13FDF">
      <w:pPr>
        <w:ind w:left="720" w:hanging="720"/>
        <w:rPr>
          <w:rFonts w:cs="Arial"/>
          <w:szCs w:val="22"/>
        </w:rPr>
      </w:pPr>
      <w:r w:rsidRPr="00123208">
        <w:rPr>
          <w:rFonts w:cs="Arial"/>
          <w:szCs w:val="22"/>
        </w:rPr>
        <w:t>2.5</w:t>
      </w:r>
      <w:r w:rsidRPr="00123208">
        <w:rPr>
          <w:rFonts w:cs="Arial"/>
          <w:szCs w:val="22"/>
        </w:rPr>
        <w:tab/>
        <w:t xml:space="preserve">If when actioning a routine payroll adjustment, recovery results in the employee receiving no pay, the employee will be advised in advance by </w:t>
      </w:r>
      <w:r>
        <w:rPr>
          <w:rFonts w:cs="Arial"/>
          <w:szCs w:val="22"/>
        </w:rPr>
        <w:t>Payroll</w:t>
      </w:r>
      <w:r w:rsidRPr="00123208">
        <w:rPr>
          <w:rFonts w:cs="Arial"/>
          <w:szCs w:val="22"/>
        </w:rPr>
        <w:t>.</w:t>
      </w:r>
    </w:p>
    <w:p w14:paraId="623E6EE9" w14:textId="77777777" w:rsidR="00B13FDF" w:rsidRPr="00123208" w:rsidRDefault="00B13FDF" w:rsidP="00B13FDF">
      <w:pPr>
        <w:ind w:left="720" w:hanging="720"/>
        <w:rPr>
          <w:rFonts w:cs="Arial"/>
          <w:szCs w:val="22"/>
        </w:rPr>
      </w:pPr>
    </w:p>
    <w:p w14:paraId="1031C4C1" w14:textId="77777777" w:rsidR="00B13FDF" w:rsidRPr="00123208" w:rsidRDefault="00B13FDF" w:rsidP="00B13FDF">
      <w:pPr>
        <w:pStyle w:val="ListParagraph"/>
        <w:ind w:left="709" w:hanging="709"/>
        <w:rPr>
          <w:rFonts w:cs="Arial"/>
          <w:b/>
          <w:szCs w:val="22"/>
        </w:rPr>
      </w:pPr>
    </w:p>
    <w:p w14:paraId="6055C700" w14:textId="77777777" w:rsidR="00B13FDF" w:rsidRDefault="00B13FDF" w:rsidP="00B13FDF">
      <w:pPr>
        <w:pStyle w:val="ListParagraph"/>
        <w:numPr>
          <w:ilvl w:val="0"/>
          <w:numId w:val="1"/>
        </w:numPr>
        <w:rPr>
          <w:rFonts w:cs="Arial"/>
          <w:b/>
          <w:szCs w:val="22"/>
        </w:rPr>
      </w:pPr>
      <w:r w:rsidRPr="00123208">
        <w:rPr>
          <w:rFonts w:cs="Arial"/>
          <w:b/>
          <w:szCs w:val="22"/>
        </w:rPr>
        <w:t>Duties</w:t>
      </w:r>
    </w:p>
    <w:p w14:paraId="55C02F41" w14:textId="77777777" w:rsidR="00B13FDF" w:rsidRDefault="00B13FDF" w:rsidP="00B13FDF">
      <w:pPr>
        <w:pStyle w:val="ListParagraph"/>
        <w:ind w:left="1080"/>
        <w:rPr>
          <w:rFonts w:cs="Arial"/>
          <w:b/>
          <w:szCs w:val="22"/>
        </w:rPr>
      </w:pPr>
    </w:p>
    <w:p w14:paraId="48E1ABCD" w14:textId="77777777" w:rsidR="00B13FDF" w:rsidRPr="00123208" w:rsidRDefault="00B13FDF" w:rsidP="00B13FDF">
      <w:pPr>
        <w:pStyle w:val="ListParagraph"/>
        <w:ind w:left="1080"/>
        <w:rPr>
          <w:rFonts w:cs="Arial"/>
          <w:b/>
          <w:szCs w:val="22"/>
        </w:rPr>
      </w:pPr>
    </w:p>
    <w:p w14:paraId="1488B37D" w14:textId="77777777" w:rsidR="00B13FDF" w:rsidRPr="00957B9C" w:rsidRDefault="00B13FDF" w:rsidP="00B13FDF">
      <w:pPr>
        <w:widowControl w:val="0"/>
        <w:spacing w:before="0" w:after="0"/>
        <w:ind w:left="709" w:hanging="709"/>
        <w:rPr>
          <w:rFonts w:eastAsiaTheme="minorEastAsia" w:cs="Arial"/>
          <w:snapToGrid w:val="0"/>
          <w:szCs w:val="22"/>
          <w:lang w:eastAsia="en-US"/>
        </w:rPr>
      </w:pPr>
      <w:r w:rsidRPr="00123208">
        <w:rPr>
          <w:rFonts w:eastAsiaTheme="minorEastAsia" w:cs="Arial"/>
          <w:snapToGrid w:val="0"/>
          <w:szCs w:val="22"/>
          <w:lang w:eastAsia="en-US"/>
        </w:rPr>
        <w:t>3.1</w:t>
      </w:r>
      <w:r w:rsidRPr="00123208">
        <w:rPr>
          <w:rFonts w:eastAsiaTheme="minorEastAsia" w:cs="Arial"/>
          <w:snapToGrid w:val="0"/>
          <w:szCs w:val="22"/>
          <w:lang w:eastAsia="en-US"/>
        </w:rPr>
        <w:tab/>
      </w:r>
      <w:r w:rsidRPr="00957B9C">
        <w:rPr>
          <w:rFonts w:eastAsiaTheme="minorEastAsia" w:cs="Arial"/>
          <w:snapToGrid w:val="0"/>
          <w:szCs w:val="22"/>
          <w:lang w:eastAsia="en-US"/>
        </w:rPr>
        <w:t>It is each employee’s responsibility and duty to check that their pay and other remuneration are correct.  If there is any doubt, or there appear to be unusual increases (or decreases) in the amounts received, the employee should immediately contact Payroll to seek clarification.  Failure to declare an error may result in disciplinary, civil and/or criminal action being taken.</w:t>
      </w:r>
    </w:p>
    <w:p w14:paraId="5B5A77FC" w14:textId="77777777" w:rsidR="00B13FDF" w:rsidRPr="00957B9C" w:rsidRDefault="00B13FDF" w:rsidP="00B13FDF">
      <w:pPr>
        <w:pStyle w:val="ListParagraph"/>
        <w:ind w:left="709" w:hanging="709"/>
        <w:rPr>
          <w:rFonts w:eastAsiaTheme="minorEastAsia" w:cs="Arial"/>
          <w:snapToGrid w:val="0"/>
          <w:szCs w:val="22"/>
          <w:lang w:eastAsia="en-US"/>
        </w:rPr>
      </w:pPr>
      <w:r w:rsidRPr="00957B9C">
        <w:rPr>
          <w:rFonts w:eastAsiaTheme="minorEastAsia" w:cs="Arial"/>
          <w:snapToGrid w:val="0"/>
          <w:szCs w:val="22"/>
          <w:lang w:eastAsia="en-US"/>
        </w:rPr>
        <w:t>3.2</w:t>
      </w:r>
      <w:r w:rsidRPr="00957B9C">
        <w:rPr>
          <w:rFonts w:eastAsiaTheme="minorEastAsia" w:cs="Arial"/>
          <w:snapToGrid w:val="0"/>
          <w:szCs w:val="22"/>
          <w:lang w:eastAsia="en-US"/>
        </w:rPr>
        <w:tab/>
        <w:t>It is also the employee’s responsibility to provide the Trust (or it’s contracted Payroll Provider on its behalf), with full and correct information when querying their pay or other form of remuneration.  Failure to do so will breach the employee’s Contract or employment and may result in disciplinary, civil and/or criminal action.</w:t>
      </w:r>
    </w:p>
    <w:p w14:paraId="38B9D384" w14:textId="77777777" w:rsidR="00B13FDF" w:rsidRPr="00957B9C" w:rsidRDefault="00B13FDF" w:rsidP="00B13FDF">
      <w:pPr>
        <w:pStyle w:val="ListParagraph"/>
        <w:spacing w:before="0" w:after="0"/>
        <w:jc w:val="left"/>
        <w:rPr>
          <w:rFonts w:cs="Arial"/>
          <w:szCs w:val="22"/>
        </w:rPr>
      </w:pPr>
    </w:p>
    <w:p w14:paraId="4BF4480B" w14:textId="77777777" w:rsidR="00B13FDF" w:rsidRPr="00957B9C" w:rsidRDefault="00B13FDF" w:rsidP="00B13FDF">
      <w:pPr>
        <w:pStyle w:val="ListParagraph"/>
        <w:numPr>
          <w:ilvl w:val="1"/>
          <w:numId w:val="14"/>
        </w:numPr>
        <w:spacing w:before="0" w:after="0"/>
        <w:ind w:left="709" w:hanging="709"/>
        <w:rPr>
          <w:rFonts w:cs="Arial"/>
          <w:szCs w:val="22"/>
        </w:rPr>
      </w:pPr>
      <w:r w:rsidRPr="00957B9C">
        <w:rPr>
          <w:rFonts w:eastAsia="+mn-ea" w:cs="Arial"/>
          <w:color w:val="000000"/>
          <w:szCs w:val="22"/>
        </w:rPr>
        <w:t>Employees are required to declare changes in circumstances which may allow for early repayment of the overpayment to the Trust.  This includes where an employee is due to retire.</w:t>
      </w:r>
    </w:p>
    <w:p w14:paraId="757CA6B5" w14:textId="77777777" w:rsidR="00B13FDF" w:rsidRPr="00957B9C" w:rsidRDefault="00B13FDF" w:rsidP="00B13FDF">
      <w:pPr>
        <w:spacing w:before="0" w:after="0"/>
        <w:rPr>
          <w:rFonts w:eastAsia="+mn-ea" w:cs="Arial"/>
          <w:color w:val="000000"/>
          <w:szCs w:val="22"/>
        </w:rPr>
      </w:pPr>
    </w:p>
    <w:p w14:paraId="4A14705B" w14:textId="1F12B78F" w:rsidR="00B13FDF" w:rsidRPr="00957B9C" w:rsidRDefault="00B13FDF" w:rsidP="00B13FDF">
      <w:pPr>
        <w:spacing w:before="0" w:after="0"/>
        <w:ind w:left="709" w:hanging="709"/>
        <w:rPr>
          <w:rFonts w:eastAsiaTheme="minorEastAsia" w:cs="Arial"/>
          <w:snapToGrid w:val="0"/>
          <w:szCs w:val="22"/>
          <w:lang w:eastAsia="en-US"/>
        </w:rPr>
      </w:pPr>
      <w:r w:rsidRPr="00957B9C">
        <w:rPr>
          <w:rFonts w:eastAsia="+mn-ea" w:cs="Arial"/>
          <w:color w:val="000000"/>
          <w:szCs w:val="22"/>
        </w:rPr>
        <w:t>3.4</w:t>
      </w:r>
      <w:r w:rsidRPr="00957B9C">
        <w:rPr>
          <w:rFonts w:eastAsia="+mn-ea" w:cs="Arial"/>
          <w:color w:val="000000"/>
          <w:szCs w:val="22"/>
        </w:rPr>
        <w:tab/>
      </w:r>
      <w:r w:rsidRPr="00957B9C">
        <w:rPr>
          <w:rFonts w:cs="Arial"/>
          <w:szCs w:val="22"/>
        </w:rPr>
        <w:t>M</w:t>
      </w:r>
      <w:r w:rsidRPr="00957B9C">
        <w:rPr>
          <w:rFonts w:eastAsiaTheme="minorEastAsia" w:cs="Arial"/>
          <w:snapToGrid w:val="0"/>
          <w:szCs w:val="22"/>
          <w:lang w:eastAsia="en-US"/>
        </w:rPr>
        <w:t xml:space="preserve">anagers have no responsibility on behalf of the Trust to amend, waive or negotiate on any terms for an overpayment.  This function can only be undertaken by </w:t>
      </w:r>
      <w:r>
        <w:rPr>
          <w:rFonts w:eastAsiaTheme="minorEastAsia" w:cs="Arial"/>
          <w:snapToGrid w:val="0"/>
          <w:szCs w:val="22"/>
          <w:lang w:eastAsia="en-US"/>
        </w:rPr>
        <w:t xml:space="preserve">Payroll </w:t>
      </w:r>
      <w:r w:rsidRPr="00957B9C">
        <w:rPr>
          <w:rFonts w:eastAsiaTheme="minorEastAsia" w:cs="Arial"/>
          <w:snapToGrid w:val="0"/>
          <w:szCs w:val="22"/>
          <w:lang w:eastAsia="en-US"/>
        </w:rPr>
        <w:t>or the Trust’s Finance Department.</w:t>
      </w:r>
    </w:p>
    <w:p w14:paraId="0D271D9E" w14:textId="77777777" w:rsidR="00B13FDF" w:rsidRPr="00957B9C" w:rsidRDefault="00B13FDF" w:rsidP="00B13FDF">
      <w:pPr>
        <w:ind w:left="709" w:hanging="709"/>
        <w:rPr>
          <w:rFonts w:eastAsiaTheme="minorEastAsia" w:cs="Arial"/>
          <w:snapToGrid w:val="0"/>
          <w:szCs w:val="22"/>
          <w:lang w:eastAsia="en-US"/>
        </w:rPr>
      </w:pPr>
      <w:r w:rsidRPr="00957B9C">
        <w:rPr>
          <w:rFonts w:eastAsiaTheme="minorEastAsia" w:cs="Arial"/>
          <w:snapToGrid w:val="0"/>
          <w:szCs w:val="22"/>
          <w:lang w:eastAsia="en-US"/>
        </w:rPr>
        <w:t>3.5</w:t>
      </w:r>
      <w:r w:rsidRPr="00957B9C">
        <w:rPr>
          <w:rFonts w:eastAsiaTheme="minorEastAsia" w:cs="Arial"/>
          <w:snapToGrid w:val="0"/>
          <w:szCs w:val="22"/>
          <w:lang w:eastAsia="en-US"/>
        </w:rPr>
        <w:tab/>
        <w:t>It is the manager</w:t>
      </w:r>
      <w:r>
        <w:rPr>
          <w:rFonts w:eastAsiaTheme="minorEastAsia" w:cs="Arial"/>
          <w:snapToGrid w:val="0"/>
          <w:szCs w:val="22"/>
          <w:lang w:eastAsia="en-US"/>
        </w:rPr>
        <w:t>’s</w:t>
      </w:r>
      <w:r w:rsidRPr="00957B9C">
        <w:rPr>
          <w:rFonts w:eastAsiaTheme="minorEastAsia" w:cs="Arial"/>
          <w:snapToGrid w:val="0"/>
          <w:szCs w:val="22"/>
          <w:lang w:eastAsia="en-US"/>
        </w:rPr>
        <w:t xml:space="preserve"> responsibility to ensure any alterations to the employee’s terms and conditions are reported or documentation submitted to the appropriate department in a timely manner</w:t>
      </w:r>
    </w:p>
    <w:p w14:paraId="30A7DF9C" w14:textId="77777777" w:rsidR="00B13FDF" w:rsidRPr="00957B9C" w:rsidRDefault="00B13FDF" w:rsidP="00B13FDF">
      <w:pPr>
        <w:widowControl w:val="0"/>
        <w:spacing w:before="0" w:after="0"/>
        <w:ind w:left="709" w:hanging="709"/>
        <w:rPr>
          <w:rFonts w:eastAsiaTheme="minorEastAsia" w:cs="Arial"/>
          <w:snapToGrid w:val="0"/>
          <w:szCs w:val="22"/>
          <w:lang w:eastAsia="en-US"/>
        </w:rPr>
      </w:pPr>
      <w:r w:rsidRPr="00957B9C">
        <w:rPr>
          <w:rFonts w:eastAsiaTheme="minorEastAsia" w:cs="Arial"/>
          <w:snapToGrid w:val="0"/>
          <w:szCs w:val="22"/>
          <w:lang w:eastAsia="en-US"/>
        </w:rPr>
        <w:t>3.6</w:t>
      </w:r>
      <w:r w:rsidRPr="00957B9C">
        <w:rPr>
          <w:rFonts w:eastAsiaTheme="minorEastAsia" w:cs="Arial"/>
          <w:snapToGrid w:val="0"/>
          <w:szCs w:val="22"/>
          <w:lang w:eastAsia="en-US"/>
        </w:rPr>
        <w:tab/>
        <w:t>It is the manager’s responsibility to follow Trust systems and procedures and provide timely and accurate information to enable the correct payment(s) to be made.  This is especially important when processing leaver details.  Any manager who fails to follow the proper process in notifying any change(s) that may impact on salary payment(s), for example as a result of late or non-notification; or who fail to avoid salary overpayments, for example by making decisions or  entering into commitments with employees outside of their authority, may be subject to disciplinary action.  If an overpayment cannot be recovered due to a manager not following the policy or process, their budget will incur the full cost of the overpayment.</w:t>
      </w:r>
    </w:p>
    <w:p w14:paraId="333A39C4" w14:textId="77777777" w:rsidR="00B13FDF" w:rsidRPr="00B62CA3" w:rsidRDefault="00B13FDF" w:rsidP="00B13FDF">
      <w:pPr>
        <w:ind w:left="720" w:hanging="720"/>
        <w:rPr>
          <w:rFonts w:eastAsiaTheme="minorEastAsia" w:cs="Arial"/>
          <w:snapToGrid w:val="0"/>
          <w:szCs w:val="22"/>
          <w:lang w:eastAsia="en-US"/>
        </w:rPr>
      </w:pPr>
      <w:r>
        <w:rPr>
          <w:rFonts w:cs="Arial"/>
          <w:szCs w:val="22"/>
        </w:rPr>
        <w:t>3.7</w:t>
      </w:r>
      <w:r w:rsidRPr="00B62CA3">
        <w:rPr>
          <w:rFonts w:cs="Arial"/>
          <w:szCs w:val="22"/>
        </w:rPr>
        <w:tab/>
        <w:t>A</w:t>
      </w:r>
      <w:r w:rsidRPr="00B62CA3">
        <w:rPr>
          <w:rFonts w:eastAsiaTheme="minorEastAsia" w:cs="Arial"/>
          <w:snapToGrid w:val="0"/>
          <w:szCs w:val="22"/>
          <w:lang w:eastAsia="en-US"/>
        </w:rPr>
        <w:t xml:space="preserve">ll overpayments in pay, allowances and pensions will be pursued.  </w:t>
      </w:r>
      <w:r>
        <w:rPr>
          <w:rFonts w:eastAsiaTheme="minorEastAsia" w:cs="Arial"/>
          <w:snapToGrid w:val="0"/>
          <w:szCs w:val="22"/>
          <w:lang w:eastAsia="en-US"/>
        </w:rPr>
        <w:t>For current employees, a</w:t>
      </w:r>
      <w:r w:rsidRPr="00B62CA3">
        <w:rPr>
          <w:rFonts w:eastAsiaTheme="minorEastAsia" w:cs="Arial"/>
          <w:snapToGrid w:val="0"/>
          <w:szCs w:val="22"/>
          <w:lang w:eastAsia="en-US"/>
        </w:rPr>
        <w:t>fter notifying the recipient, recovery through deduction from future salary payment(s) will be made.  Authorisation from the employee for a salary adjustment is not required when the Trust makes deductions under Section 14 of the Employment Rights Act.</w:t>
      </w:r>
    </w:p>
    <w:p w14:paraId="5BC6E2BA" w14:textId="77777777" w:rsidR="00B13FDF" w:rsidRPr="00957B9C" w:rsidRDefault="00B13FDF" w:rsidP="00B13FDF">
      <w:pPr>
        <w:pStyle w:val="ListParagraph"/>
        <w:widowControl w:val="0"/>
        <w:numPr>
          <w:ilvl w:val="1"/>
          <w:numId w:val="15"/>
        </w:numPr>
        <w:spacing w:before="0" w:after="0"/>
        <w:ind w:left="709" w:hanging="709"/>
        <w:rPr>
          <w:rFonts w:eastAsiaTheme="minorEastAsia" w:cs="Arial"/>
          <w:snapToGrid w:val="0"/>
          <w:szCs w:val="22"/>
          <w:lang w:eastAsia="en-US"/>
        </w:rPr>
      </w:pPr>
      <w:r w:rsidRPr="00957B9C">
        <w:rPr>
          <w:rFonts w:eastAsiaTheme="minorEastAsia" w:cs="Arial"/>
          <w:snapToGrid w:val="0"/>
          <w:szCs w:val="22"/>
          <w:lang w:eastAsia="en-US"/>
        </w:rPr>
        <w:t xml:space="preserve">Where it is discovered that a debt is owed to the employee or former employee by the Trust, e.g. pay arrears or a back-dated change, the Trust will exercise its common law right to offset this against any outstanding sum(s) owed to the Trust.  Written notice will be provided to the employee confirming the amount to be offset, and remaining balance owed to the Trust. </w:t>
      </w:r>
    </w:p>
    <w:p w14:paraId="77F4E131" w14:textId="77777777" w:rsidR="00B13FDF" w:rsidRPr="00B62CA3" w:rsidRDefault="00B13FDF" w:rsidP="00B13FDF">
      <w:pPr>
        <w:spacing w:before="0" w:after="0"/>
        <w:ind w:left="720"/>
        <w:rPr>
          <w:rFonts w:eastAsiaTheme="minorEastAsia" w:cs="Arial"/>
          <w:snapToGrid w:val="0"/>
          <w:szCs w:val="22"/>
          <w:lang w:eastAsia="en-US"/>
        </w:rPr>
      </w:pPr>
    </w:p>
    <w:p w14:paraId="08701D06" w14:textId="77777777" w:rsidR="00B13FDF" w:rsidRPr="00957B9C" w:rsidRDefault="00B13FDF" w:rsidP="00B13FDF">
      <w:pPr>
        <w:pStyle w:val="ListParagraph"/>
        <w:widowControl w:val="0"/>
        <w:numPr>
          <w:ilvl w:val="1"/>
          <w:numId w:val="15"/>
        </w:numPr>
        <w:spacing w:before="0" w:after="0"/>
        <w:ind w:left="709" w:hanging="709"/>
        <w:jc w:val="left"/>
        <w:rPr>
          <w:rFonts w:eastAsiaTheme="minorEastAsia" w:cs="Arial"/>
          <w:snapToGrid w:val="0"/>
          <w:szCs w:val="22"/>
          <w:lang w:eastAsia="en-US"/>
        </w:rPr>
      </w:pPr>
      <w:r w:rsidRPr="00957B9C">
        <w:rPr>
          <w:rFonts w:eastAsiaTheme="minorEastAsia" w:cs="Arial"/>
          <w:snapToGrid w:val="0"/>
          <w:szCs w:val="22"/>
          <w:lang w:eastAsia="en-US"/>
        </w:rPr>
        <w:t xml:space="preserve">The Theft Act 1968 indicates that although an individual may not set out to obtain the additional money intentionally, by keeping it and treating it as their own (i.e. spending it) they may be guilty of theft, which could be treated as a criminal matter. </w:t>
      </w:r>
    </w:p>
    <w:p w14:paraId="50162B59" w14:textId="77777777" w:rsidR="00B13FDF" w:rsidRDefault="00B13FDF" w:rsidP="00B13FDF">
      <w:pPr>
        <w:spacing w:before="0" w:after="0"/>
        <w:rPr>
          <w:rFonts w:eastAsiaTheme="minorEastAsia" w:cs="Arial"/>
          <w:szCs w:val="22"/>
          <w:lang w:eastAsia="en-US"/>
        </w:rPr>
      </w:pPr>
    </w:p>
    <w:p w14:paraId="7D89C9B3" w14:textId="77777777" w:rsidR="00B13FDF" w:rsidRPr="00040200" w:rsidRDefault="00B13FDF" w:rsidP="00B13FDF">
      <w:pPr>
        <w:pStyle w:val="ListParagraph"/>
        <w:numPr>
          <w:ilvl w:val="1"/>
          <w:numId w:val="15"/>
        </w:numPr>
        <w:spacing w:before="0" w:after="0"/>
        <w:rPr>
          <w:rFonts w:eastAsiaTheme="minorEastAsia" w:cs="Arial"/>
          <w:szCs w:val="22"/>
          <w:lang w:eastAsia="en-US"/>
        </w:rPr>
      </w:pPr>
      <w:r w:rsidRPr="00040200">
        <w:rPr>
          <w:rFonts w:eastAsiaTheme="minorEastAsia" w:cs="Arial"/>
          <w:szCs w:val="22"/>
          <w:lang w:eastAsia="en-US"/>
        </w:rPr>
        <w:t>If an employee is aware that they have been overpaid in salary and they have not notified this to the Trust, or if they have been notified of a salary overpayment and has not engaged with the Trust, then this could constitute theft and be treated as a criminal matter.</w:t>
      </w:r>
    </w:p>
    <w:p w14:paraId="2A0BC619" w14:textId="77777777" w:rsidR="00B13FDF" w:rsidRPr="00040200" w:rsidRDefault="00B13FDF" w:rsidP="00B13FDF">
      <w:pPr>
        <w:pStyle w:val="ListParagraph"/>
        <w:rPr>
          <w:rFonts w:eastAsiaTheme="minorEastAsia" w:cs="Arial"/>
          <w:szCs w:val="22"/>
          <w:lang w:eastAsia="en-US"/>
        </w:rPr>
      </w:pPr>
    </w:p>
    <w:p w14:paraId="20BB807B" w14:textId="77777777" w:rsidR="00B13FDF" w:rsidRDefault="00B13FDF" w:rsidP="00B13FDF">
      <w:pPr>
        <w:pStyle w:val="ListParagraph"/>
        <w:spacing w:before="0" w:after="0"/>
        <w:ind w:left="360"/>
        <w:rPr>
          <w:rFonts w:eastAsiaTheme="minorEastAsia" w:cs="Arial"/>
          <w:szCs w:val="22"/>
          <w:lang w:eastAsia="en-US"/>
        </w:rPr>
      </w:pPr>
    </w:p>
    <w:p w14:paraId="543CA887" w14:textId="77777777" w:rsidR="00B13FDF" w:rsidRPr="00040200" w:rsidRDefault="00B13FDF" w:rsidP="00B13FDF">
      <w:pPr>
        <w:pStyle w:val="ListParagraph"/>
        <w:spacing w:before="0" w:after="0"/>
        <w:ind w:left="360"/>
        <w:rPr>
          <w:rFonts w:eastAsiaTheme="minorEastAsia" w:cs="Arial"/>
          <w:szCs w:val="22"/>
          <w:lang w:eastAsia="en-US"/>
        </w:rPr>
      </w:pPr>
    </w:p>
    <w:p w14:paraId="361A2593" w14:textId="77777777" w:rsidR="00B13FDF" w:rsidRDefault="00B13FDF" w:rsidP="00B13FDF">
      <w:pPr>
        <w:pStyle w:val="ListParagraph"/>
        <w:numPr>
          <w:ilvl w:val="0"/>
          <w:numId w:val="15"/>
        </w:numPr>
        <w:rPr>
          <w:rFonts w:cs="Arial"/>
          <w:b/>
          <w:szCs w:val="22"/>
        </w:rPr>
      </w:pPr>
      <w:r>
        <w:rPr>
          <w:rFonts w:cs="Arial"/>
          <w:b/>
          <w:szCs w:val="22"/>
        </w:rPr>
        <w:t xml:space="preserve">      Definitions</w:t>
      </w:r>
    </w:p>
    <w:p w14:paraId="24204CC6" w14:textId="77777777" w:rsidR="00B13FDF" w:rsidRDefault="00B13FDF" w:rsidP="00B13FDF">
      <w:pPr>
        <w:pStyle w:val="ListParagraph"/>
        <w:ind w:left="360"/>
        <w:rPr>
          <w:rFonts w:cs="Arial"/>
          <w:b/>
          <w:szCs w:val="22"/>
        </w:rPr>
      </w:pPr>
    </w:p>
    <w:p w14:paraId="062E0FA4" w14:textId="77777777" w:rsidR="00B13FDF" w:rsidRPr="00957B9C" w:rsidRDefault="00B13FDF" w:rsidP="00B13FDF">
      <w:pPr>
        <w:pStyle w:val="ListParagraph"/>
        <w:ind w:left="360"/>
        <w:rPr>
          <w:rFonts w:cs="Arial"/>
          <w:b/>
          <w:szCs w:val="22"/>
        </w:rPr>
      </w:pPr>
    </w:p>
    <w:p w14:paraId="301AB389" w14:textId="77777777" w:rsidR="00B13FDF" w:rsidRPr="00123208" w:rsidRDefault="00B13FDF" w:rsidP="00B13FDF">
      <w:pPr>
        <w:widowControl w:val="0"/>
        <w:spacing w:before="0" w:after="0"/>
        <w:ind w:left="709" w:hanging="709"/>
        <w:rPr>
          <w:rFonts w:eastAsiaTheme="minorEastAsia" w:cs="Arial"/>
          <w:snapToGrid w:val="0"/>
          <w:szCs w:val="22"/>
          <w:lang w:eastAsia="en-US"/>
        </w:rPr>
      </w:pPr>
      <w:r w:rsidRPr="00957B9C">
        <w:rPr>
          <w:rFonts w:eastAsiaTheme="minorEastAsia" w:cs="Arial"/>
          <w:szCs w:val="22"/>
          <w:lang w:eastAsia="en-US"/>
        </w:rPr>
        <w:t>4.1</w:t>
      </w:r>
      <w:r w:rsidRPr="00957B9C">
        <w:rPr>
          <w:rFonts w:eastAsiaTheme="minorEastAsia" w:cs="Arial"/>
          <w:szCs w:val="22"/>
          <w:lang w:eastAsia="en-US"/>
        </w:rPr>
        <w:tab/>
      </w:r>
      <w:r w:rsidRPr="00957B9C">
        <w:rPr>
          <w:rFonts w:eastAsiaTheme="minorEastAsia" w:cs="Arial"/>
          <w:b/>
          <w:szCs w:val="22"/>
          <w:lang w:eastAsia="en-US"/>
        </w:rPr>
        <w:t>S</w:t>
      </w:r>
      <w:r w:rsidRPr="00957B9C">
        <w:rPr>
          <w:rFonts w:eastAsiaTheme="minorEastAsia" w:cs="Arial"/>
          <w:b/>
          <w:snapToGrid w:val="0"/>
          <w:szCs w:val="22"/>
          <w:lang w:eastAsia="en-US"/>
        </w:rPr>
        <w:t>alary overpayment</w:t>
      </w:r>
      <w:r w:rsidRPr="00957B9C">
        <w:rPr>
          <w:rFonts w:eastAsiaTheme="minorEastAsia" w:cs="Arial"/>
          <w:snapToGrid w:val="0"/>
          <w:szCs w:val="22"/>
          <w:lang w:eastAsia="en-US"/>
        </w:rPr>
        <w:t xml:space="preserve"> – For the purpose of this policy, a salary overpayment is where an employee or worker has been paid more than they should have received under their contract of employment.  This can include (but is not limited to) all aspects of pay, including travel and non-travel expenses, allowances and duplication of a payment made in error.  It can also include monies owed to the Trust by the employee, where they have entered into a Trust-offered Salary Sacrifice scheme.</w:t>
      </w:r>
      <w:r w:rsidRPr="00123208">
        <w:rPr>
          <w:rFonts w:eastAsiaTheme="minorEastAsia" w:cs="Arial"/>
          <w:snapToGrid w:val="0"/>
          <w:szCs w:val="22"/>
          <w:lang w:eastAsia="en-US"/>
        </w:rPr>
        <w:t xml:space="preserve"> </w:t>
      </w:r>
    </w:p>
    <w:p w14:paraId="0B666803" w14:textId="77777777" w:rsidR="00B13FDF" w:rsidRPr="00123208" w:rsidRDefault="00B13FDF" w:rsidP="00B13FDF">
      <w:pPr>
        <w:widowControl w:val="0"/>
        <w:ind w:left="720" w:hanging="720"/>
        <w:rPr>
          <w:rFonts w:cs="Arial"/>
          <w:szCs w:val="22"/>
        </w:rPr>
      </w:pPr>
      <w:r w:rsidRPr="00123208">
        <w:rPr>
          <w:rFonts w:cs="Arial"/>
          <w:szCs w:val="22"/>
        </w:rPr>
        <w:t>4.2</w:t>
      </w:r>
      <w:r w:rsidRPr="00123208">
        <w:rPr>
          <w:rFonts w:cs="Arial"/>
          <w:szCs w:val="22"/>
        </w:rPr>
        <w:tab/>
        <w:t xml:space="preserve">Salary overpayments and under deductions are defined as payments/ deductions administered in error either due to late notification of change in an employee’s employment status/circumstances or, as a result of an inputting error by the processing department and which cannot be reasonably adjusted/recovered in the following pay period. </w:t>
      </w:r>
    </w:p>
    <w:p w14:paraId="72B0FB60" w14:textId="77777777" w:rsidR="00B13FDF" w:rsidRPr="00123208"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4.3</w:t>
      </w:r>
      <w:r w:rsidRPr="00123208">
        <w:rPr>
          <w:rFonts w:ascii="Arial" w:hAnsi="Arial" w:cs="Arial"/>
          <w:b w:val="0"/>
          <w:sz w:val="22"/>
          <w:szCs w:val="22"/>
        </w:rPr>
        <w:tab/>
        <w:t>Late notification is defined as documentation arriving late into the processing department and which cannot be processed in the first applicable pay period or (in the case of notifications effective from the latter part of the month after ESR has closed down) the next available pay period.</w:t>
      </w:r>
    </w:p>
    <w:p w14:paraId="0AA88C3D" w14:textId="77777777" w:rsidR="00B13FDF" w:rsidRPr="00123208" w:rsidRDefault="00B13FDF" w:rsidP="00B13FDF">
      <w:pPr>
        <w:pStyle w:val="BodyText"/>
        <w:rPr>
          <w:rFonts w:ascii="Arial" w:hAnsi="Arial" w:cs="Arial"/>
          <w:b w:val="0"/>
          <w:sz w:val="22"/>
          <w:szCs w:val="22"/>
        </w:rPr>
      </w:pPr>
    </w:p>
    <w:p w14:paraId="7F18A519" w14:textId="77777777" w:rsidR="00B13FDF" w:rsidRPr="00123208" w:rsidRDefault="00B13FDF" w:rsidP="00B13FDF">
      <w:pPr>
        <w:pStyle w:val="BodyText"/>
        <w:ind w:left="720" w:hanging="720"/>
        <w:rPr>
          <w:rFonts w:ascii="Arial" w:hAnsi="Arial" w:cs="Arial"/>
          <w:b w:val="0"/>
          <w:sz w:val="22"/>
          <w:szCs w:val="22"/>
        </w:rPr>
      </w:pPr>
      <w:r w:rsidRPr="00123208">
        <w:rPr>
          <w:rFonts w:ascii="Arial" w:hAnsi="Arial" w:cs="Arial"/>
          <w:b w:val="0"/>
          <w:sz w:val="22"/>
          <w:szCs w:val="22"/>
        </w:rPr>
        <w:t>4.4</w:t>
      </w:r>
      <w:r w:rsidRPr="00123208">
        <w:rPr>
          <w:rFonts w:ascii="Arial" w:hAnsi="Arial" w:cs="Arial"/>
          <w:b w:val="0"/>
          <w:sz w:val="22"/>
          <w:szCs w:val="22"/>
        </w:rPr>
        <w:tab/>
        <w:t>Typical examples of overpayments and under deductions are:</w:t>
      </w:r>
    </w:p>
    <w:p w14:paraId="6F829EF9" w14:textId="77777777" w:rsidR="00B13FDF" w:rsidRPr="00123208" w:rsidRDefault="00B13FDF" w:rsidP="00B13FDF">
      <w:pPr>
        <w:pStyle w:val="BodyText"/>
        <w:rPr>
          <w:rFonts w:ascii="Arial" w:hAnsi="Arial" w:cs="Arial"/>
          <w:b w:val="0"/>
          <w:sz w:val="22"/>
          <w:szCs w:val="22"/>
        </w:rPr>
      </w:pPr>
    </w:p>
    <w:p w14:paraId="0119B012"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an employee leaving the organisation who continues to be paid after leaving;</w:t>
      </w:r>
    </w:p>
    <w:p w14:paraId="51844E85" w14:textId="77777777" w:rsidR="00B13FDF" w:rsidRPr="00123208" w:rsidRDefault="00B13FDF" w:rsidP="00B13FDF">
      <w:pPr>
        <w:rPr>
          <w:rFonts w:cs="Arial"/>
          <w:szCs w:val="22"/>
        </w:rPr>
      </w:pPr>
    </w:p>
    <w:p w14:paraId="5BC5360F"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 change in an employee’s circumstances (e.g. reduction from full time to part time hours and continues to be paid full time);</w:t>
      </w:r>
    </w:p>
    <w:p w14:paraId="37B7B86A" w14:textId="77777777" w:rsidR="00B13FDF" w:rsidRPr="00123208" w:rsidRDefault="00B13FDF" w:rsidP="00B13FDF">
      <w:pPr>
        <w:widowControl w:val="0"/>
        <w:ind w:left="1080"/>
        <w:rPr>
          <w:rFonts w:cs="Arial"/>
          <w:szCs w:val="22"/>
        </w:rPr>
      </w:pPr>
    </w:p>
    <w:p w14:paraId="1E2A819E"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an employee commencing sick, maternity or unpaid leave who continues to be paid at full pay instead of reduced pay, or where an absence is closed prematurely in error;</w:t>
      </w:r>
    </w:p>
    <w:p w14:paraId="5FBB4C55" w14:textId="77777777" w:rsidR="00B13FDF" w:rsidRPr="00123208" w:rsidRDefault="00B13FDF" w:rsidP="00B13FDF">
      <w:pPr>
        <w:widowControl w:val="0"/>
        <w:ind w:left="1080"/>
        <w:rPr>
          <w:rFonts w:cs="Arial"/>
          <w:szCs w:val="22"/>
        </w:rPr>
      </w:pPr>
    </w:p>
    <w:p w14:paraId="2F6C5317"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Administrative/inputting errors made by the processing department resulting in either an overpayment or under deduction (e.g. incorrect payment of allowance or under deduction of lease car deduction).</w:t>
      </w:r>
    </w:p>
    <w:p w14:paraId="69BC56A5" w14:textId="77777777" w:rsidR="00B13FDF" w:rsidRPr="00123208" w:rsidRDefault="00B13FDF" w:rsidP="00B13FDF">
      <w:pPr>
        <w:pStyle w:val="ListParagraph"/>
        <w:rPr>
          <w:rFonts w:cs="Arial"/>
          <w:szCs w:val="22"/>
        </w:rPr>
      </w:pPr>
    </w:p>
    <w:p w14:paraId="7954E81B" w14:textId="77777777" w:rsidR="00B13FDF" w:rsidRPr="00957B9C" w:rsidRDefault="00B13FDF" w:rsidP="00B13FDF">
      <w:pPr>
        <w:spacing w:before="0" w:after="0"/>
        <w:ind w:left="720" w:hanging="720"/>
        <w:rPr>
          <w:rFonts w:eastAsiaTheme="minorEastAsia" w:cs="Arial"/>
          <w:szCs w:val="22"/>
          <w:lang w:eastAsia="en-US"/>
        </w:rPr>
      </w:pPr>
      <w:r w:rsidRPr="00123208">
        <w:rPr>
          <w:rFonts w:eastAsiaTheme="minorEastAsia" w:cs="Arial"/>
          <w:b/>
          <w:szCs w:val="22"/>
          <w:lang w:eastAsia="en-US"/>
        </w:rPr>
        <w:t>4.5</w:t>
      </w:r>
      <w:r w:rsidRPr="00123208">
        <w:rPr>
          <w:rFonts w:eastAsiaTheme="minorEastAsia" w:cs="Arial"/>
          <w:b/>
          <w:szCs w:val="22"/>
          <w:lang w:eastAsia="en-US"/>
        </w:rPr>
        <w:tab/>
      </w:r>
      <w:r w:rsidRPr="00957B9C">
        <w:rPr>
          <w:rFonts w:eastAsiaTheme="minorEastAsia" w:cs="Arial"/>
          <w:b/>
          <w:szCs w:val="22"/>
          <w:lang w:eastAsia="en-US"/>
        </w:rPr>
        <w:t>Salary adjustment</w:t>
      </w:r>
      <w:r w:rsidRPr="00957B9C">
        <w:rPr>
          <w:rFonts w:eastAsiaTheme="minorEastAsia" w:cs="Arial"/>
          <w:szCs w:val="22"/>
          <w:lang w:eastAsia="en-US"/>
        </w:rPr>
        <w:t xml:space="preserve"> – A salary adjustment is made to the employee’s pay to recover the overpayment.  The recovery is made automatically from salary and will be detailed on the employee’s pay slip(s).</w:t>
      </w:r>
    </w:p>
    <w:p w14:paraId="495950CA" w14:textId="77777777" w:rsidR="00B13FDF" w:rsidRPr="00957B9C" w:rsidRDefault="00B13FDF" w:rsidP="00B13FDF">
      <w:pPr>
        <w:spacing w:before="0" w:after="0"/>
        <w:ind w:left="360"/>
        <w:rPr>
          <w:rFonts w:eastAsiaTheme="minorEastAsia" w:cs="Arial"/>
          <w:szCs w:val="22"/>
          <w:lang w:eastAsia="en-US"/>
        </w:rPr>
      </w:pPr>
    </w:p>
    <w:p w14:paraId="027D2E54" w14:textId="77777777" w:rsidR="00B13FDF" w:rsidRPr="00957B9C" w:rsidRDefault="00B13FDF" w:rsidP="00B13FDF">
      <w:pPr>
        <w:spacing w:before="0" w:after="0"/>
        <w:ind w:left="720" w:hanging="720"/>
        <w:rPr>
          <w:rFonts w:eastAsiaTheme="minorEastAsia" w:cs="Arial"/>
          <w:szCs w:val="22"/>
          <w:lang w:eastAsia="en-US"/>
        </w:rPr>
      </w:pPr>
      <w:r w:rsidRPr="00957B9C">
        <w:rPr>
          <w:rFonts w:eastAsiaTheme="minorEastAsia" w:cs="Arial"/>
          <w:b/>
          <w:szCs w:val="22"/>
          <w:lang w:eastAsia="en-US"/>
        </w:rPr>
        <w:t>4.6</w:t>
      </w:r>
      <w:r w:rsidRPr="00957B9C">
        <w:rPr>
          <w:rFonts w:eastAsiaTheme="minorEastAsia" w:cs="Arial"/>
          <w:b/>
          <w:szCs w:val="22"/>
          <w:lang w:eastAsia="en-US"/>
        </w:rPr>
        <w:tab/>
        <w:t>Lump Sum Overpayment Recovery</w:t>
      </w:r>
      <w:r w:rsidRPr="00957B9C">
        <w:rPr>
          <w:rFonts w:eastAsiaTheme="minorEastAsia" w:cs="Arial"/>
          <w:szCs w:val="22"/>
          <w:lang w:eastAsia="en-US"/>
        </w:rPr>
        <w:t xml:space="preserve"> – Lump Sum Overpayment recovery requires the full overpayment to be refunded to the Trust in a single payment. Lump Sum Overpayment recovery will generally only be implemented for overpayments made to former employees, however this does not preclude the Trust implementing Lump Sum Overpayment recovery with current employees.  A current employee can request to repay an overpayment via Lump Sum Overpayment recovery.</w:t>
      </w:r>
    </w:p>
    <w:p w14:paraId="1766F0EF" w14:textId="77777777" w:rsidR="00B13FDF" w:rsidRPr="00957B9C" w:rsidRDefault="00B13FDF" w:rsidP="00B13FDF">
      <w:pPr>
        <w:spacing w:before="0" w:after="0"/>
        <w:ind w:left="360"/>
        <w:rPr>
          <w:rFonts w:eastAsiaTheme="minorEastAsia" w:cs="Arial"/>
          <w:szCs w:val="22"/>
          <w:lang w:eastAsia="en-US"/>
        </w:rPr>
      </w:pPr>
    </w:p>
    <w:p w14:paraId="6335BEF1" w14:textId="77777777" w:rsidR="00B13FDF" w:rsidRPr="00957B9C" w:rsidRDefault="00B13FDF" w:rsidP="00B13FDF">
      <w:pPr>
        <w:spacing w:before="0" w:after="0"/>
        <w:ind w:left="720" w:hanging="720"/>
        <w:rPr>
          <w:rFonts w:eastAsiaTheme="minorEastAsia" w:cs="Arial"/>
          <w:szCs w:val="22"/>
          <w:lang w:eastAsia="en-US"/>
        </w:rPr>
      </w:pPr>
      <w:r w:rsidRPr="00957B9C">
        <w:rPr>
          <w:rFonts w:eastAsiaTheme="minorEastAsia" w:cs="Arial"/>
          <w:b/>
          <w:szCs w:val="22"/>
          <w:lang w:eastAsia="en-US"/>
        </w:rPr>
        <w:t>4.7</w:t>
      </w:r>
      <w:r w:rsidRPr="00957B9C">
        <w:rPr>
          <w:rFonts w:eastAsiaTheme="minorEastAsia" w:cs="Arial"/>
          <w:b/>
          <w:szCs w:val="22"/>
          <w:lang w:eastAsia="en-US"/>
        </w:rPr>
        <w:tab/>
        <w:t>Debt Recovery</w:t>
      </w:r>
      <w:r w:rsidRPr="00957B9C">
        <w:rPr>
          <w:rFonts w:eastAsiaTheme="minorEastAsia" w:cs="Arial"/>
          <w:szCs w:val="22"/>
          <w:lang w:eastAsia="en-US"/>
        </w:rPr>
        <w:t xml:space="preserve"> – Initiated when a current or former employee does not refund an overpayment to the Trust when requested.  This can include referral to an external debt collection agency resulting in civil action initiated via HM Courts &amp; Tribunals Service.  The Trust will seek to cover its full costs in every claim lodged.</w:t>
      </w:r>
    </w:p>
    <w:p w14:paraId="1FEB0449" w14:textId="77777777" w:rsidR="00B13FDF" w:rsidRPr="00957B9C" w:rsidRDefault="00B13FDF" w:rsidP="00B13FDF">
      <w:pPr>
        <w:spacing w:before="0" w:after="0"/>
        <w:ind w:left="360"/>
        <w:rPr>
          <w:rFonts w:eastAsiaTheme="minorEastAsia" w:cs="Arial"/>
          <w:szCs w:val="22"/>
          <w:lang w:eastAsia="en-US"/>
        </w:rPr>
      </w:pPr>
    </w:p>
    <w:p w14:paraId="16102B1B" w14:textId="77777777" w:rsidR="00B13FDF" w:rsidRPr="00123208" w:rsidRDefault="00B13FDF" w:rsidP="00B13FDF">
      <w:pPr>
        <w:spacing w:before="0" w:after="0"/>
        <w:ind w:left="720" w:hanging="720"/>
        <w:rPr>
          <w:rFonts w:eastAsiaTheme="minorEastAsia" w:cs="Arial"/>
          <w:color w:val="FF0000"/>
          <w:szCs w:val="22"/>
          <w:lang w:eastAsia="en-US"/>
        </w:rPr>
      </w:pPr>
      <w:r w:rsidRPr="00957B9C">
        <w:rPr>
          <w:rFonts w:eastAsiaTheme="minorEastAsia" w:cs="Arial"/>
          <w:b/>
          <w:szCs w:val="22"/>
          <w:lang w:eastAsia="en-US"/>
        </w:rPr>
        <w:t>4.8</w:t>
      </w:r>
      <w:r w:rsidRPr="00957B9C">
        <w:rPr>
          <w:rFonts w:eastAsiaTheme="minorEastAsia" w:cs="Arial"/>
          <w:b/>
          <w:szCs w:val="22"/>
          <w:lang w:eastAsia="en-US"/>
        </w:rPr>
        <w:tab/>
        <w:t>Payroll</w:t>
      </w:r>
      <w:r w:rsidRPr="00957B9C">
        <w:rPr>
          <w:rFonts w:eastAsiaTheme="minorEastAsia" w:cs="Arial"/>
          <w:szCs w:val="22"/>
          <w:lang w:eastAsia="en-US"/>
        </w:rPr>
        <w:t xml:space="preserve"> – The Trust contracts out its payroll administration to an external company.  The current contractor is North East London Pay Consortium.</w:t>
      </w:r>
    </w:p>
    <w:p w14:paraId="05526256" w14:textId="77777777" w:rsidR="00B13FDF" w:rsidRDefault="00B13FDF" w:rsidP="00B13FDF">
      <w:pPr>
        <w:spacing w:before="0" w:after="0"/>
        <w:rPr>
          <w:rFonts w:eastAsiaTheme="minorEastAsia" w:cs="Arial"/>
          <w:szCs w:val="22"/>
          <w:lang w:eastAsia="en-US"/>
        </w:rPr>
      </w:pPr>
    </w:p>
    <w:p w14:paraId="44932135" w14:textId="77777777" w:rsidR="00B13FDF" w:rsidRPr="00123208" w:rsidRDefault="00B13FDF" w:rsidP="00B13FDF">
      <w:pPr>
        <w:spacing w:before="0" w:after="0"/>
        <w:rPr>
          <w:rFonts w:eastAsiaTheme="minorEastAsia" w:cs="Arial"/>
          <w:szCs w:val="22"/>
          <w:lang w:eastAsia="en-US"/>
        </w:rPr>
      </w:pPr>
    </w:p>
    <w:p w14:paraId="5B6DCF49" w14:textId="77777777" w:rsidR="00B13FDF" w:rsidRPr="00061076" w:rsidRDefault="00B13FDF" w:rsidP="00B13FDF">
      <w:pPr>
        <w:pStyle w:val="ListParagraph"/>
        <w:numPr>
          <w:ilvl w:val="0"/>
          <w:numId w:val="15"/>
        </w:numPr>
        <w:rPr>
          <w:rFonts w:cs="Arial"/>
          <w:b/>
          <w:szCs w:val="22"/>
        </w:rPr>
      </w:pPr>
      <w:r w:rsidRPr="00061076">
        <w:rPr>
          <w:rFonts w:cs="Arial"/>
          <w:b/>
          <w:szCs w:val="22"/>
        </w:rPr>
        <w:t>Procedure For Current Staff</w:t>
      </w:r>
    </w:p>
    <w:p w14:paraId="1EB605FA" w14:textId="77777777" w:rsidR="00B13FDF" w:rsidRDefault="00B13FDF" w:rsidP="00B13FDF">
      <w:pPr>
        <w:pStyle w:val="ListParagraph"/>
        <w:ind w:left="360"/>
        <w:rPr>
          <w:rFonts w:cs="Arial"/>
          <w:b/>
          <w:szCs w:val="22"/>
        </w:rPr>
      </w:pPr>
    </w:p>
    <w:p w14:paraId="48101539" w14:textId="77777777" w:rsidR="00B13FDF" w:rsidRPr="00061076" w:rsidRDefault="00B13FDF" w:rsidP="00B13FDF">
      <w:pPr>
        <w:pStyle w:val="ListParagraph"/>
        <w:ind w:left="360"/>
        <w:rPr>
          <w:rFonts w:cs="Arial"/>
          <w:b/>
          <w:szCs w:val="22"/>
        </w:rPr>
      </w:pPr>
    </w:p>
    <w:p w14:paraId="2C0AF789" w14:textId="2C189CCD" w:rsidR="00B13FDF" w:rsidRPr="00123208" w:rsidRDefault="00B13FDF" w:rsidP="00B13FDF">
      <w:pPr>
        <w:ind w:left="720" w:hanging="720"/>
        <w:rPr>
          <w:rFonts w:cs="Arial"/>
          <w:szCs w:val="22"/>
        </w:rPr>
      </w:pPr>
      <w:r w:rsidRPr="00123208">
        <w:rPr>
          <w:rFonts w:cs="Arial"/>
          <w:szCs w:val="22"/>
        </w:rPr>
        <w:t xml:space="preserve">5.1 </w:t>
      </w:r>
      <w:r w:rsidRPr="00123208">
        <w:rPr>
          <w:rFonts w:cs="Arial"/>
          <w:szCs w:val="22"/>
        </w:rPr>
        <w:tab/>
        <w:t xml:space="preserve">On discovery of an overpayment in respect of a current employee still on the payroll, a letter will be sent directly to the employee by </w:t>
      </w:r>
      <w:r>
        <w:rPr>
          <w:rFonts w:cs="Arial"/>
          <w:szCs w:val="22"/>
        </w:rPr>
        <w:t xml:space="preserve">Payroll </w:t>
      </w:r>
      <w:r w:rsidRPr="00123208">
        <w:rPr>
          <w:rFonts w:cs="Arial"/>
          <w:szCs w:val="22"/>
        </w:rPr>
        <w:t>(copied to the HR Directorate contact as appropriate for information) providing the following information:</w:t>
      </w:r>
    </w:p>
    <w:p w14:paraId="3BC715B7"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F98EA3D"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 and which have been corrected to prevent further overpayment/ under deduction;</w:t>
      </w:r>
    </w:p>
    <w:p w14:paraId="085F216C"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4491D7FE"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2A18081C" w14:textId="77777777" w:rsidR="00B13FDF" w:rsidRPr="00123208" w:rsidRDefault="00B13FDF" w:rsidP="00B13FDF">
      <w:pPr>
        <w:pStyle w:val="BodyTextIndent2"/>
        <w:widowControl w:val="0"/>
        <w:spacing w:after="0" w:line="240" w:lineRule="auto"/>
        <w:ind w:left="0" w:firstLine="720"/>
        <w:rPr>
          <w:rFonts w:ascii="Arial" w:hAnsi="Arial" w:cs="Arial"/>
          <w:sz w:val="22"/>
          <w:szCs w:val="22"/>
        </w:rPr>
      </w:pPr>
    </w:p>
    <w:p w14:paraId="76FBF608"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3B1A8545"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0377855B" w14:textId="77777777" w:rsidR="00B13FDF" w:rsidRPr="00123208" w:rsidRDefault="00B13FDF" w:rsidP="00B13FDF">
      <w:pPr>
        <w:pStyle w:val="BodyTextIndent2"/>
        <w:widowControl w:val="0"/>
        <w:numPr>
          <w:ilvl w:val="0"/>
          <w:numId w:val="5"/>
        </w:numPr>
        <w:spacing w:after="0" w:line="276" w:lineRule="auto"/>
        <w:rPr>
          <w:rFonts w:ascii="Arial" w:hAnsi="Arial" w:cs="Arial"/>
          <w:sz w:val="22"/>
          <w:szCs w:val="22"/>
        </w:rPr>
      </w:pPr>
      <w:r w:rsidRPr="00123208">
        <w:rPr>
          <w:rFonts w:ascii="Arial" w:hAnsi="Arial" w:cs="Arial"/>
          <w:sz w:val="22"/>
          <w:szCs w:val="22"/>
        </w:rPr>
        <w:t>a proposed recovery plan (i.e. recovery period, recovery start date and value of instalments) via the payroll;</w:t>
      </w:r>
    </w:p>
    <w:p w14:paraId="1B43AD02" w14:textId="77777777" w:rsidR="00B13FDF" w:rsidRPr="00123208" w:rsidRDefault="00B13FDF" w:rsidP="00B13FDF">
      <w:pPr>
        <w:pStyle w:val="BodyTextIndent2"/>
        <w:widowControl w:val="0"/>
        <w:numPr>
          <w:ilvl w:val="0"/>
          <w:numId w:val="5"/>
        </w:numPr>
        <w:spacing w:after="0" w:line="276"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0E50DB01"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4EEE6E75" w14:textId="77777777" w:rsidR="00B13FDF" w:rsidRPr="00123208" w:rsidRDefault="00B13FDF" w:rsidP="00B13FDF">
      <w:pPr>
        <w:ind w:left="720" w:hanging="720"/>
        <w:rPr>
          <w:rFonts w:cs="Arial"/>
          <w:szCs w:val="22"/>
        </w:rPr>
      </w:pPr>
      <w:r w:rsidRPr="00123208">
        <w:rPr>
          <w:rFonts w:cs="Arial"/>
          <w:szCs w:val="22"/>
        </w:rPr>
        <w:t>5.2</w:t>
      </w:r>
      <w:r w:rsidRPr="00123208">
        <w:rPr>
          <w:rFonts w:cs="Arial"/>
          <w:szCs w:val="22"/>
        </w:rPr>
        <w:tab/>
        <w:t>Subject to the national minimum wage requirements, a maximum time limit will apply to the period in which repayments are made, restricted to the period in which the overpayment was originally made (e.g. an overpayment made over a 3 month period must be recovered within a 3 month period). Exceptionally, there may be occasions where this is not possible (e.g. if a substantial overpayment is made in one month which exceeds the normal monthly take home pay); in these cases the overpayment will be recovered over the shortest number of instalments possible, subject to the national minimum wage requirements. No overpayment recovery period will exceed 12 months, regardless of the period in which the overpayment was made, subject to the national minimum wage requirements.</w:t>
      </w:r>
    </w:p>
    <w:p w14:paraId="2C106814" w14:textId="77777777" w:rsidR="00B13FDF" w:rsidRDefault="00B13FDF" w:rsidP="00B13FDF">
      <w:pPr>
        <w:ind w:left="720" w:hanging="720"/>
        <w:rPr>
          <w:rFonts w:cs="Arial"/>
          <w:szCs w:val="22"/>
        </w:rPr>
      </w:pPr>
    </w:p>
    <w:p w14:paraId="0C759E7C" w14:textId="77777777" w:rsidR="00B13FDF" w:rsidRPr="00123208" w:rsidRDefault="00B13FDF" w:rsidP="00B13FDF">
      <w:pPr>
        <w:ind w:left="720" w:hanging="720"/>
        <w:rPr>
          <w:rFonts w:cs="Arial"/>
          <w:szCs w:val="22"/>
        </w:rPr>
      </w:pPr>
      <w:r w:rsidRPr="00957B9C">
        <w:rPr>
          <w:rFonts w:cs="Arial"/>
          <w:szCs w:val="22"/>
        </w:rPr>
        <w:t>5.3</w:t>
      </w:r>
      <w:r w:rsidRPr="00957B9C">
        <w:rPr>
          <w:rFonts w:cs="Arial"/>
          <w:szCs w:val="22"/>
        </w:rPr>
        <w:tab/>
        <w:t>Where the overpayment is a small amount accrued over an extended period, the Trust may recover the overpayment over a shorter period than it was accrued. The overpayment will be recovered over the shortest number of instalments possible, subject to the national minimum wage requirements.</w:t>
      </w:r>
    </w:p>
    <w:p w14:paraId="174DBF02" w14:textId="77777777" w:rsidR="00B13FDF" w:rsidRPr="00123208" w:rsidRDefault="00B13FDF" w:rsidP="00B13FDF">
      <w:pPr>
        <w:ind w:left="720" w:hanging="720"/>
        <w:rPr>
          <w:rFonts w:cs="Arial"/>
          <w:szCs w:val="22"/>
        </w:rPr>
      </w:pPr>
      <w:r w:rsidRPr="00123208">
        <w:rPr>
          <w:rFonts w:cs="Arial"/>
          <w:szCs w:val="22"/>
        </w:rPr>
        <w:t>5.</w:t>
      </w:r>
      <w:r>
        <w:rPr>
          <w:rFonts w:cs="Arial"/>
          <w:szCs w:val="22"/>
        </w:rPr>
        <w:t>4</w:t>
      </w:r>
      <w:r w:rsidRPr="00123208">
        <w:rPr>
          <w:rFonts w:cs="Arial"/>
          <w:szCs w:val="22"/>
        </w:rPr>
        <w:tab/>
        <w:t>Based on the proposed recovery plan notified to the employee, deductions via instalments will automatically be applied via the payroll from the recovery start date unless the employee disputes the overpayment (in which case recovery action will be stalled for one month while the dispute is settled).</w:t>
      </w:r>
    </w:p>
    <w:p w14:paraId="1CA57FE7" w14:textId="77777777" w:rsidR="00B13FDF" w:rsidRPr="00123208" w:rsidRDefault="00B13FDF" w:rsidP="00B13FDF">
      <w:pPr>
        <w:ind w:left="720" w:hanging="720"/>
        <w:rPr>
          <w:rFonts w:cs="Arial"/>
          <w:szCs w:val="22"/>
        </w:rPr>
      </w:pPr>
      <w:r w:rsidRPr="00123208">
        <w:rPr>
          <w:rFonts w:cs="Arial"/>
          <w:szCs w:val="22"/>
        </w:rPr>
        <w:t>5</w:t>
      </w:r>
      <w:r>
        <w:rPr>
          <w:rFonts w:cs="Arial"/>
          <w:szCs w:val="22"/>
        </w:rPr>
        <w:t>.5</w:t>
      </w:r>
      <w:r w:rsidRPr="00123208">
        <w:rPr>
          <w:rFonts w:cs="Arial"/>
          <w:szCs w:val="22"/>
        </w:rPr>
        <w:tab/>
        <w:t>An employee may choose to repay the overpaid sum in fewer instalments than was originally proposed, and may also repay the (net) overpayment by cheque as a single repayment rather than via salary deduction</w:t>
      </w:r>
      <w:r>
        <w:rPr>
          <w:rFonts w:cs="Arial"/>
          <w:szCs w:val="22"/>
        </w:rPr>
        <w:t xml:space="preserve"> (lump sum overpayment recovery)</w:t>
      </w:r>
      <w:r w:rsidRPr="00123208">
        <w:rPr>
          <w:rFonts w:cs="Arial"/>
          <w:szCs w:val="22"/>
        </w:rPr>
        <w:t xml:space="preserve">.    </w:t>
      </w:r>
    </w:p>
    <w:p w14:paraId="14288209" w14:textId="1E56E8E9" w:rsidR="00B13FDF" w:rsidRPr="00123208" w:rsidRDefault="00B13FDF" w:rsidP="00B13FDF">
      <w:pPr>
        <w:ind w:left="720" w:hanging="720"/>
        <w:rPr>
          <w:rFonts w:cs="Arial"/>
          <w:szCs w:val="22"/>
        </w:rPr>
      </w:pPr>
      <w:r w:rsidRPr="00123208">
        <w:rPr>
          <w:rFonts w:cs="Arial"/>
          <w:szCs w:val="22"/>
        </w:rPr>
        <w:t>5</w:t>
      </w:r>
      <w:r>
        <w:rPr>
          <w:rFonts w:cs="Arial"/>
          <w:szCs w:val="22"/>
        </w:rPr>
        <w:t>.6</w:t>
      </w:r>
      <w:r w:rsidRPr="00123208">
        <w:rPr>
          <w:rFonts w:cs="Arial"/>
          <w:szCs w:val="22"/>
        </w:rPr>
        <w:tab/>
        <w:t xml:space="preserve">In cases where an employee disputes the overpayment (because the information provided related to the overpayment is considered by the employee to be incorrect), </w:t>
      </w:r>
      <w:r>
        <w:rPr>
          <w:rFonts w:cs="Arial"/>
          <w:szCs w:val="22"/>
        </w:rPr>
        <w:t>PAYROLL</w:t>
      </w:r>
      <w:r w:rsidRPr="00123208">
        <w:rPr>
          <w:rFonts w:cs="Arial"/>
          <w:szCs w:val="22"/>
        </w:rPr>
        <w:t xml:space="preserve"> will refer the matter within 7 days of receipt of the dispute to the HR Directorate for consideration/action as appropriate. The HR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 action as necessary. Recovery action will be reinstated one month (falling within the next pay cycle) after the originally notified recovery start date in the absence of further communication from the HR Directorate/employee.   </w:t>
      </w:r>
    </w:p>
    <w:p w14:paraId="711140D3" w14:textId="24A01388" w:rsidR="00B13FDF" w:rsidRPr="00123208" w:rsidRDefault="00B13FDF" w:rsidP="00B13FDF">
      <w:pPr>
        <w:ind w:left="720" w:hanging="720"/>
        <w:rPr>
          <w:rFonts w:cs="Arial"/>
          <w:b/>
          <w:szCs w:val="22"/>
        </w:rPr>
      </w:pPr>
      <w:r w:rsidRPr="00123208">
        <w:rPr>
          <w:rFonts w:cs="Arial"/>
          <w:szCs w:val="22"/>
        </w:rPr>
        <w:t xml:space="preserve"> 5</w:t>
      </w:r>
      <w:r>
        <w:rPr>
          <w:rFonts w:cs="Arial"/>
          <w:szCs w:val="22"/>
        </w:rPr>
        <w:t>.7</w:t>
      </w:r>
      <w:r w:rsidRPr="00123208">
        <w:rPr>
          <w:rFonts w:cs="Arial"/>
          <w:szCs w:val="22"/>
        </w:rPr>
        <w:tab/>
        <w:t xml:space="preserve">In proposing terms of repayment to the employee, </w:t>
      </w:r>
      <w:r>
        <w:rPr>
          <w:rFonts w:cs="Arial"/>
          <w:szCs w:val="22"/>
        </w:rPr>
        <w:t xml:space="preserve">Payroll </w:t>
      </w:r>
      <w:r w:rsidRPr="00123208">
        <w:rPr>
          <w:rFonts w:cs="Arial"/>
          <w:szCs w:val="22"/>
        </w:rPr>
        <w:t>will take account of the following factors in determining the repayment plan:</w:t>
      </w:r>
    </w:p>
    <w:p w14:paraId="3DF0C947" w14:textId="77777777" w:rsidR="00B13FDF" w:rsidRPr="00123208" w:rsidRDefault="00B13FDF" w:rsidP="00B13FDF">
      <w:pPr>
        <w:pStyle w:val="Heading2"/>
        <w:rPr>
          <w:rFonts w:ascii="Arial" w:hAnsi="Arial" w:cs="Arial"/>
          <w:b w:val="0"/>
          <w:sz w:val="22"/>
          <w:szCs w:val="22"/>
        </w:rPr>
      </w:pPr>
    </w:p>
    <w:p w14:paraId="59666E8D" w14:textId="77777777" w:rsidR="00B13FDF" w:rsidRPr="00123208" w:rsidRDefault="00B13FDF" w:rsidP="00B13FDF">
      <w:pPr>
        <w:widowControl w:val="0"/>
        <w:numPr>
          <w:ilvl w:val="0"/>
          <w:numId w:val="6"/>
        </w:numPr>
        <w:spacing w:before="0" w:after="0"/>
        <w:jc w:val="left"/>
        <w:rPr>
          <w:rFonts w:cs="Arial"/>
          <w:szCs w:val="22"/>
        </w:rPr>
      </w:pPr>
      <w:r w:rsidRPr="00123208">
        <w:rPr>
          <w:rFonts w:cs="Arial"/>
          <w:szCs w:val="22"/>
        </w:rPr>
        <w:t>the period over which the overpayment/under deduction occurred;</w:t>
      </w:r>
    </w:p>
    <w:p w14:paraId="49ABF52F" w14:textId="77777777" w:rsidR="00B13FDF" w:rsidRPr="00123208" w:rsidRDefault="00B13FDF" w:rsidP="00B13FDF">
      <w:pPr>
        <w:widowControl w:val="0"/>
        <w:numPr>
          <w:ilvl w:val="0"/>
          <w:numId w:val="6"/>
        </w:numPr>
        <w:spacing w:before="0" w:after="0"/>
        <w:jc w:val="left"/>
        <w:rPr>
          <w:rFonts w:cs="Arial"/>
          <w:szCs w:val="22"/>
        </w:rPr>
      </w:pPr>
      <w:r w:rsidRPr="00123208">
        <w:rPr>
          <w:rFonts w:cs="Arial"/>
          <w:szCs w:val="22"/>
        </w:rPr>
        <w:t>the value of the overpayment;</w:t>
      </w:r>
    </w:p>
    <w:p w14:paraId="64E9DD5F" w14:textId="77777777" w:rsidR="00B13FDF" w:rsidRDefault="00B13FDF" w:rsidP="00B13FDF">
      <w:pPr>
        <w:widowControl w:val="0"/>
        <w:numPr>
          <w:ilvl w:val="0"/>
          <w:numId w:val="6"/>
        </w:numPr>
        <w:spacing w:before="0" w:after="0"/>
        <w:jc w:val="left"/>
        <w:rPr>
          <w:rFonts w:cs="Arial"/>
          <w:szCs w:val="22"/>
        </w:rPr>
      </w:pPr>
      <w:r w:rsidRPr="00123208">
        <w:rPr>
          <w:rFonts w:cs="Arial"/>
          <w:szCs w:val="22"/>
        </w:rPr>
        <w:t>Repayment levels and the maximum time limit in which overpayments must be repaid via instalments (subject to the national minimum wage requirements).</w:t>
      </w:r>
    </w:p>
    <w:p w14:paraId="7ADE626B" w14:textId="77777777" w:rsidR="00B13FDF" w:rsidRDefault="00B13FDF" w:rsidP="00B13FDF">
      <w:pPr>
        <w:widowControl w:val="0"/>
        <w:spacing w:before="0" w:after="0"/>
        <w:jc w:val="left"/>
        <w:rPr>
          <w:rFonts w:cs="Arial"/>
          <w:szCs w:val="22"/>
        </w:rPr>
      </w:pPr>
    </w:p>
    <w:p w14:paraId="4072AC11" w14:textId="77777777" w:rsidR="00B13FDF" w:rsidRPr="00957B9C" w:rsidRDefault="00B13FDF" w:rsidP="00B13FDF">
      <w:pPr>
        <w:pStyle w:val="Heading2"/>
        <w:ind w:left="720" w:hanging="720"/>
        <w:jc w:val="both"/>
        <w:rPr>
          <w:rFonts w:ascii="Arial" w:hAnsi="Arial" w:cs="Arial"/>
          <w:b w:val="0"/>
          <w:sz w:val="22"/>
          <w:szCs w:val="22"/>
        </w:rPr>
      </w:pPr>
      <w:r w:rsidRPr="00957B9C">
        <w:rPr>
          <w:rFonts w:ascii="Arial" w:hAnsi="Arial" w:cs="Arial"/>
          <w:b w:val="0"/>
          <w:sz w:val="22"/>
          <w:szCs w:val="22"/>
        </w:rPr>
        <w:t>5.8</w:t>
      </w:r>
      <w:r w:rsidRPr="00957B9C">
        <w:rPr>
          <w:rFonts w:ascii="Arial" w:hAnsi="Arial" w:cs="Arial"/>
          <w:b w:val="0"/>
          <w:sz w:val="22"/>
          <w:szCs w:val="22"/>
        </w:rPr>
        <w:tab/>
        <w:t>If the employee wishes to agree a repayment plan beyond 12 months, then they must submit a written request to Accounts Receivable using</w:t>
      </w:r>
      <w:r w:rsidRPr="00957B9C">
        <w:rPr>
          <w:rFonts w:ascii="Arial" w:hAnsi="Arial" w:cs="Arial"/>
          <w:sz w:val="22"/>
          <w:szCs w:val="22"/>
        </w:rPr>
        <w:t xml:space="preserve"> Appendix C</w:t>
      </w:r>
      <w:r w:rsidRPr="00957B9C">
        <w:rPr>
          <w:rFonts w:ascii="Arial" w:hAnsi="Arial" w:cs="Arial"/>
          <w:b w:val="0"/>
          <w:sz w:val="22"/>
          <w:szCs w:val="22"/>
        </w:rPr>
        <w:t xml:space="preserve">. The request  must include details of the monthly household Net income (i.e. all those all make regular contributions including  any regular payments such as salary, benefit and maintenance payments), and all essential expenditure. Full and up to date supporting documentation including bank statements, council tax bills, utility bills, mortgage or rent agreement and child care costs must be submitted with the written request. </w:t>
      </w:r>
    </w:p>
    <w:p w14:paraId="0A3FD222" w14:textId="2C1A2073" w:rsidR="00B13FDF" w:rsidRPr="00957B9C" w:rsidRDefault="00B13FDF" w:rsidP="00B13FDF">
      <w:pPr>
        <w:ind w:left="720" w:hanging="720"/>
        <w:rPr>
          <w:rFonts w:cs="Arial"/>
          <w:szCs w:val="22"/>
        </w:rPr>
      </w:pPr>
      <w:r w:rsidRPr="00957B9C">
        <w:rPr>
          <w:rFonts w:cs="Arial"/>
          <w:szCs w:val="22"/>
        </w:rPr>
        <w:t>5.9</w:t>
      </w:r>
      <w:r w:rsidRPr="00957B9C">
        <w:rPr>
          <w:rFonts w:cs="Arial"/>
          <w:szCs w:val="22"/>
        </w:rPr>
        <w:tab/>
        <w:t xml:space="preserve">A decision will be made on whether to extend the repayment period beyond the maximum 12 months. Accounts Receivable will only be able to add up to a maximum of an additional 6 months to the repayment plan (in addition to the 12 months). If the extension is agreed by Accounts Receivable, they will send </w:t>
      </w:r>
      <w:r w:rsidRPr="00957B9C">
        <w:rPr>
          <w:rFonts w:cs="Arial"/>
          <w:b/>
          <w:szCs w:val="22"/>
        </w:rPr>
        <w:t>Appendix C</w:t>
      </w:r>
      <w:r w:rsidRPr="00957B9C">
        <w:rPr>
          <w:rFonts w:cs="Arial"/>
          <w:szCs w:val="22"/>
        </w:rPr>
        <w:t xml:space="preserve"> to </w:t>
      </w:r>
      <w:proofErr w:type="gramStart"/>
      <w:r>
        <w:rPr>
          <w:rFonts w:cs="Arial"/>
          <w:szCs w:val="22"/>
        </w:rPr>
        <w:t xml:space="preserve">Payroll </w:t>
      </w:r>
      <w:r w:rsidRPr="00957B9C">
        <w:rPr>
          <w:rFonts w:cs="Arial"/>
          <w:szCs w:val="22"/>
        </w:rPr>
        <w:t xml:space="preserve"> with</w:t>
      </w:r>
      <w:proofErr w:type="gramEnd"/>
      <w:r w:rsidRPr="00957B9C">
        <w:rPr>
          <w:rFonts w:cs="Arial"/>
          <w:szCs w:val="22"/>
        </w:rPr>
        <w:t xml:space="preserve"> a covering email instructing Payroll to extend the recovery period.</w:t>
      </w:r>
    </w:p>
    <w:p w14:paraId="4D6D208B" w14:textId="015B9FAB" w:rsidR="00B13FDF" w:rsidRPr="00957B9C" w:rsidRDefault="00B13FDF" w:rsidP="00B13FDF">
      <w:pPr>
        <w:ind w:left="720" w:hanging="720"/>
        <w:rPr>
          <w:rFonts w:cs="Arial"/>
          <w:szCs w:val="22"/>
        </w:rPr>
      </w:pPr>
      <w:r w:rsidRPr="00957B9C">
        <w:rPr>
          <w:rFonts w:cs="Arial"/>
          <w:szCs w:val="22"/>
        </w:rPr>
        <w:t>5.10</w:t>
      </w:r>
      <w:r w:rsidRPr="00957B9C">
        <w:rPr>
          <w:rFonts w:cs="Arial"/>
          <w:szCs w:val="22"/>
        </w:rPr>
        <w:tab/>
        <w:t xml:space="preserve">If an extension beyond 12 months is not agreed, salary adjustments will automatically be made in line with the original repayment proposal sent by </w:t>
      </w:r>
      <w:r>
        <w:rPr>
          <w:rFonts w:cs="Arial"/>
          <w:szCs w:val="22"/>
        </w:rPr>
        <w:t>Payroll</w:t>
      </w:r>
      <w:r w:rsidRPr="00957B9C">
        <w:rPr>
          <w:rFonts w:cs="Arial"/>
          <w:szCs w:val="22"/>
        </w:rPr>
        <w:t>.</w:t>
      </w:r>
    </w:p>
    <w:p w14:paraId="6E864531" w14:textId="77777777" w:rsidR="00B13FDF" w:rsidRPr="00123208" w:rsidRDefault="00B13FDF" w:rsidP="00B13FDF">
      <w:pPr>
        <w:ind w:left="720" w:hanging="720"/>
        <w:rPr>
          <w:rFonts w:cs="Arial"/>
          <w:szCs w:val="22"/>
        </w:rPr>
      </w:pPr>
      <w:r w:rsidRPr="00957B9C">
        <w:rPr>
          <w:rFonts w:cs="Arial"/>
          <w:szCs w:val="22"/>
        </w:rPr>
        <w:t>5.11</w:t>
      </w:r>
      <w:r w:rsidRPr="00957B9C">
        <w:rPr>
          <w:rFonts w:cs="Arial"/>
          <w:szCs w:val="22"/>
        </w:rPr>
        <w:tab/>
        <w:t>Employee’s circumstances can change over time. Employees are advised that if their circumstances change, they are encouraged to repay the overpayment quicker if possible. If the Trust identifies a change in an employee’s circumstances, Accounts Receivable will be notified and will liaise with the employee to review their repayment arrangements.</w:t>
      </w:r>
    </w:p>
    <w:p w14:paraId="30195AB1" w14:textId="7C3699F6" w:rsidR="00B13FDF" w:rsidRPr="00123208" w:rsidRDefault="00B13FDF" w:rsidP="00B13FDF">
      <w:pPr>
        <w:pStyle w:val="Heading2"/>
        <w:ind w:left="720" w:hanging="720"/>
        <w:rPr>
          <w:rFonts w:ascii="Arial" w:hAnsi="Arial" w:cs="Arial"/>
          <w:b w:val="0"/>
          <w:sz w:val="22"/>
          <w:szCs w:val="22"/>
        </w:rPr>
      </w:pPr>
      <w:r w:rsidRPr="00123208">
        <w:rPr>
          <w:rFonts w:ascii="Arial" w:hAnsi="Arial" w:cs="Arial"/>
          <w:b w:val="0"/>
          <w:sz w:val="22"/>
          <w:szCs w:val="22"/>
        </w:rPr>
        <w:t>5</w:t>
      </w:r>
      <w:r>
        <w:rPr>
          <w:rFonts w:ascii="Arial" w:hAnsi="Arial" w:cs="Arial"/>
          <w:b w:val="0"/>
          <w:sz w:val="22"/>
          <w:szCs w:val="22"/>
        </w:rPr>
        <w:t>.12</w:t>
      </w:r>
      <w:r w:rsidRPr="00123208">
        <w:rPr>
          <w:rFonts w:ascii="Arial" w:hAnsi="Arial" w:cs="Arial"/>
          <w:b w:val="0"/>
          <w:sz w:val="22"/>
          <w:szCs w:val="22"/>
        </w:rPr>
        <w:tab/>
        <w:t xml:space="preserve">In the event that an employee leaves employment whilst part way through a recovery plan via the payroll, allowing for the usual overpayment instalment being deducted from the final salary </w:t>
      </w:r>
      <w:r>
        <w:rPr>
          <w:rFonts w:ascii="Arial" w:hAnsi="Arial" w:cs="Arial"/>
          <w:b w:val="0"/>
          <w:sz w:val="22"/>
          <w:szCs w:val="22"/>
        </w:rPr>
        <w:t>Payroll</w:t>
      </w:r>
      <w:r w:rsidRPr="00123208">
        <w:rPr>
          <w:rFonts w:ascii="Arial" w:hAnsi="Arial" w:cs="Arial"/>
          <w:b w:val="0"/>
          <w:sz w:val="22"/>
          <w:szCs w:val="22"/>
        </w:rPr>
        <w:t xml:space="preserve"> (assuming the leaver details have been notified to </w:t>
      </w:r>
      <w:r>
        <w:rPr>
          <w:rFonts w:ascii="Arial" w:hAnsi="Arial" w:cs="Arial"/>
          <w:b w:val="0"/>
          <w:sz w:val="22"/>
          <w:szCs w:val="22"/>
        </w:rPr>
        <w:t>Payroll</w:t>
      </w:r>
      <w:r w:rsidRPr="00123208">
        <w:rPr>
          <w:rFonts w:ascii="Arial" w:hAnsi="Arial" w:cs="Arial"/>
          <w:b w:val="0"/>
          <w:sz w:val="22"/>
          <w:szCs w:val="22"/>
        </w:rPr>
        <w:t>) will:</w:t>
      </w:r>
    </w:p>
    <w:p w14:paraId="57B915BC" w14:textId="77777777" w:rsidR="00B13FDF" w:rsidRPr="00123208" w:rsidRDefault="00B13FDF" w:rsidP="00B13FDF">
      <w:pPr>
        <w:pStyle w:val="Heading2"/>
        <w:rPr>
          <w:rFonts w:ascii="Arial" w:hAnsi="Arial" w:cs="Arial"/>
          <w:b w:val="0"/>
          <w:sz w:val="22"/>
          <w:szCs w:val="22"/>
        </w:rPr>
      </w:pPr>
    </w:p>
    <w:p w14:paraId="7283BA8A" w14:textId="77777777" w:rsidR="00B13FDF" w:rsidRPr="00123208" w:rsidRDefault="00B13FDF" w:rsidP="00B13FDF">
      <w:pPr>
        <w:widowControl w:val="0"/>
        <w:numPr>
          <w:ilvl w:val="0"/>
          <w:numId w:val="7"/>
        </w:numPr>
        <w:spacing w:before="0" w:after="0"/>
        <w:jc w:val="left"/>
        <w:rPr>
          <w:rFonts w:cs="Arial"/>
          <w:szCs w:val="22"/>
        </w:rPr>
      </w:pPr>
      <w:r w:rsidRPr="00123208">
        <w:rPr>
          <w:rFonts w:cs="Arial"/>
          <w:szCs w:val="22"/>
        </w:rPr>
        <w:t xml:space="preserve">recover the maximum number of equal instalments from the final salary (subject to the national minimum wage requirements);   </w:t>
      </w:r>
    </w:p>
    <w:p w14:paraId="429839E4" w14:textId="77777777" w:rsidR="00B13FDF" w:rsidRPr="00040200" w:rsidRDefault="00B13FDF" w:rsidP="00B13FDF">
      <w:pPr>
        <w:widowControl w:val="0"/>
        <w:numPr>
          <w:ilvl w:val="0"/>
          <w:numId w:val="7"/>
        </w:numPr>
        <w:spacing w:before="0" w:after="0"/>
        <w:jc w:val="left"/>
        <w:rPr>
          <w:rFonts w:cs="Arial"/>
          <w:szCs w:val="22"/>
        </w:rPr>
      </w:pPr>
      <w:r w:rsidRPr="00123208">
        <w:rPr>
          <w:rFonts w:cs="Arial"/>
          <w:szCs w:val="22"/>
        </w:rPr>
        <w:t>convert the remaining gross overpaid sum into a net sum;</w:t>
      </w:r>
    </w:p>
    <w:p w14:paraId="64F1C01C" w14:textId="77777777" w:rsidR="00B13FDF" w:rsidRPr="00123208" w:rsidRDefault="00B13FDF" w:rsidP="00B13FDF">
      <w:pPr>
        <w:pStyle w:val="BodyText"/>
        <w:numPr>
          <w:ilvl w:val="0"/>
          <w:numId w:val="7"/>
        </w:numPr>
        <w:rPr>
          <w:rFonts w:ascii="Arial" w:hAnsi="Arial" w:cs="Arial"/>
          <w:b w:val="0"/>
          <w:sz w:val="22"/>
          <w:szCs w:val="22"/>
        </w:rPr>
      </w:pPr>
      <w:r w:rsidRPr="00123208">
        <w:rPr>
          <w:rFonts w:ascii="Arial" w:hAnsi="Arial" w:cs="Arial"/>
          <w:b w:val="0"/>
          <w:sz w:val="22"/>
          <w:szCs w:val="22"/>
        </w:rPr>
        <w:t>Request from the Finance Directorate that an invoice is raised and sent to the former employee.</w:t>
      </w:r>
    </w:p>
    <w:p w14:paraId="2963DBAC" w14:textId="77777777" w:rsidR="00B13FDF" w:rsidRPr="00123208" w:rsidRDefault="00B13FDF" w:rsidP="00B13FDF">
      <w:pPr>
        <w:ind w:left="720" w:hanging="720"/>
        <w:rPr>
          <w:rFonts w:cs="Arial"/>
          <w:szCs w:val="22"/>
        </w:rPr>
      </w:pPr>
      <w:r w:rsidRPr="00123208">
        <w:rPr>
          <w:rFonts w:cs="Arial"/>
          <w:szCs w:val="22"/>
        </w:rPr>
        <w:t>5</w:t>
      </w:r>
      <w:r>
        <w:rPr>
          <w:rFonts w:cs="Arial"/>
          <w:szCs w:val="22"/>
        </w:rPr>
        <w:t>.13</w:t>
      </w:r>
      <w:r w:rsidRPr="00123208">
        <w:rPr>
          <w:rFonts w:cs="Arial"/>
          <w:szCs w:val="22"/>
        </w:rPr>
        <w:tab/>
        <w:t xml:space="preserve">In certain circumstances (in conjunction with the finance </w:t>
      </w:r>
      <w:r>
        <w:rPr>
          <w:rFonts w:cs="Arial"/>
          <w:szCs w:val="22"/>
        </w:rPr>
        <w:t>department</w:t>
      </w:r>
      <w:r w:rsidRPr="00123208">
        <w:rPr>
          <w:rFonts w:cs="Arial"/>
          <w:szCs w:val="22"/>
        </w:rPr>
        <w:t xml:space="preserve">) it may be necessary in regards to current employees still on the payroll for the overpayment to be raised via an invoice rather than via salary deduction, as outlined in the following examples:   </w:t>
      </w:r>
    </w:p>
    <w:p w14:paraId="76EF25BB" w14:textId="77777777" w:rsidR="00B13FDF" w:rsidRPr="00123208" w:rsidRDefault="00B13FDF" w:rsidP="00B13FDF">
      <w:pPr>
        <w:numPr>
          <w:ilvl w:val="0"/>
          <w:numId w:val="13"/>
        </w:numPr>
        <w:spacing w:before="0" w:after="0"/>
        <w:jc w:val="left"/>
        <w:rPr>
          <w:rFonts w:cs="Arial"/>
          <w:szCs w:val="22"/>
        </w:rPr>
      </w:pPr>
      <w:r w:rsidRPr="00123208">
        <w:rPr>
          <w:rFonts w:cs="Arial"/>
          <w:szCs w:val="22"/>
        </w:rPr>
        <w:t>the overpayment relates to late notification of unpaid leave and the employee remains on continuing long term unpaid leave at the time the overpayment is identified, preventing any recovery via salary in the immediate term;</w:t>
      </w:r>
    </w:p>
    <w:p w14:paraId="4F876561" w14:textId="77777777" w:rsidR="00B13FDF" w:rsidRDefault="00B13FDF" w:rsidP="00B13FDF">
      <w:pPr>
        <w:numPr>
          <w:ilvl w:val="0"/>
          <w:numId w:val="13"/>
        </w:numPr>
        <w:spacing w:before="0" w:after="0"/>
        <w:jc w:val="left"/>
        <w:rPr>
          <w:rFonts w:cs="Arial"/>
          <w:szCs w:val="22"/>
        </w:rPr>
      </w:pPr>
      <w:r w:rsidRPr="00123208">
        <w:rPr>
          <w:rFonts w:cs="Arial"/>
          <w:szCs w:val="22"/>
        </w:rPr>
        <w:t>the overpayment relates to late notification of maternity leave and the period of reduced/unpaid maternity pay prevents any recovery in the immediate term or over the maximum 12 month recovery period;</w:t>
      </w:r>
    </w:p>
    <w:p w14:paraId="18490A31" w14:textId="77777777" w:rsidR="00B13FDF" w:rsidRPr="00123208" w:rsidRDefault="00B13FDF" w:rsidP="00B13FDF">
      <w:pPr>
        <w:spacing w:before="0" w:after="0"/>
        <w:ind w:left="1440"/>
        <w:jc w:val="left"/>
        <w:rPr>
          <w:rFonts w:cs="Arial"/>
          <w:szCs w:val="22"/>
        </w:rPr>
      </w:pPr>
    </w:p>
    <w:p w14:paraId="4518A602" w14:textId="77777777" w:rsidR="00B13FDF" w:rsidRPr="00123208" w:rsidRDefault="00B13FDF" w:rsidP="00B13FDF">
      <w:pPr>
        <w:rPr>
          <w:rFonts w:cs="Arial"/>
          <w:szCs w:val="22"/>
        </w:rPr>
      </w:pPr>
    </w:p>
    <w:p w14:paraId="5DA57B02" w14:textId="77777777" w:rsidR="00B13FDF" w:rsidRPr="00123208" w:rsidRDefault="00B13FDF" w:rsidP="00B13FDF">
      <w:pPr>
        <w:rPr>
          <w:rFonts w:cs="Arial"/>
          <w:b/>
          <w:szCs w:val="22"/>
        </w:rPr>
      </w:pPr>
      <w:r w:rsidRPr="00123208">
        <w:rPr>
          <w:rFonts w:cs="Arial"/>
          <w:b/>
          <w:szCs w:val="22"/>
        </w:rPr>
        <w:t>6</w:t>
      </w:r>
      <w:r w:rsidRPr="00123208">
        <w:rPr>
          <w:rFonts w:cs="Arial"/>
          <w:b/>
          <w:szCs w:val="22"/>
        </w:rPr>
        <w:tab/>
        <w:t xml:space="preserve">  Procedure for Leavers</w:t>
      </w:r>
    </w:p>
    <w:p w14:paraId="306CE53A" w14:textId="77777777" w:rsidR="00B13FDF" w:rsidRPr="00123208" w:rsidRDefault="00B13FDF" w:rsidP="00B13FDF">
      <w:pPr>
        <w:pStyle w:val="BodyText"/>
        <w:rPr>
          <w:rFonts w:ascii="Arial" w:hAnsi="Arial" w:cs="Arial"/>
          <w:b w:val="0"/>
          <w:sz w:val="22"/>
          <w:szCs w:val="22"/>
        </w:rPr>
      </w:pPr>
    </w:p>
    <w:p w14:paraId="5CA2B251" w14:textId="60A8E3D5" w:rsidR="00B13FDF" w:rsidRPr="00123208"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6.1</w:t>
      </w:r>
      <w:r w:rsidRPr="00123208">
        <w:rPr>
          <w:rFonts w:ascii="Arial" w:hAnsi="Arial" w:cs="Arial"/>
          <w:b w:val="0"/>
          <w:sz w:val="22"/>
          <w:szCs w:val="22"/>
        </w:rPr>
        <w:tab/>
        <w:t xml:space="preserve">On discovery of an overpayment in respect of a former employee, following receipt by </w:t>
      </w:r>
      <w:r>
        <w:rPr>
          <w:rFonts w:ascii="Arial" w:hAnsi="Arial" w:cs="Arial"/>
          <w:b w:val="0"/>
          <w:sz w:val="22"/>
          <w:szCs w:val="22"/>
        </w:rPr>
        <w:t>Payroll</w:t>
      </w:r>
      <w:r w:rsidRPr="00123208">
        <w:rPr>
          <w:rFonts w:ascii="Arial" w:hAnsi="Arial" w:cs="Arial"/>
          <w:b w:val="0"/>
          <w:sz w:val="22"/>
          <w:szCs w:val="22"/>
        </w:rPr>
        <w:t xml:space="preserve"> of the associated paperwork from the HR Directorate (where appropriate), a letter will be sent directly to the employee by </w:t>
      </w:r>
      <w:r>
        <w:rPr>
          <w:rFonts w:ascii="Arial" w:hAnsi="Arial" w:cs="Arial"/>
          <w:b w:val="0"/>
          <w:sz w:val="22"/>
          <w:szCs w:val="22"/>
        </w:rPr>
        <w:t>Payroll</w:t>
      </w:r>
      <w:r w:rsidRPr="00123208">
        <w:rPr>
          <w:rFonts w:ascii="Arial" w:hAnsi="Arial" w:cs="Arial"/>
          <w:b w:val="0"/>
          <w:sz w:val="22"/>
          <w:szCs w:val="22"/>
        </w:rPr>
        <w:t xml:space="preserve"> providing the following information:</w:t>
      </w:r>
    </w:p>
    <w:p w14:paraId="689FBBDE"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2F729CF"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w:t>
      </w:r>
    </w:p>
    <w:p w14:paraId="6F0BD532"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33FEC7B1"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503F93C3"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32147E1A"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57367240"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 request for the sum to be paid in full immediately;</w:t>
      </w:r>
    </w:p>
    <w:p w14:paraId="5EC9F40A"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04A407F7"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advising that an invoice will follow from the employing organisation;</w:t>
      </w:r>
    </w:p>
    <w:p w14:paraId="23D24A86"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5581CE92" w14:textId="77777777" w:rsidR="00B13FDF" w:rsidRPr="00123208" w:rsidRDefault="00B13FDF" w:rsidP="00B13FDF">
      <w:pPr>
        <w:pStyle w:val="Heading2"/>
        <w:ind w:right="-46"/>
        <w:rPr>
          <w:rFonts w:ascii="Arial" w:hAnsi="Arial" w:cs="Arial"/>
          <w:b w:val="0"/>
          <w:sz w:val="22"/>
          <w:szCs w:val="22"/>
        </w:rPr>
      </w:pPr>
    </w:p>
    <w:p w14:paraId="6FDE9359" w14:textId="1559ED62" w:rsidR="00B13FDF" w:rsidRPr="00123208" w:rsidRDefault="00B13FDF" w:rsidP="00B13FDF">
      <w:pPr>
        <w:pStyle w:val="Heading2"/>
        <w:ind w:left="720" w:right="-46" w:hanging="720"/>
        <w:jc w:val="both"/>
        <w:rPr>
          <w:rFonts w:ascii="Arial" w:hAnsi="Arial" w:cs="Arial"/>
          <w:b w:val="0"/>
          <w:sz w:val="22"/>
          <w:szCs w:val="22"/>
        </w:rPr>
      </w:pPr>
      <w:r w:rsidRPr="00123208">
        <w:rPr>
          <w:rFonts w:ascii="Arial" w:hAnsi="Arial" w:cs="Arial"/>
          <w:b w:val="0"/>
          <w:sz w:val="22"/>
          <w:szCs w:val="22"/>
        </w:rPr>
        <w:t>6.2</w:t>
      </w:r>
      <w:r w:rsidRPr="00123208">
        <w:rPr>
          <w:rFonts w:ascii="Arial" w:hAnsi="Arial" w:cs="Arial"/>
          <w:b w:val="0"/>
          <w:sz w:val="22"/>
          <w:szCs w:val="22"/>
        </w:rPr>
        <w:tab/>
      </w:r>
      <w:r>
        <w:rPr>
          <w:rFonts w:ascii="Arial" w:hAnsi="Arial" w:cs="Arial"/>
          <w:b w:val="0"/>
          <w:sz w:val="22"/>
          <w:szCs w:val="22"/>
        </w:rPr>
        <w:t xml:space="preserve">Payroll request for an invoice to be raised </w:t>
      </w:r>
      <w:r w:rsidRPr="00123208">
        <w:rPr>
          <w:rFonts w:ascii="Arial" w:hAnsi="Arial" w:cs="Arial"/>
          <w:b w:val="0"/>
          <w:sz w:val="22"/>
          <w:szCs w:val="22"/>
        </w:rPr>
        <w:t xml:space="preserve">electronically </w:t>
      </w:r>
      <w:r>
        <w:rPr>
          <w:rFonts w:ascii="Arial" w:hAnsi="Arial" w:cs="Arial"/>
          <w:b w:val="0"/>
          <w:sz w:val="22"/>
          <w:szCs w:val="22"/>
        </w:rPr>
        <w:t>via</w:t>
      </w:r>
      <w:r w:rsidRPr="00123208">
        <w:rPr>
          <w:rFonts w:ascii="Arial" w:hAnsi="Arial" w:cs="Arial"/>
          <w:b w:val="0"/>
          <w:sz w:val="22"/>
          <w:szCs w:val="22"/>
        </w:rPr>
        <w:t xml:space="preserve"> the </w:t>
      </w:r>
      <w:r>
        <w:rPr>
          <w:rFonts w:ascii="Arial" w:hAnsi="Arial" w:cs="Arial"/>
          <w:b w:val="0"/>
          <w:sz w:val="22"/>
          <w:szCs w:val="22"/>
        </w:rPr>
        <w:t xml:space="preserve">Trust’s </w:t>
      </w:r>
      <w:r w:rsidRPr="00123208">
        <w:rPr>
          <w:rFonts w:ascii="Arial" w:hAnsi="Arial" w:cs="Arial"/>
          <w:b w:val="0"/>
          <w:sz w:val="22"/>
          <w:szCs w:val="22"/>
        </w:rPr>
        <w:t>finance system</w:t>
      </w:r>
      <w:r>
        <w:rPr>
          <w:rFonts w:ascii="Arial" w:hAnsi="Arial" w:cs="Arial"/>
          <w:b w:val="0"/>
          <w:sz w:val="22"/>
          <w:szCs w:val="22"/>
        </w:rPr>
        <w:t xml:space="preserve"> and the Trust’s Financial Controller authorises the invoice</w:t>
      </w:r>
      <w:r w:rsidRPr="00123208">
        <w:rPr>
          <w:rFonts w:ascii="Arial" w:hAnsi="Arial" w:cs="Arial"/>
          <w:b w:val="0"/>
          <w:sz w:val="22"/>
          <w:szCs w:val="22"/>
        </w:rPr>
        <w:t>.</w:t>
      </w:r>
    </w:p>
    <w:p w14:paraId="48C7B524" w14:textId="5D3633C5" w:rsidR="00B13FDF" w:rsidRPr="00123208" w:rsidRDefault="00B13FDF" w:rsidP="00B13FDF">
      <w:pPr>
        <w:ind w:left="720" w:hanging="720"/>
        <w:rPr>
          <w:rFonts w:cs="Arial"/>
          <w:szCs w:val="22"/>
        </w:rPr>
      </w:pPr>
      <w:r w:rsidRPr="00123208">
        <w:rPr>
          <w:rFonts w:cs="Arial"/>
          <w:szCs w:val="22"/>
        </w:rPr>
        <w:t>6.3</w:t>
      </w:r>
      <w:r w:rsidRPr="00123208">
        <w:rPr>
          <w:rFonts w:cs="Arial"/>
          <w:szCs w:val="22"/>
        </w:rPr>
        <w:tab/>
        <w:t xml:space="preserve">In cases where a former employee disputes the overpayment (because the information provided related to the overpayment is considered by the employee to be incorrect), </w:t>
      </w:r>
      <w:r>
        <w:rPr>
          <w:rFonts w:cs="Arial"/>
          <w:szCs w:val="22"/>
        </w:rPr>
        <w:t xml:space="preserve">Payroll </w:t>
      </w:r>
      <w:r w:rsidRPr="00123208">
        <w:rPr>
          <w:rFonts w:cs="Arial"/>
          <w:szCs w:val="22"/>
        </w:rPr>
        <w:t xml:space="preserve">will refer the matter within 7 days of receipt of the dispute to the HR Directorate for consideration/action as appropriate. The HR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payroll/finance action as necessary. </w:t>
      </w:r>
    </w:p>
    <w:p w14:paraId="307D1101" w14:textId="77777777" w:rsidR="00B13FDF" w:rsidRPr="00957B9C" w:rsidRDefault="00B13FDF" w:rsidP="00B13FDF">
      <w:pPr>
        <w:ind w:left="720" w:hanging="720"/>
        <w:rPr>
          <w:rFonts w:cs="Arial"/>
          <w:szCs w:val="22"/>
        </w:rPr>
      </w:pPr>
      <w:r w:rsidRPr="00512F30">
        <w:rPr>
          <w:rFonts w:cs="Arial"/>
          <w:szCs w:val="22"/>
        </w:rPr>
        <w:t>6.4</w:t>
      </w:r>
      <w:r w:rsidRPr="00512F30">
        <w:rPr>
          <w:rFonts w:cs="Arial"/>
          <w:szCs w:val="22"/>
        </w:rPr>
        <w:tab/>
        <w:t>Where appropriate, a repayment plan of up to 12 months will be created. No overpayment term will extend beyond double the original overpayment, e.g. if an overpayment  was made over 3 months, a repayment plan could be proposed to recover the overpayment over 3 months, or up to  a maximum of 6 months.</w:t>
      </w:r>
      <w:r w:rsidRPr="00957B9C">
        <w:rPr>
          <w:rFonts w:cs="Arial"/>
          <w:szCs w:val="22"/>
        </w:rPr>
        <w:t xml:space="preserve"> </w:t>
      </w:r>
    </w:p>
    <w:p w14:paraId="49020E8E" w14:textId="77777777" w:rsidR="00B13FDF" w:rsidRPr="00957B9C" w:rsidRDefault="00B13FDF" w:rsidP="00B13FDF">
      <w:pPr>
        <w:ind w:left="720" w:hanging="720"/>
        <w:rPr>
          <w:rFonts w:cs="Arial"/>
          <w:szCs w:val="22"/>
        </w:rPr>
      </w:pPr>
      <w:r w:rsidRPr="00957B9C">
        <w:rPr>
          <w:rFonts w:cs="Arial"/>
          <w:szCs w:val="22"/>
        </w:rPr>
        <w:t>6.5</w:t>
      </w:r>
      <w:r w:rsidRPr="00957B9C">
        <w:rPr>
          <w:rFonts w:cs="Arial"/>
          <w:szCs w:val="22"/>
        </w:rPr>
        <w:tab/>
        <w:t>In cases where the former employee wishes to agree a repayment plan up to 12 months, this must be agreed with Accounts Receivable. Once agreed, if the former employee hasn’t made the first payment within one month of the agreement, Accounts Receivable will contact the former employee and if no payment is received within one week, the case will be referred to an external Debt Recovery company and any additional costs incurred by the Trust will be the responsibility of the former employee.</w:t>
      </w:r>
    </w:p>
    <w:p w14:paraId="6EF54A74" w14:textId="77777777" w:rsidR="00B13FDF" w:rsidRPr="00076258" w:rsidRDefault="00B13FDF" w:rsidP="00B13FDF">
      <w:pPr>
        <w:ind w:left="720" w:hanging="720"/>
        <w:rPr>
          <w:b/>
        </w:rPr>
      </w:pPr>
      <w:r w:rsidRPr="00957B9C">
        <w:rPr>
          <w:rFonts w:cs="Arial"/>
          <w:szCs w:val="22"/>
        </w:rPr>
        <w:t>6.6</w:t>
      </w:r>
      <w:r w:rsidRPr="00957B9C">
        <w:rPr>
          <w:rFonts w:cs="Arial"/>
          <w:szCs w:val="22"/>
        </w:rPr>
        <w:tab/>
        <w:t xml:space="preserve">If the former employee wishes to extend the repayment plan beyond 12 months, then they must submit a written request to Accounts Receivable using Appendix C. The request must include details of the monthly household Net income (i.e. all those all make regular contributions including any regular payments such as salary, benefit and maintenance payments), and all essential expenditure. Full and up to date supporting documentation including bank statements, council tax bills, utility bills, mortgage or rent agreement and child care costs must be submitted with the written request. </w:t>
      </w:r>
    </w:p>
    <w:p w14:paraId="5336416B" w14:textId="77777777" w:rsidR="00B13FDF" w:rsidRPr="00957B9C" w:rsidRDefault="00B13FDF" w:rsidP="00B13FDF">
      <w:pPr>
        <w:ind w:left="720" w:hanging="720"/>
        <w:rPr>
          <w:rFonts w:cs="Arial"/>
          <w:szCs w:val="22"/>
        </w:rPr>
      </w:pPr>
      <w:r w:rsidRPr="00957B9C">
        <w:rPr>
          <w:rFonts w:cs="Arial"/>
          <w:szCs w:val="22"/>
        </w:rPr>
        <w:t>6.7</w:t>
      </w:r>
      <w:r w:rsidRPr="00957B9C">
        <w:rPr>
          <w:rFonts w:cs="Arial"/>
          <w:szCs w:val="22"/>
        </w:rPr>
        <w:tab/>
        <w:t>A decision will be made on whether to extend the repayment period beyond the maximum 12 months. Accounts Receivable will only be able to add up to a maximum of an additional 6 months to the repayment plan (in addition to the 12 months).</w:t>
      </w:r>
    </w:p>
    <w:p w14:paraId="63789AAF" w14:textId="77777777" w:rsidR="00B13FDF" w:rsidRPr="00957B9C" w:rsidRDefault="00B13FDF" w:rsidP="00B13FDF">
      <w:pPr>
        <w:ind w:left="720" w:hanging="720"/>
        <w:rPr>
          <w:rFonts w:cs="Arial"/>
          <w:szCs w:val="22"/>
        </w:rPr>
      </w:pPr>
      <w:r w:rsidRPr="00957B9C">
        <w:rPr>
          <w:rFonts w:cs="Arial"/>
          <w:szCs w:val="22"/>
        </w:rPr>
        <w:t>6.8</w:t>
      </w:r>
      <w:r w:rsidRPr="00957B9C">
        <w:rPr>
          <w:rFonts w:cs="Arial"/>
          <w:szCs w:val="22"/>
        </w:rPr>
        <w:tab/>
        <w:t>If an extended repayment period is agreed and the former employee hasn’t made the first payment within one month of the agreement, Accounts Receivable will contact the former employee and if no payment is received within one week, the case will be referred to an external Debt Recovery company and any additional costs incurred by the Trust will be the responsibility of the former employee.</w:t>
      </w:r>
    </w:p>
    <w:p w14:paraId="24D30C3C" w14:textId="77777777" w:rsidR="00B13FDF" w:rsidRPr="00957B9C" w:rsidRDefault="00B13FDF" w:rsidP="00B13FDF">
      <w:pPr>
        <w:ind w:left="720" w:hanging="720"/>
        <w:rPr>
          <w:rFonts w:cs="Arial"/>
          <w:szCs w:val="22"/>
        </w:rPr>
      </w:pPr>
      <w:r w:rsidRPr="00957B9C">
        <w:rPr>
          <w:rFonts w:cs="Arial"/>
          <w:szCs w:val="22"/>
        </w:rPr>
        <w:t>6.9</w:t>
      </w:r>
      <w:r w:rsidRPr="00957B9C">
        <w:rPr>
          <w:rFonts w:cs="Arial"/>
          <w:szCs w:val="22"/>
        </w:rPr>
        <w:tab/>
        <w:t>If an extended repayment period is not agreed and the former employee fails to make payments or fails to make satisfactory repayments in line with 6.5, then the case will be referred to an external Debt Recovery company and any additional costs incurred by the Trust will be the responsibility of the former employee.</w:t>
      </w:r>
    </w:p>
    <w:p w14:paraId="4F891969" w14:textId="77777777" w:rsidR="00B13FDF" w:rsidRDefault="00B13FDF" w:rsidP="00B13FDF">
      <w:pPr>
        <w:ind w:left="720" w:hanging="720"/>
        <w:rPr>
          <w:rFonts w:cs="Arial"/>
          <w:szCs w:val="22"/>
          <w:highlight w:val="yellow"/>
        </w:rPr>
      </w:pPr>
      <w:r w:rsidRPr="00957B9C">
        <w:rPr>
          <w:rFonts w:cs="Arial"/>
          <w:szCs w:val="22"/>
        </w:rPr>
        <w:t>6.10</w:t>
      </w:r>
      <w:r w:rsidRPr="00957B9C">
        <w:rPr>
          <w:rFonts w:cs="Arial"/>
          <w:szCs w:val="22"/>
        </w:rPr>
        <w:tab/>
        <w:t>Where a repayment plan has been offered by the Trust but not adhered to by the former employee, Accounts Receivable will write to the former employee advising them that unless repayments commence within one month, the case will be referred to an external Debt Recovery company and any additional costs incurred by the Trust will be the responsibility of the former employee</w:t>
      </w:r>
      <w:r w:rsidRPr="00512F30">
        <w:rPr>
          <w:rFonts w:cs="Arial"/>
          <w:szCs w:val="22"/>
        </w:rPr>
        <w:t>.</w:t>
      </w:r>
    </w:p>
    <w:p w14:paraId="59A0B326" w14:textId="77777777" w:rsidR="00B13FDF" w:rsidRDefault="00B13FDF" w:rsidP="00B13FDF">
      <w:pPr>
        <w:pStyle w:val="Heading2"/>
        <w:ind w:left="720" w:hanging="720"/>
        <w:jc w:val="both"/>
        <w:rPr>
          <w:rFonts w:ascii="Arial" w:hAnsi="Arial" w:cs="Arial"/>
          <w:b w:val="0"/>
          <w:sz w:val="22"/>
          <w:szCs w:val="22"/>
        </w:rPr>
      </w:pPr>
      <w:r>
        <w:rPr>
          <w:rFonts w:ascii="Arial" w:hAnsi="Arial" w:cs="Arial"/>
          <w:b w:val="0"/>
          <w:sz w:val="22"/>
          <w:szCs w:val="22"/>
        </w:rPr>
        <w:t>6.11</w:t>
      </w:r>
      <w:r>
        <w:rPr>
          <w:rFonts w:ascii="Arial" w:hAnsi="Arial" w:cs="Arial"/>
          <w:b w:val="0"/>
          <w:sz w:val="22"/>
          <w:szCs w:val="22"/>
        </w:rPr>
        <w:tab/>
      </w:r>
      <w:r w:rsidRPr="00123208">
        <w:rPr>
          <w:rFonts w:ascii="Arial" w:hAnsi="Arial" w:cs="Arial"/>
          <w:b w:val="0"/>
          <w:sz w:val="22"/>
          <w:szCs w:val="22"/>
        </w:rPr>
        <w:t xml:space="preserve">In cases where overpayments have not been repaid and </w:t>
      </w:r>
      <w:r>
        <w:rPr>
          <w:rFonts w:ascii="Arial" w:hAnsi="Arial" w:cs="Arial"/>
          <w:b w:val="0"/>
          <w:sz w:val="22"/>
          <w:szCs w:val="22"/>
        </w:rPr>
        <w:t xml:space="preserve">are </w:t>
      </w:r>
      <w:r w:rsidRPr="00123208">
        <w:rPr>
          <w:rFonts w:ascii="Arial" w:hAnsi="Arial" w:cs="Arial"/>
          <w:b w:val="0"/>
          <w:sz w:val="22"/>
          <w:szCs w:val="22"/>
        </w:rPr>
        <w:t xml:space="preserve">referred to debt </w:t>
      </w:r>
      <w:r>
        <w:rPr>
          <w:rFonts w:ascii="Arial" w:hAnsi="Arial" w:cs="Arial"/>
          <w:b w:val="0"/>
          <w:sz w:val="22"/>
          <w:szCs w:val="22"/>
        </w:rPr>
        <w:t>recovery company t</w:t>
      </w:r>
      <w:r w:rsidRPr="00123208">
        <w:rPr>
          <w:rFonts w:ascii="Arial" w:hAnsi="Arial" w:cs="Arial"/>
          <w:b w:val="0"/>
          <w:sz w:val="22"/>
          <w:szCs w:val="22"/>
        </w:rPr>
        <w:t xml:space="preserve">o seek recovery, in justifiable circumstances employee national insurance numbers may be provided to debt collection agencies to facilitate this process.  </w:t>
      </w:r>
    </w:p>
    <w:p w14:paraId="0505A920" w14:textId="77777777" w:rsidR="00B13FDF" w:rsidRPr="004B7593" w:rsidRDefault="00B13FDF" w:rsidP="00B13FDF">
      <w:pPr>
        <w:ind w:left="720" w:hanging="720"/>
        <w:rPr>
          <w:rFonts w:cs="Arial"/>
          <w:szCs w:val="22"/>
        </w:rPr>
      </w:pPr>
      <w:r w:rsidRPr="00957B9C">
        <w:rPr>
          <w:rFonts w:cs="Arial"/>
          <w:szCs w:val="22"/>
        </w:rPr>
        <w:t>6.12</w:t>
      </w:r>
      <w:r w:rsidRPr="00957B9C">
        <w:rPr>
          <w:rFonts w:cs="Arial"/>
          <w:szCs w:val="22"/>
        </w:rPr>
        <w:tab/>
        <w:t>As an individual’s circumstances can change over time, repayment arrangements will be reviewed regularly by Accounts Receivable, not more frequently than every three months but no less than every six months.</w:t>
      </w:r>
      <w:r>
        <w:rPr>
          <w:rFonts w:cs="Arial"/>
          <w:szCs w:val="22"/>
        </w:rPr>
        <w:t xml:space="preserve"> </w:t>
      </w:r>
    </w:p>
    <w:p w14:paraId="4535EED1" w14:textId="77777777" w:rsidR="00B13FDF" w:rsidRDefault="00B13FDF" w:rsidP="00B13FDF">
      <w:pPr>
        <w:ind w:left="720" w:hanging="720"/>
        <w:rPr>
          <w:szCs w:val="22"/>
        </w:rPr>
      </w:pPr>
      <w:r>
        <w:rPr>
          <w:szCs w:val="22"/>
        </w:rPr>
        <w:t>6.13</w:t>
      </w:r>
      <w:r w:rsidRPr="004B7593">
        <w:rPr>
          <w:szCs w:val="22"/>
        </w:rPr>
        <w:tab/>
        <w:t xml:space="preserve">Should an ex-employee return to work </w:t>
      </w:r>
      <w:r>
        <w:rPr>
          <w:szCs w:val="22"/>
        </w:rPr>
        <w:t xml:space="preserve">for the Trust, either substantive or </w:t>
      </w:r>
      <w:r w:rsidRPr="004B7593">
        <w:rPr>
          <w:szCs w:val="22"/>
        </w:rPr>
        <w:t xml:space="preserve">on the Bank - In the event any salary is overpaid to them in error, including sums owed from previous employments with the Trust, East London Foundation Trust reserves the right to make deductions without authorisation </w:t>
      </w:r>
      <w:r>
        <w:rPr>
          <w:szCs w:val="22"/>
        </w:rPr>
        <w:t>or obtaining further</w:t>
      </w:r>
      <w:r w:rsidRPr="004B7593">
        <w:rPr>
          <w:szCs w:val="22"/>
        </w:rPr>
        <w:t xml:space="preserve"> </w:t>
      </w:r>
      <w:r>
        <w:rPr>
          <w:szCs w:val="22"/>
        </w:rPr>
        <w:t xml:space="preserve">written </w:t>
      </w:r>
      <w:r w:rsidRPr="004B7593">
        <w:rPr>
          <w:szCs w:val="22"/>
        </w:rPr>
        <w:t>permission</w:t>
      </w:r>
      <w:r>
        <w:rPr>
          <w:szCs w:val="22"/>
        </w:rPr>
        <w:t>, as per the contract of employment or bank agreement.</w:t>
      </w:r>
    </w:p>
    <w:p w14:paraId="411798A0" w14:textId="77777777" w:rsidR="00B13FDF" w:rsidRPr="004B7593" w:rsidRDefault="00B13FDF" w:rsidP="00B13FDF">
      <w:pPr>
        <w:ind w:left="720" w:hanging="720"/>
        <w:rPr>
          <w:rFonts w:cs="Arial"/>
          <w:szCs w:val="22"/>
        </w:rPr>
      </w:pPr>
    </w:p>
    <w:p w14:paraId="4146FDA7" w14:textId="77777777" w:rsidR="00B13FDF" w:rsidRPr="00915BEE" w:rsidRDefault="00B13FDF" w:rsidP="00B13FDF">
      <w:pPr>
        <w:pStyle w:val="ListParagraph"/>
        <w:numPr>
          <w:ilvl w:val="0"/>
          <w:numId w:val="16"/>
        </w:numPr>
        <w:rPr>
          <w:rFonts w:cs="Arial"/>
          <w:b/>
          <w:szCs w:val="22"/>
        </w:rPr>
      </w:pPr>
      <w:r w:rsidRPr="00915BEE">
        <w:rPr>
          <w:rFonts w:cs="Arial"/>
          <w:b/>
          <w:szCs w:val="22"/>
        </w:rPr>
        <w:t>Procedures For Bank Staff</w:t>
      </w:r>
    </w:p>
    <w:p w14:paraId="5B7DCD1A" w14:textId="77777777" w:rsidR="00B13FDF" w:rsidRPr="00061076" w:rsidRDefault="00B13FDF" w:rsidP="00B13FDF">
      <w:pPr>
        <w:pStyle w:val="ListParagraph"/>
        <w:ind w:left="360"/>
        <w:rPr>
          <w:rFonts w:cs="Arial"/>
          <w:b/>
          <w:szCs w:val="22"/>
        </w:rPr>
      </w:pPr>
    </w:p>
    <w:p w14:paraId="04324BB2" w14:textId="05DC8DD1" w:rsidR="00B13FDF" w:rsidRPr="00123208" w:rsidRDefault="00B13FDF" w:rsidP="00B13FDF">
      <w:pPr>
        <w:ind w:left="720" w:hanging="720"/>
        <w:rPr>
          <w:rFonts w:cs="Arial"/>
          <w:szCs w:val="22"/>
        </w:rPr>
      </w:pPr>
      <w:r w:rsidRPr="00123208">
        <w:rPr>
          <w:rFonts w:cs="Arial"/>
          <w:szCs w:val="22"/>
        </w:rPr>
        <w:t>7.1</w:t>
      </w:r>
      <w:r w:rsidRPr="00123208">
        <w:rPr>
          <w:rFonts w:cs="Arial"/>
          <w:szCs w:val="22"/>
        </w:rPr>
        <w:tab/>
        <w:t xml:space="preserve">On discovery of an overpayment in respect of a current bank employee still on the payroll, a letter will be sent directly to the employee by </w:t>
      </w:r>
      <w:r>
        <w:rPr>
          <w:rFonts w:cs="Arial"/>
          <w:szCs w:val="22"/>
        </w:rPr>
        <w:t xml:space="preserve">Payroll </w:t>
      </w:r>
      <w:r w:rsidRPr="00123208">
        <w:rPr>
          <w:rFonts w:cs="Arial"/>
          <w:szCs w:val="22"/>
        </w:rPr>
        <w:t>(copied to the HR Directorate contact as appropriate for information) providing the following information:</w:t>
      </w:r>
    </w:p>
    <w:p w14:paraId="188E98B3"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3184C4E0"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 and which have been corrected to prevent further overpayment/under deduction;</w:t>
      </w:r>
    </w:p>
    <w:p w14:paraId="4D81818B"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7C5385DD"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2B435D5B"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52613F74"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77CC2558" w14:textId="77777777" w:rsidR="00B13FDF" w:rsidRPr="00123208" w:rsidRDefault="00B13FDF" w:rsidP="00B13FDF">
      <w:pPr>
        <w:pStyle w:val="BodyTextIndent2"/>
        <w:widowControl w:val="0"/>
        <w:spacing w:after="0" w:line="240" w:lineRule="auto"/>
        <w:ind w:left="0"/>
        <w:rPr>
          <w:rFonts w:ascii="Arial" w:hAnsi="Arial" w:cs="Arial"/>
          <w:color w:val="0000FF"/>
          <w:sz w:val="22"/>
          <w:szCs w:val="22"/>
        </w:rPr>
      </w:pPr>
    </w:p>
    <w:p w14:paraId="6DC1A9DC"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proposed recovery plan (i.e. recovery period, recovery start date a</w:t>
      </w:r>
      <w:r>
        <w:rPr>
          <w:rFonts w:ascii="Arial" w:hAnsi="Arial" w:cs="Arial"/>
          <w:sz w:val="22"/>
          <w:szCs w:val="22"/>
        </w:rPr>
        <w:t xml:space="preserve">nd </w:t>
      </w:r>
      <w:r w:rsidRPr="00123208">
        <w:rPr>
          <w:rFonts w:ascii="Arial" w:hAnsi="Arial" w:cs="Arial"/>
          <w:sz w:val="22"/>
          <w:szCs w:val="22"/>
        </w:rPr>
        <w:t>procedure</w:t>
      </w:r>
      <w:r>
        <w:rPr>
          <w:rFonts w:ascii="Arial" w:hAnsi="Arial" w:cs="Arial"/>
          <w:sz w:val="22"/>
          <w:szCs w:val="22"/>
        </w:rPr>
        <w:t xml:space="preserve"> a</w:t>
      </w:r>
      <w:r w:rsidRPr="00123208">
        <w:rPr>
          <w:rFonts w:ascii="Arial" w:hAnsi="Arial" w:cs="Arial"/>
          <w:sz w:val="22"/>
          <w:szCs w:val="22"/>
        </w:rPr>
        <w:t xml:space="preserve">nd value of instalments) via the payroll either from the bank earnings (acknowledging that the recovery may be irregular/extended due to the bank working pattern), or where the employee also has a substantive post from the substantive earnings (subject to the national minimum wage requirements), ensuring like for like instalments are recovered e.g. pensionable vs non pensionable earnings;     </w:t>
      </w:r>
    </w:p>
    <w:p w14:paraId="399E57BB" w14:textId="77777777" w:rsidR="00B13FDF" w:rsidRDefault="00B13FDF" w:rsidP="00B13FDF">
      <w:pPr>
        <w:pStyle w:val="BodyTextIndent2"/>
        <w:widowControl w:val="0"/>
        <w:spacing w:after="0" w:line="240" w:lineRule="auto"/>
        <w:ind w:left="1440"/>
        <w:rPr>
          <w:rFonts w:ascii="Arial" w:hAnsi="Arial" w:cs="Arial"/>
          <w:sz w:val="22"/>
          <w:szCs w:val="22"/>
        </w:rPr>
      </w:pPr>
    </w:p>
    <w:p w14:paraId="0A986FB0"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150162BF" w14:textId="77777777" w:rsidR="00B13FDF" w:rsidRPr="00123208" w:rsidRDefault="00B13FDF" w:rsidP="00B13FDF">
      <w:pPr>
        <w:ind w:left="720" w:hanging="720"/>
        <w:rPr>
          <w:rFonts w:cs="Arial"/>
          <w:szCs w:val="22"/>
        </w:rPr>
      </w:pPr>
      <w:r w:rsidRPr="00123208">
        <w:rPr>
          <w:rFonts w:cs="Arial"/>
          <w:szCs w:val="22"/>
        </w:rPr>
        <w:t>7.2</w:t>
      </w:r>
      <w:r w:rsidRPr="00123208">
        <w:rPr>
          <w:rFonts w:cs="Arial"/>
          <w:szCs w:val="22"/>
        </w:rPr>
        <w:tab/>
        <w:t>Subject to the national minimum wage requirements, a maximum time limit will apply to the period in which repayments are made, restricted to the period in which the overpayment was originally made (e.g. overpayment made over a 5 week period must be recovered within a 5 week period). No overpayment recovery period will exceed 12 months, regardless of the period in which the overpayment was made, subject to the national minimum wage requirements.</w:t>
      </w:r>
    </w:p>
    <w:p w14:paraId="7135E884" w14:textId="77777777" w:rsidR="00B13FDF" w:rsidRPr="00123208" w:rsidRDefault="00B13FDF" w:rsidP="00B13FDF">
      <w:pPr>
        <w:ind w:left="720" w:hanging="720"/>
        <w:rPr>
          <w:rFonts w:cs="Arial"/>
          <w:szCs w:val="22"/>
        </w:rPr>
      </w:pPr>
      <w:r w:rsidRPr="00123208">
        <w:rPr>
          <w:rFonts w:cs="Arial"/>
          <w:szCs w:val="22"/>
        </w:rPr>
        <w:t>7.3</w:t>
      </w:r>
      <w:r w:rsidRPr="00123208">
        <w:rPr>
          <w:rFonts w:cs="Arial"/>
          <w:szCs w:val="22"/>
        </w:rPr>
        <w:tab/>
        <w:t>Based on the proposed recovery plan notified to the employee, deductions via instalments will automatically be applied via the payroll from the recovery start date unless the employee disputes the overpayment (in which case recovery action will be stalled for one month).</w:t>
      </w:r>
    </w:p>
    <w:p w14:paraId="3C25F375" w14:textId="1EA7EA07" w:rsidR="00B13FDF" w:rsidRPr="00123208" w:rsidRDefault="00B13FDF" w:rsidP="00B13FDF">
      <w:pPr>
        <w:ind w:left="720" w:hanging="720"/>
        <w:rPr>
          <w:rFonts w:cs="Arial"/>
          <w:szCs w:val="22"/>
        </w:rPr>
      </w:pPr>
      <w:r w:rsidRPr="00123208">
        <w:rPr>
          <w:rFonts w:cs="Arial"/>
          <w:szCs w:val="22"/>
        </w:rPr>
        <w:t>7.4</w:t>
      </w:r>
      <w:r w:rsidRPr="00123208">
        <w:rPr>
          <w:rFonts w:cs="Arial"/>
          <w:szCs w:val="22"/>
        </w:rPr>
        <w:tab/>
        <w:t xml:space="preserve">In cases where an employee disputes the overpayment (because the information provided related to the overpayment is considered by the employee to be incorrect), </w:t>
      </w:r>
      <w:r>
        <w:rPr>
          <w:rFonts w:cs="Arial"/>
          <w:szCs w:val="22"/>
        </w:rPr>
        <w:t xml:space="preserve">Payroll </w:t>
      </w:r>
      <w:r w:rsidRPr="00123208">
        <w:rPr>
          <w:rFonts w:cs="Arial"/>
          <w:szCs w:val="22"/>
        </w:rPr>
        <w:t xml:space="preserve">will refer the matter within 7 days of receipt of the dispute to the HR Directorate for consideration/action as appropriate. The HR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 action as necessary. Recovery action will be reinstated one month after the originally notified recovery start date, in the absence of further communication from the HR Directorate/employee.   </w:t>
      </w:r>
    </w:p>
    <w:p w14:paraId="16F9B1BD" w14:textId="1E215212" w:rsidR="00B13FDF"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7.5</w:t>
      </w:r>
      <w:r w:rsidRPr="00123208">
        <w:rPr>
          <w:rFonts w:ascii="Arial" w:hAnsi="Arial" w:cs="Arial"/>
          <w:b w:val="0"/>
          <w:sz w:val="22"/>
          <w:szCs w:val="22"/>
        </w:rPr>
        <w:tab/>
        <w:t xml:space="preserve">There will be a maximum ‘waiting period’ of three months in terms of recovering the full overpaid sum from the bank/susbstantive earnings. Where no or only limited recovery has been possible within the three month ‘waiting period’, the procedure followed will be the same as that for leavers where a letter is sent directly to the employee by </w:t>
      </w:r>
      <w:r>
        <w:rPr>
          <w:rFonts w:ascii="Arial" w:hAnsi="Arial" w:cs="Arial"/>
          <w:b w:val="0"/>
          <w:sz w:val="22"/>
          <w:szCs w:val="22"/>
        </w:rPr>
        <w:t xml:space="preserve">Payroll </w:t>
      </w:r>
      <w:r w:rsidRPr="00123208">
        <w:rPr>
          <w:rFonts w:ascii="Arial" w:hAnsi="Arial" w:cs="Arial"/>
          <w:b w:val="0"/>
          <w:sz w:val="22"/>
          <w:szCs w:val="22"/>
        </w:rPr>
        <w:t>providing the following information:</w:t>
      </w:r>
    </w:p>
    <w:p w14:paraId="04245829" w14:textId="77777777" w:rsidR="00B13FDF" w:rsidRPr="00915BEE" w:rsidRDefault="00B13FDF" w:rsidP="00B13FDF">
      <w:pPr>
        <w:spacing w:before="0"/>
      </w:pPr>
    </w:p>
    <w:p w14:paraId="0156CEBA" w14:textId="77777777" w:rsidR="00B13FDF" w:rsidRPr="00123208" w:rsidRDefault="00B13FDF" w:rsidP="00B13FDF">
      <w:pPr>
        <w:pStyle w:val="BodyTextIndent2"/>
        <w:widowControl w:val="0"/>
        <w:numPr>
          <w:ilvl w:val="0"/>
          <w:numId w:val="9"/>
        </w:numPr>
        <w:spacing w:after="0" w:line="240" w:lineRule="auto"/>
        <w:jc w:val="both"/>
        <w:rPr>
          <w:rFonts w:ascii="Arial" w:hAnsi="Arial" w:cs="Arial"/>
          <w:sz w:val="22"/>
          <w:szCs w:val="22"/>
        </w:rPr>
      </w:pPr>
      <w:r w:rsidRPr="00123208">
        <w:rPr>
          <w:rFonts w:ascii="Arial" w:hAnsi="Arial" w:cs="Arial"/>
          <w:sz w:val="22"/>
          <w:szCs w:val="22"/>
        </w:rPr>
        <w:t>a request for the sum to be repaid immediately;</w:t>
      </w:r>
    </w:p>
    <w:p w14:paraId="7A456107"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2A830DF" w14:textId="77777777" w:rsidR="00B13FDF" w:rsidRPr="00123208" w:rsidRDefault="00B13FDF" w:rsidP="00B13FDF">
      <w:pPr>
        <w:pStyle w:val="BodyTextIndent2"/>
        <w:widowControl w:val="0"/>
        <w:numPr>
          <w:ilvl w:val="0"/>
          <w:numId w:val="9"/>
        </w:numPr>
        <w:spacing w:after="0" w:line="240" w:lineRule="auto"/>
        <w:rPr>
          <w:rFonts w:ascii="Arial" w:hAnsi="Arial" w:cs="Arial"/>
          <w:sz w:val="22"/>
          <w:szCs w:val="22"/>
        </w:rPr>
      </w:pPr>
      <w:r w:rsidRPr="00123208">
        <w:rPr>
          <w:rFonts w:ascii="Arial" w:hAnsi="Arial" w:cs="Arial"/>
          <w:sz w:val="22"/>
          <w:szCs w:val="22"/>
        </w:rPr>
        <w:t>Advising that an invoice will follow from the employing organisation.</w:t>
      </w:r>
    </w:p>
    <w:p w14:paraId="1967AC9C" w14:textId="77777777" w:rsidR="00B13FDF" w:rsidRPr="00123208" w:rsidRDefault="00B13FDF" w:rsidP="00B13FDF">
      <w:pPr>
        <w:pStyle w:val="Heading2"/>
        <w:ind w:left="720" w:hanging="720"/>
        <w:rPr>
          <w:rFonts w:ascii="Arial" w:hAnsi="Arial" w:cs="Arial"/>
          <w:b w:val="0"/>
          <w:sz w:val="22"/>
          <w:szCs w:val="22"/>
        </w:rPr>
      </w:pPr>
    </w:p>
    <w:p w14:paraId="3955AF18" w14:textId="5A624A18" w:rsidR="00B13FDF" w:rsidRPr="00123208" w:rsidRDefault="00B13FDF" w:rsidP="00B13FDF">
      <w:pPr>
        <w:pStyle w:val="Heading2"/>
        <w:ind w:left="720" w:hanging="720"/>
        <w:rPr>
          <w:rFonts w:ascii="Arial" w:hAnsi="Arial" w:cs="Arial"/>
          <w:b w:val="0"/>
          <w:sz w:val="22"/>
          <w:szCs w:val="22"/>
        </w:rPr>
      </w:pPr>
      <w:r w:rsidRPr="00123208">
        <w:rPr>
          <w:rFonts w:ascii="Arial" w:hAnsi="Arial" w:cs="Arial"/>
          <w:b w:val="0"/>
          <w:sz w:val="22"/>
          <w:szCs w:val="22"/>
        </w:rPr>
        <w:t>7.6</w:t>
      </w:r>
      <w:r w:rsidRPr="00123208">
        <w:rPr>
          <w:rFonts w:ascii="Arial" w:hAnsi="Arial" w:cs="Arial"/>
          <w:b w:val="0"/>
          <w:sz w:val="22"/>
          <w:szCs w:val="22"/>
        </w:rPr>
        <w:tab/>
      </w:r>
      <w:r>
        <w:rPr>
          <w:rFonts w:ascii="Arial" w:hAnsi="Arial" w:cs="Arial"/>
          <w:b w:val="0"/>
          <w:sz w:val="22"/>
          <w:szCs w:val="22"/>
        </w:rPr>
        <w:t xml:space="preserve">Payroll </w:t>
      </w:r>
      <w:r w:rsidRPr="00123208">
        <w:rPr>
          <w:rFonts w:ascii="Arial" w:hAnsi="Arial" w:cs="Arial"/>
          <w:b w:val="0"/>
          <w:sz w:val="22"/>
          <w:szCs w:val="22"/>
        </w:rPr>
        <w:t xml:space="preserve">will forward a copy of the correspondence to the Finance Directorate and request that an invoice is raised and sent to the bank employee (for some client organisations the invoice request is raised electronically by </w:t>
      </w:r>
      <w:r>
        <w:rPr>
          <w:rFonts w:ascii="Arial" w:hAnsi="Arial" w:cs="Arial"/>
          <w:b w:val="0"/>
          <w:sz w:val="22"/>
          <w:szCs w:val="22"/>
        </w:rPr>
        <w:t xml:space="preserve">Payroll </w:t>
      </w:r>
      <w:r w:rsidRPr="00123208">
        <w:rPr>
          <w:rFonts w:ascii="Arial" w:hAnsi="Arial" w:cs="Arial"/>
          <w:b w:val="0"/>
          <w:sz w:val="22"/>
          <w:szCs w:val="22"/>
        </w:rPr>
        <w:t>via the client organisations’ finance system).</w:t>
      </w:r>
    </w:p>
    <w:p w14:paraId="272AFE11" w14:textId="77777777" w:rsidR="00B13FDF" w:rsidRPr="00123208" w:rsidRDefault="00B13FDF" w:rsidP="00B13FDF">
      <w:pPr>
        <w:ind w:left="720" w:hanging="720"/>
        <w:rPr>
          <w:rFonts w:cs="Arial"/>
          <w:szCs w:val="22"/>
        </w:rPr>
      </w:pPr>
      <w:r w:rsidRPr="00123208">
        <w:rPr>
          <w:rFonts w:cs="Arial"/>
          <w:szCs w:val="22"/>
        </w:rPr>
        <w:t>7</w:t>
      </w:r>
      <w:r>
        <w:rPr>
          <w:rFonts w:cs="Arial"/>
          <w:szCs w:val="22"/>
        </w:rPr>
        <w:t>.7</w:t>
      </w:r>
      <w:r w:rsidRPr="00123208">
        <w:rPr>
          <w:rFonts w:cs="Arial"/>
          <w:szCs w:val="22"/>
        </w:rPr>
        <w:tab/>
        <w:t xml:space="preserve">The procedure for former bank employees will be as outlined in paragraph </w:t>
      </w:r>
      <w:r w:rsidRPr="0098338A">
        <w:rPr>
          <w:rFonts w:cs="Arial"/>
          <w:szCs w:val="22"/>
        </w:rPr>
        <w:t>6</w:t>
      </w:r>
      <w:r w:rsidRPr="00123208">
        <w:rPr>
          <w:rFonts w:cs="Arial"/>
          <w:szCs w:val="22"/>
        </w:rPr>
        <w:t xml:space="preserve"> above.  </w:t>
      </w:r>
    </w:p>
    <w:p w14:paraId="37619D8E" w14:textId="77777777" w:rsidR="00B13FDF" w:rsidRPr="00123208" w:rsidRDefault="00B13FDF" w:rsidP="00B13FDF">
      <w:pPr>
        <w:rPr>
          <w:rFonts w:cs="Arial"/>
          <w:b/>
          <w:szCs w:val="22"/>
        </w:rPr>
      </w:pPr>
    </w:p>
    <w:p w14:paraId="36E62016" w14:textId="77777777" w:rsidR="00B13FDF" w:rsidRPr="00061076" w:rsidRDefault="00B13FDF" w:rsidP="00B13FDF">
      <w:pPr>
        <w:pStyle w:val="ListParagraph"/>
        <w:numPr>
          <w:ilvl w:val="0"/>
          <w:numId w:val="16"/>
        </w:numPr>
        <w:rPr>
          <w:rFonts w:cs="Arial"/>
          <w:b/>
          <w:szCs w:val="22"/>
        </w:rPr>
      </w:pPr>
      <w:r w:rsidRPr="00061076">
        <w:rPr>
          <w:rFonts w:cs="Arial"/>
          <w:b/>
          <w:szCs w:val="22"/>
        </w:rPr>
        <w:t>Offsetting Overpayments Against Sums Owed To Employees</w:t>
      </w:r>
    </w:p>
    <w:p w14:paraId="3569BB1E" w14:textId="77777777" w:rsidR="00B13FDF" w:rsidRDefault="00B13FDF" w:rsidP="00B13FDF">
      <w:pPr>
        <w:pStyle w:val="ListParagraph"/>
        <w:ind w:left="360"/>
        <w:rPr>
          <w:rFonts w:cs="Arial"/>
          <w:szCs w:val="22"/>
        </w:rPr>
      </w:pPr>
    </w:p>
    <w:p w14:paraId="343C408C" w14:textId="77777777" w:rsidR="00B13FDF" w:rsidRPr="00061076" w:rsidRDefault="00B13FDF" w:rsidP="00B13FDF">
      <w:pPr>
        <w:pStyle w:val="ListParagraph"/>
        <w:ind w:left="360"/>
        <w:rPr>
          <w:rFonts w:cs="Arial"/>
          <w:szCs w:val="22"/>
        </w:rPr>
      </w:pPr>
    </w:p>
    <w:p w14:paraId="0684FBC0" w14:textId="77777777" w:rsidR="00B13FDF" w:rsidRPr="00123208" w:rsidRDefault="00B13FDF" w:rsidP="00B13FDF">
      <w:pPr>
        <w:ind w:left="720" w:hanging="720"/>
        <w:rPr>
          <w:rFonts w:cs="Arial"/>
          <w:szCs w:val="22"/>
        </w:rPr>
      </w:pPr>
      <w:r w:rsidRPr="00123208">
        <w:rPr>
          <w:rFonts w:cs="Arial"/>
          <w:szCs w:val="22"/>
        </w:rPr>
        <w:t>8.1</w:t>
      </w:r>
      <w:r w:rsidRPr="00123208">
        <w:rPr>
          <w:rFonts w:cs="Arial"/>
          <w:szCs w:val="22"/>
        </w:rPr>
        <w:tab/>
        <w:t>There may be occasions when current or former employees are paid lump sums who have previously been overpaid and the overpayment has either been only partly recovered, or has only recently been identified. Examples of these lump sum payments include:</w:t>
      </w:r>
    </w:p>
    <w:p w14:paraId="36BAB3C4" w14:textId="77777777" w:rsidR="00B13FDF" w:rsidRDefault="00B13FDF" w:rsidP="00B13FDF">
      <w:pPr>
        <w:numPr>
          <w:ilvl w:val="0"/>
          <w:numId w:val="12"/>
        </w:numPr>
        <w:spacing w:before="0" w:after="0"/>
        <w:jc w:val="left"/>
        <w:rPr>
          <w:rFonts w:cs="Arial"/>
          <w:szCs w:val="22"/>
        </w:rPr>
      </w:pPr>
      <w:r w:rsidRPr="00123208">
        <w:rPr>
          <w:rFonts w:cs="Arial"/>
          <w:szCs w:val="22"/>
        </w:rPr>
        <w:t>retrospective arrears payments</w:t>
      </w:r>
    </w:p>
    <w:p w14:paraId="338F36D4" w14:textId="77777777" w:rsidR="00B13FDF" w:rsidRPr="00040200" w:rsidRDefault="00B13FDF" w:rsidP="00B13FDF">
      <w:pPr>
        <w:spacing w:before="0" w:after="0"/>
        <w:ind w:left="1440"/>
        <w:jc w:val="left"/>
        <w:rPr>
          <w:rFonts w:cs="Arial"/>
          <w:szCs w:val="22"/>
        </w:rPr>
      </w:pPr>
    </w:p>
    <w:p w14:paraId="18372794" w14:textId="77777777" w:rsidR="00B13FDF" w:rsidRDefault="00B13FDF" w:rsidP="00B13FDF">
      <w:pPr>
        <w:numPr>
          <w:ilvl w:val="0"/>
          <w:numId w:val="12"/>
        </w:numPr>
        <w:spacing w:before="0" w:after="0"/>
        <w:jc w:val="left"/>
        <w:rPr>
          <w:rFonts w:cs="Arial"/>
          <w:szCs w:val="22"/>
        </w:rPr>
      </w:pPr>
      <w:r w:rsidRPr="00123208">
        <w:rPr>
          <w:rFonts w:cs="Arial"/>
          <w:szCs w:val="22"/>
        </w:rPr>
        <w:t>final salary which includes payment in lieu of notice and/or redundancy pay</w:t>
      </w:r>
    </w:p>
    <w:p w14:paraId="16F613F6" w14:textId="77777777" w:rsidR="00B13FDF" w:rsidRPr="00040200" w:rsidRDefault="00B13FDF" w:rsidP="00B13FDF">
      <w:pPr>
        <w:spacing w:before="0" w:after="0"/>
        <w:jc w:val="left"/>
        <w:rPr>
          <w:rFonts w:cs="Arial"/>
          <w:szCs w:val="22"/>
        </w:rPr>
      </w:pPr>
    </w:p>
    <w:p w14:paraId="79688ADF" w14:textId="77777777" w:rsidR="00B13FDF" w:rsidRPr="00123208" w:rsidRDefault="00B13FDF" w:rsidP="00B13FDF">
      <w:pPr>
        <w:numPr>
          <w:ilvl w:val="0"/>
          <w:numId w:val="12"/>
        </w:numPr>
        <w:spacing w:before="0" w:after="0"/>
        <w:jc w:val="left"/>
        <w:rPr>
          <w:rFonts w:cs="Arial"/>
          <w:szCs w:val="22"/>
        </w:rPr>
      </w:pPr>
      <w:r w:rsidRPr="00123208">
        <w:rPr>
          <w:rFonts w:cs="Arial"/>
          <w:szCs w:val="22"/>
        </w:rPr>
        <w:t xml:space="preserve">payment as part of a legal settlement including compromise agreements </w:t>
      </w:r>
    </w:p>
    <w:p w14:paraId="3AA48A4B" w14:textId="77777777" w:rsidR="00B13FDF" w:rsidRPr="00123208" w:rsidRDefault="00B13FDF" w:rsidP="00B13FDF">
      <w:pPr>
        <w:rPr>
          <w:rFonts w:cs="Arial"/>
          <w:szCs w:val="22"/>
        </w:rPr>
      </w:pPr>
    </w:p>
    <w:p w14:paraId="555A2DB2" w14:textId="77777777" w:rsidR="00B13FDF" w:rsidRPr="00123208" w:rsidRDefault="00B13FDF" w:rsidP="00B13FDF">
      <w:pPr>
        <w:ind w:left="720" w:hanging="720"/>
        <w:rPr>
          <w:rFonts w:cs="Arial"/>
          <w:szCs w:val="22"/>
        </w:rPr>
      </w:pPr>
      <w:r w:rsidRPr="00123208">
        <w:rPr>
          <w:rFonts w:cs="Arial"/>
          <w:szCs w:val="22"/>
        </w:rPr>
        <w:t>8.2</w:t>
      </w:r>
      <w:r w:rsidRPr="00123208">
        <w:rPr>
          <w:rFonts w:cs="Arial"/>
          <w:szCs w:val="22"/>
        </w:rPr>
        <w:tab/>
        <w:t xml:space="preserve">In the case of payments which are not part of a legal settlement (e.g. retrospective arrears payments, final salaries which include payments in lieu of notice and redundancy), the following actions will be taken:        </w:t>
      </w:r>
    </w:p>
    <w:p w14:paraId="7F97E651" w14:textId="77777777" w:rsidR="00B13FDF" w:rsidRDefault="00B13FDF" w:rsidP="00B13FDF">
      <w:pPr>
        <w:numPr>
          <w:ilvl w:val="0"/>
          <w:numId w:val="11"/>
        </w:numPr>
        <w:spacing w:before="0" w:after="0"/>
        <w:jc w:val="left"/>
        <w:rPr>
          <w:rFonts w:cs="Arial"/>
          <w:szCs w:val="22"/>
        </w:rPr>
      </w:pPr>
      <w:r w:rsidRPr="00123208">
        <w:rPr>
          <w:rFonts w:cs="Arial"/>
          <w:szCs w:val="22"/>
        </w:rPr>
        <w:t>the overpayment will be recovered by offsetting it against the sum due (the sum due will be netted to zero if the overpayment is equal to or greater than the sum due);</w:t>
      </w:r>
    </w:p>
    <w:p w14:paraId="016BBDC5" w14:textId="77777777" w:rsidR="00B13FDF" w:rsidRPr="00040200" w:rsidRDefault="00B13FDF" w:rsidP="00B13FDF">
      <w:pPr>
        <w:spacing w:before="0" w:after="0"/>
        <w:ind w:left="1440"/>
        <w:jc w:val="left"/>
        <w:rPr>
          <w:rFonts w:cs="Arial"/>
          <w:szCs w:val="22"/>
        </w:rPr>
      </w:pPr>
    </w:p>
    <w:p w14:paraId="1D5BEA49" w14:textId="77777777" w:rsidR="00B13FDF" w:rsidRDefault="00B13FDF" w:rsidP="00B13FDF">
      <w:pPr>
        <w:numPr>
          <w:ilvl w:val="0"/>
          <w:numId w:val="11"/>
        </w:numPr>
        <w:spacing w:before="0" w:after="0"/>
        <w:jc w:val="left"/>
        <w:rPr>
          <w:rFonts w:cs="Arial"/>
          <w:szCs w:val="22"/>
        </w:rPr>
      </w:pPr>
      <w:r w:rsidRPr="00123208">
        <w:rPr>
          <w:rFonts w:cs="Arial"/>
          <w:szCs w:val="22"/>
        </w:rPr>
        <w:t>if an outstanding overpayment balance still remains after offsetting the overpayment  against the sum due, this will be treated in accordance with the procedure above (i.e. overpayment recovery via salary or invoice);</w:t>
      </w:r>
    </w:p>
    <w:p w14:paraId="6A37C371" w14:textId="77777777" w:rsidR="00B13FDF" w:rsidRPr="00040200" w:rsidRDefault="00B13FDF" w:rsidP="00B13FDF">
      <w:pPr>
        <w:spacing w:before="0" w:after="0"/>
        <w:jc w:val="left"/>
        <w:rPr>
          <w:rFonts w:cs="Arial"/>
          <w:szCs w:val="22"/>
        </w:rPr>
      </w:pPr>
    </w:p>
    <w:p w14:paraId="7851B1FB" w14:textId="07C14F77" w:rsidR="00B13FDF" w:rsidRPr="00123208" w:rsidRDefault="00B13FDF" w:rsidP="00B13FDF">
      <w:pPr>
        <w:numPr>
          <w:ilvl w:val="0"/>
          <w:numId w:val="11"/>
        </w:numPr>
        <w:spacing w:before="0" w:after="0"/>
        <w:jc w:val="left"/>
        <w:rPr>
          <w:rFonts w:cs="Arial"/>
          <w:szCs w:val="22"/>
        </w:rPr>
      </w:pPr>
      <w:r w:rsidRPr="00123208">
        <w:rPr>
          <w:rFonts w:cs="Arial"/>
          <w:szCs w:val="22"/>
        </w:rPr>
        <w:t xml:space="preserve">A letter will be sent directly to the employee by </w:t>
      </w:r>
      <w:r>
        <w:rPr>
          <w:rFonts w:cs="Arial"/>
          <w:szCs w:val="22"/>
        </w:rPr>
        <w:t>PAYROLL</w:t>
      </w:r>
      <w:r w:rsidRPr="00123208">
        <w:rPr>
          <w:rFonts w:cs="Arial"/>
          <w:szCs w:val="22"/>
        </w:rPr>
        <w:t xml:space="preserve"> confirming the offsetting overpayment action that has been taken (copied to the HR Directorate contact as appropriate for information).    </w:t>
      </w:r>
    </w:p>
    <w:p w14:paraId="7125F04D" w14:textId="77777777" w:rsidR="00B13FDF" w:rsidRPr="00123208" w:rsidRDefault="00B13FDF" w:rsidP="00B13FDF">
      <w:pPr>
        <w:rPr>
          <w:rFonts w:cs="Arial"/>
          <w:szCs w:val="22"/>
        </w:rPr>
      </w:pPr>
    </w:p>
    <w:p w14:paraId="5780BF92" w14:textId="77777777" w:rsidR="00B13FDF" w:rsidRPr="00123208" w:rsidRDefault="00B13FDF" w:rsidP="00B13FDF">
      <w:pPr>
        <w:ind w:left="720" w:hanging="720"/>
        <w:rPr>
          <w:rFonts w:cs="Arial"/>
          <w:szCs w:val="22"/>
        </w:rPr>
      </w:pPr>
      <w:r w:rsidRPr="00123208">
        <w:rPr>
          <w:rFonts w:cs="Arial"/>
          <w:szCs w:val="22"/>
        </w:rPr>
        <w:t>8.3</w:t>
      </w:r>
      <w:r w:rsidRPr="00123208">
        <w:rPr>
          <w:rFonts w:cs="Arial"/>
          <w:szCs w:val="22"/>
        </w:rPr>
        <w:tab/>
        <w:t xml:space="preserve">In the case of payments which are part of a legal settlement (e.g. compromise agreements) the following actions will be taken:        </w:t>
      </w:r>
    </w:p>
    <w:p w14:paraId="014218CA" w14:textId="3F0A6396" w:rsidR="00B13FDF" w:rsidRDefault="00B13FDF" w:rsidP="00B13FDF">
      <w:pPr>
        <w:numPr>
          <w:ilvl w:val="0"/>
          <w:numId w:val="11"/>
        </w:numPr>
        <w:spacing w:before="0" w:after="0"/>
        <w:jc w:val="left"/>
        <w:rPr>
          <w:rFonts w:cs="Arial"/>
          <w:szCs w:val="22"/>
        </w:rPr>
      </w:pPr>
      <w:r w:rsidRPr="00123208">
        <w:rPr>
          <w:rFonts w:cs="Arial"/>
          <w:szCs w:val="22"/>
        </w:rPr>
        <w:t xml:space="preserve">a query will be raised by </w:t>
      </w:r>
      <w:r>
        <w:rPr>
          <w:rFonts w:cs="Arial"/>
          <w:szCs w:val="22"/>
        </w:rPr>
        <w:t xml:space="preserve">Payroll </w:t>
      </w:r>
      <w:r w:rsidRPr="00123208">
        <w:rPr>
          <w:rFonts w:cs="Arial"/>
          <w:szCs w:val="22"/>
        </w:rPr>
        <w:t>with the HR Directorate in terms of whether (in the legal context) it is possible to recover the overpayment by offsetting it against the sum due (emphasising the legal timescales required for payment and that in the absence of a response the overpayment will be recovered);</w:t>
      </w:r>
    </w:p>
    <w:p w14:paraId="5FBD9B34" w14:textId="77777777" w:rsidR="00B13FDF" w:rsidRPr="00040200" w:rsidRDefault="00B13FDF" w:rsidP="00B13FDF">
      <w:pPr>
        <w:spacing w:before="0" w:after="0"/>
        <w:ind w:left="1440"/>
        <w:jc w:val="left"/>
        <w:rPr>
          <w:rFonts w:cs="Arial"/>
          <w:szCs w:val="22"/>
        </w:rPr>
      </w:pPr>
    </w:p>
    <w:p w14:paraId="07F7FEF9" w14:textId="77777777" w:rsidR="00B13FDF" w:rsidRPr="00123208" w:rsidRDefault="00B13FDF" w:rsidP="00B13FDF">
      <w:pPr>
        <w:numPr>
          <w:ilvl w:val="0"/>
          <w:numId w:val="11"/>
        </w:numPr>
        <w:spacing w:before="0" w:after="0"/>
        <w:jc w:val="left"/>
        <w:rPr>
          <w:rFonts w:cs="Arial"/>
          <w:szCs w:val="22"/>
        </w:rPr>
      </w:pPr>
      <w:r w:rsidRPr="00123208">
        <w:rPr>
          <w:rFonts w:cs="Arial"/>
          <w:szCs w:val="22"/>
        </w:rPr>
        <w:t>if an outstanding overpayment balance still remains after offsetting the overpayment  against the sum due, this will be treated in accordance with the procedure above (i.e. overpayment recovery via salary or invoice) subject to legal opinion;</w:t>
      </w:r>
    </w:p>
    <w:p w14:paraId="4FFD56AC" w14:textId="77777777" w:rsidR="00B13FDF" w:rsidRPr="00123208" w:rsidRDefault="00B13FDF" w:rsidP="00B13FDF">
      <w:pPr>
        <w:ind w:left="1080"/>
        <w:rPr>
          <w:rFonts w:cs="Arial"/>
          <w:szCs w:val="22"/>
        </w:rPr>
      </w:pPr>
    </w:p>
    <w:p w14:paraId="44F2D183" w14:textId="0C9B4C9C" w:rsidR="00B13FDF" w:rsidRPr="00123208" w:rsidRDefault="00B13FDF" w:rsidP="00B13FDF">
      <w:pPr>
        <w:numPr>
          <w:ilvl w:val="0"/>
          <w:numId w:val="11"/>
        </w:numPr>
        <w:spacing w:before="0" w:after="0"/>
        <w:jc w:val="left"/>
        <w:rPr>
          <w:rFonts w:cs="Arial"/>
          <w:szCs w:val="22"/>
        </w:rPr>
      </w:pPr>
      <w:r w:rsidRPr="00123208">
        <w:rPr>
          <w:rFonts w:cs="Arial"/>
          <w:szCs w:val="22"/>
        </w:rPr>
        <w:t xml:space="preserve">A letter will be sent directly to the employee by </w:t>
      </w:r>
      <w:r>
        <w:rPr>
          <w:rFonts w:cs="Arial"/>
          <w:szCs w:val="22"/>
        </w:rPr>
        <w:t>Payroll</w:t>
      </w:r>
      <w:r w:rsidRPr="00123208">
        <w:rPr>
          <w:rFonts w:cs="Arial"/>
          <w:szCs w:val="22"/>
        </w:rPr>
        <w:t xml:space="preserve"> confirming the offsetting overpayment action that has been taken (copied to the HR Directorate contact as appropriate for information).    </w:t>
      </w:r>
    </w:p>
    <w:p w14:paraId="325C5DF1" w14:textId="77777777" w:rsidR="00B13FDF" w:rsidRPr="00123208" w:rsidRDefault="00B13FDF" w:rsidP="00B13FDF">
      <w:pPr>
        <w:rPr>
          <w:rFonts w:cs="Arial"/>
          <w:b/>
          <w:szCs w:val="22"/>
        </w:rPr>
      </w:pPr>
    </w:p>
    <w:p w14:paraId="1C8CA7BE" w14:textId="77777777" w:rsidR="00B13FDF" w:rsidRPr="00123208" w:rsidRDefault="00B13FDF" w:rsidP="00B13FDF">
      <w:pPr>
        <w:rPr>
          <w:rFonts w:cs="Arial"/>
          <w:b/>
          <w:szCs w:val="22"/>
        </w:rPr>
      </w:pPr>
      <w:r w:rsidRPr="00123208">
        <w:rPr>
          <w:rFonts w:cs="Arial"/>
          <w:b/>
          <w:szCs w:val="22"/>
        </w:rPr>
        <w:t>9</w:t>
      </w:r>
      <w:r w:rsidRPr="00123208">
        <w:rPr>
          <w:rFonts w:cs="Arial"/>
          <w:b/>
          <w:szCs w:val="22"/>
        </w:rPr>
        <w:tab/>
        <w:t xml:space="preserve">  Procedure for Death in Service Cases</w:t>
      </w:r>
    </w:p>
    <w:p w14:paraId="5B0BD88C" w14:textId="77777777" w:rsidR="00B13FDF" w:rsidRPr="00123208" w:rsidRDefault="00B13FDF" w:rsidP="00B13FDF">
      <w:pPr>
        <w:ind w:left="720" w:hanging="720"/>
        <w:rPr>
          <w:rFonts w:cs="Arial"/>
          <w:szCs w:val="22"/>
        </w:rPr>
      </w:pPr>
    </w:p>
    <w:p w14:paraId="707F595C" w14:textId="12787BC2" w:rsidR="00B13FDF" w:rsidRPr="00123208" w:rsidRDefault="00B13FDF" w:rsidP="00B13FDF">
      <w:pPr>
        <w:ind w:left="720" w:hanging="720"/>
        <w:rPr>
          <w:rFonts w:cs="Arial"/>
          <w:szCs w:val="22"/>
        </w:rPr>
      </w:pPr>
      <w:r w:rsidRPr="00123208">
        <w:rPr>
          <w:rFonts w:cs="Arial"/>
          <w:szCs w:val="22"/>
        </w:rPr>
        <w:t>9.1</w:t>
      </w:r>
      <w:r w:rsidRPr="00123208">
        <w:rPr>
          <w:rFonts w:cs="Arial"/>
          <w:szCs w:val="22"/>
        </w:rPr>
        <w:tab/>
        <w:t xml:space="preserve">In cases where there is a pre-existing overpayment and the employee later dies in service, or where an overpayment is newly identified at the time of death in service, </w:t>
      </w:r>
      <w:r>
        <w:rPr>
          <w:rFonts w:cs="Arial"/>
          <w:szCs w:val="22"/>
        </w:rPr>
        <w:t xml:space="preserve">Payroll </w:t>
      </w:r>
      <w:r w:rsidRPr="00123208">
        <w:rPr>
          <w:rFonts w:cs="Arial"/>
          <w:szCs w:val="22"/>
        </w:rPr>
        <w:t xml:space="preserve">will refer such cases to the Director of Human Resources requesting instruction on whether to initiate overpayment recovery procedures.    </w:t>
      </w:r>
    </w:p>
    <w:p w14:paraId="60940AD7" w14:textId="77777777" w:rsidR="00B13FDF" w:rsidRPr="00123208" w:rsidRDefault="00B13FDF" w:rsidP="00B13FDF">
      <w:pPr>
        <w:rPr>
          <w:rFonts w:cs="Arial"/>
          <w:b/>
          <w:szCs w:val="22"/>
        </w:rPr>
      </w:pPr>
    </w:p>
    <w:p w14:paraId="2A70D404" w14:textId="77777777" w:rsidR="00B13FDF" w:rsidRPr="00123208" w:rsidRDefault="00B13FDF" w:rsidP="00B13FDF">
      <w:pPr>
        <w:rPr>
          <w:rFonts w:cs="Arial"/>
          <w:szCs w:val="22"/>
        </w:rPr>
      </w:pPr>
      <w:r w:rsidRPr="00123208">
        <w:rPr>
          <w:rFonts w:cs="Arial"/>
          <w:b/>
          <w:szCs w:val="22"/>
        </w:rPr>
        <w:t>10</w:t>
      </w:r>
      <w:r w:rsidRPr="00123208">
        <w:rPr>
          <w:rFonts w:cs="Arial"/>
          <w:b/>
          <w:szCs w:val="22"/>
        </w:rPr>
        <w:tab/>
        <w:t xml:space="preserve"> Standard Employee Letter Templates</w:t>
      </w:r>
    </w:p>
    <w:p w14:paraId="4582653C" w14:textId="77777777" w:rsidR="00B13FDF" w:rsidRPr="00123208" w:rsidRDefault="00B13FDF" w:rsidP="00B13FDF">
      <w:pPr>
        <w:rPr>
          <w:rFonts w:cs="Arial"/>
          <w:szCs w:val="22"/>
        </w:rPr>
      </w:pPr>
    </w:p>
    <w:p w14:paraId="36728916" w14:textId="512FE87A" w:rsidR="007457A9" w:rsidRDefault="00B13FDF" w:rsidP="00B13FDF">
      <w:pPr>
        <w:ind w:left="720" w:hanging="720"/>
        <w:rPr>
          <w:rFonts w:cs="Arial"/>
          <w:szCs w:val="22"/>
        </w:rPr>
      </w:pPr>
      <w:r w:rsidRPr="00123208">
        <w:rPr>
          <w:rFonts w:cs="Arial"/>
          <w:szCs w:val="22"/>
        </w:rPr>
        <w:t>10.1</w:t>
      </w:r>
      <w:r w:rsidRPr="00123208">
        <w:rPr>
          <w:rFonts w:cs="Arial"/>
          <w:szCs w:val="22"/>
        </w:rPr>
        <w:tab/>
        <w:t>A standard set of letter templates used for communicating overpayment cases to current and former employees (including bank staff) will be agreed as part of this procedure.</w:t>
      </w:r>
    </w:p>
    <w:p w14:paraId="35F67660" w14:textId="77777777" w:rsidR="007457A9" w:rsidRDefault="007457A9">
      <w:pPr>
        <w:spacing w:before="0" w:after="160" w:line="259" w:lineRule="auto"/>
        <w:jc w:val="left"/>
        <w:rPr>
          <w:rFonts w:cs="Arial"/>
          <w:szCs w:val="22"/>
        </w:rPr>
      </w:pPr>
      <w:r>
        <w:rPr>
          <w:rFonts w:cs="Arial"/>
          <w:szCs w:val="22"/>
        </w:rPr>
        <w:br w:type="page"/>
      </w:r>
    </w:p>
    <w:p w14:paraId="2602B6EA" w14:textId="77777777" w:rsidR="00B13FDF" w:rsidRPr="00123208" w:rsidRDefault="00B13FDF" w:rsidP="00B13FDF">
      <w:pPr>
        <w:ind w:left="720" w:hanging="720"/>
        <w:rPr>
          <w:rFonts w:cs="Arial"/>
          <w:szCs w:val="22"/>
        </w:rPr>
      </w:pPr>
    </w:p>
    <w:p w14:paraId="6301E61C" w14:textId="77777777" w:rsidR="00B13FDF" w:rsidRPr="00123208" w:rsidRDefault="00B13FDF" w:rsidP="00B13FDF">
      <w:pPr>
        <w:ind w:left="720" w:hanging="720"/>
        <w:rPr>
          <w:rFonts w:cs="Arial"/>
          <w:szCs w:val="22"/>
        </w:rPr>
      </w:pPr>
    </w:p>
    <w:p w14:paraId="5AE5A732" w14:textId="77777777" w:rsidR="00B13FDF" w:rsidRPr="00123208" w:rsidRDefault="00B13FDF" w:rsidP="00B13FDF">
      <w:pPr>
        <w:rPr>
          <w:rFonts w:cs="Arial"/>
          <w:szCs w:val="22"/>
        </w:rPr>
      </w:pPr>
      <w:r w:rsidRPr="00123208">
        <w:rPr>
          <w:rFonts w:cs="Arial"/>
          <w:b/>
          <w:szCs w:val="22"/>
        </w:rPr>
        <w:t>11</w:t>
      </w:r>
      <w:r w:rsidRPr="00123208">
        <w:rPr>
          <w:rFonts w:cs="Arial"/>
          <w:b/>
          <w:szCs w:val="22"/>
        </w:rPr>
        <w:tab/>
        <w:t xml:space="preserve">  Reporting Of Overpayments</w:t>
      </w:r>
    </w:p>
    <w:p w14:paraId="374C2000" w14:textId="77777777" w:rsidR="00B13FDF" w:rsidRPr="00123208" w:rsidRDefault="00B13FDF" w:rsidP="00B13FDF">
      <w:pPr>
        <w:rPr>
          <w:rFonts w:cs="Arial"/>
          <w:szCs w:val="22"/>
        </w:rPr>
      </w:pPr>
    </w:p>
    <w:p w14:paraId="7E747CFC" w14:textId="643A4F5D" w:rsidR="00B13FDF" w:rsidRPr="00123208" w:rsidRDefault="00B13FDF" w:rsidP="00B13FDF">
      <w:pPr>
        <w:ind w:left="720" w:hanging="720"/>
        <w:rPr>
          <w:rFonts w:cs="Arial"/>
          <w:szCs w:val="22"/>
        </w:rPr>
      </w:pPr>
      <w:r w:rsidRPr="00123208">
        <w:rPr>
          <w:rFonts w:cs="Arial"/>
          <w:szCs w:val="22"/>
        </w:rPr>
        <w:t>11.1</w:t>
      </w:r>
      <w:r w:rsidRPr="00123208">
        <w:rPr>
          <w:rFonts w:cs="Arial"/>
          <w:szCs w:val="22"/>
        </w:rPr>
        <w:tab/>
        <w:t xml:space="preserve">Regular reporting of overpayments is undertaken by </w:t>
      </w:r>
      <w:r>
        <w:rPr>
          <w:rFonts w:cs="Arial"/>
          <w:szCs w:val="22"/>
        </w:rPr>
        <w:t xml:space="preserve">Payroll </w:t>
      </w:r>
      <w:r w:rsidRPr="00123208">
        <w:rPr>
          <w:rFonts w:cs="Arial"/>
          <w:szCs w:val="22"/>
        </w:rPr>
        <w:t>via the following methods:</w:t>
      </w:r>
    </w:p>
    <w:p w14:paraId="55EBB958" w14:textId="77777777" w:rsidR="00B13FDF" w:rsidRPr="00123208" w:rsidRDefault="00B13FDF" w:rsidP="00B13FDF">
      <w:pPr>
        <w:rPr>
          <w:rFonts w:cs="Arial"/>
          <w:szCs w:val="22"/>
        </w:rPr>
      </w:pPr>
    </w:p>
    <w:p w14:paraId="4F325117" w14:textId="77777777" w:rsidR="00B13FDF" w:rsidRPr="00123208" w:rsidRDefault="00B13FDF" w:rsidP="00B13FDF">
      <w:pPr>
        <w:widowControl w:val="0"/>
        <w:numPr>
          <w:ilvl w:val="0"/>
          <w:numId w:val="10"/>
        </w:numPr>
        <w:spacing w:before="0" w:after="0"/>
        <w:jc w:val="left"/>
        <w:rPr>
          <w:rFonts w:cs="Arial"/>
          <w:szCs w:val="22"/>
        </w:rPr>
      </w:pPr>
      <w:r w:rsidRPr="00123208">
        <w:rPr>
          <w:rFonts w:cs="Arial"/>
          <w:szCs w:val="22"/>
        </w:rPr>
        <w:t>A monthly report is provided to Finance and HR Dir</w:t>
      </w:r>
      <w:r>
        <w:rPr>
          <w:rFonts w:cs="Arial"/>
          <w:szCs w:val="22"/>
        </w:rPr>
        <w:t>ectors showing all overpayments. This is cascaded to Borough Directors.</w:t>
      </w:r>
    </w:p>
    <w:p w14:paraId="585DBD50" w14:textId="77777777" w:rsidR="00B13FDF" w:rsidRPr="00123208" w:rsidRDefault="00B13FDF" w:rsidP="00B13FDF">
      <w:pPr>
        <w:rPr>
          <w:rFonts w:cs="Arial"/>
          <w:szCs w:val="22"/>
        </w:rPr>
      </w:pPr>
    </w:p>
    <w:p w14:paraId="1F349DBA" w14:textId="77777777" w:rsidR="00B13FDF" w:rsidRDefault="00B13FDF" w:rsidP="00B13FDF">
      <w:pPr>
        <w:pStyle w:val="ListParagraph"/>
        <w:ind w:left="709" w:hanging="709"/>
        <w:rPr>
          <w:rFonts w:cs="Arial"/>
          <w:b/>
          <w:szCs w:val="22"/>
        </w:rPr>
      </w:pPr>
      <w:r w:rsidRPr="00123208">
        <w:rPr>
          <w:rFonts w:cs="Arial"/>
          <w:b/>
          <w:szCs w:val="22"/>
        </w:rPr>
        <w:t>12</w:t>
      </w:r>
      <w:r w:rsidRPr="00123208">
        <w:rPr>
          <w:rFonts w:cs="Arial"/>
          <w:b/>
          <w:szCs w:val="22"/>
        </w:rPr>
        <w:tab/>
        <w:t>Non-compliance</w:t>
      </w:r>
    </w:p>
    <w:p w14:paraId="40939F1E" w14:textId="77777777" w:rsidR="00B13FDF" w:rsidRPr="00123208" w:rsidRDefault="00B13FDF" w:rsidP="00B13FDF">
      <w:pPr>
        <w:pStyle w:val="ListParagraph"/>
        <w:ind w:left="709" w:hanging="709"/>
        <w:rPr>
          <w:rFonts w:cs="Arial"/>
          <w:b/>
          <w:szCs w:val="22"/>
        </w:rPr>
      </w:pPr>
    </w:p>
    <w:p w14:paraId="7A4C24BA" w14:textId="77777777" w:rsidR="00B13FDF" w:rsidRPr="00123208" w:rsidRDefault="00B13FDF" w:rsidP="00B13FDF">
      <w:pPr>
        <w:spacing w:before="0" w:after="0"/>
        <w:ind w:left="709" w:hanging="709"/>
        <w:rPr>
          <w:rFonts w:eastAsiaTheme="minorEastAsia" w:cs="Arial"/>
          <w:szCs w:val="22"/>
          <w:lang w:eastAsia="en-US"/>
        </w:rPr>
      </w:pPr>
      <w:r w:rsidRPr="00123208">
        <w:rPr>
          <w:rFonts w:eastAsiaTheme="minorEastAsia" w:cs="Arial"/>
          <w:szCs w:val="22"/>
          <w:lang w:eastAsia="en-US"/>
        </w:rPr>
        <w:t>12.1</w:t>
      </w:r>
      <w:r w:rsidRPr="00123208">
        <w:rPr>
          <w:rFonts w:eastAsiaTheme="minorEastAsia" w:cs="Arial"/>
          <w:szCs w:val="22"/>
          <w:lang w:eastAsia="en-US"/>
        </w:rPr>
        <w:tab/>
        <w:t xml:space="preserve">Non-compliance with this policy will be referred to Human Resources and, where appropriate the Trust’s Local Counter Fraud Specialist for investigation which may result in criminal, civil and / or disciplinary action being taken against the employee. </w:t>
      </w:r>
    </w:p>
    <w:p w14:paraId="5629E3D0" w14:textId="77777777" w:rsidR="00B13FDF" w:rsidRDefault="00B13FDF" w:rsidP="00B13FDF">
      <w:pPr>
        <w:pStyle w:val="ListParagraph"/>
        <w:ind w:left="709" w:hanging="709"/>
        <w:rPr>
          <w:rFonts w:cs="Arial"/>
          <w:b/>
          <w:szCs w:val="22"/>
        </w:rPr>
      </w:pPr>
    </w:p>
    <w:p w14:paraId="37FAEED9" w14:textId="77777777" w:rsidR="00B13FDF" w:rsidRDefault="00B13FDF" w:rsidP="00B13FDF">
      <w:pPr>
        <w:pStyle w:val="ListParagraph"/>
        <w:ind w:left="709" w:hanging="709"/>
        <w:rPr>
          <w:rFonts w:cs="Arial"/>
          <w:szCs w:val="22"/>
        </w:rPr>
      </w:pPr>
    </w:p>
    <w:p w14:paraId="30A9C563" w14:textId="77777777" w:rsidR="00B13FDF" w:rsidRDefault="00B13FDF" w:rsidP="00B13FDF">
      <w:pPr>
        <w:pStyle w:val="ListParagraph"/>
        <w:ind w:left="709" w:hanging="709"/>
        <w:rPr>
          <w:rFonts w:cs="Arial"/>
          <w:szCs w:val="22"/>
        </w:rPr>
      </w:pPr>
    </w:p>
    <w:p w14:paraId="7C063689" w14:textId="77777777" w:rsidR="00B13FDF" w:rsidRDefault="00B13FDF" w:rsidP="00B13FDF">
      <w:pPr>
        <w:pStyle w:val="ListParagraph"/>
        <w:ind w:left="709" w:hanging="709"/>
        <w:rPr>
          <w:rFonts w:cs="Arial"/>
          <w:szCs w:val="22"/>
        </w:rPr>
      </w:pPr>
    </w:p>
    <w:p w14:paraId="1567223A" w14:textId="77777777" w:rsidR="00B13FDF" w:rsidRDefault="00B13FDF" w:rsidP="00B13FDF">
      <w:pPr>
        <w:pStyle w:val="ListParagraph"/>
        <w:ind w:left="709" w:hanging="709"/>
        <w:rPr>
          <w:rFonts w:cs="Arial"/>
          <w:szCs w:val="22"/>
        </w:rPr>
      </w:pPr>
    </w:p>
    <w:p w14:paraId="3098D9AC" w14:textId="77777777" w:rsidR="00B13FDF" w:rsidRDefault="00B13FDF" w:rsidP="00B13FDF">
      <w:pPr>
        <w:pStyle w:val="ListParagraph"/>
        <w:ind w:left="709" w:hanging="709"/>
        <w:rPr>
          <w:rFonts w:cs="Arial"/>
          <w:szCs w:val="22"/>
        </w:rPr>
      </w:pPr>
    </w:p>
    <w:p w14:paraId="72E363B6" w14:textId="77777777" w:rsidR="00B13FDF" w:rsidRDefault="00B13FDF" w:rsidP="00B13FDF">
      <w:pPr>
        <w:pStyle w:val="ListParagraph"/>
        <w:ind w:left="709" w:hanging="709"/>
        <w:rPr>
          <w:rFonts w:cs="Arial"/>
          <w:szCs w:val="22"/>
        </w:rPr>
      </w:pPr>
    </w:p>
    <w:p w14:paraId="18754138" w14:textId="77777777" w:rsidR="00B13FDF" w:rsidRDefault="00B13FDF" w:rsidP="00B13FDF">
      <w:pPr>
        <w:pStyle w:val="ListParagraph"/>
        <w:ind w:left="709" w:hanging="709"/>
        <w:rPr>
          <w:rFonts w:cs="Arial"/>
          <w:szCs w:val="22"/>
        </w:rPr>
      </w:pPr>
    </w:p>
    <w:p w14:paraId="6553BDCF" w14:textId="77777777" w:rsidR="00B13FDF" w:rsidRDefault="00B13FDF" w:rsidP="00B13FDF">
      <w:pPr>
        <w:pStyle w:val="ListParagraph"/>
        <w:ind w:left="709" w:hanging="709"/>
        <w:rPr>
          <w:rFonts w:cs="Arial"/>
          <w:szCs w:val="22"/>
        </w:rPr>
      </w:pPr>
    </w:p>
    <w:p w14:paraId="58A59E71" w14:textId="77777777" w:rsidR="00B13FDF" w:rsidRDefault="00B13FDF" w:rsidP="00B13FDF">
      <w:pPr>
        <w:pStyle w:val="ListParagraph"/>
        <w:ind w:left="709" w:hanging="709"/>
        <w:rPr>
          <w:rFonts w:cs="Arial"/>
          <w:szCs w:val="22"/>
        </w:rPr>
      </w:pPr>
    </w:p>
    <w:p w14:paraId="64BC32A2" w14:textId="77777777" w:rsidR="00B13FDF" w:rsidRDefault="00B13FDF" w:rsidP="00B13FDF">
      <w:pPr>
        <w:pStyle w:val="ListParagraph"/>
        <w:ind w:left="709" w:hanging="709"/>
        <w:rPr>
          <w:rFonts w:cs="Arial"/>
          <w:szCs w:val="22"/>
        </w:rPr>
      </w:pPr>
    </w:p>
    <w:p w14:paraId="22EF6C09" w14:textId="77777777" w:rsidR="00B13FDF" w:rsidRDefault="00B13FDF" w:rsidP="00B13FDF">
      <w:pPr>
        <w:pStyle w:val="ListParagraph"/>
        <w:ind w:left="709" w:hanging="709"/>
        <w:rPr>
          <w:rFonts w:cs="Arial"/>
          <w:szCs w:val="22"/>
        </w:rPr>
      </w:pPr>
    </w:p>
    <w:p w14:paraId="5610606C" w14:textId="77777777" w:rsidR="00B13FDF" w:rsidRDefault="00B13FDF" w:rsidP="00B13FDF">
      <w:pPr>
        <w:pStyle w:val="ListParagraph"/>
        <w:ind w:left="709" w:hanging="709"/>
        <w:rPr>
          <w:rFonts w:cs="Arial"/>
          <w:szCs w:val="22"/>
        </w:rPr>
        <w:sectPr w:rsidR="00B13FDF" w:rsidSect="00662EA3">
          <w:pgSz w:w="11906" w:h="16838"/>
          <w:pgMar w:top="1440" w:right="1440" w:bottom="1440" w:left="1440" w:header="708" w:footer="708" w:gutter="0"/>
          <w:cols w:space="708"/>
          <w:docGrid w:linePitch="360"/>
        </w:sectPr>
      </w:pPr>
    </w:p>
    <w:p w14:paraId="4D4FF031" w14:textId="77777777" w:rsidR="00B13FDF" w:rsidRPr="0077738C" w:rsidRDefault="00B13FDF" w:rsidP="00B13FDF">
      <w:pPr>
        <w:spacing w:before="0" w:after="0"/>
        <w:jc w:val="left"/>
        <w:rPr>
          <w:rFonts w:ascii="Tahoma" w:eastAsiaTheme="minorEastAsia" w:hAnsi="Tahoma" w:cs="Tahoma"/>
          <w:b/>
          <w:bCs/>
          <w:sz w:val="24"/>
          <w:lang w:eastAsia="en-US"/>
        </w:rPr>
      </w:pPr>
      <w:bookmarkStart w:id="3" w:name="_Toc340137135"/>
      <w:bookmarkStart w:id="4" w:name="_Toc341269034"/>
      <w:bookmarkStart w:id="5" w:name="_Toc341340965"/>
      <w:bookmarkStart w:id="6" w:name="_Toc341351538"/>
      <w:bookmarkStart w:id="7" w:name="_Toc341360504"/>
      <w:bookmarkStart w:id="8" w:name="_Toc344967604"/>
      <w:bookmarkStart w:id="9" w:name="_Toc344967678"/>
      <w:bookmarkStart w:id="10" w:name="_Toc430002908"/>
      <w:r w:rsidRPr="0077738C">
        <w:rPr>
          <w:rFonts w:ascii="Tahoma" w:eastAsiaTheme="minorEastAsia" w:hAnsi="Tahoma" w:cs="Tahoma"/>
          <w:b/>
          <w:bCs/>
          <w:sz w:val="24"/>
          <w:lang w:eastAsia="en-US"/>
        </w:rPr>
        <w:t xml:space="preserve">Appendix </w:t>
      </w:r>
      <w:r>
        <w:rPr>
          <w:rFonts w:ascii="Tahoma" w:eastAsiaTheme="minorEastAsia" w:hAnsi="Tahoma" w:cs="Tahoma"/>
          <w:b/>
          <w:bCs/>
          <w:sz w:val="24"/>
          <w:lang w:eastAsia="en-US"/>
        </w:rPr>
        <w:t>A</w:t>
      </w:r>
      <w:r w:rsidRPr="0077738C">
        <w:rPr>
          <w:rFonts w:ascii="Tahoma" w:eastAsiaTheme="minorEastAsia" w:hAnsi="Tahoma" w:cs="Tahoma"/>
          <w:b/>
          <w:bCs/>
          <w:sz w:val="24"/>
          <w:lang w:eastAsia="en-US"/>
        </w:rPr>
        <w:t>: Process Flowchart</w:t>
      </w:r>
      <w:bookmarkEnd w:id="3"/>
      <w:bookmarkEnd w:id="4"/>
      <w:bookmarkEnd w:id="5"/>
      <w:bookmarkEnd w:id="6"/>
      <w:bookmarkEnd w:id="7"/>
      <w:bookmarkEnd w:id="8"/>
      <w:bookmarkEnd w:id="9"/>
      <w:r w:rsidRPr="0077738C">
        <w:rPr>
          <w:rFonts w:ascii="Tahoma" w:eastAsiaTheme="minorEastAsia" w:hAnsi="Tahoma" w:cs="Tahoma"/>
          <w:b/>
          <w:bCs/>
          <w:sz w:val="24"/>
          <w:lang w:eastAsia="en-US"/>
        </w:rPr>
        <w:t xml:space="preserve"> for </w:t>
      </w:r>
      <w:r>
        <w:rPr>
          <w:rFonts w:ascii="Tahoma" w:eastAsiaTheme="minorEastAsia" w:hAnsi="Tahoma" w:cs="Tahoma"/>
          <w:b/>
          <w:bCs/>
          <w:sz w:val="24"/>
          <w:lang w:eastAsia="en-US"/>
        </w:rPr>
        <w:t xml:space="preserve">current </w:t>
      </w:r>
      <w:r w:rsidRPr="0077738C">
        <w:rPr>
          <w:rFonts w:ascii="Tahoma" w:eastAsiaTheme="minorEastAsia" w:hAnsi="Tahoma" w:cs="Tahoma"/>
          <w:b/>
          <w:bCs/>
          <w:sz w:val="24"/>
          <w:lang w:eastAsia="en-US"/>
        </w:rPr>
        <w:t>employees</w:t>
      </w:r>
      <w:bookmarkEnd w:id="10"/>
    </w:p>
    <w:p w14:paraId="0EBE634B" w14:textId="77777777" w:rsidR="00B13FDF" w:rsidRDefault="00B13FDF" w:rsidP="00B13FDF">
      <w:pPr>
        <w:pStyle w:val="ListParagraph"/>
        <w:ind w:left="709" w:hanging="709"/>
        <w:rPr>
          <w:rFonts w:cs="Arial"/>
          <w:szCs w:val="22"/>
        </w:rPr>
      </w:pPr>
    </w:p>
    <w:p w14:paraId="38F3DF68" w14:textId="77777777" w:rsidR="00B13FDF" w:rsidRDefault="00B13FDF" w:rsidP="00B13FDF">
      <w:pPr>
        <w:pStyle w:val="ListParagraph"/>
        <w:ind w:left="709" w:hanging="709"/>
        <w:rPr>
          <w:rFonts w:cs="Arial"/>
          <w:szCs w:val="22"/>
        </w:rPr>
      </w:pPr>
      <w:r>
        <w:rPr>
          <w:noProof/>
        </w:rPr>
        <w:drawing>
          <wp:inline distT="0" distB="0" distL="0" distR="0" wp14:anchorId="2F3FBE80" wp14:editId="3B7BFE9B">
            <wp:extent cx="8863330" cy="5147718"/>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ECE643B" w14:textId="77777777" w:rsidR="00B13FDF" w:rsidRPr="0077738C" w:rsidRDefault="00B13FDF" w:rsidP="00B13FDF">
      <w:pPr>
        <w:spacing w:before="0" w:after="0"/>
        <w:jc w:val="left"/>
        <w:rPr>
          <w:rFonts w:ascii="Tahoma" w:eastAsiaTheme="minorEastAsia" w:hAnsi="Tahoma" w:cs="Tahoma"/>
          <w:b/>
          <w:bCs/>
          <w:sz w:val="24"/>
          <w:lang w:eastAsia="en-US"/>
        </w:rPr>
      </w:pPr>
      <w:bookmarkStart w:id="11" w:name="_Toc430002909"/>
      <w:r w:rsidRPr="0077738C">
        <w:rPr>
          <w:rFonts w:ascii="Tahoma" w:eastAsiaTheme="minorEastAsia" w:hAnsi="Tahoma" w:cs="Tahoma"/>
          <w:b/>
          <w:bCs/>
          <w:sz w:val="24"/>
          <w:lang w:eastAsia="en-US"/>
        </w:rPr>
        <w:t xml:space="preserve">Appendix </w:t>
      </w:r>
      <w:r>
        <w:rPr>
          <w:rFonts w:ascii="Tahoma" w:eastAsiaTheme="minorEastAsia" w:hAnsi="Tahoma" w:cs="Tahoma"/>
          <w:b/>
          <w:bCs/>
          <w:sz w:val="24"/>
          <w:lang w:eastAsia="en-US"/>
        </w:rPr>
        <w:t>B</w:t>
      </w:r>
      <w:r w:rsidRPr="0077738C">
        <w:rPr>
          <w:rFonts w:ascii="Tahoma" w:eastAsiaTheme="minorEastAsia" w:hAnsi="Tahoma" w:cs="Tahoma"/>
          <w:b/>
          <w:bCs/>
          <w:sz w:val="24"/>
          <w:lang w:eastAsia="en-US"/>
        </w:rPr>
        <w:t>: Process Flowchart for Former employees</w:t>
      </w:r>
      <w:bookmarkEnd w:id="11"/>
    </w:p>
    <w:p w14:paraId="4EE82843" w14:textId="77777777" w:rsidR="00B13FDF" w:rsidRDefault="00B13FDF" w:rsidP="00B13FDF">
      <w:pPr>
        <w:pStyle w:val="ListParagraph"/>
        <w:ind w:left="709" w:hanging="709"/>
        <w:rPr>
          <w:rFonts w:cs="Arial"/>
          <w:szCs w:val="22"/>
        </w:rPr>
      </w:pPr>
    </w:p>
    <w:p w14:paraId="3B5D83DB" w14:textId="77777777" w:rsidR="00B13FDF" w:rsidRDefault="00B13FDF" w:rsidP="00B13FDF">
      <w:pPr>
        <w:pStyle w:val="ListParagraph"/>
        <w:ind w:left="709" w:hanging="709"/>
        <w:rPr>
          <w:rFonts w:cs="Arial"/>
          <w:szCs w:val="22"/>
        </w:rPr>
      </w:pPr>
    </w:p>
    <w:p w14:paraId="0D984985" w14:textId="77777777" w:rsidR="00B13FDF" w:rsidRDefault="00B13FDF" w:rsidP="00B13FDF">
      <w:pPr>
        <w:pStyle w:val="ListParagraph"/>
        <w:ind w:left="709" w:hanging="709"/>
        <w:rPr>
          <w:rFonts w:cs="Arial"/>
          <w:szCs w:val="22"/>
        </w:rPr>
      </w:pPr>
    </w:p>
    <w:p w14:paraId="26492871" w14:textId="77777777" w:rsidR="00B13FDF" w:rsidRDefault="00B13FDF" w:rsidP="00B13FDF">
      <w:pPr>
        <w:pStyle w:val="ListParagraph"/>
        <w:ind w:left="709" w:hanging="709"/>
        <w:rPr>
          <w:rFonts w:cs="Arial"/>
          <w:szCs w:val="22"/>
        </w:rPr>
      </w:pPr>
    </w:p>
    <w:p w14:paraId="5FA14892" w14:textId="77777777" w:rsidR="00B13FDF" w:rsidRDefault="00B13FDF" w:rsidP="00B13FDF">
      <w:pPr>
        <w:pStyle w:val="ListParagraph"/>
        <w:ind w:left="709" w:hanging="709"/>
        <w:rPr>
          <w:rFonts w:cs="Arial"/>
          <w:szCs w:val="22"/>
        </w:rPr>
      </w:pPr>
      <w:r>
        <w:rPr>
          <w:noProof/>
        </w:rPr>
        <w:drawing>
          <wp:inline distT="0" distB="0" distL="0" distR="0" wp14:anchorId="1EE34C70" wp14:editId="10F82D25">
            <wp:extent cx="8863330" cy="4566846"/>
            <wp:effectExtent l="0" t="0" r="0" b="571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969FADB" w14:textId="77777777" w:rsidR="00B13FDF" w:rsidRDefault="00B13FDF" w:rsidP="00B13FDF">
      <w:pPr>
        <w:pStyle w:val="ListParagraph"/>
        <w:ind w:left="709" w:hanging="709"/>
        <w:rPr>
          <w:rFonts w:cs="Arial"/>
          <w:szCs w:val="22"/>
        </w:rPr>
      </w:pPr>
    </w:p>
    <w:p w14:paraId="01C97A08" w14:textId="77777777" w:rsidR="00B13FDF" w:rsidRDefault="00B13FDF" w:rsidP="00B13FDF">
      <w:pPr>
        <w:pStyle w:val="ListParagraph"/>
        <w:ind w:left="709" w:hanging="709"/>
        <w:rPr>
          <w:rFonts w:cs="Arial"/>
          <w:szCs w:val="22"/>
        </w:rPr>
        <w:sectPr w:rsidR="00B13FDF" w:rsidSect="0077738C">
          <w:pgSz w:w="16838" w:h="11906" w:orient="landscape"/>
          <w:pgMar w:top="1440" w:right="1440" w:bottom="1440" w:left="1440" w:header="709" w:footer="709" w:gutter="0"/>
          <w:cols w:space="708"/>
          <w:docGrid w:linePitch="360"/>
        </w:sectPr>
      </w:pPr>
    </w:p>
    <w:p w14:paraId="295B298C" w14:textId="77777777" w:rsidR="00B13FDF" w:rsidRDefault="00B13FDF" w:rsidP="00B13FDF">
      <w:pPr>
        <w:pStyle w:val="ListParagraph"/>
        <w:ind w:left="709" w:hanging="709"/>
        <w:rPr>
          <w:rFonts w:cs="Arial"/>
          <w:szCs w:val="22"/>
        </w:rPr>
      </w:pPr>
    </w:p>
    <w:p w14:paraId="2955B2E2" w14:textId="77777777" w:rsidR="00B13FDF" w:rsidRPr="0077738C" w:rsidRDefault="00B13FDF" w:rsidP="00B13FDF">
      <w:pPr>
        <w:spacing w:before="0" w:after="0"/>
        <w:jc w:val="left"/>
        <w:rPr>
          <w:rFonts w:ascii="Calibri" w:eastAsiaTheme="minorEastAsia" w:hAnsi="Calibri" w:cs="Calibri"/>
          <w:b/>
          <w:sz w:val="28"/>
          <w:szCs w:val="28"/>
          <w:lang w:eastAsia="en-US"/>
        </w:rPr>
      </w:pPr>
      <w:r>
        <w:rPr>
          <w:rFonts w:ascii="Calibri" w:eastAsiaTheme="minorEastAsia" w:hAnsi="Calibri" w:cs="Calibri"/>
          <w:b/>
          <w:sz w:val="28"/>
          <w:szCs w:val="28"/>
          <w:lang w:eastAsia="en-US"/>
        </w:rPr>
        <w:t>A</w:t>
      </w:r>
      <w:r w:rsidRPr="0077738C">
        <w:rPr>
          <w:rFonts w:ascii="Calibri" w:eastAsiaTheme="minorEastAsia" w:hAnsi="Calibri" w:cs="Calibri"/>
          <w:b/>
          <w:sz w:val="28"/>
          <w:szCs w:val="28"/>
          <w:lang w:eastAsia="en-US"/>
        </w:rPr>
        <w:t xml:space="preserve">ppendix </w:t>
      </w:r>
      <w:r>
        <w:rPr>
          <w:rFonts w:ascii="Calibri" w:eastAsiaTheme="minorEastAsia" w:hAnsi="Calibri" w:cs="Calibri"/>
          <w:b/>
          <w:sz w:val="28"/>
          <w:szCs w:val="28"/>
          <w:lang w:eastAsia="en-US"/>
        </w:rPr>
        <w:t>C</w:t>
      </w:r>
    </w:p>
    <w:p w14:paraId="57BC5C78" w14:textId="77777777" w:rsidR="00B13FDF" w:rsidRPr="0077738C" w:rsidRDefault="00B13FDF" w:rsidP="00B13FDF">
      <w:pPr>
        <w:spacing w:before="0" w:after="0"/>
        <w:jc w:val="left"/>
        <w:rPr>
          <w:rFonts w:ascii="Calibri" w:eastAsiaTheme="minorEastAsia" w:hAnsi="Calibri" w:cs="Calibri"/>
          <w:sz w:val="20"/>
          <w:szCs w:val="20"/>
          <w:lang w:eastAsia="en-US"/>
        </w:rPr>
      </w:pPr>
      <w:r>
        <w:rPr>
          <w:rFonts w:ascii="Calibri" w:eastAsiaTheme="minorEastAsia" w:hAnsi="Calibri" w:cs="Calibri"/>
          <w:sz w:val="28"/>
          <w:szCs w:val="28"/>
          <w:lang w:eastAsia="en-US"/>
        </w:rPr>
        <w:t>Request for extension to repayment period beyond 12 months</w:t>
      </w:r>
      <w:r w:rsidRPr="0077738C">
        <w:rPr>
          <w:rFonts w:ascii="Calibri" w:eastAsiaTheme="minorEastAsia" w:hAnsi="Calibri" w:cs="Calibri"/>
          <w:szCs w:val="22"/>
          <w:lang w:eastAsia="en-US"/>
        </w:rPr>
        <w:ptab w:relativeTo="margin" w:alignment="left" w:leader="none"/>
      </w:r>
    </w:p>
    <w:p w14:paraId="703455A9" w14:textId="77777777" w:rsidR="00B13FDF" w:rsidRPr="0077738C" w:rsidRDefault="00B13FDF" w:rsidP="00B13FDF">
      <w:pPr>
        <w:spacing w:before="0" w:after="0"/>
        <w:jc w:val="center"/>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You must submit your completed </w:t>
      </w:r>
      <w:r>
        <w:rPr>
          <w:rFonts w:ascii="Calibri" w:eastAsiaTheme="minorEastAsia" w:hAnsi="Calibri" w:cs="Calibri"/>
          <w:szCs w:val="22"/>
          <w:lang w:eastAsia="en-US"/>
        </w:rPr>
        <w:t xml:space="preserve">Request and </w:t>
      </w:r>
      <w:r w:rsidRPr="0077738C">
        <w:rPr>
          <w:rFonts w:ascii="Calibri" w:eastAsiaTheme="minorEastAsia" w:hAnsi="Calibri" w:cs="Calibri"/>
          <w:szCs w:val="22"/>
          <w:lang w:eastAsia="en-US"/>
        </w:rPr>
        <w:t xml:space="preserve">any supporting documentation to   </w:t>
      </w:r>
      <w:r w:rsidRPr="00AD4F12">
        <w:rPr>
          <w:rFonts w:ascii="Calibri" w:hAnsi="Calibri" w:cs="Calibri"/>
          <w:color w:val="1F497D"/>
          <w:szCs w:val="22"/>
          <w:highlight w:val="yellow"/>
        </w:rPr>
        <w:t xml:space="preserve"> </w:t>
      </w:r>
      <w:hyperlink r:id="rId25" w:history="1">
        <w:r w:rsidRPr="00076258">
          <w:rPr>
            <w:rStyle w:val="Hyperlink"/>
            <w:rFonts w:ascii="Calibri" w:hAnsi="Calibri" w:cs="Calibri"/>
            <w:szCs w:val="22"/>
          </w:rPr>
          <w:t>elft.accountsreceivable@nhs.net</w:t>
        </w:r>
      </w:hyperlink>
    </w:p>
    <w:p w14:paraId="22C72E15"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2642"/>
        <w:gridCol w:w="6374"/>
      </w:tblGrid>
      <w:tr w:rsidR="00B13FDF" w:rsidRPr="0077738C" w14:paraId="0C5488F4" w14:textId="77777777" w:rsidTr="00AD112A">
        <w:tc>
          <w:tcPr>
            <w:tcW w:w="2802" w:type="dxa"/>
            <w:tcBorders>
              <w:bottom w:val="single" w:sz="4" w:space="0" w:color="auto"/>
            </w:tcBorders>
            <w:shd w:val="clear" w:color="auto" w:fill="00B050"/>
          </w:tcPr>
          <w:p w14:paraId="4E3F8E81"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PERSONAL DETAILS</w:t>
            </w:r>
          </w:p>
        </w:tc>
        <w:tc>
          <w:tcPr>
            <w:tcW w:w="7052" w:type="dxa"/>
            <w:shd w:val="clear" w:color="auto" w:fill="00B050"/>
          </w:tcPr>
          <w:p w14:paraId="774AD183"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45B997A4" w14:textId="77777777" w:rsidTr="00AD112A">
        <w:tc>
          <w:tcPr>
            <w:tcW w:w="2802" w:type="dxa"/>
            <w:shd w:val="clear" w:color="auto" w:fill="D5DCE4" w:themeFill="text2" w:themeFillTint="33"/>
          </w:tcPr>
          <w:p w14:paraId="22169D95"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Full name</w:t>
            </w:r>
          </w:p>
        </w:tc>
        <w:tc>
          <w:tcPr>
            <w:tcW w:w="7052" w:type="dxa"/>
          </w:tcPr>
          <w:p w14:paraId="58A825A9"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4FA4A101" w14:textId="77777777" w:rsidTr="00AD112A">
        <w:tc>
          <w:tcPr>
            <w:tcW w:w="2802" w:type="dxa"/>
            <w:shd w:val="clear" w:color="auto" w:fill="D5DCE4" w:themeFill="text2" w:themeFillTint="33"/>
          </w:tcPr>
          <w:p w14:paraId="7BFB40D9"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Job Title</w:t>
            </w:r>
          </w:p>
        </w:tc>
        <w:tc>
          <w:tcPr>
            <w:tcW w:w="7052" w:type="dxa"/>
          </w:tcPr>
          <w:p w14:paraId="70F3AF9A"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7320E89A" w14:textId="77777777" w:rsidTr="00AD112A">
        <w:tc>
          <w:tcPr>
            <w:tcW w:w="2802" w:type="dxa"/>
            <w:shd w:val="clear" w:color="auto" w:fill="D5DCE4" w:themeFill="text2" w:themeFillTint="33"/>
          </w:tcPr>
          <w:p w14:paraId="79C17927"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Email</w:t>
            </w:r>
          </w:p>
        </w:tc>
        <w:tc>
          <w:tcPr>
            <w:tcW w:w="7052" w:type="dxa"/>
          </w:tcPr>
          <w:p w14:paraId="0E51CC8D"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353AB0F1" w14:textId="77777777" w:rsidTr="00AD112A">
        <w:tc>
          <w:tcPr>
            <w:tcW w:w="2802" w:type="dxa"/>
            <w:shd w:val="clear" w:color="auto" w:fill="D5DCE4" w:themeFill="text2" w:themeFillTint="33"/>
          </w:tcPr>
          <w:p w14:paraId="508862AA"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Telephone number</w:t>
            </w:r>
          </w:p>
        </w:tc>
        <w:tc>
          <w:tcPr>
            <w:tcW w:w="7052" w:type="dxa"/>
          </w:tcPr>
          <w:p w14:paraId="1B3E0461"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2B0CBB4B" w14:textId="77777777" w:rsidTr="00AD112A">
        <w:tc>
          <w:tcPr>
            <w:tcW w:w="2802" w:type="dxa"/>
            <w:shd w:val="clear" w:color="auto" w:fill="D5DCE4" w:themeFill="text2" w:themeFillTint="33"/>
          </w:tcPr>
          <w:p w14:paraId="27A2CDC4"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Home Address</w:t>
            </w:r>
          </w:p>
          <w:p w14:paraId="2BBCA53B" w14:textId="77777777" w:rsidR="00B13FDF" w:rsidRPr="0077738C" w:rsidRDefault="00B13FDF" w:rsidP="00AD112A">
            <w:pPr>
              <w:spacing w:before="0"/>
              <w:jc w:val="left"/>
              <w:rPr>
                <w:rFonts w:ascii="Calibri" w:eastAsiaTheme="minorEastAsia" w:hAnsi="Calibri" w:cs="Calibri"/>
                <w:b/>
                <w:szCs w:val="22"/>
                <w:lang w:eastAsia="en-US"/>
              </w:rPr>
            </w:pPr>
          </w:p>
        </w:tc>
        <w:tc>
          <w:tcPr>
            <w:tcW w:w="7052" w:type="dxa"/>
          </w:tcPr>
          <w:p w14:paraId="7F1B97C7" w14:textId="77777777" w:rsidR="00B13FDF" w:rsidRPr="0077738C" w:rsidRDefault="00B13FDF" w:rsidP="00AD112A">
            <w:pPr>
              <w:spacing w:before="0"/>
              <w:jc w:val="left"/>
              <w:rPr>
                <w:rFonts w:ascii="Calibri" w:eastAsiaTheme="minorEastAsia" w:hAnsi="Calibri" w:cs="Calibri"/>
                <w:szCs w:val="22"/>
                <w:lang w:eastAsia="en-US"/>
              </w:rPr>
            </w:pPr>
          </w:p>
          <w:p w14:paraId="609ABB35" w14:textId="77777777" w:rsidR="00B13FDF" w:rsidRPr="0077738C" w:rsidRDefault="00B13FDF" w:rsidP="00AD112A">
            <w:pPr>
              <w:spacing w:before="0"/>
              <w:jc w:val="left"/>
              <w:rPr>
                <w:rFonts w:ascii="Calibri" w:eastAsiaTheme="minorEastAsia" w:hAnsi="Calibri" w:cs="Calibri"/>
                <w:szCs w:val="22"/>
                <w:lang w:eastAsia="en-US"/>
              </w:rPr>
            </w:pPr>
          </w:p>
        </w:tc>
      </w:tr>
    </w:tbl>
    <w:p w14:paraId="2279FA53" w14:textId="77777777" w:rsidR="00B13FDF" w:rsidRPr="0077738C" w:rsidRDefault="00B13FDF" w:rsidP="00B13FDF">
      <w:pPr>
        <w:spacing w:before="0" w:after="0"/>
        <w:jc w:val="left"/>
        <w:rPr>
          <w:rFonts w:ascii="Calibri" w:eastAsiaTheme="minorEastAsia" w:hAnsi="Calibri" w:cs="Calibri"/>
          <w:szCs w:val="22"/>
          <w:lang w:eastAsia="en-US"/>
        </w:rPr>
      </w:pPr>
    </w:p>
    <w:p w14:paraId="3C84FFF8" w14:textId="77777777" w:rsidR="00B13FDF" w:rsidRPr="0077738C" w:rsidRDefault="00B13FDF" w:rsidP="00B13FDF">
      <w:pPr>
        <w:spacing w:before="0" w:after="0"/>
        <w:jc w:val="left"/>
        <w:rPr>
          <w:rFonts w:ascii="Calibri" w:eastAsiaTheme="minorEastAsia" w:hAnsi="Calibri" w:cs="Calibri"/>
          <w:lang w:eastAsia="en-US"/>
        </w:rPr>
      </w:pPr>
    </w:p>
    <w:tbl>
      <w:tblPr>
        <w:tblStyle w:val="TableGrid"/>
        <w:tblW w:w="0" w:type="auto"/>
        <w:tblLook w:val="04A0" w:firstRow="1" w:lastRow="0" w:firstColumn="1" w:lastColumn="0" w:noHBand="0" w:noVBand="1"/>
      </w:tblPr>
      <w:tblGrid>
        <w:gridCol w:w="3666"/>
        <w:gridCol w:w="5350"/>
      </w:tblGrid>
      <w:tr w:rsidR="00B13FDF" w:rsidRPr="0077738C" w14:paraId="2B820BBA" w14:textId="77777777" w:rsidTr="00AD112A">
        <w:tc>
          <w:tcPr>
            <w:tcW w:w="3936" w:type="dxa"/>
            <w:tcBorders>
              <w:bottom w:val="single" w:sz="4" w:space="0" w:color="auto"/>
            </w:tcBorders>
            <w:shd w:val="clear" w:color="auto" w:fill="00B050"/>
          </w:tcPr>
          <w:p w14:paraId="555CA150"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D</w:t>
            </w:r>
            <w:r w:rsidRPr="0077738C">
              <w:rPr>
                <w:rFonts w:ascii="Calibri" w:eastAsiaTheme="minorEastAsia" w:hAnsi="Calibri" w:cs="Calibri"/>
                <w:b/>
                <w:szCs w:val="22"/>
                <w:lang w:eastAsia="en-US"/>
              </w:rPr>
              <w:t xml:space="preserve">etails of Overpayment   </w:t>
            </w:r>
          </w:p>
        </w:tc>
        <w:tc>
          <w:tcPr>
            <w:tcW w:w="5918" w:type="dxa"/>
            <w:shd w:val="clear" w:color="auto" w:fill="00B050"/>
          </w:tcPr>
          <w:p w14:paraId="5DA55A32" w14:textId="77777777" w:rsidR="00B13FDF" w:rsidRPr="0077738C" w:rsidRDefault="00B13FDF" w:rsidP="00AD112A">
            <w:pPr>
              <w:spacing w:before="0"/>
              <w:jc w:val="left"/>
              <w:rPr>
                <w:rFonts w:ascii="Calibri" w:eastAsiaTheme="minorEastAsia" w:hAnsi="Calibri" w:cs="Calibri"/>
                <w:b/>
                <w:sz w:val="16"/>
                <w:szCs w:val="16"/>
                <w:lang w:eastAsia="en-US"/>
              </w:rPr>
            </w:pPr>
            <w:r w:rsidRPr="0077738C">
              <w:rPr>
                <w:rFonts w:ascii="Calibri" w:eastAsiaTheme="minorEastAsia" w:hAnsi="Calibri" w:cs="Calibri"/>
                <w:b/>
                <w:sz w:val="16"/>
                <w:szCs w:val="16"/>
                <w:lang w:eastAsia="en-US"/>
              </w:rPr>
              <w:t>(Details can be found in the notification letter sent to you)</w:t>
            </w:r>
          </w:p>
        </w:tc>
      </w:tr>
      <w:tr w:rsidR="00B13FDF" w:rsidRPr="0077738C" w14:paraId="5E366A48" w14:textId="77777777" w:rsidTr="00AD112A">
        <w:tc>
          <w:tcPr>
            <w:tcW w:w="3936" w:type="dxa"/>
            <w:shd w:val="clear" w:color="auto" w:fill="D5DCE4" w:themeFill="text2" w:themeFillTint="33"/>
          </w:tcPr>
          <w:p w14:paraId="3708B710"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 xml:space="preserve">Total overpayment </w:t>
            </w:r>
          </w:p>
        </w:tc>
        <w:tc>
          <w:tcPr>
            <w:tcW w:w="5918" w:type="dxa"/>
          </w:tcPr>
          <w:p w14:paraId="6463A824"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w:t>
            </w:r>
          </w:p>
        </w:tc>
      </w:tr>
      <w:tr w:rsidR="00B13FDF" w:rsidRPr="0077738C" w14:paraId="210915E6" w14:textId="77777777" w:rsidTr="00AD112A">
        <w:tc>
          <w:tcPr>
            <w:tcW w:w="3936" w:type="dxa"/>
            <w:shd w:val="clear" w:color="auto" w:fill="D5DCE4" w:themeFill="text2" w:themeFillTint="33"/>
          </w:tcPr>
          <w:p w14:paraId="68983A00"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 xml:space="preserve">Repayment term requested </w:t>
            </w:r>
            <w:r w:rsidRPr="0077738C">
              <w:rPr>
                <w:rFonts w:ascii="Calibri" w:eastAsiaTheme="minorEastAsia" w:hAnsi="Calibri" w:cs="Calibri"/>
                <w:b/>
                <w:szCs w:val="22"/>
                <w:lang w:eastAsia="en-US"/>
              </w:rPr>
              <w:t xml:space="preserve"> </w:t>
            </w:r>
            <w:r>
              <w:rPr>
                <w:rFonts w:ascii="Calibri" w:eastAsiaTheme="minorEastAsia" w:hAnsi="Calibri" w:cs="Calibri"/>
                <w:b/>
                <w:szCs w:val="22"/>
                <w:lang w:eastAsia="en-US"/>
              </w:rPr>
              <w:t>(maximum 18 months)</w:t>
            </w:r>
          </w:p>
        </w:tc>
        <w:tc>
          <w:tcPr>
            <w:tcW w:w="5918" w:type="dxa"/>
          </w:tcPr>
          <w:p w14:paraId="32F5F6C8" w14:textId="77777777" w:rsidR="00B13FDF" w:rsidRPr="0077738C" w:rsidRDefault="00B13FDF" w:rsidP="00AD112A">
            <w:pPr>
              <w:spacing w:before="0"/>
              <w:jc w:val="righ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w:t>
            </w:r>
            <w:r w:rsidRPr="0077738C">
              <w:rPr>
                <w:rFonts w:ascii="Calibri" w:eastAsiaTheme="minorEastAsia" w:hAnsi="Calibri" w:cs="Calibri"/>
                <w:sz w:val="18"/>
                <w:szCs w:val="18"/>
                <w:lang w:eastAsia="en-US"/>
              </w:rPr>
              <w:t>(please state months)</w:t>
            </w:r>
          </w:p>
        </w:tc>
      </w:tr>
      <w:tr w:rsidR="00B13FDF" w:rsidRPr="0077738C" w14:paraId="5768817E" w14:textId="77777777" w:rsidTr="00AD112A">
        <w:tc>
          <w:tcPr>
            <w:tcW w:w="3936" w:type="dxa"/>
            <w:shd w:val="clear" w:color="auto" w:fill="D5DCE4" w:themeFill="text2" w:themeFillTint="33"/>
          </w:tcPr>
          <w:p w14:paraId="7499D7B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b/>
                <w:szCs w:val="22"/>
                <w:lang w:eastAsia="en-US"/>
              </w:rPr>
              <w:t xml:space="preserve">Please provide your explanation of why you </w:t>
            </w:r>
            <w:r>
              <w:rPr>
                <w:rFonts w:ascii="Calibri" w:eastAsiaTheme="minorEastAsia" w:hAnsi="Calibri" w:cs="Calibri"/>
                <w:b/>
                <w:szCs w:val="22"/>
                <w:lang w:eastAsia="en-US"/>
              </w:rPr>
              <w:t>request an extension in the repayment term beyond 12 months</w:t>
            </w:r>
          </w:p>
          <w:p w14:paraId="4CF58C67" w14:textId="77777777" w:rsidR="00B13FDF" w:rsidRPr="0077738C" w:rsidRDefault="00B13FDF" w:rsidP="00AD112A">
            <w:pPr>
              <w:spacing w:before="0"/>
              <w:jc w:val="left"/>
              <w:rPr>
                <w:rFonts w:ascii="Calibri" w:eastAsiaTheme="minorEastAsia" w:hAnsi="Calibri" w:cs="Calibri"/>
                <w:szCs w:val="22"/>
                <w:lang w:eastAsia="en-US"/>
              </w:rPr>
            </w:pPr>
          </w:p>
          <w:p w14:paraId="03182E4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Please see the Salary Overpayment Policy for further information.</w:t>
            </w:r>
          </w:p>
          <w:p w14:paraId="51B31721" w14:textId="77777777" w:rsidR="00B13FDF" w:rsidRPr="0077738C" w:rsidRDefault="00B13FDF" w:rsidP="00AD112A">
            <w:pPr>
              <w:spacing w:before="0"/>
              <w:jc w:val="left"/>
              <w:rPr>
                <w:rFonts w:ascii="Calibri" w:eastAsiaTheme="minorEastAsia" w:hAnsi="Calibri" w:cs="Calibri"/>
                <w:szCs w:val="22"/>
                <w:lang w:eastAsia="en-US"/>
              </w:rPr>
            </w:pPr>
          </w:p>
          <w:p w14:paraId="5E8B2A93" w14:textId="77777777" w:rsidR="00B13FDF" w:rsidRPr="0077738C" w:rsidRDefault="00B13FDF" w:rsidP="00AD112A">
            <w:pPr>
              <w:spacing w:before="0"/>
              <w:jc w:val="left"/>
              <w:rPr>
                <w:rFonts w:ascii="Calibri" w:eastAsiaTheme="minorEastAsia" w:hAnsi="Calibri" w:cs="Calibri"/>
                <w:szCs w:val="22"/>
                <w:lang w:eastAsia="en-US"/>
              </w:rPr>
            </w:pPr>
          </w:p>
          <w:p w14:paraId="1BED353A"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You MUST include details of:</w:t>
            </w:r>
          </w:p>
          <w:p w14:paraId="761FB42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u w:val="single"/>
                <w:lang w:eastAsia="en-US"/>
              </w:rPr>
              <w:t>All</w:t>
            </w:r>
            <w:r w:rsidRPr="0077738C">
              <w:rPr>
                <w:rFonts w:ascii="Calibri" w:eastAsiaTheme="minorEastAsia" w:hAnsi="Calibri" w:cs="Calibri"/>
                <w:szCs w:val="22"/>
                <w:lang w:eastAsia="en-US"/>
              </w:rPr>
              <w:t xml:space="preserve"> monthly household net income </w:t>
            </w:r>
            <w:r>
              <w:rPr>
                <w:rFonts w:ascii="Calibri" w:eastAsiaTheme="minorEastAsia" w:hAnsi="Calibri" w:cs="Calibri"/>
                <w:szCs w:val="22"/>
                <w:lang w:eastAsia="en-US"/>
              </w:rPr>
              <w:t>(salary, benefits, maintenance)</w:t>
            </w:r>
            <w:r w:rsidRPr="0077738C">
              <w:rPr>
                <w:rFonts w:ascii="Calibri" w:eastAsiaTheme="minorEastAsia" w:hAnsi="Calibri" w:cs="Calibri"/>
                <w:szCs w:val="22"/>
                <w:lang w:eastAsia="en-US"/>
              </w:rPr>
              <w:t xml:space="preserve"> and all essential expenditure</w:t>
            </w:r>
            <w:r>
              <w:rPr>
                <w:rFonts w:ascii="Calibri" w:eastAsiaTheme="minorEastAsia" w:hAnsi="Calibri" w:cs="Calibri"/>
                <w:szCs w:val="22"/>
                <w:lang w:eastAsia="en-US"/>
              </w:rPr>
              <w:t>, including, child care costs, mortgage/rent payments, utility bills, food, council tax, debts including credit cards and loans being repaid.</w:t>
            </w:r>
          </w:p>
          <w:p w14:paraId="394F4450" w14:textId="77777777" w:rsidR="00B13FDF" w:rsidRPr="0077738C" w:rsidRDefault="00B13FDF" w:rsidP="00AD112A">
            <w:pPr>
              <w:spacing w:before="0"/>
              <w:jc w:val="left"/>
              <w:rPr>
                <w:rFonts w:ascii="Calibri" w:eastAsiaTheme="minorEastAsia" w:hAnsi="Calibri" w:cs="Calibri"/>
                <w:szCs w:val="22"/>
                <w:lang w:eastAsia="en-US"/>
              </w:rPr>
            </w:pPr>
          </w:p>
          <w:p w14:paraId="30FC8C8D" w14:textId="77777777" w:rsidR="00B13FDF" w:rsidRPr="0077738C" w:rsidRDefault="00B13FDF" w:rsidP="00AD112A">
            <w:pPr>
              <w:spacing w:before="0"/>
              <w:jc w:val="left"/>
              <w:rPr>
                <w:rFonts w:ascii="Calibri" w:eastAsiaTheme="minorEastAsia" w:hAnsi="Calibri" w:cs="Calibri"/>
                <w:szCs w:val="22"/>
                <w:lang w:eastAsia="en-US"/>
              </w:rPr>
            </w:pPr>
            <w:r>
              <w:rPr>
                <w:rFonts w:ascii="Calibri" w:eastAsiaTheme="minorEastAsia" w:hAnsi="Calibri" w:cs="Calibri"/>
                <w:szCs w:val="22"/>
                <w:lang w:eastAsia="en-US"/>
              </w:rPr>
              <w:t>Documentary evidence of income and expenditure MUST be provided along with bank statements.</w:t>
            </w:r>
          </w:p>
          <w:p w14:paraId="63A8CEBE" w14:textId="77777777" w:rsidR="00B13FDF" w:rsidRPr="0077738C" w:rsidRDefault="00B13FDF" w:rsidP="00AD112A">
            <w:pPr>
              <w:spacing w:before="0"/>
              <w:jc w:val="left"/>
              <w:rPr>
                <w:rFonts w:ascii="Calibri" w:eastAsiaTheme="minorEastAsia" w:hAnsi="Calibri" w:cs="Calibri"/>
                <w:szCs w:val="22"/>
                <w:lang w:eastAsia="en-US"/>
              </w:rPr>
            </w:pPr>
          </w:p>
          <w:p w14:paraId="5E1040D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Please advise of all supporting documentation you are submitting</w:t>
            </w:r>
            <w:r>
              <w:rPr>
                <w:rFonts w:ascii="Calibri" w:eastAsiaTheme="minorEastAsia" w:hAnsi="Calibri" w:cs="Calibri"/>
                <w:szCs w:val="22"/>
                <w:lang w:eastAsia="en-US"/>
              </w:rPr>
              <w:t xml:space="preserve"> - </w:t>
            </w:r>
            <w:r w:rsidRPr="0077738C">
              <w:rPr>
                <w:rFonts w:ascii="Calibri" w:eastAsiaTheme="minorEastAsia" w:hAnsi="Calibri" w:cs="Calibri"/>
                <w:szCs w:val="22"/>
                <w:lang w:eastAsia="en-US"/>
              </w:rPr>
              <w:t xml:space="preserve"> </w:t>
            </w:r>
          </w:p>
          <w:p w14:paraId="30944E93" w14:textId="77777777" w:rsidR="00B13FDF" w:rsidRPr="0077738C" w:rsidRDefault="00B13FDF" w:rsidP="00AD112A">
            <w:pPr>
              <w:spacing w:before="0"/>
              <w:jc w:val="left"/>
              <w:rPr>
                <w:rFonts w:ascii="Calibri" w:eastAsiaTheme="minorEastAsia" w:hAnsi="Calibri" w:cs="Calibri"/>
                <w:szCs w:val="22"/>
                <w:lang w:eastAsia="en-US"/>
              </w:rPr>
            </w:pPr>
          </w:p>
          <w:p w14:paraId="44972868" w14:textId="77777777" w:rsidR="00B13FDF" w:rsidRPr="0077738C" w:rsidRDefault="00B13FDF" w:rsidP="00AD112A">
            <w:pPr>
              <w:spacing w:before="0"/>
              <w:jc w:val="left"/>
              <w:rPr>
                <w:rFonts w:ascii="Calibri" w:eastAsiaTheme="minorEastAsia" w:hAnsi="Calibri" w:cs="Calibri"/>
                <w:szCs w:val="22"/>
                <w:lang w:eastAsia="en-US"/>
              </w:rPr>
            </w:pPr>
          </w:p>
          <w:p w14:paraId="75F5F0CD" w14:textId="77777777" w:rsidR="00B13FDF" w:rsidRPr="0077738C" w:rsidRDefault="00B13FDF" w:rsidP="00AD112A">
            <w:pPr>
              <w:spacing w:before="0"/>
              <w:jc w:val="left"/>
              <w:rPr>
                <w:rFonts w:ascii="Calibri" w:eastAsiaTheme="minorEastAsia" w:hAnsi="Calibri" w:cs="Calibri"/>
                <w:szCs w:val="22"/>
                <w:lang w:eastAsia="en-US"/>
              </w:rPr>
            </w:pPr>
          </w:p>
        </w:tc>
        <w:tc>
          <w:tcPr>
            <w:tcW w:w="5918" w:type="dxa"/>
          </w:tcPr>
          <w:p w14:paraId="7723CC33" w14:textId="77777777" w:rsidR="00B13FDF" w:rsidRPr="0077738C" w:rsidRDefault="00B13FDF" w:rsidP="00AD112A">
            <w:pPr>
              <w:spacing w:before="0"/>
              <w:jc w:val="left"/>
              <w:rPr>
                <w:rFonts w:ascii="Calibri" w:eastAsiaTheme="minorEastAsia" w:hAnsi="Calibri" w:cs="Calibri"/>
                <w:szCs w:val="22"/>
                <w:lang w:eastAsia="en-US"/>
              </w:rPr>
            </w:pPr>
          </w:p>
          <w:p w14:paraId="335DB7BD" w14:textId="77777777" w:rsidR="00B13FDF" w:rsidRPr="0077738C" w:rsidRDefault="00B13FDF" w:rsidP="00AD112A">
            <w:pPr>
              <w:spacing w:before="0"/>
              <w:jc w:val="left"/>
              <w:rPr>
                <w:rFonts w:ascii="Calibri" w:eastAsiaTheme="minorEastAsia" w:hAnsi="Calibri" w:cs="Calibri"/>
                <w:szCs w:val="22"/>
                <w:lang w:eastAsia="en-US"/>
              </w:rPr>
            </w:pPr>
          </w:p>
          <w:p w14:paraId="2D5EA733" w14:textId="77777777" w:rsidR="00B13FDF" w:rsidRPr="0077738C" w:rsidRDefault="00B13FDF" w:rsidP="00AD112A">
            <w:pPr>
              <w:spacing w:before="0"/>
              <w:jc w:val="left"/>
              <w:rPr>
                <w:rFonts w:ascii="Calibri" w:eastAsiaTheme="minorEastAsia" w:hAnsi="Calibri" w:cs="Calibri"/>
                <w:szCs w:val="22"/>
                <w:lang w:eastAsia="en-US"/>
              </w:rPr>
            </w:pPr>
          </w:p>
          <w:p w14:paraId="23412BB1" w14:textId="77777777" w:rsidR="00B13FDF" w:rsidRPr="0077738C" w:rsidRDefault="00B13FDF" w:rsidP="00AD112A">
            <w:pPr>
              <w:spacing w:before="0"/>
              <w:jc w:val="left"/>
              <w:rPr>
                <w:rFonts w:ascii="Calibri" w:eastAsiaTheme="minorEastAsia" w:hAnsi="Calibri" w:cs="Calibri"/>
                <w:szCs w:val="22"/>
                <w:lang w:eastAsia="en-US"/>
              </w:rPr>
            </w:pPr>
          </w:p>
          <w:p w14:paraId="1635E8D0" w14:textId="77777777" w:rsidR="00B13FDF" w:rsidRPr="0077738C" w:rsidRDefault="00B13FDF" w:rsidP="00AD112A">
            <w:pPr>
              <w:spacing w:before="0"/>
              <w:jc w:val="left"/>
              <w:rPr>
                <w:rFonts w:ascii="Calibri" w:eastAsiaTheme="minorEastAsia" w:hAnsi="Calibri" w:cs="Calibri"/>
                <w:szCs w:val="22"/>
                <w:lang w:eastAsia="en-US"/>
              </w:rPr>
            </w:pPr>
          </w:p>
          <w:p w14:paraId="2D31404A" w14:textId="77777777" w:rsidR="00B13FDF" w:rsidRPr="0077738C" w:rsidRDefault="00B13FDF" w:rsidP="00AD112A">
            <w:pPr>
              <w:spacing w:before="0"/>
              <w:jc w:val="left"/>
              <w:rPr>
                <w:rFonts w:ascii="Calibri" w:eastAsiaTheme="minorEastAsia" w:hAnsi="Calibri" w:cs="Calibri"/>
                <w:szCs w:val="22"/>
                <w:lang w:eastAsia="en-US"/>
              </w:rPr>
            </w:pPr>
          </w:p>
          <w:p w14:paraId="557C30B9" w14:textId="77777777" w:rsidR="00B13FDF" w:rsidRPr="0077738C" w:rsidRDefault="00B13FDF" w:rsidP="00AD112A">
            <w:pPr>
              <w:spacing w:before="0"/>
              <w:jc w:val="left"/>
              <w:rPr>
                <w:rFonts w:ascii="Calibri" w:eastAsiaTheme="minorEastAsia" w:hAnsi="Calibri" w:cs="Calibri"/>
                <w:szCs w:val="22"/>
                <w:lang w:eastAsia="en-US"/>
              </w:rPr>
            </w:pPr>
          </w:p>
          <w:p w14:paraId="1865FAE2" w14:textId="77777777" w:rsidR="00B13FDF" w:rsidRPr="0077738C" w:rsidRDefault="00B13FDF" w:rsidP="00AD112A">
            <w:pPr>
              <w:spacing w:before="0"/>
              <w:jc w:val="left"/>
              <w:rPr>
                <w:rFonts w:ascii="Calibri" w:eastAsiaTheme="minorEastAsia" w:hAnsi="Calibri" w:cs="Calibri"/>
                <w:szCs w:val="22"/>
                <w:lang w:eastAsia="en-US"/>
              </w:rPr>
            </w:pPr>
          </w:p>
          <w:p w14:paraId="1B566321" w14:textId="77777777" w:rsidR="00B13FDF" w:rsidRPr="0077738C" w:rsidRDefault="00B13FDF" w:rsidP="00AD112A">
            <w:pPr>
              <w:spacing w:before="0"/>
              <w:jc w:val="left"/>
              <w:rPr>
                <w:rFonts w:ascii="Calibri" w:eastAsiaTheme="minorEastAsia" w:hAnsi="Calibri" w:cs="Calibri"/>
                <w:szCs w:val="22"/>
                <w:lang w:eastAsia="en-US"/>
              </w:rPr>
            </w:pPr>
          </w:p>
          <w:p w14:paraId="5C25B736" w14:textId="77777777" w:rsidR="00B13FDF" w:rsidRPr="0077738C" w:rsidRDefault="00B13FDF" w:rsidP="00AD112A">
            <w:pPr>
              <w:spacing w:before="0"/>
              <w:jc w:val="left"/>
              <w:rPr>
                <w:rFonts w:ascii="Calibri" w:eastAsiaTheme="minorEastAsia" w:hAnsi="Calibri" w:cs="Calibri"/>
                <w:szCs w:val="22"/>
                <w:lang w:eastAsia="en-US"/>
              </w:rPr>
            </w:pPr>
          </w:p>
          <w:p w14:paraId="2DF284BC" w14:textId="77777777" w:rsidR="00B13FDF" w:rsidRPr="0077738C" w:rsidRDefault="00B13FDF" w:rsidP="00AD112A">
            <w:pPr>
              <w:spacing w:before="0"/>
              <w:jc w:val="left"/>
              <w:rPr>
                <w:rFonts w:ascii="Calibri" w:eastAsiaTheme="minorEastAsia" w:hAnsi="Calibri" w:cs="Calibri"/>
                <w:szCs w:val="22"/>
                <w:lang w:eastAsia="en-US"/>
              </w:rPr>
            </w:pPr>
          </w:p>
          <w:p w14:paraId="4BDAEC46" w14:textId="77777777" w:rsidR="00B13FDF" w:rsidRPr="0077738C" w:rsidRDefault="00B13FDF" w:rsidP="00AD112A">
            <w:pPr>
              <w:spacing w:before="0"/>
              <w:jc w:val="left"/>
              <w:rPr>
                <w:rFonts w:ascii="Calibri" w:eastAsiaTheme="minorEastAsia" w:hAnsi="Calibri" w:cs="Calibri"/>
                <w:szCs w:val="22"/>
                <w:lang w:eastAsia="en-US"/>
              </w:rPr>
            </w:pPr>
          </w:p>
          <w:p w14:paraId="28A71A50" w14:textId="77777777" w:rsidR="00B13FDF" w:rsidRPr="0077738C" w:rsidRDefault="00B13FDF" w:rsidP="00AD112A">
            <w:pPr>
              <w:spacing w:before="0"/>
              <w:jc w:val="left"/>
              <w:rPr>
                <w:rFonts w:ascii="Calibri" w:eastAsiaTheme="minorEastAsia" w:hAnsi="Calibri" w:cs="Calibri"/>
                <w:szCs w:val="22"/>
                <w:lang w:eastAsia="en-US"/>
              </w:rPr>
            </w:pPr>
          </w:p>
          <w:p w14:paraId="2DA94395" w14:textId="77777777" w:rsidR="00B13FDF" w:rsidRPr="0077738C" w:rsidRDefault="00B13FDF" w:rsidP="00AD112A">
            <w:pPr>
              <w:spacing w:before="0"/>
              <w:jc w:val="left"/>
              <w:rPr>
                <w:rFonts w:ascii="Calibri" w:eastAsiaTheme="minorEastAsia" w:hAnsi="Calibri" w:cs="Calibri"/>
                <w:szCs w:val="22"/>
                <w:lang w:eastAsia="en-US"/>
              </w:rPr>
            </w:pPr>
          </w:p>
          <w:p w14:paraId="519280C5" w14:textId="77777777" w:rsidR="00B13FDF" w:rsidRPr="0077738C" w:rsidRDefault="00B13FDF" w:rsidP="00AD112A">
            <w:pPr>
              <w:spacing w:before="0"/>
              <w:jc w:val="left"/>
              <w:rPr>
                <w:rFonts w:ascii="Calibri" w:eastAsiaTheme="minorEastAsia" w:hAnsi="Calibri" w:cs="Calibri"/>
                <w:szCs w:val="22"/>
                <w:lang w:eastAsia="en-US"/>
              </w:rPr>
            </w:pPr>
          </w:p>
          <w:p w14:paraId="7C62F701" w14:textId="77777777" w:rsidR="00B13FDF" w:rsidRPr="0077738C" w:rsidRDefault="00B13FDF" w:rsidP="00AD112A">
            <w:pPr>
              <w:spacing w:before="0"/>
              <w:jc w:val="left"/>
              <w:rPr>
                <w:rFonts w:ascii="Calibri" w:eastAsiaTheme="minorEastAsia" w:hAnsi="Calibri" w:cs="Calibri"/>
                <w:szCs w:val="22"/>
                <w:lang w:eastAsia="en-US"/>
              </w:rPr>
            </w:pPr>
          </w:p>
          <w:p w14:paraId="7BAAE1B6" w14:textId="77777777" w:rsidR="00B13FDF" w:rsidRPr="0077738C" w:rsidRDefault="00B13FDF" w:rsidP="00AD112A">
            <w:pPr>
              <w:spacing w:before="0"/>
              <w:jc w:val="left"/>
              <w:rPr>
                <w:rFonts w:ascii="Calibri" w:eastAsiaTheme="minorEastAsia" w:hAnsi="Calibri" w:cs="Calibri"/>
                <w:szCs w:val="22"/>
                <w:lang w:eastAsia="en-US"/>
              </w:rPr>
            </w:pPr>
          </w:p>
          <w:p w14:paraId="65A20929" w14:textId="77777777" w:rsidR="00B13FDF" w:rsidRPr="0077738C" w:rsidRDefault="00B13FDF" w:rsidP="00AD112A">
            <w:pPr>
              <w:spacing w:before="0"/>
              <w:jc w:val="left"/>
              <w:rPr>
                <w:rFonts w:ascii="Calibri" w:eastAsiaTheme="minorEastAsia" w:hAnsi="Calibri" w:cs="Calibri"/>
                <w:szCs w:val="22"/>
                <w:lang w:eastAsia="en-US"/>
              </w:rPr>
            </w:pPr>
          </w:p>
          <w:p w14:paraId="14466874" w14:textId="77777777" w:rsidR="00B13FDF" w:rsidRPr="0077738C" w:rsidRDefault="00B13FDF" w:rsidP="00AD112A">
            <w:pPr>
              <w:spacing w:before="0"/>
              <w:jc w:val="left"/>
              <w:rPr>
                <w:rFonts w:ascii="Calibri" w:eastAsiaTheme="minorEastAsia" w:hAnsi="Calibri" w:cs="Calibri"/>
                <w:szCs w:val="22"/>
                <w:lang w:eastAsia="en-US"/>
              </w:rPr>
            </w:pPr>
          </w:p>
          <w:p w14:paraId="6C21D599" w14:textId="77777777" w:rsidR="00B13FDF" w:rsidRPr="0077738C" w:rsidRDefault="00B13FDF" w:rsidP="00AD112A">
            <w:pPr>
              <w:spacing w:before="0"/>
              <w:jc w:val="left"/>
              <w:rPr>
                <w:rFonts w:ascii="Calibri" w:eastAsiaTheme="minorEastAsia" w:hAnsi="Calibri" w:cs="Calibri"/>
                <w:szCs w:val="22"/>
                <w:lang w:eastAsia="en-US"/>
              </w:rPr>
            </w:pPr>
          </w:p>
          <w:p w14:paraId="690C35E8" w14:textId="77777777" w:rsidR="00B13FDF" w:rsidRPr="0077738C" w:rsidRDefault="00B13FDF" w:rsidP="00AD112A">
            <w:pPr>
              <w:spacing w:before="0"/>
              <w:jc w:val="left"/>
              <w:rPr>
                <w:rFonts w:ascii="Calibri" w:eastAsiaTheme="minorEastAsia" w:hAnsi="Calibri" w:cs="Calibri"/>
                <w:szCs w:val="22"/>
                <w:lang w:eastAsia="en-US"/>
              </w:rPr>
            </w:pPr>
          </w:p>
          <w:p w14:paraId="147CF1B5" w14:textId="77777777" w:rsidR="00B13FDF" w:rsidRPr="0077738C" w:rsidRDefault="00B13FDF" w:rsidP="00AD112A">
            <w:pPr>
              <w:spacing w:before="0"/>
              <w:jc w:val="left"/>
              <w:rPr>
                <w:rFonts w:ascii="Calibri" w:eastAsiaTheme="minorEastAsia" w:hAnsi="Calibri" w:cs="Calibri"/>
                <w:szCs w:val="22"/>
                <w:lang w:eastAsia="en-US"/>
              </w:rPr>
            </w:pPr>
          </w:p>
          <w:p w14:paraId="185159DD" w14:textId="77777777" w:rsidR="00B13FDF" w:rsidRPr="0077738C" w:rsidRDefault="00B13FDF" w:rsidP="00AD112A">
            <w:pPr>
              <w:spacing w:before="0"/>
              <w:jc w:val="left"/>
              <w:rPr>
                <w:rFonts w:ascii="Calibri" w:eastAsiaTheme="minorEastAsia" w:hAnsi="Calibri" w:cs="Calibri"/>
                <w:szCs w:val="22"/>
                <w:lang w:eastAsia="en-US"/>
              </w:rPr>
            </w:pPr>
          </w:p>
          <w:p w14:paraId="03F1341A" w14:textId="77777777" w:rsidR="00B13FDF" w:rsidRPr="0077738C" w:rsidRDefault="00B13FDF" w:rsidP="00AD112A">
            <w:pPr>
              <w:spacing w:before="0"/>
              <w:jc w:val="left"/>
              <w:rPr>
                <w:rFonts w:ascii="Calibri" w:eastAsiaTheme="minorEastAsia" w:hAnsi="Calibri" w:cs="Calibri"/>
                <w:szCs w:val="22"/>
                <w:lang w:eastAsia="en-US"/>
              </w:rPr>
            </w:pPr>
          </w:p>
        </w:tc>
      </w:tr>
    </w:tbl>
    <w:p w14:paraId="5F3C9384" w14:textId="77777777" w:rsidR="00B13FDF" w:rsidRPr="0077738C" w:rsidRDefault="00B13FDF" w:rsidP="00B13FDF">
      <w:pPr>
        <w:spacing w:before="0" w:after="0"/>
        <w:jc w:val="center"/>
        <w:rPr>
          <w:rFonts w:ascii="Calibri" w:eastAsiaTheme="minorEastAsia" w:hAnsi="Calibri" w:cs="Calibri"/>
          <w:b/>
          <w:sz w:val="20"/>
          <w:szCs w:val="20"/>
          <w:lang w:eastAsia="en-US"/>
        </w:rPr>
      </w:pPr>
    </w:p>
    <w:p w14:paraId="31F41981" w14:textId="77777777" w:rsidR="00B13FDF" w:rsidRPr="0077738C" w:rsidRDefault="00B13FDF" w:rsidP="00B13FDF">
      <w:pPr>
        <w:spacing w:before="0" w:after="0"/>
        <w:jc w:val="center"/>
        <w:rPr>
          <w:rFonts w:ascii="Calibri" w:eastAsiaTheme="minorEastAsia" w:hAnsi="Calibri" w:cs="Calibri"/>
          <w:b/>
          <w:sz w:val="20"/>
          <w:szCs w:val="20"/>
          <w:lang w:eastAsia="en-US"/>
        </w:rPr>
      </w:pPr>
      <w:r w:rsidRPr="0077738C">
        <w:rPr>
          <w:rFonts w:ascii="Calibri" w:eastAsiaTheme="minorEastAsia" w:hAnsi="Calibri" w:cs="Calibri"/>
          <w:b/>
          <w:sz w:val="20"/>
          <w:szCs w:val="20"/>
          <w:lang w:eastAsia="en-US"/>
        </w:rPr>
        <w:t xml:space="preserve"> Please note that </w:t>
      </w:r>
      <w:r>
        <w:rPr>
          <w:rFonts w:ascii="Calibri" w:eastAsiaTheme="minorEastAsia" w:hAnsi="Calibri" w:cs="Calibri"/>
          <w:b/>
          <w:sz w:val="20"/>
          <w:szCs w:val="20"/>
          <w:lang w:eastAsia="en-US"/>
        </w:rPr>
        <w:t xml:space="preserve">the Trust </w:t>
      </w:r>
      <w:r w:rsidRPr="0077738C">
        <w:rPr>
          <w:rFonts w:ascii="Calibri" w:eastAsiaTheme="minorEastAsia" w:hAnsi="Calibri" w:cs="Calibri"/>
          <w:b/>
          <w:sz w:val="20"/>
          <w:szCs w:val="20"/>
          <w:lang w:eastAsia="en-US"/>
        </w:rPr>
        <w:t xml:space="preserve">can only add on up to an additional 6 months to the repayment plan; in addition to </w:t>
      </w:r>
      <w:r>
        <w:rPr>
          <w:rFonts w:ascii="Calibri" w:eastAsiaTheme="minorEastAsia" w:hAnsi="Calibri" w:cs="Calibri"/>
          <w:b/>
          <w:sz w:val="20"/>
          <w:szCs w:val="20"/>
          <w:lang w:eastAsia="en-US"/>
        </w:rPr>
        <w:t>the maximum 12 months</w:t>
      </w:r>
      <w:r w:rsidRPr="0077738C">
        <w:rPr>
          <w:rFonts w:ascii="Calibri" w:eastAsiaTheme="minorEastAsia" w:hAnsi="Calibri" w:cs="Calibri"/>
          <w:b/>
          <w:sz w:val="20"/>
          <w:szCs w:val="20"/>
          <w:lang w:eastAsia="en-US"/>
        </w:rPr>
        <w:t xml:space="preserve"> </w:t>
      </w:r>
    </w:p>
    <w:p w14:paraId="7C832893" w14:textId="77777777" w:rsidR="00B13FDF" w:rsidRPr="0077738C" w:rsidRDefault="00B13FDF" w:rsidP="00B13FDF">
      <w:pPr>
        <w:spacing w:before="0" w:after="0"/>
        <w:jc w:val="center"/>
        <w:rPr>
          <w:rFonts w:ascii="Calibri" w:eastAsiaTheme="minorEastAsia" w:hAnsi="Calibri" w:cs="Calibri"/>
          <w:szCs w:val="22"/>
          <w:lang w:eastAsia="en-US"/>
        </w:rPr>
      </w:pPr>
    </w:p>
    <w:p w14:paraId="4EB890E1" w14:textId="77777777" w:rsidR="00B13FDF" w:rsidRPr="0077738C" w:rsidRDefault="00B13FDF" w:rsidP="00B13FDF">
      <w:pPr>
        <w:spacing w:before="0" w:after="0"/>
        <w:jc w:val="left"/>
        <w:rPr>
          <w:rFonts w:ascii="Calibri" w:eastAsiaTheme="minorEastAsia" w:hAnsi="Calibri" w:cs="Calibri"/>
          <w:szCs w:val="22"/>
          <w:lang w:eastAsia="en-US"/>
        </w:rPr>
      </w:pPr>
    </w:p>
    <w:p w14:paraId="199ADCC9" w14:textId="77777777" w:rsidR="00B13FDF" w:rsidRPr="0077738C" w:rsidRDefault="00B13FDF" w:rsidP="00B13FDF">
      <w:pPr>
        <w:spacing w:before="0" w:after="0"/>
        <w:jc w:val="left"/>
        <w:rPr>
          <w:rFonts w:ascii="Calibri" w:eastAsiaTheme="minorEastAsia" w:hAnsi="Calibri" w:cs="Calibri"/>
          <w:szCs w:val="22"/>
          <w:lang w:eastAsia="en-US"/>
        </w:rPr>
      </w:pPr>
    </w:p>
    <w:p w14:paraId="6514C4B6"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9016"/>
      </w:tblGrid>
      <w:tr w:rsidR="00B13FDF" w:rsidRPr="0077738C" w14:paraId="6EBEBD1A" w14:textId="77777777" w:rsidTr="00AD112A">
        <w:tc>
          <w:tcPr>
            <w:tcW w:w="9854" w:type="dxa"/>
          </w:tcPr>
          <w:p w14:paraId="68CB7513"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Employee’s</w:t>
            </w:r>
            <w:r>
              <w:rPr>
                <w:rFonts w:ascii="Calibri" w:eastAsiaTheme="minorEastAsia" w:hAnsi="Calibri" w:cs="Calibri"/>
                <w:b/>
                <w:szCs w:val="22"/>
                <w:lang w:eastAsia="en-US"/>
              </w:rPr>
              <w:t>/Former Employee’s</w:t>
            </w:r>
            <w:r w:rsidRPr="0077738C">
              <w:rPr>
                <w:rFonts w:ascii="Calibri" w:eastAsiaTheme="minorEastAsia" w:hAnsi="Calibri" w:cs="Calibri"/>
                <w:b/>
                <w:szCs w:val="22"/>
                <w:lang w:eastAsia="en-US"/>
              </w:rPr>
              <w:t xml:space="preserve"> Declaration – please tick / cross each box to agree </w:t>
            </w:r>
          </w:p>
          <w:p w14:paraId="60573683"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b/>
                <w:szCs w:val="22"/>
                <w:lang w:eastAsia="en-US"/>
              </w:rPr>
              <w:t>This section must be completed in FULL</w:t>
            </w:r>
          </w:p>
          <w:p w14:paraId="0CD32CEA" w14:textId="77777777" w:rsidR="00B13FDF" w:rsidRPr="0077738C" w:rsidRDefault="00B13FDF" w:rsidP="00AD112A">
            <w:pPr>
              <w:spacing w:before="0"/>
              <w:jc w:val="left"/>
              <w:rPr>
                <w:rFonts w:ascii="Calibri" w:eastAsiaTheme="minorEastAsia" w:hAnsi="Calibri" w:cs="Calibri"/>
                <w:szCs w:val="22"/>
                <w:lang w:eastAsia="en-US"/>
              </w:rPr>
            </w:pPr>
          </w:p>
          <w:p w14:paraId="1C6EC103" w14:textId="77777777" w:rsidR="00B13FDF" w:rsidRPr="0077738C" w:rsidRDefault="00ED4162"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86374498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confirm that I have read and understood the Trust’s Salary Overpayments Policy and am submitting this request in accordance with its content.  </w:t>
            </w:r>
          </w:p>
          <w:p w14:paraId="5FEF45D0" w14:textId="77777777" w:rsidR="00B13FDF" w:rsidRPr="0077738C" w:rsidRDefault="00B13FDF" w:rsidP="00AD112A">
            <w:pPr>
              <w:spacing w:before="0"/>
              <w:jc w:val="left"/>
              <w:rPr>
                <w:rFonts w:ascii="Calibri" w:eastAsiaTheme="minorEastAsia" w:hAnsi="Calibri" w:cs="Calibri"/>
                <w:szCs w:val="22"/>
                <w:lang w:eastAsia="en-US"/>
              </w:rPr>
            </w:pPr>
          </w:p>
          <w:p w14:paraId="79561F77" w14:textId="77777777" w:rsidR="00B13FDF" w:rsidRPr="0077738C" w:rsidRDefault="00ED4162"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119653364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declare that the information given on this form and in any supporting documentation provided is complete and accurate.  I understand and accept that if I provide false or misleading information, I may be liable to disciplinary, prosecution and/or civil proceedings and debt collection.  </w:t>
            </w:r>
          </w:p>
          <w:p w14:paraId="78020F70" w14:textId="77777777" w:rsidR="00B13FDF" w:rsidRPr="0077738C" w:rsidRDefault="00B13FDF" w:rsidP="00AD112A">
            <w:pPr>
              <w:spacing w:before="0"/>
              <w:jc w:val="left"/>
              <w:rPr>
                <w:rFonts w:ascii="Calibri" w:eastAsiaTheme="minorEastAsia" w:hAnsi="Calibri" w:cs="Calibri"/>
                <w:szCs w:val="22"/>
                <w:lang w:eastAsia="en-US"/>
              </w:rPr>
            </w:pPr>
          </w:p>
          <w:p w14:paraId="02173B98" w14:textId="77777777" w:rsidR="00B13FDF" w:rsidRPr="0077738C" w:rsidRDefault="00ED4162"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212920349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understand that the Trust may share information on this form with NHS </w:t>
            </w:r>
            <w:r w:rsidR="00B13FDF">
              <w:rPr>
                <w:rFonts w:ascii="Calibri" w:eastAsiaTheme="minorEastAsia" w:hAnsi="Calibri" w:cs="Calibri"/>
                <w:szCs w:val="22"/>
                <w:lang w:eastAsia="en-US"/>
              </w:rPr>
              <w:t>Counter Fraud Authority</w:t>
            </w:r>
            <w:r w:rsidR="00B13FDF" w:rsidRPr="0077738C">
              <w:rPr>
                <w:rFonts w:ascii="Calibri" w:eastAsiaTheme="minorEastAsia" w:hAnsi="Calibri" w:cs="Calibri"/>
                <w:szCs w:val="22"/>
                <w:lang w:eastAsia="en-US"/>
              </w:rPr>
              <w:t xml:space="preserve"> and/or other organisations for the purpose of the prevention, detection, investigation and prosecution of fraud or any other unlawful activity affecting the NHS.</w:t>
            </w:r>
          </w:p>
          <w:p w14:paraId="5055EC17" w14:textId="77777777" w:rsidR="00B13FDF" w:rsidRPr="0077738C" w:rsidRDefault="00B13FDF" w:rsidP="00AD112A">
            <w:pPr>
              <w:spacing w:before="0"/>
              <w:jc w:val="left"/>
              <w:rPr>
                <w:rFonts w:ascii="Calibri" w:eastAsiaTheme="minorEastAsia" w:hAnsi="Calibri" w:cs="Calibri"/>
                <w:szCs w:val="22"/>
                <w:lang w:eastAsia="en-US"/>
              </w:rPr>
            </w:pPr>
          </w:p>
          <w:p w14:paraId="0B4F1F34" w14:textId="77777777" w:rsidR="00B13FDF" w:rsidRPr="0077738C" w:rsidRDefault="00ED4162"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1889323137"/>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consent to </w:t>
            </w:r>
            <w:r w:rsidR="00B13FDF">
              <w:rPr>
                <w:rFonts w:ascii="Calibri" w:eastAsiaTheme="minorEastAsia" w:hAnsi="Calibri" w:cs="Calibri"/>
                <w:szCs w:val="22"/>
                <w:lang w:eastAsia="en-US"/>
              </w:rPr>
              <w:t xml:space="preserve">East London NHS Foundation Trust </w:t>
            </w:r>
            <w:r w:rsidR="00B13FDF" w:rsidRPr="0077738C">
              <w:rPr>
                <w:rFonts w:ascii="Calibri" w:eastAsiaTheme="minorEastAsia" w:hAnsi="Calibri" w:cs="Calibri"/>
                <w:szCs w:val="22"/>
                <w:lang w:eastAsia="en-US"/>
              </w:rPr>
              <w:t>contacting any person or business to request information required to verify details I have provided on this form and in any attach</w:t>
            </w:r>
            <w:r w:rsidR="00B13FDF">
              <w:rPr>
                <w:rFonts w:ascii="Calibri" w:eastAsiaTheme="minorEastAsia" w:hAnsi="Calibri" w:cs="Calibri"/>
                <w:szCs w:val="22"/>
                <w:lang w:eastAsia="en-US"/>
              </w:rPr>
              <w:t xml:space="preserve">ed supporting documentation. </w:t>
            </w:r>
            <w:r w:rsidR="00B13FDF" w:rsidRPr="0077738C">
              <w:rPr>
                <w:rFonts w:ascii="Calibri" w:eastAsiaTheme="minorEastAsia" w:hAnsi="Calibri" w:cs="Calibri"/>
                <w:szCs w:val="22"/>
                <w:lang w:eastAsia="en-US"/>
              </w:rPr>
              <w:t xml:space="preserve">I also consent to any person or business requested to provide information, to disclose details of my personal information to </w:t>
            </w:r>
            <w:r w:rsidR="00B13FDF">
              <w:rPr>
                <w:rFonts w:ascii="Calibri" w:eastAsiaTheme="minorEastAsia" w:hAnsi="Calibri" w:cs="Calibri"/>
                <w:szCs w:val="22"/>
                <w:lang w:eastAsia="en-US"/>
              </w:rPr>
              <w:t>East London NHS Foundation Trust</w:t>
            </w:r>
          </w:p>
          <w:p w14:paraId="756CC722" w14:textId="77777777" w:rsidR="00B13FDF" w:rsidRPr="0077738C" w:rsidRDefault="00B13FDF" w:rsidP="00AD112A">
            <w:pPr>
              <w:spacing w:before="0"/>
              <w:jc w:val="left"/>
              <w:rPr>
                <w:rFonts w:ascii="Calibri" w:eastAsiaTheme="minorEastAsia" w:hAnsi="Calibri" w:cs="Calibri"/>
                <w:szCs w:val="22"/>
                <w:lang w:eastAsia="en-US"/>
              </w:rPr>
            </w:pPr>
          </w:p>
          <w:p w14:paraId="69205ADC"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8"/>
              <w:gridCol w:w="4678"/>
            </w:tblGrid>
            <w:tr w:rsidR="00B13FDF" w:rsidRPr="0077738C" w14:paraId="57522FBE" w14:textId="77777777" w:rsidTr="00AD112A">
              <w:trPr>
                <w:trHeight w:val="378"/>
              </w:trPr>
              <w:tc>
                <w:tcPr>
                  <w:tcW w:w="1838" w:type="dxa"/>
                  <w:tcBorders>
                    <w:top w:val="nil"/>
                    <w:bottom w:val="nil"/>
                  </w:tcBorders>
                  <w:vAlign w:val="bottom"/>
                </w:tcPr>
                <w:p w14:paraId="194A9F56"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Signature</w:t>
                  </w:r>
                </w:p>
              </w:tc>
              <w:tc>
                <w:tcPr>
                  <w:tcW w:w="4678" w:type="dxa"/>
                  <w:tcBorders>
                    <w:top w:val="nil"/>
                  </w:tcBorders>
                  <w:vAlign w:val="bottom"/>
                </w:tcPr>
                <w:p w14:paraId="5ECF71EB"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24A5521B" w14:textId="77777777" w:rsidTr="00AD112A">
              <w:trPr>
                <w:trHeight w:val="531"/>
              </w:trPr>
              <w:tc>
                <w:tcPr>
                  <w:tcW w:w="1838" w:type="dxa"/>
                  <w:tcBorders>
                    <w:top w:val="nil"/>
                    <w:bottom w:val="nil"/>
                  </w:tcBorders>
                  <w:vAlign w:val="bottom"/>
                </w:tcPr>
                <w:p w14:paraId="06FE7108"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Date</w:t>
                  </w:r>
                </w:p>
              </w:tc>
              <w:tc>
                <w:tcPr>
                  <w:tcW w:w="4678" w:type="dxa"/>
                  <w:vAlign w:val="bottom"/>
                </w:tcPr>
                <w:p w14:paraId="6A42EDAF" w14:textId="77777777" w:rsidR="00B13FDF" w:rsidRPr="0077738C" w:rsidRDefault="00B13FDF" w:rsidP="00AD112A">
                  <w:pPr>
                    <w:spacing w:before="0"/>
                    <w:jc w:val="left"/>
                    <w:rPr>
                      <w:rFonts w:ascii="Calibri" w:eastAsiaTheme="minorEastAsia" w:hAnsi="Calibri" w:cs="Calibri"/>
                      <w:szCs w:val="22"/>
                      <w:lang w:eastAsia="en-US"/>
                    </w:rPr>
                  </w:pPr>
                </w:p>
              </w:tc>
            </w:tr>
          </w:tbl>
          <w:p w14:paraId="754B8F20" w14:textId="77777777" w:rsidR="00B13FDF" w:rsidRPr="0077738C" w:rsidRDefault="00B13FDF" w:rsidP="00AD112A">
            <w:pPr>
              <w:spacing w:before="0"/>
              <w:jc w:val="left"/>
              <w:rPr>
                <w:rFonts w:ascii="Calibri" w:eastAsiaTheme="minorEastAsia" w:hAnsi="Calibri" w:cs="Calibri"/>
                <w:szCs w:val="22"/>
                <w:lang w:eastAsia="en-US"/>
              </w:rPr>
            </w:pPr>
          </w:p>
        </w:tc>
      </w:tr>
    </w:tbl>
    <w:p w14:paraId="26697FAA" w14:textId="77777777" w:rsidR="00B13FDF" w:rsidRPr="0077738C" w:rsidRDefault="00B13FDF" w:rsidP="00B13FDF">
      <w:pPr>
        <w:spacing w:before="0" w:after="0"/>
        <w:jc w:val="left"/>
        <w:rPr>
          <w:rFonts w:ascii="Calibri" w:eastAsiaTheme="minorEastAsia" w:hAnsi="Calibri" w:cs="Calibri"/>
          <w:szCs w:val="22"/>
          <w:lang w:eastAsia="en-US"/>
        </w:rPr>
      </w:pPr>
    </w:p>
    <w:p w14:paraId="385361EB"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5168"/>
        <w:gridCol w:w="3848"/>
      </w:tblGrid>
      <w:tr w:rsidR="00B13FDF" w:rsidRPr="0077738C" w14:paraId="036A5EA4" w14:textId="77777777" w:rsidTr="00AD112A">
        <w:trPr>
          <w:trHeight w:val="342"/>
        </w:trPr>
        <w:tc>
          <w:tcPr>
            <w:tcW w:w="5288" w:type="dxa"/>
            <w:tcBorders>
              <w:bottom w:val="single" w:sz="4" w:space="0" w:color="auto"/>
            </w:tcBorders>
            <w:shd w:val="clear" w:color="auto" w:fill="D9D9D9" w:themeFill="background1" w:themeFillShade="D9"/>
          </w:tcPr>
          <w:p w14:paraId="71E040F2" w14:textId="77777777" w:rsidR="00B13FDF" w:rsidRPr="0077738C" w:rsidRDefault="00B13FDF" w:rsidP="00AD112A">
            <w:pPr>
              <w:spacing w:before="0"/>
              <w:jc w:val="left"/>
              <w:rPr>
                <w:rFonts w:ascii="Calibri" w:eastAsiaTheme="minorEastAsia" w:hAnsi="Calibri" w:cs="Calibri"/>
                <w:b/>
                <w:szCs w:val="22"/>
                <w:u w:val="single"/>
                <w:lang w:eastAsia="en-US"/>
              </w:rPr>
            </w:pPr>
            <w:r w:rsidRPr="0077738C">
              <w:rPr>
                <w:rFonts w:ascii="Calibri" w:eastAsiaTheme="minorEastAsia" w:hAnsi="Calibri" w:cs="Calibri"/>
                <w:b/>
                <w:szCs w:val="22"/>
                <w:u w:val="single"/>
                <w:lang w:eastAsia="en-US"/>
              </w:rPr>
              <w:t xml:space="preserve">FOR OFFICE USE ONLY </w:t>
            </w:r>
          </w:p>
          <w:p w14:paraId="4328762E" w14:textId="77777777" w:rsidR="00B13FDF" w:rsidRPr="0077738C" w:rsidRDefault="00B13FDF" w:rsidP="00AD112A">
            <w:pPr>
              <w:spacing w:before="0"/>
              <w:rPr>
                <w:rFonts w:ascii="Calibri" w:eastAsiaTheme="minorEastAsia" w:hAnsi="Calibri" w:cs="Calibri"/>
                <w:b/>
                <w:szCs w:val="22"/>
                <w:lang w:eastAsia="en-US"/>
              </w:rPr>
            </w:pPr>
          </w:p>
        </w:tc>
        <w:tc>
          <w:tcPr>
            <w:tcW w:w="3954" w:type="dxa"/>
            <w:tcBorders>
              <w:bottom w:val="single" w:sz="4" w:space="0" w:color="auto"/>
            </w:tcBorders>
            <w:shd w:val="clear" w:color="auto" w:fill="D9D9D9" w:themeFill="background1" w:themeFillShade="D9"/>
          </w:tcPr>
          <w:p w14:paraId="024A9CB4" w14:textId="77777777" w:rsidR="00B13FDF" w:rsidRPr="0077738C" w:rsidRDefault="00B13FDF" w:rsidP="00AD112A">
            <w:pPr>
              <w:spacing w:before="0"/>
              <w:jc w:val="left"/>
              <w:rPr>
                <w:rFonts w:ascii="Calibri" w:eastAsiaTheme="minorEastAsia" w:hAnsi="Calibri" w:cs="Calibri"/>
                <w:b/>
                <w:szCs w:val="22"/>
                <w:lang w:eastAsia="en-US"/>
              </w:rPr>
            </w:pPr>
          </w:p>
        </w:tc>
      </w:tr>
      <w:tr w:rsidR="00B13FDF" w:rsidRPr="0077738C" w14:paraId="250EA3E0" w14:textId="77777777" w:rsidTr="00AD112A">
        <w:trPr>
          <w:trHeight w:val="552"/>
        </w:trPr>
        <w:tc>
          <w:tcPr>
            <w:tcW w:w="5288" w:type="dxa"/>
            <w:shd w:val="clear" w:color="auto" w:fill="F2F2F2" w:themeFill="background1" w:themeFillShade="F2"/>
            <w:vAlign w:val="center"/>
          </w:tcPr>
          <w:p w14:paraId="22BD645E" w14:textId="77777777" w:rsidR="00B13FDF"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Extension Approved?</w:t>
            </w:r>
          </w:p>
        </w:tc>
        <w:tc>
          <w:tcPr>
            <w:tcW w:w="3954" w:type="dxa"/>
            <w:shd w:val="clear" w:color="auto" w:fill="F2F2F2" w:themeFill="background1" w:themeFillShade="F2"/>
            <w:vAlign w:val="center"/>
          </w:tcPr>
          <w:p w14:paraId="56C029C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YES</w:t>
            </w:r>
            <w:sdt>
              <w:sdtPr>
                <w:rPr>
                  <w:rFonts w:ascii="Calibri" w:eastAsiaTheme="minorEastAsia" w:hAnsi="Calibri" w:cs="Calibri"/>
                  <w:szCs w:val="22"/>
                  <w:lang w:eastAsia="en-US"/>
                </w:rPr>
                <w:id w:val="-1659066117"/>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r w:rsidRPr="0077738C">
              <w:rPr>
                <w:rFonts w:ascii="Calibri" w:eastAsiaTheme="minorEastAsia" w:hAnsi="Calibri" w:cs="Calibri"/>
                <w:szCs w:val="22"/>
                <w:lang w:eastAsia="en-US"/>
              </w:rPr>
              <w:t xml:space="preserve">      NO</w:t>
            </w:r>
            <w:sdt>
              <w:sdtPr>
                <w:rPr>
                  <w:rFonts w:ascii="Calibri" w:eastAsiaTheme="minorEastAsia" w:hAnsi="Calibri" w:cs="Calibri"/>
                  <w:szCs w:val="22"/>
                  <w:lang w:eastAsia="en-US"/>
                </w:rPr>
                <w:id w:val="-80685896"/>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p>
        </w:tc>
      </w:tr>
      <w:tr w:rsidR="00B13FDF" w:rsidRPr="0077738C" w14:paraId="1B98CC27" w14:textId="77777777" w:rsidTr="00AD112A">
        <w:trPr>
          <w:trHeight w:val="552"/>
        </w:trPr>
        <w:tc>
          <w:tcPr>
            <w:tcW w:w="5288" w:type="dxa"/>
            <w:shd w:val="clear" w:color="auto" w:fill="F2F2F2" w:themeFill="background1" w:themeFillShade="F2"/>
            <w:vAlign w:val="center"/>
          </w:tcPr>
          <w:p w14:paraId="3DB18092"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 xml:space="preserve">Repayment term </w:t>
            </w:r>
            <w:r w:rsidRPr="0077738C">
              <w:rPr>
                <w:rFonts w:ascii="Calibri" w:eastAsiaTheme="minorEastAsia" w:hAnsi="Calibri" w:cs="Calibri"/>
                <w:b/>
                <w:szCs w:val="22"/>
                <w:lang w:eastAsia="en-US"/>
              </w:rPr>
              <w:t>offered:</w:t>
            </w:r>
          </w:p>
        </w:tc>
        <w:tc>
          <w:tcPr>
            <w:tcW w:w="3954" w:type="dxa"/>
            <w:shd w:val="clear" w:color="auto" w:fill="F2F2F2" w:themeFill="background1" w:themeFillShade="F2"/>
            <w:vAlign w:val="center"/>
          </w:tcPr>
          <w:p w14:paraId="5D9E43B8"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months</w:t>
            </w:r>
          </w:p>
        </w:tc>
      </w:tr>
      <w:tr w:rsidR="00B13FDF" w:rsidRPr="0077738C" w14:paraId="2AF62CEF" w14:textId="77777777" w:rsidTr="00AD112A">
        <w:trPr>
          <w:trHeight w:val="552"/>
        </w:trPr>
        <w:tc>
          <w:tcPr>
            <w:tcW w:w="5288" w:type="dxa"/>
            <w:shd w:val="clear" w:color="auto" w:fill="F2F2F2" w:themeFill="background1" w:themeFillShade="F2"/>
            <w:vAlign w:val="center"/>
          </w:tcPr>
          <w:p w14:paraId="4FDCB3A2" w14:textId="77777777" w:rsidR="00B13FDF"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Repayment term accepted by employee/former employee</w:t>
            </w:r>
          </w:p>
        </w:tc>
        <w:tc>
          <w:tcPr>
            <w:tcW w:w="3954" w:type="dxa"/>
            <w:shd w:val="clear" w:color="auto" w:fill="F2F2F2" w:themeFill="background1" w:themeFillShade="F2"/>
            <w:vAlign w:val="center"/>
          </w:tcPr>
          <w:p w14:paraId="60E421EB"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YES</w:t>
            </w:r>
            <w:sdt>
              <w:sdtPr>
                <w:rPr>
                  <w:rFonts w:ascii="Calibri" w:eastAsiaTheme="minorEastAsia" w:hAnsi="Calibri" w:cs="Calibri"/>
                  <w:szCs w:val="22"/>
                  <w:lang w:eastAsia="en-US"/>
                </w:rPr>
                <w:id w:val="-868298691"/>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r w:rsidRPr="0077738C">
              <w:rPr>
                <w:rFonts w:ascii="Calibri" w:eastAsiaTheme="minorEastAsia" w:hAnsi="Calibri" w:cs="Calibri"/>
                <w:szCs w:val="22"/>
                <w:lang w:eastAsia="en-US"/>
              </w:rPr>
              <w:t xml:space="preserve">      NO</w:t>
            </w:r>
            <w:sdt>
              <w:sdtPr>
                <w:rPr>
                  <w:rFonts w:ascii="Calibri" w:eastAsiaTheme="minorEastAsia" w:hAnsi="Calibri" w:cs="Calibri"/>
                  <w:szCs w:val="22"/>
                  <w:lang w:eastAsia="en-US"/>
                </w:rPr>
                <w:id w:val="669298064"/>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p>
        </w:tc>
      </w:tr>
      <w:tr w:rsidR="00B13FDF" w:rsidRPr="0077738C" w14:paraId="6ED025C9" w14:textId="77777777" w:rsidTr="00AD112A">
        <w:trPr>
          <w:trHeight w:val="377"/>
        </w:trPr>
        <w:tc>
          <w:tcPr>
            <w:tcW w:w="5288" w:type="dxa"/>
            <w:shd w:val="clear" w:color="auto" w:fill="F2F2F2" w:themeFill="background1" w:themeFillShade="F2"/>
            <w:vAlign w:val="center"/>
          </w:tcPr>
          <w:p w14:paraId="41268A44"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Details provided to SBS</w:t>
            </w:r>
          </w:p>
        </w:tc>
        <w:tc>
          <w:tcPr>
            <w:tcW w:w="3954" w:type="dxa"/>
            <w:shd w:val="clear" w:color="auto" w:fill="F2F2F2" w:themeFill="background1" w:themeFillShade="F2"/>
            <w:vAlign w:val="center"/>
          </w:tcPr>
          <w:p w14:paraId="7E932A7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       / 20</w:t>
            </w:r>
          </w:p>
        </w:tc>
      </w:tr>
    </w:tbl>
    <w:p w14:paraId="42469039" w14:textId="77777777" w:rsidR="00B13FDF" w:rsidRPr="0077738C" w:rsidRDefault="00B13FDF" w:rsidP="00B13FDF">
      <w:pPr>
        <w:spacing w:before="0" w:after="0"/>
        <w:jc w:val="left"/>
        <w:rPr>
          <w:rFonts w:eastAsiaTheme="minorEastAsia" w:cs="Arial"/>
          <w:sz w:val="24"/>
          <w:lang w:eastAsia="en-US"/>
        </w:rPr>
      </w:pPr>
    </w:p>
    <w:p w14:paraId="2817AC75" w14:textId="77777777" w:rsidR="00B13FDF" w:rsidRPr="00A432BB" w:rsidRDefault="00B13FDF" w:rsidP="00B13FDF">
      <w:pPr>
        <w:spacing w:before="0" w:after="0"/>
        <w:jc w:val="left"/>
        <w:rPr>
          <w:rFonts w:cs="Arial"/>
          <w:szCs w:val="22"/>
        </w:rPr>
      </w:pPr>
      <w:r w:rsidRPr="00A432BB">
        <w:rPr>
          <w:rFonts w:eastAsiaTheme="minorEastAsia" w:cs="Arial"/>
          <w:szCs w:val="22"/>
          <w:lang w:eastAsia="en-US"/>
        </w:rPr>
        <w:t>Once a decision is made on whether the request has been approved, this form will be emailed to the employee/former employee</w:t>
      </w:r>
    </w:p>
    <w:p w14:paraId="7EEC006B" w14:textId="77777777" w:rsidR="002C092E" w:rsidRDefault="002C092E"/>
    <w:sectPr w:rsidR="002C092E" w:rsidSect="0077738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7988D" w14:textId="77777777" w:rsidR="00182B6E" w:rsidRDefault="0089131B">
      <w:pPr>
        <w:spacing w:before="0" w:after="0"/>
      </w:pPr>
      <w:r>
        <w:separator/>
      </w:r>
    </w:p>
  </w:endnote>
  <w:endnote w:type="continuationSeparator" w:id="0">
    <w:p w14:paraId="3798EC21" w14:textId="77777777" w:rsidR="00182B6E" w:rsidRDefault="008913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B0B9" w14:textId="77777777" w:rsidR="00157A42" w:rsidRDefault="00B13FDF"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0593C" w14:textId="77777777" w:rsidR="00157A42" w:rsidRDefault="00ED4162"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7E4F" w14:textId="77777777" w:rsidR="00157A42" w:rsidRDefault="00B13FDF"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2E59C5" w14:textId="77777777" w:rsidR="00157A42" w:rsidRDefault="00ED4162"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8DAC" w14:textId="72E1B28D" w:rsidR="00157A42" w:rsidRDefault="00B13FDF"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162">
      <w:rPr>
        <w:rStyle w:val="PageNumber"/>
        <w:noProof/>
      </w:rPr>
      <w:t>1</w:t>
    </w:r>
    <w:r>
      <w:rPr>
        <w:rStyle w:val="PageNumber"/>
      </w:rPr>
      <w:fldChar w:fldCharType="end"/>
    </w:r>
  </w:p>
  <w:p w14:paraId="58D4AEB0" w14:textId="77777777" w:rsidR="00157A42" w:rsidRDefault="00ED4162"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1A41" w14:textId="77777777" w:rsidR="003F0353" w:rsidRDefault="00B13FDF" w:rsidP="00AA0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90EDA" w14:textId="77777777" w:rsidR="003F0353" w:rsidRDefault="00ED4162" w:rsidP="00AA06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6514" w14:textId="6563802A" w:rsidR="003F0353" w:rsidRDefault="00B13FDF" w:rsidP="00AA0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162">
      <w:rPr>
        <w:rStyle w:val="PageNumber"/>
        <w:noProof/>
      </w:rPr>
      <w:t>19</w:t>
    </w:r>
    <w:r>
      <w:rPr>
        <w:rStyle w:val="PageNumber"/>
      </w:rPr>
      <w:fldChar w:fldCharType="end"/>
    </w:r>
  </w:p>
  <w:p w14:paraId="442F9977" w14:textId="77777777" w:rsidR="003F0353" w:rsidRDefault="00ED4162" w:rsidP="00AA06D3">
    <w:pPr>
      <w:pStyle w:val="Footer"/>
      <w:tabs>
        <w:tab w:val="clear" w:pos="4153"/>
        <w:tab w:val="clear" w:pos="8306"/>
      </w:tabs>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2221" w14:textId="6945513B" w:rsidR="003F0353" w:rsidRDefault="00B13FDF" w:rsidP="00AA0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162">
      <w:rPr>
        <w:rStyle w:val="PageNumber"/>
        <w:noProof/>
      </w:rPr>
      <w:t>2</w:t>
    </w:r>
    <w:r>
      <w:rPr>
        <w:rStyle w:val="PageNumber"/>
      </w:rPr>
      <w:fldChar w:fldCharType="end"/>
    </w:r>
  </w:p>
  <w:p w14:paraId="76950B99" w14:textId="77777777" w:rsidR="003F0353" w:rsidRDefault="00ED4162" w:rsidP="00AA06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B6687" w14:textId="77777777" w:rsidR="00182B6E" w:rsidRDefault="0089131B">
      <w:pPr>
        <w:spacing w:before="0" w:after="0"/>
      </w:pPr>
      <w:r>
        <w:separator/>
      </w:r>
    </w:p>
  </w:footnote>
  <w:footnote w:type="continuationSeparator" w:id="0">
    <w:p w14:paraId="4AE66441" w14:textId="77777777" w:rsidR="00182B6E" w:rsidRDefault="008913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AB36" w14:textId="77777777" w:rsidR="00157A42" w:rsidRDefault="00B13FDF" w:rsidP="00742373">
    <w:pPr>
      <w:pStyle w:val="Header"/>
      <w:tabs>
        <w:tab w:val="clear" w:pos="4513"/>
        <w:tab w:val="clear" w:pos="9026"/>
        <w:tab w:val="left" w:pos="6420"/>
      </w:tabs>
    </w:pPr>
    <w:r>
      <w:tab/>
    </w:r>
    <w:r>
      <w:rPr>
        <w:noProof/>
      </w:rPr>
      <w:drawing>
        <wp:inline distT="0" distB="0" distL="0" distR="0" wp14:anchorId="26C3FE99" wp14:editId="480AF1C6">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B6A8" w14:textId="77777777" w:rsidR="003F0353" w:rsidRDefault="00B13FDF" w:rsidP="00076258">
    <w:pPr>
      <w:pStyle w:val="Header"/>
      <w:jc w:val="right"/>
    </w:pPr>
    <w:r>
      <w:rPr>
        <w:noProof/>
      </w:rPr>
      <w:drawing>
        <wp:inline distT="0" distB="0" distL="0" distR="0" wp14:anchorId="66EA09A0" wp14:editId="6A46487C">
          <wp:extent cx="1155461" cy="643135"/>
          <wp:effectExtent l="0" t="0" r="6985" b="5080"/>
          <wp:docPr id="8" name="Picture 8" descr="C:\Users\butlerz\AppData\Local\Microsoft\Windows\Temporary Internet Files\Content.Outlook\L1W08086\East London NHS Foundation Trust RGB BLUE.jpg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tlerz\AppData\Local\Microsoft\Windows\Temporary Internet Files\Content.Outlook\L1W08086\East London NHS Foundation Trust RGB BLUE.jpg v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522" cy="653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58C"/>
    <w:multiLevelType w:val="hybridMultilevel"/>
    <w:tmpl w:val="8C504F72"/>
    <w:lvl w:ilvl="0" w:tplc="301C16F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4A1B"/>
    <w:multiLevelType w:val="multilevel"/>
    <w:tmpl w:val="6EF076C6"/>
    <w:lvl w:ilvl="0">
      <w:start w:val="3"/>
      <w:numFmt w:val="decimal"/>
      <w:lvlText w:val="%1"/>
      <w:lvlJc w:val="left"/>
      <w:pPr>
        <w:ind w:left="360" w:hanging="360"/>
      </w:pPr>
      <w:rPr>
        <w:rFonts w:ascii="Calibri" w:eastAsia="+mn-ea" w:hAnsi="Calibri" w:cs="+mn-cs" w:hint="default"/>
        <w:color w:val="000000"/>
      </w:rPr>
    </w:lvl>
    <w:lvl w:ilvl="1">
      <w:start w:val="3"/>
      <w:numFmt w:val="decimal"/>
      <w:lvlText w:val="%1.%2"/>
      <w:lvlJc w:val="left"/>
      <w:pPr>
        <w:ind w:left="360" w:hanging="360"/>
      </w:pPr>
      <w:rPr>
        <w:rFonts w:ascii="Arial" w:eastAsia="+mn-ea" w:hAnsi="Arial" w:cs="Arial" w:hint="default"/>
        <w:color w:val="000000"/>
      </w:rPr>
    </w:lvl>
    <w:lvl w:ilvl="2">
      <w:start w:val="1"/>
      <w:numFmt w:val="decimal"/>
      <w:lvlText w:val="%1.%2.%3"/>
      <w:lvlJc w:val="left"/>
      <w:pPr>
        <w:ind w:left="720" w:hanging="720"/>
      </w:pPr>
      <w:rPr>
        <w:rFonts w:ascii="Calibri" w:eastAsia="+mn-ea" w:hAnsi="Calibri" w:cs="+mn-cs" w:hint="default"/>
        <w:color w:val="000000"/>
      </w:rPr>
    </w:lvl>
    <w:lvl w:ilvl="3">
      <w:start w:val="1"/>
      <w:numFmt w:val="decimal"/>
      <w:lvlText w:val="%1.%2.%3.%4"/>
      <w:lvlJc w:val="left"/>
      <w:pPr>
        <w:ind w:left="720" w:hanging="720"/>
      </w:pPr>
      <w:rPr>
        <w:rFonts w:ascii="Calibri" w:eastAsia="+mn-ea" w:hAnsi="Calibri" w:cs="+mn-cs" w:hint="default"/>
        <w:color w:val="000000"/>
      </w:rPr>
    </w:lvl>
    <w:lvl w:ilvl="4">
      <w:start w:val="1"/>
      <w:numFmt w:val="decimal"/>
      <w:lvlText w:val="%1.%2.%3.%4.%5"/>
      <w:lvlJc w:val="left"/>
      <w:pPr>
        <w:ind w:left="1080" w:hanging="1080"/>
      </w:pPr>
      <w:rPr>
        <w:rFonts w:ascii="Calibri" w:eastAsia="+mn-ea" w:hAnsi="Calibri" w:cs="+mn-cs" w:hint="default"/>
        <w:color w:val="000000"/>
      </w:rPr>
    </w:lvl>
    <w:lvl w:ilvl="5">
      <w:start w:val="1"/>
      <w:numFmt w:val="decimal"/>
      <w:lvlText w:val="%1.%2.%3.%4.%5.%6"/>
      <w:lvlJc w:val="left"/>
      <w:pPr>
        <w:ind w:left="1080" w:hanging="1080"/>
      </w:pPr>
      <w:rPr>
        <w:rFonts w:ascii="Calibri" w:eastAsia="+mn-ea" w:hAnsi="Calibri" w:cs="+mn-cs" w:hint="default"/>
        <w:color w:val="000000"/>
      </w:rPr>
    </w:lvl>
    <w:lvl w:ilvl="6">
      <w:start w:val="1"/>
      <w:numFmt w:val="decimal"/>
      <w:lvlText w:val="%1.%2.%3.%4.%5.%6.%7"/>
      <w:lvlJc w:val="left"/>
      <w:pPr>
        <w:ind w:left="1440" w:hanging="1440"/>
      </w:pPr>
      <w:rPr>
        <w:rFonts w:ascii="Calibri" w:eastAsia="+mn-ea" w:hAnsi="Calibri" w:cs="+mn-cs" w:hint="default"/>
        <w:color w:val="000000"/>
      </w:rPr>
    </w:lvl>
    <w:lvl w:ilvl="7">
      <w:start w:val="1"/>
      <w:numFmt w:val="decimal"/>
      <w:lvlText w:val="%1.%2.%3.%4.%5.%6.%7.%8"/>
      <w:lvlJc w:val="left"/>
      <w:pPr>
        <w:ind w:left="1440" w:hanging="1440"/>
      </w:pPr>
      <w:rPr>
        <w:rFonts w:ascii="Calibri" w:eastAsia="+mn-ea" w:hAnsi="Calibri" w:cs="+mn-cs" w:hint="default"/>
        <w:color w:val="000000"/>
      </w:rPr>
    </w:lvl>
    <w:lvl w:ilvl="8">
      <w:start w:val="1"/>
      <w:numFmt w:val="decimal"/>
      <w:lvlText w:val="%1.%2.%3.%4.%5.%6.%7.%8.%9"/>
      <w:lvlJc w:val="left"/>
      <w:pPr>
        <w:ind w:left="1800" w:hanging="1800"/>
      </w:pPr>
      <w:rPr>
        <w:rFonts w:ascii="Calibri" w:eastAsia="+mn-ea" w:hAnsi="Calibri" w:cs="+mn-cs" w:hint="default"/>
        <w:color w:val="000000"/>
      </w:rPr>
    </w:lvl>
  </w:abstractNum>
  <w:abstractNum w:abstractNumId="2" w15:restartNumberingAfterBreak="0">
    <w:nsid w:val="1DC95E1A"/>
    <w:multiLevelType w:val="hybridMultilevel"/>
    <w:tmpl w:val="FC46D4E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5C22D9"/>
    <w:multiLevelType w:val="hybridMultilevel"/>
    <w:tmpl w:val="C1C65C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5FA22AA"/>
    <w:multiLevelType w:val="hybridMultilevel"/>
    <w:tmpl w:val="98C66E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531105"/>
    <w:multiLevelType w:val="multilevel"/>
    <w:tmpl w:val="52BA421C"/>
    <w:lvl w:ilvl="0">
      <w:start w:val="1"/>
      <w:numFmt w:val="decimal"/>
      <w:lvlText w:val="%1"/>
      <w:lvlJc w:val="left"/>
      <w:pPr>
        <w:ind w:left="1080" w:hanging="720"/>
      </w:pPr>
      <w:rPr>
        <w:rFonts w:ascii="Arial" w:eastAsia="Times New Roman" w:hAnsi="Arial"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8D2C8C"/>
    <w:multiLevelType w:val="hybridMultilevel"/>
    <w:tmpl w:val="4F8C1F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AF33A2"/>
    <w:multiLevelType w:val="hybridMultilevel"/>
    <w:tmpl w:val="4FAC0DA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4063C6"/>
    <w:multiLevelType w:val="hybridMultilevel"/>
    <w:tmpl w:val="8738E5C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3F5424"/>
    <w:multiLevelType w:val="hybridMultilevel"/>
    <w:tmpl w:val="50BA5C3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8F5718"/>
    <w:multiLevelType w:val="multilevel"/>
    <w:tmpl w:val="09A45D4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A44827"/>
    <w:multiLevelType w:val="hybridMultilevel"/>
    <w:tmpl w:val="D84086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714DB9"/>
    <w:multiLevelType w:val="hybridMultilevel"/>
    <w:tmpl w:val="0E04F25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8AD4C5C"/>
    <w:multiLevelType w:val="hybridMultilevel"/>
    <w:tmpl w:val="7062CB9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B595A14"/>
    <w:multiLevelType w:val="hybridMultilevel"/>
    <w:tmpl w:val="5C06EF7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EB67327"/>
    <w:multiLevelType w:val="hybridMultilevel"/>
    <w:tmpl w:val="FB20BE8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5"/>
  </w:num>
  <w:num w:numId="3">
    <w:abstractNumId w:val="3"/>
  </w:num>
  <w:num w:numId="4">
    <w:abstractNumId w:val="9"/>
  </w:num>
  <w:num w:numId="5">
    <w:abstractNumId w:val="8"/>
  </w:num>
  <w:num w:numId="6">
    <w:abstractNumId w:val="7"/>
  </w:num>
  <w:num w:numId="7">
    <w:abstractNumId w:val="14"/>
  </w:num>
  <w:num w:numId="8">
    <w:abstractNumId w:val="6"/>
  </w:num>
  <w:num w:numId="9">
    <w:abstractNumId w:val="2"/>
  </w:num>
  <w:num w:numId="10">
    <w:abstractNumId w:val="4"/>
  </w:num>
  <w:num w:numId="11">
    <w:abstractNumId w:val="12"/>
  </w:num>
  <w:num w:numId="12">
    <w:abstractNumId w:val="13"/>
  </w:num>
  <w:num w:numId="13">
    <w:abstractNumId w:val="11"/>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DF"/>
    <w:rsid w:val="00182B6E"/>
    <w:rsid w:val="002C092E"/>
    <w:rsid w:val="007457A9"/>
    <w:rsid w:val="0089131B"/>
    <w:rsid w:val="00B13FDF"/>
    <w:rsid w:val="00D7314B"/>
    <w:rsid w:val="00ED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AB46"/>
  <w15:chartTrackingRefBased/>
  <w15:docId w15:val="{C9D86DFB-4BB7-4C84-886C-D96452DC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DF"/>
    <w:pPr>
      <w:spacing w:before="200" w:after="200" w:line="240" w:lineRule="auto"/>
      <w:jc w:val="both"/>
    </w:pPr>
    <w:rPr>
      <w:rFonts w:ascii="Arial" w:eastAsia="Times New Roman" w:hAnsi="Arial" w:cs="Times New Roman"/>
      <w:szCs w:val="24"/>
      <w:lang w:eastAsia="en-GB"/>
    </w:rPr>
  </w:style>
  <w:style w:type="paragraph" w:styleId="Heading2">
    <w:name w:val="heading 2"/>
    <w:basedOn w:val="Normal"/>
    <w:next w:val="Normal"/>
    <w:link w:val="Heading2Char"/>
    <w:qFormat/>
    <w:rsid w:val="00B13FDF"/>
    <w:pPr>
      <w:keepNext/>
      <w:spacing w:before="0" w:after="0"/>
      <w:jc w:val="left"/>
      <w:outlineLvl w:val="1"/>
    </w:pPr>
    <w:rPr>
      <w:rFonts w:ascii="Times New Roman" w:hAnsi="Times New Roman"/>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3FDF"/>
    <w:rPr>
      <w:rFonts w:ascii="Times New Roman" w:eastAsia="Times New Roman" w:hAnsi="Times New Roman" w:cs="Times New Roman"/>
      <w:b/>
      <w:noProof/>
      <w:sz w:val="20"/>
      <w:szCs w:val="20"/>
      <w:lang w:eastAsia="en-GB"/>
    </w:rPr>
  </w:style>
  <w:style w:type="paragraph" w:styleId="Footer">
    <w:name w:val="footer"/>
    <w:basedOn w:val="Normal"/>
    <w:link w:val="FooterChar"/>
    <w:rsid w:val="00B13FDF"/>
    <w:pPr>
      <w:tabs>
        <w:tab w:val="center" w:pos="4153"/>
        <w:tab w:val="right" w:pos="8306"/>
      </w:tabs>
    </w:pPr>
  </w:style>
  <w:style w:type="character" w:customStyle="1" w:styleId="FooterChar">
    <w:name w:val="Footer Char"/>
    <w:basedOn w:val="DefaultParagraphFont"/>
    <w:link w:val="Footer"/>
    <w:rsid w:val="00B13FDF"/>
    <w:rPr>
      <w:rFonts w:ascii="Arial" w:eastAsia="Times New Roman" w:hAnsi="Arial" w:cs="Times New Roman"/>
      <w:szCs w:val="24"/>
      <w:lang w:eastAsia="en-GB"/>
    </w:rPr>
  </w:style>
  <w:style w:type="character" w:styleId="PageNumber">
    <w:name w:val="page number"/>
    <w:basedOn w:val="DefaultParagraphFont"/>
    <w:rsid w:val="00B13FDF"/>
    <w:rPr>
      <w:rFonts w:ascii="Arial" w:hAnsi="Arial"/>
      <w:sz w:val="18"/>
    </w:rPr>
  </w:style>
  <w:style w:type="paragraph" w:styleId="Header">
    <w:name w:val="header"/>
    <w:basedOn w:val="Normal"/>
    <w:link w:val="HeaderChar"/>
    <w:uiPriority w:val="99"/>
    <w:unhideWhenUsed/>
    <w:rsid w:val="00B13FDF"/>
    <w:pPr>
      <w:tabs>
        <w:tab w:val="center" w:pos="4513"/>
        <w:tab w:val="right" w:pos="9026"/>
      </w:tabs>
      <w:spacing w:before="0" w:after="0"/>
    </w:pPr>
  </w:style>
  <w:style w:type="character" w:customStyle="1" w:styleId="HeaderChar">
    <w:name w:val="Header Char"/>
    <w:basedOn w:val="DefaultParagraphFont"/>
    <w:link w:val="Header"/>
    <w:uiPriority w:val="99"/>
    <w:rsid w:val="00B13FDF"/>
    <w:rPr>
      <w:rFonts w:ascii="Arial" w:eastAsia="Times New Roman" w:hAnsi="Arial" w:cs="Times New Roman"/>
      <w:szCs w:val="24"/>
      <w:lang w:eastAsia="en-GB"/>
    </w:rPr>
  </w:style>
  <w:style w:type="paragraph" w:styleId="ListParagraph">
    <w:name w:val="List Paragraph"/>
    <w:basedOn w:val="Normal"/>
    <w:uiPriority w:val="34"/>
    <w:qFormat/>
    <w:rsid w:val="00B13FDF"/>
    <w:pPr>
      <w:ind w:left="720"/>
      <w:contextualSpacing/>
    </w:pPr>
  </w:style>
  <w:style w:type="paragraph" w:styleId="BodyText">
    <w:name w:val="Body Text"/>
    <w:basedOn w:val="Normal"/>
    <w:link w:val="BodyTextChar"/>
    <w:rsid w:val="00B13FDF"/>
    <w:pPr>
      <w:spacing w:before="0" w:after="0"/>
      <w:jc w:val="left"/>
    </w:pPr>
    <w:rPr>
      <w:rFonts w:ascii="Times New Roman" w:hAnsi="Times New Roman"/>
      <w:b/>
      <w:sz w:val="20"/>
      <w:szCs w:val="20"/>
    </w:rPr>
  </w:style>
  <w:style w:type="character" w:customStyle="1" w:styleId="BodyTextChar">
    <w:name w:val="Body Text Char"/>
    <w:basedOn w:val="DefaultParagraphFont"/>
    <w:link w:val="BodyText"/>
    <w:rsid w:val="00B13FDF"/>
    <w:rPr>
      <w:rFonts w:ascii="Times New Roman" w:eastAsia="Times New Roman" w:hAnsi="Times New Roman" w:cs="Times New Roman"/>
      <w:b/>
      <w:sz w:val="20"/>
      <w:szCs w:val="20"/>
      <w:lang w:eastAsia="en-GB"/>
    </w:rPr>
  </w:style>
  <w:style w:type="paragraph" w:styleId="BodyTextIndent2">
    <w:name w:val="Body Text Indent 2"/>
    <w:basedOn w:val="Normal"/>
    <w:link w:val="BodyTextIndent2Char"/>
    <w:rsid w:val="00B13FDF"/>
    <w:pPr>
      <w:spacing w:before="0" w:after="120" w:line="480" w:lineRule="auto"/>
      <w:ind w:left="283"/>
      <w:jc w:val="left"/>
    </w:pPr>
    <w:rPr>
      <w:rFonts w:ascii="Times New Roman" w:hAnsi="Times New Roman"/>
      <w:sz w:val="20"/>
      <w:szCs w:val="20"/>
    </w:rPr>
  </w:style>
  <w:style w:type="character" w:customStyle="1" w:styleId="BodyTextIndent2Char">
    <w:name w:val="Body Text Indent 2 Char"/>
    <w:basedOn w:val="DefaultParagraphFont"/>
    <w:link w:val="BodyTextIndent2"/>
    <w:rsid w:val="00B13FDF"/>
    <w:rPr>
      <w:rFonts w:ascii="Times New Roman" w:eastAsia="Times New Roman" w:hAnsi="Times New Roman" w:cs="Times New Roman"/>
      <w:sz w:val="20"/>
      <w:szCs w:val="20"/>
      <w:lang w:eastAsia="en-GB"/>
    </w:rPr>
  </w:style>
  <w:style w:type="table" w:styleId="TableGrid">
    <w:name w:val="Table Grid"/>
    <w:basedOn w:val="TableNormal"/>
    <w:uiPriority w:val="59"/>
    <w:rsid w:val="00B13F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3FDF"/>
    <w:rPr>
      <w:color w:val="0000FF"/>
      <w:u w:val="single"/>
    </w:rPr>
  </w:style>
  <w:style w:type="table" w:customStyle="1" w:styleId="TableGrid1">
    <w:name w:val="Table Grid1"/>
    <w:basedOn w:val="TableNormal"/>
    <w:next w:val="TableGrid"/>
    <w:uiPriority w:val="59"/>
    <w:rsid w:val="00B1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3FDF"/>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diagramQuickStyle" Target="diagrams/quickStyle1.xml"/><Relationship Id="rId25" Type="http://schemas.openxmlformats.org/officeDocument/2006/relationships/hyperlink" Target="mailto:elft.accountsreceivable@nhs.net" TargetMode="Externa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footer" Target="footer3.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diagramQuickStyle" Target="diagrams/quickStyle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E98AA2-F3DB-47F0-BB5C-104BC27B14A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D33162C-C133-4135-986C-EB0BD9757322}">
      <dgm:prSet phldrT="[Text]"/>
      <dgm:spPr>
        <a:xfrm>
          <a:off x="915369" y="31888"/>
          <a:ext cx="1324530" cy="927128"/>
        </a:xfrm>
        <a:solidFill>
          <a:srgbClr val="00B050"/>
        </a:solidFill>
        <a:ln w="25400" cap="flat" cmpd="sng" algn="ctr">
          <a:solidFill>
            <a:srgbClr val="00B050"/>
          </a:solidFill>
          <a:prstDash val="solid"/>
        </a:ln>
        <a:effectLst/>
      </dgm:spPr>
      <dgm:t>
        <a:bodyPr/>
        <a:lstStyle/>
        <a:p>
          <a:r>
            <a:rPr lang="en-GB">
              <a:solidFill>
                <a:sysClr val="window" lastClr="FFFFFF"/>
              </a:solidFill>
              <a:latin typeface="Calibri"/>
              <a:ea typeface="+mn-ea"/>
              <a:cs typeface="+mn-cs"/>
            </a:rPr>
            <a:t>PAYROLL will write to the employee advising of overpayment value, and recovery plan</a:t>
          </a:r>
        </a:p>
      </dgm:t>
    </dgm:pt>
    <dgm:pt modelId="{2B4B9FC4-A6BE-46AC-A504-0643E36D9504}" type="parTrans" cxnId="{BE8971A0-9EDC-44DF-9308-2D73C2FE26D0}">
      <dgm:prSet/>
      <dgm:spPr/>
      <dgm:t>
        <a:bodyPr/>
        <a:lstStyle/>
        <a:p>
          <a:endParaRPr lang="en-GB"/>
        </a:p>
      </dgm:t>
    </dgm:pt>
    <dgm:pt modelId="{03F61B7A-CC96-43B8-BE14-5914A8EF25F9}" type="sibTrans" cxnId="{BE8971A0-9EDC-44DF-9308-2D73C2FE26D0}">
      <dgm:prSet/>
      <dgm:spPr/>
      <dgm:t>
        <a:bodyPr/>
        <a:lstStyle/>
        <a:p>
          <a:endParaRPr lang="en-GB"/>
        </a:p>
      </dgm:t>
    </dgm:pt>
    <dgm:pt modelId="{E71CE29A-835C-474A-94AD-56D37B86CCA3}">
      <dgm:prSet phldrT="[Text]"/>
      <dgm:spPr>
        <a:xfrm>
          <a:off x="2239899" y="120311"/>
          <a:ext cx="963337"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If the employee takes no action, deductions  will automatically be applied via payroll from the recovery start date </a:t>
          </a:r>
        </a:p>
      </dgm:t>
    </dgm:pt>
    <dgm:pt modelId="{49B99828-353E-4A87-90C4-B11C7E25085C}" type="parTrans" cxnId="{2D986E56-DBBF-4A72-ABAA-9D16E752674A}">
      <dgm:prSet/>
      <dgm:spPr/>
      <dgm:t>
        <a:bodyPr/>
        <a:lstStyle/>
        <a:p>
          <a:endParaRPr lang="en-GB"/>
        </a:p>
      </dgm:t>
    </dgm:pt>
    <dgm:pt modelId="{2AEB887D-6B4F-4928-9909-C5B36960BFB2}" type="sibTrans" cxnId="{2D986E56-DBBF-4A72-ABAA-9D16E752674A}">
      <dgm:prSet/>
      <dgm:spPr/>
      <dgm:t>
        <a:bodyPr/>
        <a:lstStyle/>
        <a:p>
          <a:endParaRPr lang="en-GB"/>
        </a:p>
      </dgm:t>
    </dgm:pt>
    <dgm:pt modelId="{C29C9B3D-A359-479F-88F1-D828BB927272}">
      <dgm:prSet phldrT="[Text]"/>
      <dgm:spPr>
        <a:xfrm>
          <a:off x="2013545" y="1073359"/>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Where the employee disputes the overpayment, PAYROLL refer case to HR Directorate</a:t>
          </a:r>
        </a:p>
      </dgm:t>
    </dgm:pt>
    <dgm:pt modelId="{4DD2E242-B622-48FE-9E24-464D5ABA0665}" type="parTrans" cxnId="{D3DBEED0-B0C4-421D-A7BE-1B9B5776D9D9}">
      <dgm:prSet/>
      <dgm:spPr/>
      <dgm:t>
        <a:bodyPr/>
        <a:lstStyle/>
        <a:p>
          <a:endParaRPr lang="en-GB"/>
        </a:p>
      </dgm:t>
    </dgm:pt>
    <dgm:pt modelId="{ADBA9FC0-7809-486E-A052-1FBA4DA42DAB}" type="sibTrans" cxnId="{D3DBEED0-B0C4-421D-A7BE-1B9B5776D9D9}">
      <dgm:prSet/>
      <dgm:spPr/>
      <dgm:t>
        <a:bodyPr/>
        <a:lstStyle/>
        <a:p>
          <a:endParaRPr lang="en-GB"/>
        </a:p>
      </dgm:t>
    </dgm:pt>
    <dgm:pt modelId="{95E9258B-6C9E-45BA-86A2-A353E7D62539}">
      <dgm:prSet phldrT="[Text]"/>
      <dgm:spPr>
        <a:xfrm>
          <a:off x="3311079" y="1140149"/>
          <a:ext cx="3345430"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PAYROLL will refer case to the relevant HR directorate within 7 days of receipt of dispute.</a:t>
          </a:r>
        </a:p>
      </dgm:t>
    </dgm:pt>
    <dgm:pt modelId="{0D78BE63-AA1B-4E53-B535-49F88CBE7250}" type="parTrans" cxnId="{9AC6D9DC-02B4-43D1-BD96-185EABC5482D}">
      <dgm:prSet/>
      <dgm:spPr/>
      <dgm:t>
        <a:bodyPr/>
        <a:lstStyle/>
        <a:p>
          <a:endParaRPr lang="en-GB"/>
        </a:p>
      </dgm:t>
    </dgm:pt>
    <dgm:pt modelId="{DFB09631-6934-4C29-B141-CD6CDB4EA399}" type="sibTrans" cxnId="{9AC6D9DC-02B4-43D1-BD96-185EABC5482D}">
      <dgm:prSet/>
      <dgm:spPr/>
      <dgm:t>
        <a:bodyPr/>
        <a:lstStyle/>
        <a:p>
          <a:endParaRPr lang="en-GB"/>
        </a:p>
      </dgm:t>
    </dgm:pt>
    <dgm:pt modelId="{651586C4-F6D9-44CA-8474-6DF706573A98}">
      <dgm:prSet phldrT="[Text]"/>
      <dgm:spPr>
        <a:xfrm>
          <a:off x="3274252" y="2114831"/>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Salary adjustment will be implemented from the next payrun</a:t>
          </a:r>
        </a:p>
      </dgm:t>
    </dgm:pt>
    <dgm:pt modelId="{FD0B63A6-1AEC-4E92-AB55-D800FD5D058E}" type="parTrans" cxnId="{D5054D94-15C4-4C74-9D80-D5C216E94BAF}">
      <dgm:prSet/>
      <dgm:spPr/>
      <dgm:t>
        <a:bodyPr/>
        <a:lstStyle/>
        <a:p>
          <a:endParaRPr lang="en-GB"/>
        </a:p>
      </dgm:t>
    </dgm:pt>
    <dgm:pt modelId="{B6FDF9A3-7E99-486A-B6BF-3CDD2B7D8269}" type="sibTrans" cxnId="{D5054D94-15C4-4C74-9D80-D5C216E94BAF}">
      <dgm:prSet/>
      <dgm:spPr/>
      <dgm:t>
        <a:bodyPr/>
        <a:lstStyle/>
        <a:p>
          <a:endParaRPr lang="en-GB"/>
        </a:p>
      </dgm:t>
    </dgm:pt>
    <dgm:pt modelId="{046E0376-F972-472F-B758-1FBD350DFCC0}">
      <dgm:prSet phldrT="[Text]"/>
      <dgm:spPr>
        <a:xfrm>
          <a:off x="5541428" y="3252188"/>
          <a:ext cx="1501583" cy="749346"/>
        </a:xfrm>
        <a:no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3B3EF539-1147-4181-8A66-AC6AD29D1EEF}" type="parTrans" cxnId="{0E16B4B0-D09C-4682-825D-26380E8A965D}">
      <dgm:prSet/>
      <dgm:spPr/>
      <dgm:t>
        <a:bodyPr/>
        <a:lstStyle/>
        <a:p>
          <a:endParaRPr lang="en-GB"/>
        </a:p>
      </dgm:t>
    </dgm:pt>
    <dgm:pt modelId="{A1334E1F-BA45-4370-AC9D-D890154DB112}" type="sibTrans" cxnId="{0E16B4B0-D09C-4682-825D-26380E8A965D}">
      <dgm:prSet/>
      <dgm:spPr/>
      <dgm:t>
        <a:bodyPr/>
        <a:lstStyle/>
        <a:p>
          <a:endParaRPr lang="en-GB"/>
        </a:p>
      </dgm:t>
    </dgm:pt>
    <dgm:pt modelId="{1E489800-6B35-46B2-8C90-72E1E9EB680B}">
      <dgm:prSet phldrT="[Text]"/>
      <dgm:spPr>
        <a:xfrm>
          <a:off x="4209899" y="3156302"/>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The employee can submit a written request  for an extension to the repayment period</a:t>
          </a:r>
        </a:p>
      </dgm:t>
    </dgm:pt>
    <dgm:pt modelId="{38C3632B-6262-4C65-B9F2-66A2E2FC9E85}" type="parTrans" cxnId="{B6F18DFF-FE72-4440-89AD-63454A77E25A}">
      <dgm:prSet/>
      <dgm:spPr/>
      <dgm:t>
        <a:bodyPr/>
        <a:lstStyle/>
        <a:p>
          <a:endParaRPr lang="en-GB"/>
        </a:p>
      </dgm:t>
    </dgm:pt>
    <dgm:pt modelId="{A4B22FD4-EF40-4B5C-922F-4C06E43E99EE}" type="sibTrans" cxnId="{B6F18DFF-FE72-4440-89AD-63454A77E25A}">
      <dgm:prSet/>
      <dgm:spPr/>
      <dgm:t>
        <a:bodyPr/>
        <a:lstStyle/>
        <a:p>
          <a:endParaRPr lang="en-GB"/>
        </a:p>
      </dgm:t>
    </dgm:pt>
    <dgm:pt modelId="{8E718F37-6502-4549-AF65-B0EFF13DE456}">
      <dgm:prSet phldrT="[Text]"/>
      <dgm:spPr>
        <a:xfrm>
          <a:off x="5308076" y="4197773"/>
          <a:ext cx="1324530" cy="927128"/>
        </a:xfrm>
        <a:solidFill>
          <a:srgbClr val="00B050"/>
        </a:solidFill>
        <a:ln w="25400" cap="flat" cmpd="sng" algn="ctr">
          <a:noFill/>
          <a:prstDash val="solid"/>
        </a:ln>
        <a:effectLst/>
      </dgm:spPr>
      <dgm:t>
        <a:bodyPr/>
        <a:lstStyle/>
        <a:p>
          <a:r>
            <a:rPr lang="en-GB">
              <a:solidFill>
                <a:sysClr val="window" lastClr="FFFFFF"/>
              </a:solidFill>
              <a:latin typeface="Calibri"/>
              <a:ea typeface="+mn-ea"/>
              <a:cs typeface="+mn-cs"/>
            </a:rPr>
            <a:t>Review of Repayment plans  </a:t>
          </a:r>
        </a:p>
      </dgm:t>
    </dgm:pt>
    <dgm:pt modelId="{E29FE753-5ACD-4C2A-85C2-345D290EDEC5}" type="parTrans" cxnId="{8D9C262C-0931-44C4-BF7D-E93A96139AC3}">
      <dgm:prSet/>
      <dgm:spPr/>
      <dgm:t>
        <a:bodyPr/>
        <a:lstStyle/>
        <a:p>
          <a:endParaRPr lang="en-GB"/>
        </a:p>
      </dgm:t>
    </dgm:pt>
    <dgm:pt modelId="{AB3C8864-A874-470C-BEA7-BF3D29096F69}" type="sibTrans" cxnId="{8D9C262C-0931-44C4-BF7D-E93A96139AC3}">
      <dgm:prSet/>
      <dgm:spPr/>
      <dgm:t>
        <a:bodyPr/>
        <a:lstStyle/>
        <a:p>
          <a:endParaRPr lang="en-GB"/>
        </a:p>
      </dgm:t>
    </dgm:pt>
    <dgm:pt modelId="{5C54CBD1-1268-4CA1-9E73-B969B2F154EB}">
      <dgm:prSet phldrT="[Text]"/>
      <dgm:spPr>
        <a:xfrm>
          <a:off x="4611889" y="2197716"/>
          <a:ext cx="3937458"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The request has to include the justification for an extension request and must be supported by evidence of both income and expenditure.</a:t>
          </a:r>
        </a:p>
      </dgm:t>
    </dgm:pt>
    <dgm:pt modelId="{E781623C-71F6-4CA0-847F-DA158ED36FD9}" type="parTrans" cxnId="{03A0BA6B-4F55-4A97-9545-51A02ECDC185}">
      <dgm:prSet/>
      <dgm:spPr/>
      <dgm:t>
        <a:bodyPr/>
        <a:lstStyle/>
        <a:p>
          <a:endParaRPr lang="en-GB"/>
        </a:p>
      </dgm:t>
    </dgm:pt>
    <dgm:pt modelId="{8F81E61E-B18F-4FD8-AE68-6860FA376172}" type="sibTrans" cxnId="{03A0BA6B-4F55-4A97-9545-51A02ECDC185}">
      <dgm:prSet/>
      <dgm:spPr/>
      <dgm:t>
        <a:bodyPr/>
        <a:lstStyle/>
        <a:p>
          <a:endParaRPr lang="en-GB"/>
        </a:p>
      </dgm:t>
    </dgm:pt>
    <dgm:pt modelId="{A74245F6-7F84-40E4-AEF2-7CC77735C8D8}">
      <dgm:prSet phldrT="[Text]"/>
      <dgm:spPr>
        <a:xfrm>
          <a:off x="6620984" y="4251816"/>
          <a:ext cx="1697082"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An employee is required to declare changes  in circumstances  which may allow  for early repayment.  This includes  where an employee is due to retire.  Where accounts receivable are notified  of a change in the employee's circumstances, they will liaise with the employee to review the repayment plan.</a:t>
          </a:r>
        </a:p>
      </dgm:t>
    </dgm:pt>
    <dgm:pt modelId="{64DC96A1-2945-402A-865B-623DCF3BA73F}" type="parTrans" cxnId="{9EDECDBA-33F4-4D4B-8EDF-67C1233BFDDA}">
      <dgm:prSet/>
      <dgm:spPr/>
      <dgm:t>
        <a:bodyPr/>
        <a:lstStyle/>
        <a:p>
          <a:endParaRPr lang="en-GB"/>
        </a:p>
      </dgm:t>
    </dgm:pt>
    <dgm:pt modelId="{65E1D973-F238-4BDC-AE0B-51A440745E4E}" type="sibTrans" cxnId="{9EDECDBA-33F4-4D4B-8EDF-67C1233BFDDA}">
      <dgm:prSet/>
      <dgm:spPr/>
      <dgm:t>
        <a:bodyPr/>
        <a:lstStyle/>
        <a:p>
          <a:endParaRPr lang="en-GB"/>
        </a:p>
      </dgm:t>
    </dgm:pt>
    <dgm:pt modelId="{5BAE95EA-A3D0-4FAF-AB81-A56D8B5E736B}">
      <dgm:prSet phldrT="[Text]"/>
      <dgm:spPr>
        <a:xfrm>
          <a:off x="4611889" y="2197716"/>
          <a:ext cx="3937458"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No more than 18 months will be given for any repayment plan</a:t>
          </a:r>
        </a:p>
      </dgm:t>
    </dgm:pt>
    <dgm:pt modelId="{0C4C936D-0105-41FF-A952-85397AF3047F}" type="parTrans" cxnId="{1ABF5C76-22D9-45D2-AEAA-40872AB1AB5B}">
      <dgm:prSet/>
      <dgm:spPr/>
      <dgm:t>
        <a:bodyPr/>
        <a:lstStyle/>
        <a:p>
          <a:endParaRPr lang="en-GB"/>
        </a:p>
      </dgm:t>
    </dgm:pt>
    <dgm:pt modelId="{2DBE5AA0-55FF-42CB-B62E-E48E09C5AA66}" type="sibTrans" cxnId="{1ABF5C76-22D9-45D2-AEAA-40872AB1AB5B}">
      <dgm:prSet/>
      <dgm:spPr/>
      <dgm:t>
        <a:bodyPr/>
        <a:lstStyle/>
        <a:p>
          <a:endParaRPr lang="en-GB"/>
        </a:p>
      </dgm:t>
    </dgm:pt>
    <dgm:pt modelId="{F334F805-CBBF-4332-9FD7-9E4F962F683E}">
      <dgm:prSet phldrT="[Text]"/>
      <dgm:spPr>
        <a:xfrm>
          <a:off x="3311079" y="1140149"/>
          <a:ext cx="3345430"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Within 14 days the HR Directorate will return the case to PAYROLL with instructions for payroll action.</a:t>
          </a:r>
        </a:p>
      </dgm:t>
    </dgm:pt>
    <dgm:pt modelId="{039932F5-10AE-4F3B-A19F-D98C4025586B}" type="parTrans" cxnId="{D4545DA2-A8F6-4EFE-847F-E78056A45CBD}">
      <dgm:prSet/>
      <dgm:spPr/>
      <dgm:t>
        <a:bodyPr/>
        <a:lstStyle/>
        <a:p>
          <a:endParaRPr lang="en-GB"/>
        </a:p>
      </dgm:t>
    </dgm:pt>
    <dgm:pt modelId="{056FCC8C-DD50-414D-B803-5507D6800A56}" type="sibTrans" cxnId="{D4545DA2-A8F6-4EFE-847F-E78056A45CBD}">
      <dgm:prSet/>
      <dgm:spPr/>
      <dgm:t>
        <a:bodyPr/>
        <a:lstStyle/>
        <a:p>
          <a:endParaRPr lang="en-GB"/>
        </a:p>
      </dgm:t>
    </dgm:pt>
    <dgm:pt modelId="{8B9EBD61-9EBC-4C76-8822-A9B5DD2B6DCC}" type="pres">
      <dgm:prSet presAssocID="{16E98AA2-F3DB-47F0-BB5C-104BC27B14AB}" presName="rootnode" presStyleCnt="0">
        <dgm:presLayoutVars>
          <dgm:chMax/>
          <dgm:chPref/>
          <dgm:dir/>
          <dgm:animLvl val="lvl"/>
        </dgm:presLayoutVars>
      </dgm:prSet>
      <dgm:spPr/>
      <dgm:t>
        <a:bodyPr/>
        <a:lstStyle/>
        <a:p>
          <a:endParaRPr lang="en-US"/>
        </a:p>
      </dgm:t>
    </dgm:pt>
    <dgm:pt modelId="{3AAB4AC0-C956-4BBD-B104-44F8CC39C0CE}" type="pres">
      <dgm:prSet presAssocID="{9D33162C-C133-4135-986C-EB0BD9757322}" presName="composite" presStyleCnt="0"/>
      <dgm:spPr/>
    </dgm:pt>
    <dgm:pt modelId="{DBA5D506-8A15-4BCB-B7E0-5545DBCC0392}" type="pres">
      <dgm:prSet presAssocID="{9D33162C-C133-4135-986C-EB0BD9757322}" presName="bentUpArrow1" presStyleLbl="alignImgPlace1" presStyleIdx="0" presStyleCnt="4"/>
      <dgm:spPr>
        <a:xfrm rot="5400000">
          <a:off x="1123826" y="904087"/>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D8CAB-A0AD-4447-9D79-17C65677B54D}" type="pres">
      <dgm:prSet presAssocID="{9D33162C-C133-4135-986C-EB0BD9757322}" presName="ParentText" presStyleLbl="node1" presStyleIdx="0" presStyleCnt="5">
        <dgm:presLayoutVars>
          <dgm:chMax val="1"/>
          <dgm:chPref val="1"/>
          <dgm:bulletEnabled val="1"/>
        </dgm:presLayoutVars>
      </dgm:prSet>
      <dgm:spPr>
        <a:prstGeom prst="roundRect">
          <a:avLst>
            <a:gd name="adj" fmla="val 16670"/>
          </a:avLst>
        </a:prstGeom>
      </dgm:spPr>
      <dgm:t>
        <a:bodyPr/>
        <a:lstStyle/>
        <a:p>
          <a:endParaRPr lang="en-US"/>
        </a:p>
      </dgm:t>
    </dgm:pt>
    <dgm:pt modelId="{4EC36A25-EDDC-4CCF-8BB2-E25E0C054D8B}" type="pres">
      <dgm:prSet presAssocID="{9D33162C-C133-4135-986C-EB0BD9757322}" presName="ChildText" presStyleLbl="revTx" presStyleIdx="0" presStyleCnt="5">
        <dgm:presLayoutVars>
          <dgm:chMax val="0"/>
          <dgm:chPref val="0"/>
          <dgm:bulletEnabled val="1"/>
        </dgm:presLayoutVars>
      </dgm:prSet>
      <dgm:spPr>
        <a:prstGeom prst="rect">
          <a:avLst/>
        </a:prstGeom>
      </dgm:spPr>
      <dgm:t>
        <a:bodyPr/>
        <a:lstStyle/>
        <a:p>
          <a:endParaRPr lang="en-US"/>
        </a:p>
      </dgm:t>
    </dgm:pt>
    <dgm:pt modelId="{F50D2CDD-897C-43C0-8CB2-19B389AFE8A8}" type="pres">
      <dgm:prSet presAssocID="{03F61B7A-CC96-43B8-BE14-5914A8EF25F9}" presName="sibTrans" presStyleCnt="0"/>
      <dgm:spPr/>
    </dgm:pt>
    <dgm:pt modelId="{FEF3F11F-DE15-459E-BFCD-2D2190CA98FA}" type="pres">
      <dgm:prSet presAssocID="{C29C9B3D-A359-479F-88F1-D828BB927272}" presName="composite" presStyleCnt="0"/>
      <dgm:spPr/>
    </dgm:pt>
    <dgm:pt modelId="{0761BBCA-C449-484E-9CB8-EAEA539C427B}" type="pres">
      <dgm:prSet presAssocID="{C29C9B3D-A359-479F-88F1-D828BB927272}" presName="bentUpArrow1" presStyleLbl="alignImgPlace1" presStyleIdx="1" presStyleCnt="4"/>
      <dgm:spPr>
        <a:xfrm rot="5400000">
          <a:off x="2222003" y="1945558"/>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5E677D-EBAE-435A-A81D-A37CC31CA252}" type="pres">
      <dgm:prSet presAssocID="{C29C9B3D-A359-479F-88F1-D828BB927272}" presName="ParentText" presStyleLbl="node1" presStyleIdx="1" presStyleCnt="5" custLinFactNeighborX="3480">
        <dgm:presLayoutVars>
          <dgm:chMax val="1"/>
          <dgm:chPref val="1"/>
          <dgm:bulletEnabled val="1"/>
        </dgm:presLayoutVars>
      </dgm:prSet>
      <dgm:spPr>
        <a:prstGeom prst="roundRect">
          <a:avLst>
            <a:gd name="adj" fmla="val 16670"/>
          </a:avLst>
        </a:prstGeom>
      </dgm:spPr>
      <dgm:t>
        <a:bodyPr/>
        <a:lstStyle/>
        <a:p>
          <a:endParaRPr lang="en-US"/>
        </a:p>
      </dgm:t>
    </dgm:pt>
    <dgm:pt modelId="{608E4BF3-8D8E-466E-B36B-474864A5418D}" type="pres">
      <dgm:prSet presAssocID="{C29C9B3D-A359-479F-88F1-D828BB927272}" presName="ChildText" presStyleLbl="revTx" presStyleIdx="1" presStyleCnt="5" custScaleX="347275" custLinFactX="20835" custLinFactNeighborX="100000" custLinFactNeighborY="-2887">
        <dgm:presLayoutVars>
          <dgm:chMax val="0"/>
          <dgm:chPref val="0"/>
          <dgm:bulletEnabled val="1"/>
        </dgm:presLayoutVars>
      </dgm:prSet>
      <dgm:spPr>
        <a:prstGeom prst="rect">
          <a:avLst/>
        </a:prstGeom>
      </dgm:spPr>
      <dgm:t>
        <a:bodyPr/>
        <a:lstStyle/>
        <a:p>
          <a:endParaRPr lang="en-US"/>
        </a:p>
      </dgm:t>
    </dgm:pt>
    <dgm:pt modelId="{3E0C7163-C700-45E7-931E-17830D05F3BA}" type="pres">
      <dgm:prSet presAssocID="{ADBA9FC0-7809-486E-A052-1FBA4DA42DAB}" presName="sibTrans" presStyleCnt="0"/>
      <dgm:spPr/>
    </dgm:pt>
    <dgm:pt modelId="{C6C618C1-8D9B-4EBB-82D4-EB31BC545786}" type="pres">
      <dgm:prSet presAssocID="{651586C4-F6D9-44CA-8474-6DF706573A98}" presName="composite" presStyleCnt="0"/>
      <dgm:spPr/>
    </dgm:pt>
    <dgm:pt modelId="{69EF262F-2D46-4184-A069-27CCEF5CDCAB}" type="pres">
      <dgm:prSet presAssocID="{651586C4-F6D9-44CA-8474-6DF706573A98}" presName="bentUpArrow1" presStyleLbl="alignImgPlace1" presStyleIdx="2" presStyleCnt="4"/>
      <dgm:spPr>
        <a:xfrm rot="5400000">
          <a:off x="3482710" y="2987029"/>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7DAD0-DEED-4FE8-8CC5-8EAFE2AD9FF4}" type="pres">
      <dgm:prSet presAssocID="{651586C4-F6D9-44CA-8474-6DF706573A98}" presName="ParentText" presStyleLbl="node1" presStyleIdx="2" presStyleCnt="5" custLinFactNeighborX="81788" custLinFactNeighborY="99442">
        <dgm:presLayoutVars>
          <dgm:chMax val="1"/>
          <dgm:chPref val="1"/>
          <dgm:bulletEnabled val="1"/>
        </dgm:presLayoutVars>
      </dgm:prSet>
      <dgm:spPr>
        <a:prstGeom prst="roundRect">
          <a:avLst>
            <a:gd name="adj" fmla="val 16670"/>
          </a:avLst>
        </a:prstGeom>
      </dgm:spPr>
      <dgm:t>
        <a:bodyPr/>
        <a:lstStyle/>
        <a:p>
          <a:endParaRPr lang="en-US"/>
        </a:p>
      </dgm:t>
    </dgm:pt>
    <dgm:pt modelId="{312B379B-6AB6-4B7E-BD33-E6B2ABDE45E8}" type="pres">
      <dgm:prSet presAssocID="{651586C4-F6D9-44CA-8474-6DF706573A98}" presName="ChildText" presStyleLbl="revTx" presStyleIdx="2" presStyleCnt="5" custScaleX="408731" custScaleY="134561" custLinFactX="55726" custLinFactNeighborX="100000" custLinFactNeighborY="-739">
        <dgm:presLayoutVars>
          <dgm:chMax val="0"/>
          <dgm:chPref val="0"/>
          <dgm:bulletEnabled val="1"/>
        </dgm:presLayoutVars>
      </dgm:prSet>
      <dgm:spPr>
        <a:prstGeom prst="rect">
          <a:avLst/>
        </a:prstGeom>
      </dgm:spPr>
      <dgm:t>
        <a:bodyPr/>
        <a:lstStyle/>
        <a:p>
          <a:endParaRPr lang="en-US"/>
        </a:p>
      </dgm:t>
    </dgm:pt>
    <dgm:pt modelId="{D7143E93-123B-438A-B4F7-0978936F7E16}" type="pres">
      <dgm:prSet presAssocID="{B6FDF9A3-7E99-486A-B6BF-3CDD2B7D8269}" presName="sibTrans" presStyleCnt="0"/>
      <dgm:spPr/>
    </dgm:pt>
    <dgm:pt modelId="{E197A8B8-7550-44FE-ADF0-87CE2DD63969}" type="pres">
      <dgm:prSet presAssocID="{1E489800-6B35-46B2-8C90-72E1E9EB680B}" presName="composite" presStyleCnt="0"/>
      <dgm:spPr/>
    </dgm:pt>
    <dgm:pt modelId="{4049AC80-42C2-4EAB-88AB-ED65585E578C}" type="pres">
      <dgm:prSet presAssocID="{1E489800-6B35-46B2-8C90-72E1E9EB680B}" presName="bentUpArrow1" presStyleLbl="alignImgPlace1" presStyleIdx="3" presStyleCnt="4"/>
      <dgm:spPr>
        <a:xfrm rot="5400000">
          <a:off x="4418357" y="4028501"/>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80AF3A-E97F-4258-94AB-F4208896B0A9}" type="pres">
      <dgm:prSet presAssocID="{1E489800-6B35-46B2-8C90-72E1E9EB680B}" presName="ParentText" presStyleLbl="node1" presStyleIdx="3" presStyleCnt="5" custLinFactY="-15549" custLinFactNeighborX="-89553" custLinFactNeighborY="-100000">
        <dgm:presLayoutVars>
          <dgm:chMax val="1"/>
          <dgm:chPref val="1"/>
          <dgm:bulletEnabled val="1"/>
        </dgm:presLayoutVars>
      </dgm:prSet>
      <dgm:spPr>
        <a:prstGeom prst="roundRect">
          <a:avLst>
            <a:gd name="adj" fmla="val 16670"/>
          </a:avLst>
        </a:prstGeom>
      </dgm:spPr>
      <dgm:t>
        <a:bodyPr/>
        <a:lstStyle/>
        <a:p>
          <a:endParaRPr lang="en-US"/>
        </a:p>
      </dgm:t>
    </dgm:pt>
    <dgm:pt modelId="{DBA84948-E936-4784-9F87-E32E7459A1DA}" type="pres">
      <dgm:prSet presAssocID="{1E489800-6B35-46B2-8C90-72E1E9EB680B}" presName="ChildText" presStyleLbl="revTx" presStyleIdx="3" presStyleCnt="5" custScaleX="155873" custLinFactNeighborX="28663" custLinFactNeighborY="996">
        <dgm:presLayoutVars>
          <dgm:chMax val="0"/>
          <dgm:chPref val="0"/>
          <dgm:bulletEnabled val="1"/>
        </dgm:presLayoutVars>
      </dgm:prSet>
      <dgm:spPr>
        <a:prstGeom prst="rect">
          <a:avLst/>
        </a:prstGeom>
      </dgm:spPr>
      <dgm:t>
        <a:bodyPr/>
        <a:lstStyle/>
        <a:p>
          <a:endParaRPr lang="en-US"/>
        </a:p>
      </dgm:t>
    </dgm:pt>
    <dgm:pt modelId="{FCFAD83A-70A2-48E5-82A7-CEE3A5AEB113}" type="pres">
      <dgm:prSet presAssocID="{A4B22FD4-EF40-4B5C-922F-4C06E43E99EE}" presName="sibTrans" presStyleCnt="0"/>
      <dgm:spPr/>
    </dgm:pt>
    <dgm:pt modelId="{0755041A-B42C-4EC5-AEAD-BB7668682377}" type="pres">
      <dgm:prSet presAssocID="{8E718F37-6502-4549-AF65-B0EFF13DE456}" presName="composite" presStyleCnt="0"/>
      <dgm:spPr/>
    </dgm:pt>
    <dgm:pt modelId="{36545160-AB31-4B8D-9876-3323461D7D08}" type="pres">
      <dgm:prSet presAssocID="{8E718F37-6502-4549-AF65-B0EFF13DE456}" presName="ParentText" presStyleLbl="node1" presStyleIdx="4" presStyleCnt="5">
        <dgm:presLayoutVars>
          <dgm:chMax val="1"/>
          <dgm:chPref val="1"/>
          <dgm:bulletEnabled val="1"/>
        </dgm:presLayoutVars>
      </dgm:prSet>
      <dgm:spPr>
        <a:prstGeom prst="roundRect">
          <a:avLst>
            <a:gd name="adj" fmla="val 16670"/>
          </a:avLst>
        </a:prstGeom>
      </dgm:spPr>
      <dgm:t>
        <a:bodyPr/>
        <a:lstStyle/>
        <a:p>
          <a:endParaRPr lang="en-US"/>
        </a:p>
      </dgm:t>
    </dgm:pt>
    <dgm:pt modelId="{CC7902D0-EB54-4109-BFE8-F4EB407582A0}" type="pres">
      <dgm:prSet presAssocID="{8E718F37-6502-4549-AF65-B0EFF13DE456}" presName="FinalChildText" presStyleLbl="revTx" presStyleIdx="4" presStyleCnt="5" custScaleX="194002" custScaleY="159220" custLinFactNeighborX="87193" custLinFactNeighborY="-18064">
        <dgm:presLayoutVars>
          <dgm:chMax val="0"/>
          <dgm:chPref val="0"/>
          <dgm:bulletEnabled val="1"/>
        </dgm:presLayoutVars>
      </dgm:prSet>
      <dgm:spPr>
        <a:prstGeom prst="rect">
          <a:avLst/>
        </a:prstGeom>
      </dgm:spPr>
      <dgm:t>
        <a:bodyPr/>
        <a:lstStyle/>
        <a:p>
          <a:endParaRPr lang="en-US"/>
        </a:p>
      </dgm:t>
    </dgm:pt>
  </dgm:ptLst>
  <dgm:cxnLst>
    <dgm:cxn modelId="{64A60AE6-333F-4B3B-96AE-95A538A3DA85}" type="presOf" srcId="{651586C4-F6D9-44CA-8474-6DF706573A98}" destId="{C647DAD0-DEED-4FE8-8CC5-8EAFE2AD9FF4}" srcOrd="0" destOrd="0" presId="urn:microsoft.com/office/officeart/2005/8/layout/StepDownProcess"/>
    <dgm:cxn modelId="{96295C01-629F-450B-81C3-0CC0B26EE215}" type="presOf" srcId="{16E98AA2-F3DB-47F0-BB5C-104BC27B14AB}" destId="{8B9EBD61-9EBC-4C76-8822-A9B5DD2B6DCC}" srcOrd="0" destOrd="0" presId="urn:microsoft.com/office/officeart/2005/8/layout/StepDownProcess"/>
    <dgm:cxn modelId="{2D986E56-DBBF-4A72-ABAA-9D16E752674A}" srcId="{9D33162C-C133-4135-986C-EB0BD9757322}" destId="{E71CE29A-835C-474A-94AD-56D37B86CCA3}" srcOrd="0" destOrd="0" parTransId="{49B99828-353E-4A87-90C4-B11C7E25085C}" sibTransId="{2AEB887D-6B4F-4928-9909-C5B36960BFB2}"/>
    <dgm:cxn modelId="{28418596-3B70-4DA1-9999-415E4ED01DAB}" type="presOf" srcId="{F334F805-CBBF-4332-9FD7-9E4F962F683E}" destId="{608E4BF3-8D8E-466E-B36B-474864A5418D}" srcOrd="0" destOrd="1" presId="urn:microsoft.com/office/officeart/2005/8/layout/StepDownProcess"/>
    <dgm:cxn modelId="{9EDECDBA-33F4-4D4B-8EDF-67C1233BFDDA}" srcId="{8E718F37-6502-4549-AF65-B0EFF13DE456}" destId="{A74245F6-7F84-40E4-AEF2-7CC77735C8D8}" srcOrd="0" destOrd="0" parTransId="{64DC96A1-2945-402A-865B-623DCF3BA73F}" sibTransId="{65E1D973-F238-4BDC-AE0B-51A440745E4E}"/>
    <dgm:cxn modelId="{360DC55D-16CE-49E7-B8C6-819CDDB1D8EB}" type="presOf" srcId="{9D33162C-C133-4135-986C-EB0BD9757322}" destId="{287D8CAB-A0AD-4447-9D79-17C65677B54D}" srcOrd="0" destOrd="0" presId="urn:microsoft.com/office/officeart/2005/8/layout/StepDownProcess"/>
    <dgm:cxn modelId="{CD2ACC6B-74CA-484F-8D50-70D8DA85BFB2}" type="presOf" srcId="{8E718F37-6502-4549-AF65-B0EFF13DE456}" destId="{36545160-AB31-4B8D-9876-3323461D7D08}" srcOrd="0" destOrd="0" presId="urn:microsoft.com/office/officeart/2005/8/layout/StepDownProcess"/>
    <dgm:cxn modelId="{D4545DA2-A8F6-4EFE-847F-E78056A45CBD}" srcId="{C29C9B3D-A359-479F-88F1-D828BB927272}" destId="{F334F805-CBBF-4332-9FD7-9E4F962F683E}" srcOrd="1" destOrd="0" parTransId="{039932F5-10AE-4F3B-A19F-D98C4025586B}" sibTransId="{056FCC8C-DD50-414D-B803-5507D6800A56}"/>
    <dgm:cxn modelId="{F2A52514-3D43-4956-8537-21E6C8457EB6}" type="presOf" srcId="{5BAE95EA-A3D0-4FAF-AB81-A56D8B5E736B}" destId="{312B379B-6AB6-4B7E-BD33-E6B2ABDE45E8}" srcOrd="0" destOrd="1" presId="urn:microsoft.com/office/officeart/2005/8/layout/StepDownProcess"/>
    <dgm:cxn modelId="{03A0BA6B-4F55-4A97-9545-51A02ECDC185}" srcId="{651586C4-F6D9-44CA-8474-6DF706573A98}" destId="{5C54CBD1-1268-4CA1-9E73-B969B2F154EB}" srcOrd="0" destOrd="0" parTransId="{E781623C-71F6-4CA0-847F-DA158ED36FD9}" sibTransId="{8F81E61E-B18F-4FD8-AE68-6860FA376172}"/>
    <dgm:cxn modelId="{8D9C262C-0931-44C4-BF7D-E93A96139AC3}" srcId="{16E98AA2-F3DB-47F0-BB5C-104BC27B14AB}" destId="{8E718F37-6502-4549-AF65-B0EFF13DE456}" srcOrd="4" destOrd="0" parTransId="{E29FE753-5ACD-4C2A-85C2-345D290EDEC5}" sibTransId="{AB3C8864-A874-470C-BEA7-BF3D29096F69}"/>
    <dgm:cxn modelId="{4574782E-8076-4C2A-8D1D-7BDD9E7E91F0}" type="presOf" srcId="{95E9258B-6C9E-45BA-86A2-A353E7D62539}" destId="{608E4BF3-8D8E-466E-B36B-474864A5418D}" srcOrd="0" destOrd="0" presId="urn:microsoft.com/office/officeart/2005/8/layout/StepDownProcess"/>
    <dgm:cxn modelId="{B2DB409C-BC13-464F-84E2-1D93BA1D2C49}" type="presOf" srcId="{A74245F6-7F84-40E4-AEF2-7CC77735C8D8}" destId="{CC7902D0-EB54-4109-BFE8-F4EB407582A0}" srcOrd="0" destOrd="0" presId="urn:microsoft.com/office/officeart/2005/8/layout/StepDownProcess"/>
    <dgm:cxn modelId="{7773A077-E5DA-4EB4-A7E6-7CCDA6156985}" type="presOf" srcId="{1E489800-6B35-46B2-8C90-72E1E9EB680B}" destId="{AA80AF3A-E97F-4258-94AB-F4208896B0A9}" srcOrd="0" destOrd="0" presId="urn:microsoft.com/office/officeart/2005/8/layout/StepDownProcess"/>
    <dgm:cxn modelId="{DFD31FC7-E9A7-48D4-A0F6-C40F52172918}" type="presOf" srcId="{E71CE29A-835C-474A-94AD-56D37B86CCA3}" destId="{4EC36A25-EDDC-4CCF-8BB2-E25E0C054D8B}" srcOrd="0" destOrd="0" presId="urn:microsoft.com/office/officeart/2005/8/layout/StepDownProcess"/>
    <dgm:cxn modelId="{D3DBEED0-B0C4-421D-A7BE-1B9B5776D9D9}" srcId="{16E98AA2-F3DB-47F0-BB5C-104BC27B14AB}" destId="{C29C9B3D-A359-479F-88F1-D828BB927272}" srcOrd="1" destOrd="0" parTransId="{4DD2E242-B622-48FE-9E24-464D5ABA0665}" sibTransId="{ADBA9FC0-7809-486E-A052-1FBA4DA42DAB}"/>
    <dgm:cxn modelId="{BE8971A0-9EDC-44DF-9308-2D73C2FE26D0}" srcId="{16E98AA2-F3DB-47F0-BB5C-104BC27B14AB}" destId="{9D33162C-C133-4135-986C-EB0BD9757322}" srcOrd="0" destOrd="0" parTransId="{2B4B9FC4-A6BE-46AC-A504-0643E36D9504}" sibTransId="{03F61B7A-CC96-43B8-BE14-5914A8EF25F9}"/>
    <dgm:cxn modelId="{9AC6D9DC-02B4-43D1-BD96-185EABC5482D}" srcId="{C29C9B3D-A359-479F-88F1-D828BB927272}" destId="{95E9258B-6C9E-45BA-86A2-A353E7D62539}" srcOrd="0" destOrd="0" parTransId="{0D78BE63-AA1B-4E53-B535-49F88CBE7250}" sibTransId="{DFB09631-6934-4C29-B141-CD6CDB4EA399}"/>
    <dgm:cxn modelId="{1ABF5C76-22D9-45D2-AEAA-40872AB1AB5B}" srcId="{651586C4-F6D9-44CA-8474-6DF706573A98}" destId="{5BAE95EA-A3D0-4FAF-AB81-A56D8B5E736B}" srcOrd="1" destOrd="0" parTransId="{0C4C936D-0105-41FF-A952-85397AF3047F}" sibTransId="{2DBE5AA0-55FF-42CB-B62E-E48E09C5AA66}"/>
    <dgm:cxn modelId="{226DC66D-50BD-40F6-A365-0E4406433AE0}" type="presOf" srcId="{5C54CBD1-1268-4CA1-9E73-B969B2F154EB}" destId="{312B379B-6AB6-4B7E-BD33-E6B2ABDE45E8}" srcOrd="0" destOrd="0" presId="urn:microsoft.com/office/officeart/2005/8/layout/StepDownProcess"/>
    <dgm:cxn modelId="{B6F18DFF-FE72-4440-89AD-63454A77E25A}" srcId="{16E98AA2-F3DB-47F0-BB5C-104BC27B14AB}" destId="{1E489800-6B35-46B2-8C90-72E1E9EB680B}" srcOrd="3" destOrd="0" parTransId="{38C3632B-6262-4C65-B9F2-66A2E2FC9E85}" sibTransId="{A4B22FD4-EF40-4B5C-922F-4C06E43E99EE}"/>
    <dgm:cxn modelId="{0E16B4B0-D09C-4682-825D-26380E8A965D}" srcId="{1E489800-6B35-46B2-8C90-72E1E9EB680B}" destId="{046E0376-F972-472F-B758-1FBD350DFCC0}" srcOrd="0" destOrd="0" parTransId="{3B3EF539-1147-4181-8A66-AC6AD29D1EEF}" sibTransId="{A1334E1F-BA45-4370-AC9D-D890154DB112}"/>
    <dgm:cxn modelId="{2FFBA0D4-EEE8-4C91-9412-ABFA4BA1C478}" type="presOf" srcId="{046E0376-F972-472F-B758-1FBD350DFCC0}" destId="{DBA84948-E936-4784-9F87-E32E7459A1DA}" srcOrd="0" destOrd="0" presId="urn:microsoft.com/office/officeart/2005/8/layout/StepDownProcess"/>
    <dgm:cxn modelId="{C5084305-5C6A-4A8F-BCE3-17A2908FF915}" type="presOf" srcId="{C29C9B3D-A359-479F-88F1-D828BB927272}" destId="{C65E677D-EBAE-435A-A81D-A37CC31CA252}" srcOrd="0" destOrd="0" presId="urn:microsoft.com/office/officeart/2005/8/layout/StepDownProcess"/>
    <dgm:cxn modelId="{D5054D94-15C4-4C74-9D80-D5C216E94BAF}" srcId="{16E98AA2-F3DB-47F0-BB5C-104BC27B14AB}" destId="{651586C4-F6D9-44CA-8474-6DF706573A98}" srcOrd="2" destOrd="0" parTransId="{FD0B63A6-1AEC-4E92-AB55-D800FD5D058E}" sibTransId="{B6FDF9A3-7E99-486A-B6BF-3CDD2B7D8269}"/>
    <dgm:cxn modelId="{FBC236FF-BADF-4CDF-B8A6-D1354C75BA03}" type="presParOf" srcId="{8B9EBD61-9EBC-4C76-8822-A9B5DD2B6DCC}" destId="{3AAB4AC0-C956-4BBD-B104-44F8CC39C0CE}" srcOrd="0" destOrd="0" presId="urn:microsoft.com/office/officeart/2005/8/layout/StepDownProcess"/>
    <dgm:cxn modelId="{29938819-9087-4515-95FE-045594CC556F}" type="presParOf" srcId="{3AAB4AC0-C956-4BBD-B104-44F8CC39C0CE}" destId="{DBA5D506-8A15-4BCB-B7E0-5545DBCC0392}" srcOrd="0" destOrd="0" presId="urn:microsoft.com/office/officeart/2005/8/layout/StepDownProcess"/>
    <dgm:cxn modelId="{1CC37B10-BA97-45E1-822D-FAB5A8000748}" type="presParOf" srcId="{3AAB4AC0-C956-4BBD-B104-44F8CC39C0CE}" destId="{287D8CAB-A0AD-4447-9D79-17C65677B54D}" srcOrd="1" destOrd="0" presId="urn:microsoft.com/office/officeart/2005/8/layout/StepDownProcess"/>
    <dgm:cxn modelId="{68157745-22D5-4219-B6DD-8E89226C23EA}" type="presParOf" srcId="{3AAB4AC0-C956-4BBD-B104-44F8CC39C0CE}" destId="{4EC36A25-EDDC-4CCF-8BB2-E25E0C054D8B}" srcOrd="2" destOrd="0" presId="urn:microsoft.com/office/officeart/2005/8/layout/StepDownProcess"/>
    <dgm:cxn modelId="{0D6D67A1-7E9E-4D72-AAF6-0B1E5B536790}" type="presParOf" srcId="{8B9EBD61-9EBC-4C76-8822-A9B5DD2B6DCC}" destId="{F50D2CDD-897C-43C0-8CB2-19B389AFE8A8}" srcOrd="1" destOrd="0" presId="urn:microsoft.com/office/officeart/2005/8/layout/StepDownProcess"/>
    <dgm:cxn modelId="{61627CFA-59F5-4D0D-992F-8253FFB00FB8}" type="presParOf" srcId="{8B9EBD61-9EBC-4C76-8822-A9B5DD2B6DCC}" destId="{FEF3F11F-DE15-459E-BFCD-2D2190CA98FA}" srcOrd="2" destOrd="0" presId="urn:microsoft.com/office/officeart/2005/8/layout/StepDownProcess"/>
    <dgm:cxn modelId="{4461D4F0-84C2-47C9-A566-26703C9E3982}" type="presParOf" srcId="{FEF3F11F-DE15-459E-BFCD-2D2190CA98FA}" destId="{0761BBCA-C449-484E-9CB8-EAEA539C427B}" srcOrd="0" destOrd="0" presId="urn:microsoft.com/office/officeart/2005/8/layout/StepDownProcess"/>
    <dgm:cxn modelId="{3E277DDE-77FD-49DF-9559-3C525A8FA14A}" type="presParOf" srcId="{FEF3F11F-DE15-459E-BFCD-2D2190CA98FA}" destId="{C65E677D-EBAE-435A-A81D-A37CC31CA252}" srcOrd="1" destOrd="0" presId="urn:microsoft.com/office/officeart/2005/8/layout/StepDownProcess"/>
    <dgm:cxn modelId="{72536D0B-CDF5-4E21-8B9A-396ABBC9904E}" type="presParOf" srcId="{FEF3F11F-DE15-459E-BFCD-2D2190CA98FA}" destId="{608E4BF3-8D8E-466E-B36B-474864A5418D}" srcOrd="2" destOrd="0" presId="urn:microsoft.com/office/officeart/2005/8/layout/StepDownProcess"/>
    <dgm:cxn modelId="{1A7E4D61-F8BB-4259-8010-F85795F55FC3}" type="presParOf" srcId="{8B9EBD61-9EBC-4C76-8822-A9B5DD2B6DCC}" destId="{3E0C7163-C700-45E7-931E-17830D05F3BA}" srcOrd="3" destOrd="0" presId="urn:microsoft.com/office/officeart/2005/8/layout/StepDownProcess"/>
    <dgm:cxn modelId="{E56ED83A-AF87-4971-A685-E7B383B7A958}" type="presParOf" srcId="{8B9EBD61-9EBC-4C76-8822-A9B5DD2B6DCC}" destId="{C6C618C1-8D9B-4EBB-82D4-EB31BC545786}" srcOrd="4" destOrd="0" presId="urn:microsoft.com/office/officeart/2005/8/layout/StepDownProcess"/>
    <dgm:cxn modelId="{1BC80D47-AA9D-4720-95EE-AE2B730C098B}" type="presParOf" srcId="{C6C618C1-8D9B-4EBB-82D4-EB31BC545786}" destId="{69EF262F-2D46-4184-A069-27CCEF5CDCAB}" srcOrd="0" destOrd="0" presId="urn:microsoft.com/office/officeart/2005/8/layout/StepDownProcess"/>
    <dgm:cxn modelId="{53A795FF-4163-4A9E-81ED-ECAE99F497E4}" type="presParOf" srcId="{C6C618C1-8D9B-4EBB-82D4-EB31BC545786}" destId="{C647DAD0-DEED-4FE8-8CC5-8EAFE2AD9FF4}" srcOrd="1" destOrd="0" presId="urn:microsoft.com/office/officeart/2005/8/layout/StepDownProcess"/>
    <dgm:cxn modelId="{21CB5E4A-0C81-4CFD-8B7E-194B933C74EE}" type="presParOf" srcId="{C6C618C1-8D9B-4EBB-82D4-EB31BC545786}" destId="{312B379B-6AB6-4B7E-BD33-E6B2ABDE45E8}" srcOrd="2" destOrd="0" presId="urn:microsoft.com/office/officeart/2005/8/layout/StepDownProcess"/>
    <dgm:cxn modelId="{F84D0032-502F-4960-80F2-BFBA3CB19D62}" type="presParOf" srcId="{8B9EBD61-9EBC-4C76-8822-A9B5DD2B6DCC}" destId="{D7143E93-123B-438A-B4F7-0978936F7E16}" srcOrd="5" destOrd="0" presId="urn:microsoft.com/office/officeart/2005/8/layout/StepDownProcess"/>
    <dgm:cxn modelId="{B4D7A610-1E13-4717-AD47-0CCC05798009}" type="presParOf" srcId="{8B9EBD61-9EBC-4C76-8822-A9B5DD2B6DCC}" destId="{E197A8B8-7550-44FE-ADF0-87CE2DD63969}" srcOrd="6" destOrd="0" presId="urn:microsoft.com/office/officeart/2005/8/layout/StepDownProcess"/>
    <dgm:cxn modelId="{F88F932D-A1CF-4607-BD72-7315ECD57BDE}" type="presParOf" srcId="{E197A8B8-7550-44FE-ADF0-87CE2DD63969}" destId="{4049AC80-42C2-4EAB-88AB-ED65585E578C}" srcOrd="0" destOrd="0" presId="urn:microsoft.com/office/officeart/2005/8/layout/StepDownProcess"/>
    <dgm:cxn modelId="{D2966C7A-D0CF-42A7-A581-72566D648AFF}" type="presParOf" srcId="{E197A8B8-7550-44FE-ADF0-87CE2DD63969}" destId="{AA80AF3A-E97F-4258-94AB-F4208896B0A9}" srcOrd="1" destOrd="0" presId="urn:microsoft.com/office/officeart/2005/8/layout/StepDownProcess"/>
    <dgm:cxn modelId="{4688718F-33DD-45E5-9EA6-377A57FF0200}" type="presParOf" srcId="{E197A8B8-7550-44FE-ADF0-87CE2DD63969}" destId="{DBA84948-E936-4784-9F87-E32E7459A1DA}" srcOrd="2" destOrd="0" presId="urn:microsoft.com/office/officeart/2005/8/layout/StepDownProcess"/>
    <dgm:cxn modelId="{5E104EFA-10FB-431B-97E0-DFCFF8182583}" type="presParOf" srcId="{8B9EBD61-9EBC-4C76-8822-A9B5DD2B6DCC}" destId="{FCFAD83A-70A2-48E5-82A7-CEE3A5AEB113}" srcOrd="7" destOrd="0" presId="urn:microsoft.com/office/officeart/2005/8/layout/StepDownProcess"/>
    <dgm:cxn modelId="{2A7110B0-7409-4839-801E-E7B229C1C69F}" type="presParOf" srcId="{8B9EBD61-9EBC-4C76-8822-A9B5DD2B6DCC}" destId="{0755041A-B42C-4EC5-AEAD-BB7668682377}" srcOrd="8" destOrd="0" presId="urn:microsoft.com/office/officeart/2005/8/layout/StepDownProcess"/>
    <dgm:cxn modelId="{8C9D1D69-B185-4EA8-A794-58548A6210F9}" type="presParOf" srcId="{0755041A-B42C-4EC5-AEAD-BB7668682377}" destId="{36545160-AB31-4B8D-9876-3323461D7D08}" srcOrd="0" destOrd="0" presId="urn:microsoft.com/office/officeart/2005/8/layout/StepDownProcess"/>
    <dgm:cxn modelId="{8ACF7B4A-D612-431C-A3E1-C94935E0CBFC}" type="presParOf" srcId="{0755041A-B42C-4EC5-AEAD-BB7668682377}" destId="{CC7902D0-EB54-4109-BFE8-F4EB407582A0}" srcOrd="1" destOrd="0" presId="urn:microsoft.com/office/officeart/2005/8/layout/StepDown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E98AA2-F3DB-47F0-BB5C-104BC27B14A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D33162C-C133-4135-986C-EB0BD9757322}">
      <dgm:prSet phldrT="[Text]"/>
      <dgm:spPr>
        <a:xfrm>
          <a:off x="878089" y="29981"/>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PAYROLL will write to the former employee advising of overpayment value and recovery plan</a:t>
          </a:r>
        </a:p>
      </dgm:t>
    </dgm:pt>
    <dgm:pt modelId="{2B4B9FC4-A6BE-46AC-A504-0643E36D9504}" type="parTrans" cxnId="{BE8971A0-9EDC-44DF-9308-2D73C2FE26D0}">
      <dgm:prSet/>
      <dgm:spPr/>
      <dgm:t>
        <a:bodyPr/>
        <a:lstStyle/>
        <a:p>
          <a:endParaRPr lang="en-GB"/>
        </a:p>
      </dgm:t>
    </dgm:pt>
    <dgm:pt modelId="{03F61B7A-CC96-43B8-BE14-5914A8EF25F9}" type="sibTrans" cxnId="{BE8971A0-9EDC-44DF-9308-2D73C2FE26D0}">
      <dgm:prSet/>
      <dgm:spPr/>
      <dgm:t>
        <a:bodyPr/>
        <a:lstStyle/>
        <a:p>
          <a:endParaRPr lang="en-GB"/>
        </a:p>
      </dgm:t>
    </dgm:pt>
    <dgm:pt modelId="{E71CE29A-835C-474A-94AD-56D37B86CCA3}">
      <dgm:prSet phldrT="[Text]" custT="1"/>
      <dgm:spPr>
        <a:xfrm>
          <a:off x="2122479" y="134169"/>
          <a:ext cx="1967439" cy="704539"/>
        </a:xfrm>
        <a:noFill/>
        <a:ln>
          <a:noFill/>
        </a:ln>
        <a:effectLst/>
      </dgm:spPr>
      <dgm:t>
        <a:bodyPr/>
        <a:lstStyle/>
        <a:p>
          <a:endParaRPr lang="en-GB" sz="700">
            <a:solidFill>
              <a:sysClr val="windowText" lastClr="000000">
                <a:hueOff val="0"/>
                <a:satOff val="0"/>
                <a:lumOff val="0"/>
                <a:alphaOff val="0"/>
              </a:sysClr>
            </a:solidFill>
            <a:latin typeface="Calibri"/>
            <a:ea typeface="+mn-ea"/>
            <a:cs typeface="+mn-cs"/>
          </a:endParaRPr>
        </a:p>
      </dgm:t>
    </dgm:pt>
    <dgm:pt modelId="{49B99828-353E-4A87-90C4-B11C7E25085C}" type="parTrans" cxnId="{2D986E56-DBBF-4A72-ABAA-9D16E752674A}">
      <dgm:prSet/>
      <dgm:spPr/>
      <dgm:t>
        <a:bodyPr/>
        <a:lstStyle/>
        <a:p>
          <a:endParaRPr lang="en-GB"/>
        </a:p>
      </dgm:t>
    </dgm:pt>
    <dgm:pt modelId="{2AEB887D-6B4F-4928-9909-C5B36960BFB2}" type="sibTrans" cxnId="{2D986E56-DBBF-4A72-ABAA-9D16E752674A}">
      <dgm:prSet/>
      <dgm:spPr/>
      <dgm:t>
        <a:bodyPr/>
        <a:lstStyle/>
        <a:p>
          <a:endParaRPr lang="en-GB"/>
        </a:p>
      </dgm:t>
    </dgm:pt>
    <dgm:pt modelId="{C29C9B3D-A359-479F-88F1-D828BB927272}">
      <dgm:prSet phldrT="[Text]"/>
      <dgm:spPr>
        <a:xfrm>
          <a:off x="2165410" y="1009179"/>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Where the former employee disputes the overpayment, PAYROLL refer case to HR Directorate</a:t>
          </a:r>
        </a:p>
      </dgm:t>
    </dgm:pt>
    <dgm:pt modelId="{4DD2E242-B622-48FE-9E24-464D5ABA0665}" type="parTrans" cxnId="{D3DBEED0-B0C4-421D-A7BE-1B9B5776D9D9}">
      <dgm:prSet/>
      <dgm:spPr/>
      <dgm:t>
        <a:bodyPr/>
        <a:lstStyle/>
        <a:p>
          <a:endParaRPr lang="en-GB"/>
        </a:p>
      </dgm:t>
    </dgm:pt>
    <dgm:pt modelId="{ADBA9FC0-7809-486E-A052-1FBA4DA42DAB}" type="sibTrans" cxnId="{D3DBEED0-B0C4-421D-A7BE-1B9B5776D9D9}">
      <dgm:prSet/>
      <dgm:spPr/>
      <dgm:t>
        <a:bodyPr/>
        <a:lstStyle/>
        <a:p>
          <a:endParaRPr lang="en-GB"/>
        </a:p>
      </dgm:t>
    </dgm:pt>
    <dgm:pt modelId="{95E9258B-6C9E-45BA-86A2-A353E7D62539}">
      <dgm:prSet phldrT="[Text]" custT="1"/>
      <dgm:spPr>
        <a:xfrm>
          <a:off x="3586161" y="1093879"/>
          <a:ext cx="3250567"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PAYROLL will refer the case to the HR Directorate within 7 days pf receipt of dispute and refer case back to PAYROLL within 14 days of receipt of dispute , with instructions for payroll.</a:t>
          </a:r>
        </a:p>
      </dgm:t>
    </dgm:pt>
    <dgm:pt modelId="{0D78BE63-AA1B-4E53-B535-49F88CBE7250}" type="parTrans" cxnId="{9AC6D9DC-02B4-43D1-BD96-185EABC5482D}">
      <dgm:prSet/>
      <dgm:spPr/>
      <dgm:t>
        <a:bodyPr/>
        <a:lstStyle/>
        <a:p>
          <a:endParaRPr lang="en-GB"/>
        </a:p>
      </dgm:t>
    </dgm:pt>
    <dgm:pt modelId="{DFB09631-6934-4C29-B141-CD6CDB4EA399}" type="sibTrans" cxnId="{9AC6D9DC-02B4-43D1-BD96-185EABC5482D}">
      <dgm:prSet/>
      <dgm:spPr/>
      <dgm:t>
        <a:bodyPr/>
        <a:lstStyle/>
        <a:p>
          <a:endParaRPr lang="en-GB"/>
        </a:p>
      </dgm:t>
    </dgm:pt>
    <dgm:pt modelId="{651586C4-F6D9-44CA-8474-6DF706573A98}">
      <dgm:prSet phldrT="[Text]"/>
      <dgm:spPr>
        <a:xfrm>
          <a:off x="3452732" y="1988377"/>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Invoice raised and sent to former employee</a:t>
          </a:r>
        </a:p>
      </dgm:t>
    </dgm:pt>
    <dgm:pt modelId="{FD0B63A6-1AEC-4E92-AB55-D800FD5D058E}" type="parTrans" cxnId="{D5054D94-15C4-4C74-9D80-D5C216E94BAF}">
      <dgm:prSet/>
      <dgm:spPr/>
      <dgm:t>
        <a:bodyPr/>
        <a:lstStyle/>
        <a:p>
          <a:endParaRPr lang="en-GB"/>
        </a:p>
      </dgm:t>
    </dgm:pt>
    <dgm:pt modelId="{B6FDF9A3-7E99-486A-B6BF-3CDD2B7D8269}" type="sibTrans" cxnId="{D5054D94-15C4-4C74-9D80-D5C216E94BAF}">
      <dgm:prSet/>
      <dgm:spPr/>
      <dgm:t>
        <a:bodyPr/>
        <a:lstStyle/>
        <a:p>
          <a:endParaRPr lang="en-GB"/>
        </a:p>
      </dgm:t>
    </dgm:pt>
    <dgm:pt modelId="{046E0376-F972-472F-B758-1FBD350DFCC0}">
      <dgm:prSet phldrT="[Text]" custT="1"/>
      <dgm:spPr>
        <a:xfrm>
          <a:off x="6006108" y="3057727"/>
          <a:ext cx="185136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Former employee can submit written request for extension up to a maximum of 18 months repayment plan. </a:t>
          </a:r>
        </a:p>
      </dgm:t>
    </dgm:pt>
    <dgm:pt modelId="{3B3EF539-1147-4181-8A66-AC6AD29D1EEF}" type="parTrans" cxnId="{0E16B4B0-D09C-4682-825D-26380E8A965D}">
      <dgm:prSet/>
      <dgm:spPr/>
      <dgm:t>
        <a:bodyPr/>
        <a:lstStyle/>
        <a:p>
          <a:endParaRPr lang="en-GB"/>
        </a:p>
      </dgm:t>
    </dgm:pt>
    <dgm:pt modelId="{A1334E1F-BA45-4370-AC9D-D890154DB112}" type="sibTrans" cxnId="{0E16B4B0-D09C-4682-825D-26380E8A965D}">
      <dgm:prSet/>
      <dgm:spPr/>
      <dgm:t>
        <a:bodyPr/>
        <a:lstStyle/>
        <a:p>
          <a:endParaRPr lang="en-GB"/>
        </a:p>
      </dgm:t>
    </dgm:pt>
    <dgm:pt modelId="{1E489800-6B35-46B2-8C90-72E1E9EB680B}">
      <dgm:prSet phldrT="[Text]"/>
      <dgm:spPr>
        <a:xfrm>
          <a:off x="4740053" y="2967574"/>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Either :</a:t>
          </a:r>
        </a:p>
        <a:p>
          <a:r>
            <a:rPr lang="en-GB">
              <a:solidFill>
                <a:sysClr val="window" lastClr="FFFFFF"/>
              </a:solidFill>
              <a:latin typeface="Calibri"/>
              <a:ea typeface="+mn-ea"/>
              <a:cs typeface="+mn-cs"/>
            </a:rPr>
            <a:t>the total Overpayment will be payable  immediately;</a:t>
          </a:r>
        </a:p>
        <a:p>
          <a:r>
            <a:rPr lang="en-GB">
              <a:solidFill>
                <a:sysClr val="window" lastClr="FFFFFF"/>
              </a:solidFill>
              <a:latin typeface="Calibri"/>
              <a:ea typeface="+mn-ea"/>
              <a:cs typeface="+mn-cs"/>
            </a:rPr>
            <a:t>or the first installment payment will be due</a:t>
          </a:r>
        </a:p>
      </dgm:t>
    </dgm:pt>
    <dgm:pt modelId="{38C3632B-6262-4C65-B9F2-66A2E2FC9E85}" type="parTrans" cxnId="{B6F18DFF-FE72-4440-89AD-63454A77E25A}">
      <dgm:prSet/>
      <dgm:spPr/>
      <dgm:t>
        <a:bodyPr/>
        <a:lstStyle/>
        <a:p>
          <a:endParaRPr lang="en-GB"/>
        </a:p>
      </dgm:t>
    </dgm:pt>
    <dgm:pt modelId="{A4B22FD4-EF40-4B5C-922F-4C06E43E99EE}" type="sibTrans" cxnId="{B6F18DFF-FE72-4440-89AD-63454A77E25A}">
      <dgm:prSet/>
      <dgm:spPr/>
      <dgm:t>
        <a:bodyPr/>
        <a:lstStyle/>
        <a:p>
          <a:endParaRPr lang="en-GB"/>
        </a:p>
      </dgm:t>
    </dgm:pt>
    <dgm:pt modelId="{32BB7D11-719E-4522-8752-8EE78EDF65A4}">
      <dgm:prSet phldrT="[Text]"/>
      <dgm:spPr>
        <a:xfrm>
          <a:off x="3586161" y="1093879"/>
          <a:ext cx="3250567" cy="704539"/>
        </a:xfrm>
        <a:noFill/>
        <a:ln>
          <a:noFill/>
        </a:ln>
        <a:effectLst/>
      </dgm:spPr>
      <dgm:t>
        <a:bodyPr/>
        <a:lstStyle/>
        <a:p>
          <a:endParaRPr lang="en-GB" sz="500">
            <a:solidFill>
              <a:sysClr val="windowText" lastClr="000000">
                <a:hueOff val="0"/>
                <a:satOff val="0"/>
                <a:lumOff val="0"/>
                <a:alphaOff val="0"/>
              </a:sysClr>
            </a:solidFill>
            <a:latin typeface="Calibri"/>
            <a:ea typeface="+mn-ea"/>
            <a:cs typeface="+mn-cs"/>
          </a:endParaRPr>
        </a:p>
      </dgm:t>
    </dgm:pt>
    <dgm:pt modelId="{7EEACFCE-EC90-4E69-AA7D-26B9E9C41609}" type="parTrans" cxnId="{A4CDA5E6-4CA5-44D1-A97B-EB3E1957DDEB}">
      <dgm:prSet/>
      <dgm:spPr/>
      <dgm:t>
        <a:bodyPr/>
        <a:lstStyle/>
        <a:p>
          <a:endParaRPr lang="en-GB"/>
        </a:p>
      </dgm:t>
    </dgm:pt>
    <dgm:pt modelId="{2634C9B4-53DF-4F34-8E74-22FAFFCA8336}" type="sibTrans" cxnId="{A4CDA5E6-4CA5-44D1-A97B-EB3E1957DDEB}">
      <dgm:prSet/>
      <dgm:spPr/>
      <dgm:t>
        <a:bodyPr/>
        <a:lstStyle/>
        <a:p>
          <a:endParaRPr lang="en-GB"/>
        </a:p>
      </dgm:t>
    </dgm:pt>
    <dgm:pt modelId="{8E718F37-6502-4549-AF65-B0EFF13DE456}">
      <dgm:prSet phldrT="[Text]"/>
      <dgm:spPr>
        <a:xfrm>
          <a:off x="6027374" y="3946772"/>
          <a:ext cx="1245331" cy="871691"/>
        </a:xfrm>
        <a:solidFill>
          <a:srgbClr val="00B050"/>
        </a:solidFill>
        <a:ln w="25400" cap="flat" cmpd="sng" algn="ctr">
          <a:noFill/>
          <a:prstDash val="solid"/>
        </a:ln>
        <a:effectLst/>
      </dgm:spPr>
      <dgm:t>
        <a:bodyPr/>
        <a:lstStyle/>
        <a:p>
          <a:r>
            <a:rPr lang="en-GB">
              <a:solidFill>
                <a:sysClr val="window" lastClr="FFFFFF"/>
              </a:solidFill>
              <a:latin typeface="Calibri"/>
              <a:ea typeface="+mn-ea"/>
              <a:cs typeface="+mn-cs"/>
            </a:rPr>
            <a:t>Repayment plans will be reviewed at least every 6 months</a:t>
          </a:r>
        </a:p>
      </dgm:t>
    </dgm:pt>
    <dgm:pt modelId="{E29FE753-5ACD-4C2A-85C2-345D290EDEC5}" type="parTrans" cxnId="{8D9C262C-0931-44C4-BF7D-E93A96139AC3}">
      <dgm:prSet/>
      <dgm:spPr/>
      <dgm:t>
        <a:bodyPr/>
        <a:lstStyle/>
        <a:p>
          <a:endParaRPr lang="en-GB"/>
        </a:p>
      </dgm:t>
    </dgm:pt>
    <dgm:pt modelId="{AB3C8864-A874-470C-BEA7-BF3D29096F69}" type="sibTrans" cxnId="{8D9C262C-0931-44C4-BF7D-E93A96139AC3}">
      <dgm:prSet/>
      <dgm:spPr/>
      <dgm:t>
        <a:bodyPr/>
        <a:lstStyle/>
        <a:p>
          <a:endParaRPr lang="en-GB"/>
        </a:p>
      </dgm:t>
    </dgm:pt>
    <dgm:pt modelId="{5C54CBD1-1268-4CA1-9E73-B969B2F154EB}">
      <dgm:prSet phldrT="[Text]" custT="1"/>
      <dgm:spPr>
        <a:xfrm>
          <a:off x="4714530" y="2077078"/>
          <a:ext cx="3395693" cy="704539"/>
        </a:xfrm>
        <a:noFill/>
        <a:ln>
          <a:noFill/>
        </a:ln>
        <a:effectLst/>
      </dgm:spPr>
      <dgm:t>
        <a:bodyPr/>
        <a:lstStyle/>
        <a:p>
          <a:endParaRPr lang="en-GB" sz="700">
            <a:solidFill>
              <a:sysClr val="windowText" lastClr="000000">
                <a:hueOff val="0"/>
                <a:satOff val="0"/>
                <a:lumOff val="0"/>
                <a:alphaOff val="0"/>
              </a:sysClr>
            </a:solidFill>
            <a:latin typeface="Calibri"/>
            <a:ea typeface="+mn-ea"/>
            <a:cs typeface="+mn-cs"/>
          </a:endParaRPr>
        </a:p>
      </dgm:t>
    </dgm:pt>
    <dgm:pt modelId="{E781623C-71F6-4CA0-847F-DA158ED36FD9}" type="parTrans" cxnId="{03A0BA6B-4F55-4A97-9545-51A02ECDC185}">
      <dgm:prSet/>
      <dgm:spPr/>
      <dgm:t>
        <a:bodyPr/>
        <a:lstStyle/>
        <a:p>
          <a:endParaRPr lang="en-GB"/>
        </a:p>
      </dgm:t>
    </dgm:pt>
    <dgm:pt modelId="{8F81E61E-B18F-4FD8-AE68-6860FA376172}" type="sibTrans" cxnId="{03A0BA6B-4F55-4A97-9545-51A02ECDC185}">
      <dgm:prSet/>
      <dgm:spPr/>
      <dgm:t>
        <a:bodyPr/>
        <a:lstStyle/>
        <a:p>
          <a:endParaRPr lang="en-GB"/>
        </a:p>
      </dgm:t>
    </dgm:pt>
    <dgm:pt modelId="{A74245F6-7F84-40E4-AEF2-7CC77735C8D8}">
      <dgm:prSet phldrT="[Text]" custT="1"/>
      <dgm:spPr>
        <a:xfrm>
          <a:off x="7312830" y="4029907"/>
          <a:ext cx="161230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A former employee is required to declare changes  in circumstances  which may allow  for early repayment.  This includes  where they are  due to retire. </a:t>
          </a:r>
        </a:p>
      </dgm:t>
    </dgm:pt>
    <dgm:pt modelId="{64DC96A1-2945-402A-865B-623DCF3BA73F}" type="parTrans" cxnId="{9EDECDBA-33F4-4D4B-8EDF-67C1233BFDDA}">
      <dgm:prSet/>
      <dgm:spPr/>
      <dgm:t>
        <a:bodyPr/>
        <a:lstStyle/>
        <a:p>
          <a:endParaRPr lang="en-GB"/>
        </a:p>
      </dgm:t>
    </dgm:pt>
    <dgm:pt modelId="{65E1D973-F238-4BDC-AE0B-51A440745E4E}" type="sibTrans" cxnId="{9EDECDBA-33F4-4D4B-8EDF-67C1233BFDDA}">
      <dgm:prSet/>
      <dgm:spPr/>
      <dgm:t>
        <a:bodyPr/>
        <a:lstStyle/>
        <a:p>
          <a:endParaRPr lang="en-GB"/>
        </a:p>
      </dgm:t>
    </dgm:pt>
    <dgm:pt modelId="{C19B8C1D-7F85-4733-B6BE-A71A8AAFD0B6}">
      <dgm:prSet phldrT="[Text]" custT="1"/>
      <dgm:spPr>
        <a:xfrm>
          <a:off x="6006108" y="3057727"/>
          <a:ext cx="185136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If a payment is missed from an installment plan, former employee will be contacted and if no payment made within one week, case referred to Debt Recovery Company</a:t>
          </a:r>
        </a:p>
      </dgm:t>
    </dgm:pt>
    <dgm:pt modelId="{51EFC561-C190-4B55-9C83-A2E6D0E44DA1}" type="parTrans" cxnId="{FAEDF0A4-4FA0-4074-9651-2DDD912D17BC}">
      <dgm:prSet/>
      <dgm:spPr/>
      <dgm:t>
        <a:bodyPr/>
        <a:lstStyle/>
        <a:p>
          <a:endParaRPr lang="en-GB"/>
        </a:p>
      </dgm:t>
    </dgm:pt>
    <dgm:pt modelId="{CF85DA32-7856-4DCE-82C5-6958D248BDC2}" type="sibTrans" cxnId="{FAEDF0A4-4FA0-4074-9651-2DDD912D17BC}">
      <dgm:prSet/>
      <dgm:spPr/>
      <dgm:t>
        <a:bodyPr/>
        <a:lstStyle/>
        <a:p>
          <a:endParaRPr lang="en-GB"/>
        </a:p>
      </dgm:t>
    </dgm:pt>
    <dgm:pt modelId="{8B9EBD61-9EBC-4C76-8822-A9B5DD2B6DCC}" type="pres">
      <dgm:prSet presAssocID="{16E98AA2-F3DB-47F0-BB5C-104BC27B14AB}" presName="rootnode" presStyleCnt="0">
        <dgm:presLayoutVars>
          <dgm:chMax/>
          <dgm:chPref/>
          <dgm:dir/>
          <dgm:animLvl val="lvl"/>
        </dgm:presLayoutVars>
      </dgm:prSet>
      <dgm:spPr/>
      <dgm:t>
        <a:bodyPr/>
        <a:lstStyle/>
        <a:p>
          <a:endParaRPr lang="en-US"/>
        </a:p>
      </dgm:t>
    </dgm:pt>
    <dgm:pt modelId="{3AAB4AC0-C956-4BBD-B104-44F8CC39C0CE}" type="pres">
      <dgm:prSet presAssocID="{9D33162C-C133-4135-986C-EB0BD9757322}" presName="composite" presStyleCnt="0"/>
      <dgm:spPr/>
    </dgm:pt>
    <dgm:pt modelId="{DBA5D506-8A15-4BCB-B7E0-5545DBCC0392}" type="pres">
      <dgm:prSet presAssocID="{9D33162C-C133-4135-986C-EB0BD9757322}" presName="bentUpArrow1" presStyleLbl="alignImgPlace1" presStyleIdx="0" presStyleCnt="4"/>
      <dgm:spPr>
        <a:xfrm rot="5400000">
          <a:off x="1074082" y="850028"/>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D8CAB-A0AD-4447-9D79-17C65677B54D}" type="pres">
      <dgm:prSet presAssocID="{9D33162C-C133-4135-986C-EB0BD9757322}" presName="ParentText" presStyleLbl="node1" presStyleIdx="0" presStyleCnt="5" custLinFactNeighborX="-812" custLinFactNeighborY="-10441">
        <dgm:presLayoutVars>
          <dgm:chMax val="1"/>
          <dgm:chPref val="1"/>
          <dgm:bulletEnabled val="1"/>
        </dgm:presLayoutVars>
      </dgm:prSet>
      <dgm:spPr>
        <a:prstGeom prst="roundRect">
          <a:avLst>
            <a:gd name="adj" fmla="val 16670"/>
          </a:avLst>
        </a:prstGeom>
      </dgm:spPr>
      <dgm:t>
        <a:bodyPr/>
        <a:lstStyle/>
        <a:p>
          <a:endParaRPr lang="en-US"/>
        </a:p>
      </dgm:t>
    </dgm:pt>
    <dgm:pt modelId="{4EC36A25-EDDC-4CCF-8BB2-E25E0C054D8B}" type="pres">
      <dgm:prSet presAssocID="{9D33162C-C133-4135-986C-EB0BD9757322}" presName="ChildText" presStyleLbl="revTx" presStyleIdx="0" presStyleCnt="5" custScaleX="217220" custLinFactNeighborX="58506" custLinFactNeighborY="2988">
        <dgm:presLayoutVars>
          <dgm:chMax val="0"/>
          <dgm:chPref val="0"/>
          <dgm:bulletEnabled val="1"/>
        </dgm:presLayoutVars>
      </dgm:prSet>
      <dgm:spPr>
        <a:prstGeom prst="rect">
          <a:avLst/>
        </a:prstGeom>
      </dgm:spPr>
      <dgm:t>
        <a:bodyPr/>
        <a:lstStyle/>
        <a:p>
          <a:endParaRPr lang="en-US"/>
        </a:p>
      </dgm:t>
    </dgm:pt>
    <dgm:pt modelId="{F50D2CDD-897C-43C0-8CB2-19B389AFE8A8}" type="pres">
      <dgm:prSet presAssocID="{03F61B7A-CC96-43B8-BE14-5914A8EF25F9}" presName="sibTrans" presStyleCnt="0"/>
      <dgm:spPr/>
    </dgm:pt>
    <dgm:pt modelId="{FEF3F11F-DE15-459E-BFCD-2D2190CA98FA}" type="pres">
      <dgm:prSet presAssocID="{C29C9B3D-A359-479F-88F1-D828BB927272}" presName="composite" presStyleCnt="0"/>
      <dgm:spPr/>
    </dgm:pt>
    <dgm:pt modelId="{0761BBCA-C449-484E-9CB8-EAEA539C427B}" type="pres">
      <dgm:prSet presAssocID="{C29C9B3D-A359-479F-88F1-D828BB927272}" presName="bentUpArrow1" presStyleLbl="alignImgPlace1" presStyleIdx="1" presStyleCnt="4"/>
      <dgm:spPr>
        <a:xfrm rot="5400000">
          <a:off x="2361404" y="1829225"/>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5E677D-EBAE-435A-A81D-A37CC31CA252}" type="pres">
      <dgm:prSet presAssocID="{C29C9B3D-A359-479F-88F1-D828BB927272}" presName="ParentText" presStyleLbl="node1" presStyleIdx="1" presStyleCnt="5" custLinFactNeighborX="-24361" custLinFactNeighborY="-3480">
        <dgm:presLayoutVars>
          <dgm:chMax val="1"/>
          <dgm:chPref val="1"/>
          <dgm:bulletEnabled val="1"/>
        </dgm:presLayoutVars>
      </dgm:prSet>
      <dgm:spPr>
        <a:prstGeom prst="roundRect">
          <a:avLst>
            <a:gd name="adj" fmla="val 16670"/>
          </a:avLst>
        </a:prstGeom>
      </dgm:spPr>
      <dgm:t>
        <a:bodyPr/>
        <a:lstStyle/>
        <a:p>
          <a:endParaRPr lang="en-US"/>
        </a:p>
      </dgm:t>
    </dgm:pt>
    <dgm:pt modelId="{608E4BF3-8D8E-466E-B36B-474864A5418D}" type="pres">
      <dgm:prSet presAssocID="{C29C9B3D-A359-479F-88F1-D828BB927272}" presName="ChildText" presStyleLbl="revTx" presStyleIdx="1" presStyleCnt="5" custScaleX="358887" custLinFactX="48811" custLinFactNeighborX="100000" custLinFactNeighborY="222">
        <dgm:presLayoutVars>
          <dgm:chMax val="0"/>
          <dgm:chPref val="0"/>
          <dgm:bulletEnabled val="1"/>
        </dgm:presLayoutVars>
      </dgm:prSet>
      <dgm:spPr>
        <a:prstGeom prst="rect">
          <a:avLst/>
        </a:prstGeom>
      </dgm:spPr>
      <dgm:t>
        <a:bodyPr/>
        <a:lstStyle/>
        <a:p>
          <a:endParaRPr lang="en-US"/>
        </a:p>
      </dgm:t>
    </dgm:pt>
    <dgm:pt modelId="{3E0C7163-C700-45E7-931E-17830D05F3BA}" type="pres">
      <dgm:prSet presAssocID="{ADBA9FC0-7809-486E-A052-1FBA4DA42DAB}" presName="sibTrans" presStyleCnt="0"/>
      <dgm:spPr/>
    </dgm:pt>
    <dgm:pt modelId="{C6C618C1-8D9B-4EBB-82D4-EB31BC545786}" type="pres">
      <dgm:prSet presAssocID="{651586C4-F6D9-44CA-8474-6DF706573A98}" presName="composite" presStyleCnt="0"/>
      <dgm:spPr/>
    </dgm:pt>
    <dgm:pt modelId="{69EF262F-2D46-4184-A069-27CCEF5CDCAB}" type="pres">
      <dgm:prSet presAssocID="{651586C4-F6D9-44CA-8474-6DF706573A98}" presName="bentUpArrow1" presStyleLbl="alignImgPlace1" presStyleIdx="2" presStyleCnt="4"/>
      <dgm:spPr>
        <a:xfrm rot="5400000">
          <a:off x="3648725" y="2808423"/>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7DAD0-DEED-4FE8-8CC5-8EAFE2AD9FF4}" type="pres">
      <dgm:prSet presAssocID="{651586C4-F6D9-44CA-8474-6DF706573A98}" presName="ParentText" presStyleLbl="node1" presStyleIdx="2" presStyleCnt="5">
        <dgm:presLayoutVars>
          <dgm:chMax val="1"/>
          <dgm:chPref val="1"/>
          <dgm:bulletEnabled val="1"/>
        </dgm:presLayoutVars>
      </dgm:prSet>
      <dgm:spPr>
        <a:prstGeom prst="roundRect">
          <a:avLst>
            <a:gd name="adj" fmla="val 16670"/>
          </a:avLst>
        </a:prstGeom>
      </dgm:spPr>
      <dgm:t>
        <a:bodyPr/>
        <a:lstStyle/>
        <a:p>
          <a:endParaRPr lang="en-US"/>
        </a:p>
      </dgm:t>
    </dgm:pt>
    <dgm:pt modelId="{312B379B-6AB6-4B7E-BD33-E6B2ABDE45E8}" type="pres">
      <dgm:prSet presAssocID="{651586C4-F6D9-44CA-8474-6DF706573A98}" presName="ChildText" presStyleLbl="revTx" presStyleIdx="2" presStyleCnt="5" custScaleX="374910" custLinFactX="39273" custLinFactNeighborX="100000" custLinFactNeighborY="790">
        <dgm:presLayoutVars>
          <dgm:chMax val="0"/>
          <dgm:chPref val="0"/>
          <dgm:bulletEnabled val="1"/>
        </dgm:presLayoutVars>
      </dgm:prSet>
      <dgm:spPr>
        <a:prstGeom prst="rect">
          <a:avLst/>
        </a:prstGeom>
      </dgm:spPr>
      <dgm:t>
        <a:bodyPr/>
        <a:lstStyle/>
        <a:p>
          <a:endParaRPr lang="en-US"/>
        </a:p>
      </dgm:t>
    </dgm:pt>
    <dgm:pt modelId="{D7143E93-123B-438A-B4F7-0978936F7E16}" type="pres">
      <dgm:prSet presAssocID="{B6FDF9A3-7E99-486A-B6BF-3CDD2B7D8269}" presName="sibTrans" presStyleCnt="0"/>
      <dgm:spPr/>
    </dgm:pt>
    <dgm:pt modelId="{E197A8B8-7550-44FE-ADF0-87CE2DD63969}" type="pres">
      <dgm:prSet presAssocID="{1E489800-6B35-46B2-8C90-72E1E9EB680B}" presName="composite" presStyleCnt="0"/>
      <dgm:spPr/>
    </dgm:pt>
    <dgm:pt modelId="{4049AC80-42C2-4EAB-88AB-ED65585E578C}" type="pres">
      <dgm:prSet presAssocID="{1E489800-6B35-46B2-8C90-72E1E9EB680B}" presName="bentUpArrow1" presStyleLbl="alignImgPlace1" presStyleIdx="3" presStyleCnt="4"/>
      <dgm:spPr>
        <a:xfrm rot="5400000">
          <a:off x="4936046" y="3787620"/>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80AF3A-E97F-4258-94AB-F4208896B0A9}" type="pres">
      <dgm:prSet presAssocID="{1E489800-6B35-46B2-8C90-72E1E9EB680B}" presName="ParentText" presStyleLbl="node1" presStyleIdx="3" presStyleCnt="5">
        <dgm:presLayoutVars>
          <dgm:chMax val="1"/>
          <dgm:chPref val="1"/>
          <dgm:bulletEnabled val="1"/>
        </dgm:presLayoutVars>
      </dgm:prSet>
      <dgm:spPr>
        <a:prstGeom prst="roundRect">
          <a:avLst>
            <a:gd name="adj" fmla="val 16670"/>
          </a:avLst>
        </a:prstGeom>
      </dgm:spPr>
      <dgm:t>
        <a:bodyPr/>
        <a:lstStyle/>
        <a:p>
          <a:endParaRPr lang="en-US"/>
        </a:p>
      </dgm:t>
    </dgm:pt>
    <dgm:pt modelId="{DBA84948-E936-4784-9F87-E32E7459A1DA}" type="pres">
      <dgm:prSet presAssocID="{1E489800-6B35-46B2-8C90-72E1E9EB680B}" presName="ChildText" presStyleLbl="revTx" presStyleIdx="3" presStyleCnt="5" custScaleX="204404" custScaleY="201965" custLinFactNeighborX="54490" custLinFactNeighborY="996">
        <dgm:presLayoutVars>
          <dgm:chMax val="0"/>
          <dgm:chPref val="0"/>
          <dgm:bulletEnabled val="1"/>
        </dgm:presLayoutVars>
      </dgm:prSet>
      <dgm:spPr>
        <a:prstGeom prst="rect">
          <a:avLst/>
        </a:prstGeom>
      </dgm:spPr>
      <dgm:t>
        <a:bodyPr/>
        <a:lstStyle/>
        <a:p>
          <a:endParaRPr lang="en-US"/>
        </a:p>
      </dgm:t>
    </dgm:pt>
    <dgm:pt modelId="{FCFAD83A-70A2-48E5-82A7-CEE3A5AEB113}" type="pres">
      <dgm:prSet presAssocID="{A4B22FD4-EF40-4B5C-922F-4C06E43E99EE}" presName="sibTrans" presStyleCnt="0"/>
      <dgm:spPr/>
    </dgm:pt>
    <dgm:pt modelId="{0755041A-B42C-4EC5-AEAD-BB7668682377}" type="pres">
      <dgm:prSet presAssocID="{8E718F37-6502-4549-AF65-B0EFF13DE456}" presName="composite" presStyleCnt="0"/>
      <dgm:spPr/>
    </dgm:pt>
    <dgm:pt modelId="{36545160-AB31-4B8D-9876-3323461D7D08}" type="pres">
      <dgm:prSet presAssocID="{8E718F37-6502-4549-AF65-B0EFF13DE456}" presName="ParentText" presStyleLbl="node1" presStyleIdx="4" presStyleCnt="5">
        <dgm:presLayoutVars>
          <dgm:chMax val="1"/>
          <dgm:chPref val="1"/>
          <dgm:bulletEnabled val="1"/>
        </dgm:presLayoutVars>
      </dgm:prSet>
      <dgm:spPr>
        <a:prstGeom prst="roundRect">
          <a:avLst>
            <a:gd name="adj" fmla="val 16670"/>
          </a:avLst>
        </a:prstGeom>
      </dgm:spPr>
      <dgm:t>
        <a:bodyPr/>
        <a:lstStyle/>
        <a:p>
          <a:endParaRPr lang="en-US"/>
        </a:p>
      </dgm:t>
    </dgm:pt>
    <dgm:pt modelId="{CC7902D0-EB54-4109-BFE8-F4EB407582A0}" type="pres">
      <dgm:prSet presAssocID="{8E718F37-6502-4549-AF65-B0EFF13DE456}" presName="FinalChildText" presStyleLbl="revTx" presStyleIdx="4" presStyleCnt="5" custScaleX="178010" custLinFactNeighborX="43435">
        <dgm:presLayoutVars>
          <dgm:chMax val="0"/>
          <dgm:chPref val="0"/>
          <dgm:bulletEnabled val="1"/>
        </dgm:presLayoutVars>
      </dgm:prSet>
      <dgm:spPr>
        <a:prstGeom prst="rect">
          <a:avLst/>
        </a:prstGeom>
      </dgm:spPr>
      <dgm:t>
        <a:bodyPr/>
        <a:lstStyle/>
        <a:p>
          <a:endParaRPr lang="en-US"/>
        </a:p>
      </dgm:t>
    </dgm:pt>
  </dgm:ptLst>
  <dgm:cxnLst>
    <dgm:cxn modelId="{2D986E56-DBBF-4A72-ABAA-9D16E752674A}" srcId="{9D33162C-C133-4135-986C-EB0BD9757322}" destId="{E71CE29A-835C-474A-94AD-56D37B86CCA3}" srcOrd="0" destOrd="0" parTransId="{49B99828-353E-4A87-90C4-B11C7E25085C}" sibTransId="{2AEB887D-6B4F-4928-9909-C5B36960BFB2}"/>
    <dgm:cxn modelId="{B98391B8-5E23-44C0-84CD-4453AE34A7DD}" type="presOf" srcId="{1E489800-6B35-46B2-8C90-72E1E9EB680B}" destId="{AA80AF3A-E97F-4258-94AB-F4208896B0A9}" srcOrd="0" destOrd="0" presId="urn:microsoft.com/office/officeart/2005/8/layout/StepDownProcess"/>
    <dgm:cxn modelId="{DF28BAFF-7FA7-44F9-8D57-9514C6B52BC7}" type="presOf" srcId="{A74245F6-7F84-40E4-AEF2-7CC77735C8D8}" destId="{CC7902D0-EB54-4109-BFE8-F4EB407582A0}" srcOrd="0" destOrd="0" presId="urn:microsoft.com/office/officeart/2005/8/layout/StepDownProcess"/>
    <dgm:cxn modelId="{F427207E-B233-497B-82B1-E604C6C2F3FD}" type="presOf" srcId="{16E98AA2-F3DB-47F0-BB5C-104BC27B14AB}" destId="{8B9EBD61-9EBC-4C76-8822-A9B5DD2B6DCC}" srcOrd="0" destOrd="0" presId="urn:microsoft.com/office/officeart/2005/8/layout/StepDownProcess"/>
    <dgm:cxn modelId="{56948741-2DEF-4815-906D-FE9D67A3F0B2}" type="presOf" srcId="{32BB7D11-719E-4522-8752-8EE78EDF65A4}" destId="{608E4BF3-8D8E-466E-B36B-474864A5418D}" srcOrd="0" destOrd="1" presId="urn:microsoft.com/office/officeart/2005/8/layout/StepDownProcess"/>
    <dgm:cxn modelId="{63637DF5-44DF-45B8-92FB-B87DE723D655}" type="presOf" srcId="{651586C4-F6D9-44CA-8474-6DF706573A98}" destId="{C647DAD0-DEED-4FE8-8CC5-8EAFE2AD9FF4}" srcOrd="0" destOrd="0" presId="urn:microsoft.com/office/officeart/2005/8/layout/StepDownProcess"/>
    <dgm:cxn modelId="{9EDECDBA-33F4-4D4B-8EDF-67C1233BFDDA}" srcId="{8E718F37-6502-4549-AF65-B0EFF13DE456}" destId="{A74245F6-7F84-40E4-AEF2-7CC77735C8D8}" srcOrd="0" destOrd="0" parTransId="{64DC96A1-2945-402A-865B-623DCF3BA73F}" sibTransId="{65E1D973-F238-4BDC-AE0B-51A440745E4E}"/>
    <dgm:cxn modelId="{D3B1E197-8626-4903-8F63-989E74EBCBBB}" type="presOf" srcId="{95E9258B-6C9E-45BA-86A2-A353E7D62539}" destId="{608E4BF3-8D8E-466E-B36B-474864A5418D}" srcOrd="0" destOrd="0" presId="urn:microsoft.com/office/officeart/2005/8/layout/StepDownProcess"/>
    <dgm:cxn modelId="{03A0BA6B-4F55-4A97-9545-51A02ECDC185}" srcId="{651586C4-F6D9-44CA-8474-6DF706573A98}" destId="{5C54CBD1-1268-4CA1-9E73-B969B2F154EB}" srcOrd="0" destOrd="0" parTransId="{E781623C-71F6-4CA0-847F-DA158ED36FD9}" sibTransId="{8F81E61E-B18F-4FD8-AE68-6860FA376172}"/>
    <dgm:cxn modelId="{8D9C262C-0931-44C4-BF7D-E93A96139AC3}" srcId="{16E98AA2-F3DB-47F0-BB5C-104BC27B14AB}" destId="{8E718F37-6502-4549-AF65-B0EFF13DE456}" srcOrd="4" destOrd="0" parTransId="{E29FE753-5ACD-4C2A-85C2-345D290EDEC5}" sibTransId="{AB3C8864-A874-470C-BEA7-BF3D29096F69}"/>
    <dgm:cxn modelId="{236BC6B4-411C-4085-BC75-9DE210888619}" type="presOf" srcId="{E71CE29A-835C-474A-94AD-56D37B86CCA3}" destId="{4EC36A25-EDDC-4CCF-8BB2-E25E0C054D8B}" srcOrd="0" destOrd="0" presId="urn:microsoft.com/office/officeart/2005/8/layout/StepDownProcess"/>
    <dgm:cxn modelId="{EFF8BFE4-FAD4-410E-8E80-5DDBBF40F7CF}" type="presOf" srcId="{5C54CBD1-1268-4CA1-9E73-B969B2F154EB}" destId="{312B379B-6AB6-4B7E-BD33-E6B2ABDE45E8}" srcOrd="0" destOrd="0" presId="urn:microsoft.com/office/officeart/2005/8/layout/StepDownProcess"/>
    <dgm:cxn modelId="{D801DDA2-C79D-4D46-BB9E-2CB00A2AEB19}" type="presOf" srcId="{C19B8C1D-7F85-4733-B6BE-A71A8AAFD0B6}" destId="{DBA84948-E936-4784-9F87-E32E7459A1DA}" srcOrd="0" destOrd="1" presId="urn:microsoft.com/office/officeart/2005/8/layout/StepDownProcess"/>
    <dgm:cxn modelId="{9406D569-63FF-422A-A627-641F5DA3BA0D}" type="presOf" srcId="{C29C9B3D-A359-479F-88F1-D828BB927272}" destId="{C65E677D-EBAE-435A-A81D-A37CC31CA252}" srcOrd="0" destOrd="0" presId="urn:microsoft.com/office/officeart/2005/8/layout/StepDownProcess"/>
    <dgm:cxn modelId="{D3DBEED0-B0C4-421D-A7BE-1B9B5776D9D9}" srcId="{16E98AA2-F3DB-47F0-BB5C-104BC27B14AB}" destId="{C29C9B3D-A359-479F-88F1-D828BB927272}" srcOrd="1" destOrd="0" parTransId="{4DD2E242-B622-48FE-9E24-464D5ABA0665}" sibTransId="{ADBA9FC0-7809-486E-A052-1FBA4DA42DAB}"/>
    <dgm:cxn modelId="{BE8971A0-9EDC-44DF-9308-2D73C2FE26D0}" srcId="{16E98AA2-F3DB-47F0-BB5C-104BC27B14AB}" destId="{9D33162C-C133-4135-986C-EB0BD9757322}" srcOrd="0" destOrd="0" parTransId="{2B4B9FC4-A6BE-46AC-A504-0643E36D9504}" sibTransId="{03F61B7A-CC96-43B8-BE14-5914A8EF25F9}"/>
    <dgm:cxn modelId="{9AC6D9DC-02B4-43D1-BD96-185EABC5482D}" srcId="{C29C9B3D-A359-479F-88F1-D828BB927272}" destId="{95E9258B-6C9E-45BA-86A2-A353E7D62539}" srcOrd="0" destOrd="0" parTransId="{0D78BE63-AA1B-4E53-B535-49F88CBE7250}" sibTransId="{DFB09631-6934-4C29-B141-CD6CDB4EA399}"/>
    <dgm:cxn modelId="{10CC3545-2357-48F5-A255-01C4F4CEF462}" type="presOf" srcId="{8E718F37-6502-4549-AF65-B0EFF13DE456}" destId="{36545160-AB31-4B8D-9876-3323461D7D08}" srcOrd="0" destOrd="0" presId="urn:microsoft.com/office/officeart/2005/8/layout/StepDownProcess"/>
    <dgm:cxn modelId="{A4CDA5E6-4CA5-44D1-A97B-EB3E1957DDEB}" srcId="{C29C9B3D-A359-479F-88F1-D828BB927272}" destId="{32BB7D11-719E-4522-8752-8EE78EDF65A4}" srcOrd="1" destOrd="0" parTransId="{7EEACFCE-EC90-4E69-AA7D-26B9E9C41609}" sibTransId="{2634C9B4-53DF-4F34-8E74-22FAFFCA8336}"/>
    <dgm:cxn modelId="{B6F18DFF-FE72-4440-89AD-63454A77E25A}" srcId="{16E98AA2-F3DB-47F0-BB5C-104BC27B14AB}" destId="{1E489800-6B35-46B2-8C90-72E1E9EB680B}" srcOrd="3" destOrd="0" parTransId="{38C3632B-6262-4C65-B9F2-66A2E2FC9E85}" sibTransId="{A4B22FD4-EF40-4B5C-922F-4C06E43E99EE}"/>
    <dgm:cxn modelId="{0E16B4B0-D09C-4682-825D-26380E8A965D}" srcId="{1E489800-6B35-46B2-8C90-72E1E9EB680B}" destId="{046E0376-F972-472F-B758-1FBD350DFCC0}" srcOrd="0" destOrd="0" parTransId="{3B3EF539-1147-4181-8A66-AC6AD29D1EEF}" sibTransId="{A1334E1F-BA45-4370-AC9D-D890154DB112}"/>
    <dgm:cxn modelId="{F9B5902B-599C-4022-B029-89495CEC9D24}" type="presOf" srcId="{046E0376-F972-472F-B758-1FBD350DFCC0}" destId="{DBA84948-E936-4784-9F87-E32E7459A1DA}" srcOrd="0" destOrd="0" presId="urn:microsoft.com/office/officeart/2005/8/layout/StepDownProcess"/>
    <dgm:cxn modelId="{FAEDF0A4-4FA0-4074-9651-2DDD912D17BC}" srcId="{1E489800-6B35-46B2-8C90-72E1E9EB680B}" destId="{C19B8C1D-7F85-4733-B6BE-A71A8AAFD0B6}" srcOrd="1" destOrd="0" parTransId="{51EFC561-C190-4B55-9C83-A2E6D0E44DA1}" sibTransId="{CF85DA32-7856-4DCE-82C5-6958D248BDC2}"/>
    <dgm:cxn modelId="{D5054D94-15C4-4C74-9D80-D5C216E94BAF}" srcId="{16E98AA2-F3DB-47F0-BB5C-104BC27B14AB}" destId="{651586C4-F6D9-44CA-8474-6DF706573A98}" srcOrd="2" destOrd="0" parTransId="{FD0B63A6-1AEC-4E92-AB55-D800FD5D058E}" sibTransId="{B6FDF9A3-7E99-486A-B6BF-3CDD2B7D8269}"/>
    <dgm:cxn modelId="{2508F8E5-5B86-471C-9470-C846D2A7B8AB}" type="presOf" srcId="{9D33162C-C133-4135-986C-EB0BD9757322}" destId="{287D8CAB-A0AD-4447-9D79-17C65677B54D}" srcOrd="0" destOrd="0" presId="urn:microsoft.com/office/officeart/2005/8/layout/StepDownProcess"/>
    <dgm:cxn modelId="{B7746642-0C42-49E5-9401-D793B5A544A4}" type="presParOf" srcId="{8B9EBD61-9EBC-4C76-8822-A9B5DD2B6DCC}" destId="{3AAB4AC0-C956-4BBD-B104-44F8CC39C0CE}" srcOrd="0" destOrd="0" presId="urn:microsoft.com/office/officeart/2005/8/layout/StepDownProcess"/>
    <dgm:cxn modelId="{338C91F6-7DBE-49FC-9380-0224E2342E68}" type="presParOf" srcId="{3AAB4AC0-C956-4BBD-B104-44F8CC39C0CE}" destId="{DBA5D506-8A15-4BCB-B7E0-5545DBCC0392}" srcOrd="0" destOrd="0" presId="urn:microsoft.com/office/officeart/2005/8/layout/StepDownProcess"/>
    <dgm:cxn modelId="{FE1BD58D-4A07-48DF-BAF3-1C79F803096D}" type="presParOf" srcId="{3AAB4AC0-C956-4BBD-B104-44F8CC39C0CE}" destId="{287D8CAB-A0AD-4447-9D79-17C65677B54D}" srcOrd="1" destOrd="0" presId="urn:microsoft.com/office/officeart/2005/8/layout/StepDownProcess"/>
    <dgm:cxn modelId="{4E466E99-2CBD-4DEA-A393-7B7D4DBCF089}" type="presParOf" srcId="{3AAB4AC0-C956-4BBD-B104-44F8CC39C0CE}" destId="{4EC36A25-EDDC-4CCF-8BB2-E25E0C054D8B}" srcOrd="2" destOrd="0" presId="urn:microsoft.com/office/officeart/2005/8/layout/StepDownProcess"/>
    <dgm:cxn modelId="{E88B09FD-2394-4078-B2AC-8C170A75B3D9}" type="presParOf" srcId="{8B9EBD61-9EBC-4C76-8822-A9B5DD2B6DCC}" destId="{F50D2CDD-897C-43C0-8CB2-19B389AFE8A8}" srcOrd="1" destOrd="0" presId="urn:microsoft.com/office/officeart/2005/8/layout/StepDownProcess"/>
    <dgm:cxn modelId="{BF4F5D10-0A16-4FF1-A7A3-318D2A7EE636}" type="presParOf" srcId="{8B9EBD61-9EBC-4C76-8822-A9B5DD2B6DCC}" destId="{FEF3F11F-DE15-459E-BFCD-2D2190CA98FA}" srcOrd="2" destOrd="0" presId="urn:microsoft.com/office/officeart/2005/8/layout/StepDownProcess"/>
    <dgm:cxn modelId="{55F2EA82-1898-466E-854D-EA2679A7E198}" type="presParOf" srcId="{FEF3F11F-DE15-459E-BFCD-2D2190CA98FA}" destId="{0761BBCA-C449-484E-9CB8-EAEA539C427B}" srcOrd="0" destOrd="0" presId="urn:microsoft.com/office/officeart/2005/8/layout/StepDownProcess"/>
    <dgm:cxn modelId="{EEC6B15B-A45D-47A9-A51E-56BDA2B4F26D}" type="presParOf" srcId="{FEF3F11F-DE15-459E-BFCD-2D2190CA98FA}" destId="{C65E677D-EBAE-435A-A81D-A37CC31CA252}" srcOrd="1" destOrd="0" presId="urn:microsoft.com/office/officeart/2005/8/layout/StepDownProcess"/>
    <dgm:cxn modelId="{5D1D99CE-C407-42B1-980F-8702FDE86F52}" type="presParOf" srcId="{FEF3F11F-DE15-459E-BFCD-2D2190CA98FA}" destId="{608E4BF3-8D8E-466E-B36B-474864A5418D}" srcOrd="2" destOrd="0" presId="urn:microsoft.com/office/officeart/2005/8/layout/StepDownProcess"/>
    <dgm:cxn modelId="{C7991364-E49C-462E-8844-DF240FB5961A}" type="presParOf" srcId="{8B9EBD61-9EBC-4C76-8822-A9B5DD2B6DCC}" destId="{3E0C7163-C700-45E7-931E-17830D05F3BA}" srcOrd="3" destOrd="0" presId="urn:microsoft.com/office/officeart/2005/8/layout/StepDownProcess"/>
    <dgm:cxn modelId="{91A5C225-ECDF-4E4B-9B3C-8BCB3933ADDB}" type="presParOf" srcId="{8B9EBD61-9EBC-4C76-8822-A9B5DD2B6DCC}" destId="{C6C618C1-8D9B-4EBB-82D4-EB31BC545786}" srcOrd="4" destOrd="0" presId="urn:microsoft.com/office/officeart/2005/8/layout/StepDownProcess"/>
    <dgm:cxn modelId="{2AF86499-1500-414E-AC61-84D3B06517EB}" type="presParOf" srcId="{C6C618C1-8D9B-4EBB-82D4-EB31BC545786}" destId="{69EF262F-2D46-4184-A069-27CCEF5CDCAB}" srcOrd="0" destOrd="0" presId="urn:microsoft.com/office/officeart/2005/8/layout/StepDownProcess"/>
    <dgm:cxn modelId="{7704C19D-CE05-4E0C-B122-93993B289A3D}" type="presParOf" srcId="{C6C618C1-8D9B-4EBB-82D4-EB31BC545786}" destId="{C647DAD0-DEED-4FE8-8CC5-8EAFE2AD9FF4}" srcOrd="1" destOrd="0" presId="urn:microsoft.com/office/officeart/2005/8/layout/StepDownProcess"/>
    <dgm:cxn modelId="{3C9D367D-7108-48A7-9AC0-F8477A8E1D79}" type="presParOf" srcId="{C6C618C1-8D9B-4EBB-82D4-EB31BC545786}" destId="{312B379B-6AB6-4B7E-BD33-E6B2ABDE45E8}" srcOrd="2" destOrd="0" presId="urn:microsoft.com/office/officeart/2005/8/layout/StepDownProcess"/>
    <dgm:cxn modelId="{E6679E3A-FAF1-4E04-B37A-AB7DC70D32FB}" type="presParOf" srcId="{8B9EBD61-9EBC-4C76-8822-A9B5DD2B6DCC}" destId="{D7143E93-123B-438A-B4F7-0978936F7E16}" srcOrd="5" destOrd="0" presId="urn:microsoft.com/office/officeart/2005/8/layout/StepDownProcess"/>
    <dgm:cxn modelId="{84BDEFBA-3787-455E-8A7A-61BE15AB45DF}" type="presParOf" srcId="{8B9EBD61-9EBC-4C76-8822-A9B5DD2B6DCC}" destId="{E197A8B8-7550-44FE-ADF0-87CE2DD63969}" srcOrd="6" destOrd="0" presId="urn:microsoft.com/office/officeart/2005/8/layout/StepDownProcess"/>
    <dgm:cxn modelId="{B36ADD79-3908-45BF-B14B-60E0FAF0D1E3}" type="presParOf" srcId="{E197A8B8-7550-44FE-ADF0-87CE2DD63969}" destId="{4049AC80-42C2-4EAB-88AB-ED65585E578C}" srcOrd="0" destOrd="0" presId="urn:microsoft.com/office/officeart/2005/8/layout/StepDownProcess"/>
    <dgm:cxn modelId="{14C63D93-D7D6-4FDF-85CC-C3801EF0D528}" type="presParOf" srcId="{E197A8B8-7550-44FE-ADF0-87CE2DD63969}" destId="{AA80AF3A-E97F-4258-94AB-F4208896B0A9}" srcOrd="1" destOrd="0" presId="urn:microsoft.com/office/officeart/2005/8/layout/StepDownProcess"/>
    <dgm:cxn modelId="{F5A1BA95-9A83-4360-BB1B-89CCB6F0D7C7}" type="presParOf" srcId="{E197A8B8-7550-44FE-ADF0-87CE2DD63969}" destId="{DBA84948-E936-4784-9F87-E32E7459A1DA}" srcOrd="2" destOrd="0" presId="urn:microsoft.com/office/officeart/2005/8/layout/StepDownProcess"/>
    <dgm:cxn modelId="{3A7EE8AF-A57F-4EA1-8AE4-0B33143D0F95}" type="presParOf" srcId="{8B9EBD61-9EBC-4C76-8822-A9B5DD2B6DCC}" destId="{FCFAD83A-70A2-48E5-82A7-CEE3A5AEB113}" srcOrd="7" destOrd="0" presId="urn:microsoft.com/office/officeart/2005/8/layout/StepDownProcess"/>
    <dgm:cxn modelId="{A4D0C4AE-A3D3-440D-A6C3-EE2F5AA8C47A}" type="presParOf" srcId="{8B9EBD61-9EBC-4C76-8822-A9B5DD2B6DCC}" destId="{0755041A-B42C-4EC5-AEAD-BB7668682377}" srcOrd="8" destOrd="0" presId="urn:microsoft.com/office/officeart/2005/8/layout/StepDownProcess"/>
    <dgm:cxn modelId="{6CCC9B58-684A-4BD7-B9B6-5B22CD26BB3F}" type="presParOf" srcId="{0755041A-B42C-4EC5-AEAD-BB7668682377}" destId="{36545160-AB31-4B8D-9876-3323461D7D08}" srcOrd="0" destOrd="0" presId="urn:microsoft.com/office/officeart/2005/8/layout/StepDownProcess"/>
    <dgm:cxn modelId="{C040B44C-4EDA-4BAE-8CC5-D8EDEDA64817}" type="presParOf" srcId="{0755041A-B42C-4EC5-AEAD-BB7668682377}" destId="{CC7902D0-EB54-4109-BFE8-F4EB407582A0}" srcOrd="1" destOrd="0" presId="urn:microsoft.com/office/officeart/2005/8/layout/StepDown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5D506-8A15-4BCB-B7E0-5545DBCC0392}">
      <dsp:nvSpPr>
        <dsp:cNvPr id="0" name=""/>
        <dsp:cNvSpPr/>
      </dsp:nvSpPr>
      <dsp:spPr>
        <a:xfrm rot="5400000">
          <a:off x="1264092" y="849792"/>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7D8CAB-A0AD-4447-9D79-17C65677B54D}">
      <dsp:nvSpPr>
        <dsp:cNvPr id="0" name=""/>
        <dsp:cNvSpPr/>
      </dsp:nvSpPr>
      <dsp:spPr>
        <a:xfrm>
          <a:off x="1067468" y="27108"/>
          <a:ext cx="1249337" cy="874495"/>
        </a:xfrm>
        <a:prstGeom prst="roundRect">
          <a:avLst>
            <a:gd name="adj" fmla="val 16670"/>
          </a:avLst>
        </a:prstGeom>
        <a:solidFill>
          <a:srgbClr val="00B050"/>
        </a:solidFill>
        <a:ln w="254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PAYROLL will write to the employee advising of overpayment value, and recovery plan</a:t>
          </a:r>
        </a:p>
      </dsp:txBody>
      <dsp:txXfrm>
        <a:off x="1110165" y="69805"/>
        <a:ext cx="1163943" cy="789101"/>
      </dsp:txXfrm>
    </dsp:sp>
    <dsp:sp modelId="{4EC36A25-EDDC-4CCF-8BB2-E25E0C054D8B}">
      <dsp:nvSpPr>
        <dsp:cNvPr id="0" name=""/>
        <dsp:cNvSpPr/>
      </dsp:nvSpPr>
      <dsp:spPr>
        <a:xfrm>
          <a:off x="2316805" y="110511"/>
          <a:ext cx="908648"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If the employee takes no action, deductions  will automatically be applied via payroll from the recovery start date </a:t>
          </a:r>
        </a:p>
      </dsp:txBody>
      <dsp:txXfrm>
        <a:off x="2316805" y="110511"/>
        <a:ext cx="908648" cy="706805"/>
      </dsp:txXfrm>
    </dsp:sp>
    <dsp:sp modelId="{0761BBCA-C449-484E-9CB8-EAEA539C427B}">
      <dsp:nvSpPr>
        <dsp:cNvPr id="0" name=""/>
        <dsp:cNvSpPr/>
      </dsp:nvSpPr>
      <dsp:spPr>
        <a:xfrm rot="5400000">
          <a:off x="2299925" y="1832139"/>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5E677D-EBAE-435A-A81D-A37CC31CA252}">
      <dsp:nvSpPr>
        <dsp:cNvPr id="0" name=""/>
        <dsp:cNvSpPr/>
      </dsp:nvSpPr>
      <dsp:spPr>
        <a:xfrm>
          <a:off x="2146778" y="1009455"/>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Where the employee disputes the overpayment, PAYROLL refer case to HR Directorate</a:t>
          </a:r>
        </a:p>
      </dsp:txBody>
      <dsp:txXfrm>
        <a:off x="2189475" y="1052152"/>
        <a:ext cx="1163943" cy="789101"/>
      </dsp:txXfrm>
    </dsp:sp>
    <dsp:sp modelId="{608E4BF3-8D8E-466E-B36B-474864A5418D}">
      <dsp:nvSpPr>
        <dsp:cNvPr id="0" name=""/>
        <dsp:cNvSpPr/>
      </dsp:nvSpPr>
      <dsp:spPr>
        <a:xfrm>
          <a:off x="3327174" y="1072453"/>
          <a:ext cx="3155510"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PAYROLL will refer case to the relevant HR directorate within 7 days of receipt of dispute.</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Within 14 days the HR Directorate will return the case to PAYROLL with instructions for payroll action.</a:t>
          </a:r>
        </a:p>
      </dsp:txBody>
      <dsp:txXfrm>
        <a:off x="3327174" y="1072453"/>
        <a:ext cx="3155510" cy="706805"/>
      </dsp:txXfrm>
    </dsp:sp>
    <dsp:sp modelId="{69EF262F-2D46-4184-A069-27CCEF5CDCAB}">
      <dsp:nvSpPr>
        <dsp:cNvPr id="0" name=""/>
        <dsp:cNvSpPr/>
      </dsp:nvSpPr>
      <dsp:spPr>
        <a:xfrm rot="5400000">
          <a:off x="3489061" y="2853222"/>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47DAD0-DEED-4FE8-8CC5-8EAFE2AD9FF4}">
      <dsp:nvSpPr>
        <dsp:cNvPr id="0" name=""/>
        <dsp:cNvSpPr/>
      </dsp:nvSpPr>
      <dsp:spPr>
        <a:xfrm>
          <a:off x="4314245" y="2900154"/>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Salary adjustment will be implemented from the next payrun</a:t>
          </a:r>
        </a:p>
      </dsp:txBody>
      <dsp:txXfrm>
        <a:off x="4356942" y="2942851"/>
        <a:ext cx="1163943" cy="789101"/>
      </dsp:txXfrm>
    </dsp:sp>
    <dsp:sp modelId="{312B379B-6AB6-4B7E-BD33-E6B2ABDE45E8}">
      <dsp:nvSpPr>
        <dsp:cNvPr id="0" name=""/>
        <dsp:cNvSpPr/>
      </dsp:nvSpPr>
      <dsp:spPr>
        <a:xfrm>
          <a:off x="4554137" y="1986579"/>
          <a:ext cx="3713929" cy="9510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The request has to include the justification for an extension request and must be supported by evidence of both income and expenditure.</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No more than 18 months will be given for any repayment plan</a:t>
          </a:r>
        </a:p>
      </dsp:txBody>
      <dsp:txXfrm>
        <a:off x="4554137" y="1986579"/>
        <a:ext cx="3713929" cy="951084"/>
      </dsp:txXfrm>
    </dsp:sp>
    <dsp:sp modelId="{4049AC80-42C2-4EAB-88AB-ED65585E578C}">
      <dsp:nvSpPr>
        <dsp:cNvPr id="0" name=""/>
        <dsp:cNvSpPr/>
      </dsp:nvSpPr>
      <dsp:spPr>
        <a:xfrm rot="5400000">
          <a:off x="4371591" y="3835569"/>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A80AF3A-E97F-4258-94AB-F4208896B0A9}">
      <dsp:nvSpPr>
        <dsp:cNvPr id="0" name=""/>
        <dsp:cNvSpPr/>
      </dsp:nvSpPr>
      <dsp:spPr>
        <a:xfrm>
          <a:off x="3056149" y="2002415"/>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The employee can submit a written request  for an extension to the repayment period</a:t>
          </a:r>
        </a:p>
      </dsp:txBody>
      <dsp:txXfrm>
        <a:off x="3098846" y="2045112"/>
        <a:ext cx="1163943" cy="789101"/>
      </dsp:txXfrm>
    </dsp:sp>
    <dsp:sp modelId="{DBA84948-E936-4784-9F87-E32E7459A1DA}">
      <dsp:nvSpPr>
        <dsp:cNvPr id="0" name=""/>
        <dsp:cNvSpPr/>
      </dsp:nvSpPr>
      <dsp:spPr>
        <a:xfrm>
          <a:off x="5430906" y="3103329"/>
          <a:ext cx="1416338"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5430906" y="3103329"/>
        <a:ext cx="1416338" cy="706805"/>
      </dsp:txXfrm>
    </dsp:sp>
    <dsp:sp modelId="{36545160-AB31-4B8D-9876-3323461D7D08}">
      <dsp:nvSpPr>
        <dsp:cNvPr id="0" name=""/>
        <dsp:cNvSpPr/>
      </dsp:nvSpPr>
      <dsp:spPr>
        <a:xfrm>
          <a:off x="5210801" y="4121115"/>
          <a:ext cx="1249337" cy="874495"/>
        </a:xfrm>
        <a:prstGeom prst="roundRect">
          <a:avLst>
            <a:gd name="adj" fmla="val 16670"/>
          </a:avLst>
        </a:prstGeom>
        <a:solidFill>
          <a:srgbClr val="00B050"/>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Review of Repayment plans  </a:t>
          </a:r>
        </a:p>
      </dsp:txBody>
      <dsp:txXfrm>
        <a:off x="5253498" y="4163812"/>
        <a:ext cx="1163943" cy="789101"/>
      </dsp:txXfrm>
    </dsp:sp>
    <dsp:sp modelId="{CC7902D0-EB54-4109-BFE8-F4EB407582A0}">
      <dsp:nvSpPr>
        <dsp:cNvPr id="0" name=""/>
        <dsp:cNvSpPr/>
      </dsp:nvSpPr>
      <dsp:spPr>
        <a:xfrm>
          <a:off x="6825342" y="3867555"/>
          <a:ext cx="1762796" cy="11253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An employee is required to declare changes  in circumstances  which may allow  for early repayment.  This includes  where an employee is due to retire.  Where accounts receivable are notified  of a change in the employee's circumstances, they will liaise with the employee to review the repayment plan.</a:t>
          </a:r>
        </a:p>
      </dsp:txBody>
      <dsp:txXfrm>
        <a:off x="6825342" y="3867555"/>
        <a:ext cx="1762796" cy="11253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5D506-8A15-4BCB-B7E0-5545DBCC0392}">
      <dsp:nvSpPr>
        <dsp:cNvPr id="0" name=""/>
        <dsp:cNvSpPr/>
      </dsp:nvSpPr>
      <dsp:spPr>
        <a:xfrm rot="5400000">
          <a:off x="1190992" y="755187"/>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7D8CAB-A0AD-4447-9D79-17C65677B54D}">
      <dsp:nvSpPr>
        <dsp:cNvPr id="0" name=""/>
        <dsp:cNvSpPr/>
      </dsp:nvSpPr>
      <dsp:spPr>
        <a:xfrm>
          <a:off x="1007033" y="0"/>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PAYROLL will write to the former employee advising of overpayment value and recovery plan</a:t>
          </a:r>
        </a:p>
      </dsp:txBody>
      <dsp:txXfrm>
        <a:off x="1045020" y="37987"/>
        <a:ext cx="1035540" cy="702049"/>
      </dsp:txXfrm>
    </dsp:sp>
    <dsp:sp modelId="{4EC36A25-EDDC-4CCF-8BB2-E25E0C054D8B}">
      <dsp:nvSpPr>
        <dsp:cNvPr id="0" name=""/>
        <dsp:cNvSpPr/>
      </dsp:nvSpPr>
      <dsp:spPr>
        <a:xfrm>
          <a:off x="2126733" y="116251"/>
          <a:ext cx="1756027"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2126733" y="116251"/>
        <a:ext cx="1756027" cy="628833"/>
      </dsp:txXfrm>
    </dsp:sp>
    <dsp:sp modelId="{0761BBCA-C449-484E-9CB8-EAEA539C427B}">
      <dsp:nvSpPr>
        <dsp:cNvPr id="0" name=""/>
        <dsp:cNvSpPr/>
      </dsp:nvSpPr>
      <dsp:spPr>
        <a:xfrm rot="5400000">
          <a:off x="2339983" y="1629165"/>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5E677D-EBAE-435A-A81D-A37CC31CA252}">
      <dsp:nvSpPr>
        <dsp:cNvPr id="0" name=""/>
        <dsp:cNvSpPr/>
      </dsp:nvSpPr>
      <dsp:spPr>
        <a:xfrm>
          <a:off x="1894275" y="870161"/>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Where the former employee disputes the overpayment, PAYROLL refer case to HR Directorate</a:t>
          </a:r>
        </a:p>
      </dsp:txBody>
      <dsp:txXfrm>
        <a:off x="1932262" y="908148"/>
        <a:ext cx="1035540" cy="702049"/>
      </dsp:txXfrm>
    </dsp:sp>
    <dsp:sp modelId="{608E4BF3-8D8E-466E-B36B-474864A5418D}">
      <dsp:nvSpPr>
        <dsp:cNvPr id="0" name=""/>
        <dsp:cNvSpPr/>
      </dsp:nvSpPr>
      <dsp:spPr>
        <a:xfrm>
          <a:off x="3433134" y="972835"/>
          <a:ext cx="2901277"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PAYROLL will refer the case to the HR Directorate within 7 days pf receipt of dispute and refer case back to PAYROLL within 14 days of receipt of dispute , with instructions for payroll.</a:t>
          </a:r>
        </a:p>
        <a:p>
          <a:pPr marL="57150" lvl="1" indent="-57150" algn="l" defTabSz="222250">
            <a:lnSpc>
              <a:spcPct val="90000"/>
            </a:lnSpc>
            <a:spcBef>
              <a:spcPct val="0"/>
            </a:spcBef>
            <a:spcAft>
              <a:spcPct val="15000"/>
            </a:spcAft>
            <a:buChar char="••"/>
          </a:pPr>
          <a:endParaRPr lang="en-GB" sz="500" kern="1200">
            <a:solidFill>
              <a:sysClr val="windowText" lastClr="000000">
                <a:hueOff val="0"/>
                <a:satOff val="0"/>
                <a:lumOff val="0"/>
                <a:alphaOff val="0"/>
              </a:sysClr>
            </a:solidFill>
            <a:latin typeface="Calibri"/>
            <a:ea typeface="+mn-ea"/>
            <a:cs typeface="+mn-cs"/>
          </a:endParaRPr>
        </a:p>
      </dsp:txBody>
      <dsp:txXfrm>
        <a:off x="3433134" y="972835"/>
        <a:ext cx="2901277" cy="628833"/>
      </dsp:txXfrm>
    </dsp:sp>
    <dsp:sp modelId="{69EF262F-2D46-4184-A069-27CCEF5CDCAB}">
      <dsp:nvSpPr>
        <dsp:cNvPr id="0" name=""/>
        <dsp:cNvSpPr/>
      </dsp:nvSpPr>
      <dsp:spPr>
        <a:xfrm rot="5400000">
          <a:off x="3488975" y="2503142"/>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47DAD0-DEED-4FE8-8CC5-8EAFE2AD9FF4}">
      <dsp:nvSpPr>
        <dsp:cNvPr id="0" name=""/>
        <dsp:cNvSpPr/>
      </dsp:nvSpPr>
      <dsp:spPr>
        <a:xfrm>
          <a:off x="3314042" y="1771214"/>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Invoice raised and sent to former employee</a:t>
          </a:r>
        </a:p>
      </dsp:txBody>
      <dsp:txXfrm>
        <a:off x="3352029" y="1809201"/>
        <a:ext cx="1035540" cy="702049"/>
      </dsp:txXfrm>
    </dsp:sp>
    <dsp:sp modelId="{312B379B-6AB6-4B7E-BD33-E6B2ABDE45E8}">
      <dsp:nvSpPr>
        <dsp:cNvPr id="0" name=""/>
        <dsp:cNvSpPr/>
      </dsp:nvSpPr>
      <dsp:spPr>
        <a:xfrm>
          <a:off x="4440254" y="1850384"/>
          <a:ext cx="3030808"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4440254" y="1850384"/>
        <a:ext cx="3030808" cy="628833"/>
      </dsp:txXfrm>
    </dsp:sp>
    <dsp:sp modelId="{4049AC80-42C2-4EAB-88AB-ED65585E578C}">
      <dsp:nvSpPr>
        <dsp:cNvPr id="0" name=""/>
        <dsp:cNvSpPr/>
      </dsp:nvSpPr>
      <dsp:spPr>
        <a:xfrm rot="5400000">
          <a:off x="4637967" y="3623512"/>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A80AF3A-E97F-4258-94AB-F4208896B0A9}">
      <dsp:nvSpPr>
        <dsp:cNvPr id="0" name=""/>
        <dsp:cNvSpPr/>
      </dsp:nvSpPr>
      <dsp:spPr>
        <a:xfrm>
          <a:off x="4463034" y="2891584"/>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Either :</a:t>
          </a:r>
        </a:p>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the total Overpayment will be payable  immediately;</a:t>
          </a:r>
        </a:p>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or the first installment payment will be due</a:t>
          </a:r>
        </a:p>
      </dsp:txBody>
      <dsp:txXfrm>
        <a:off x="4501021" y="2929571"/>
        <a:ext cx="1035540" cy="702049"/>
      </dsp:txXfrm>
    </dsp:sp>
    <dsp:sp modelId="{DBA84948-E936-4784-9F87-E32E7459A1DA}">
      <dsp:nvSpPr>
        <dsp:cNvPr id="0" name=""/>
        <dsp:cNvSpPr/>
      </dsp:nvSpPr>
      <dsp:spPr>
        <a:xfrm>
          <a:off x="5593045" y="2651455"/>
          <a:ext cx="1652421" cy="1270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Former employee can submit written request for extension up to a maximum of 18 months repayment plan. </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If a payment is missed from an installment plan, former employee will be contacted and if no payment made within one week, case referred to Debt Recovery Company</a:t>
          </a:r>
        </a:p>
      </dsp:txBody>
      <dsp:txXfrm>
        <a:off x="5593045" y="2651455"/>
        <a:ext cx="1652421" cy="1270023"/>
      </dsp:txXfrm>
    </dsp:sp>
    <dsp:sp modelId="{36545160-AB31-4B8D-9876-3323461D7D08}">
      <dsp:nvSpPr>
        <dsp:cNvPr id="0" name=""/>
        <dsp:cNvSpPr/>
      </dsp:nvSpPr>
      <dsp:spPr>
        <a:xfrm>
          <a:off x="5612026" y="3765562"/>
          <a:ext cx="1111514" cy="778023"/>
        </a:xfrm>
        <a:prstGeom prst="roundRect">
          <a:avLst>
            <a:gd name="adj" fmla="val 16670"/>
          </a:avLst>
        </a:prstGeom>
        <a:solidFill>
          <a:srgbClr val="00B050"/>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Repayment plans will be reviewed at least every 6 months</a:t>
          </a:r>
        </a:p>
      </dsp:txBody>
      <dsp:txXfrm>
        <a:off x="5650013" y="3803549"/>
        <a:ext cx="1035540" cy="702049"/>
      </dsp:txXfrm>
    </dsp:sp>
    <dsp:sp modelId="{CC7902D0-EB54-4109-BFE8-F4EB407582A0}">
      <dsp:nvSpPr>
        <dsp:cNvPr id="0" name=""/>
        <dsp:cNvSpPr/>
      </dsp:nvSpPr>
      <dsp:spPr>
        <a:xfrm>
          <a:off x="6759353" y="3839764"/>
          <a:ext cx="1439049"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A former employee is required to declare changes  in circumstances  which may allow  for early repayment.  This includes  where they are  due to retire. </a:t>
          </a:r>
        </a:p>
      </dsp:txBody>
      <dsp:txXfrm>
        <a:off x="6759353" y="3839764"/>
        <a:ext cx="1439049" cy="62883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4827</Words>
  <Characters>27518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Tanya (EAST LONDON NHS FOUNDATION TRUST)</dc:creator>
  <cp:keywords/>
  <dc:description/>
  <cp:lastModifiedBy>Khatun Rashida</cp:lastModifiedBy>
  <cp:revision>2</cp:revision>
  <cp:lastPrinted>2023-04-26T13:14:00Z</cp:lastPrinted>
  <dcterms:created xsi:type="dcterms:W3CDTF">2023-07-19T10:23:00Z</dcterms:created>
  <dcterms:modified xsi:type="dcterms:W3CDTF">2023-07-19T10:23:00Z</dcterms:modified>
</cp:coreProperties>
</file>