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0B425F" w:rsidR="66AFC795" w:rsidP="4A02F5E4" w:rsidRDefault="66AFC795" w14:paraId="07AE5F56" w14:textId="712A0670">
      <w:pPr>
        <w:jc w:val="center"/>
        <w:rPr>
          <w:sz w:val="24"/>
        </w:rPr>
      </w:pPr>
      <w:r w:rsidRPr="000B425F">
        <w:rPr>
          <w:rFonts w:ascii="Arial" w:hAnsi="Arial" w:eastAsia="Arial" w:cs="Arial"/>
          <w:b/>
          <w:bCs/>
          <w:sz w:val="24"/>
        </w:rPr>
        <w:t xml:space="preserve">GUIDANCE AND PRINCIPLES FOR </w:t>
      </w:r>
      <w:r w:rsidRPr="000B425F" w:rsidR="000B425F">
        <w:rPr>
          <w:rFonts w:ascii="Arial" w:hAnsi="Arial" w:eastAsia="Arial" w:cs="Arial"/>
          <w:b/>
          <w:bCs/>
          <w:sz w:val="24"/>
        </w:rPr>
        <w:t xml:space="preserve">DOCUMENTING </w:t>
      </w:r>
      <w:r w:rsidRPr="000B425F">
        <w:rPr>
          <w:rFonts w:ascii="Arial" w:hAnsi="Arial" w:eastAsia="Arial" w:cs="Arial"/>
          <w:b/>
          <w:bCs/>
          <w:sz w:val="24"/>
        </w:rPr>
        <w:t>SECTION 117 AFTERCARE</w:t>
      </w:r>
      <w:r w:rsidRPr="000B425F" w:rsidR="000B425F">
        <w:rPr>
          <w:rFonts w:ascii="Arial" w:hAnsi="Arial" w:eastAsia="Arial" w:cs="Arial"/>
          <w:b/>
          <w:bCs/>
          <w:sz w:val="24"/>
        </w:rPr>
        <w:t xml:space="preserve"> ARRANGEMENTS</w:t>
      </w:r>
    </w:p>
    <w:p w:rsidR="66AFC795" w:rsidP="4A02F5E4" w:rsidRDefault="66AFC795" w14:paraId="43AA8733" w14:textId="583C289B">
      <w:pPr>
        <w:jc w:val="center"/>
        <w:rPr>
          <w:rFonts w:ascii="Arial" w:hAnsi="Arial" w:eastAsia="Arial" w:cs="Arial"/>
          <w:b/>
          <w:bCs/>
          <w:color w:val="7B7B7B" w:themeColor="accent3" w:themeShade="BF"/>
          <w:sz w:val="18"/>
          <w:szCs w:val="18"/>
        </w:rPr>
      </w:pPr>
      <w:r w:rsidRPr="4A02F5E4">
        <w:rPr>
          <w:rFonts w:ascii="Arial" w:hAnsi="Arial" w:eastAsia="Arial" w:cs="Arial"/>
          <w:b/>
          <w:bCs/>
          <w:color w:val="7B7B7B" w:themeColor="accent3" w:themeShade="BF"/>
          <w:sz w:val="18"/>
          <w:szCs w:val="18"/>
        </w:rPr>
        <w:t>DATE OF ISSUE: XX/XX/XXXX</w:t>
      </w:r>
    </w:p>
    <w:p w:rsidR="4A02F5E4" w:rsidP="4A02F5E4" w:rsidRDefault="4A02F5E4" w14:paraId="299C8CB9" w14:textId="1B715F04">
      <w:pPr>
        <w:rPr>
          <w:rFonts w:ascii="Arial" w:hAnsi="Arial" w:eastAsia="Arial" w:cs="Arial"/>
          <w:b/>
          <w:bCs/>
        </w:rPr>
      </w:pPr>
    </w:p>
    <w:p w:rsidR="66AFC795" w:rsidP="4A02F5E4" w:rsidRDefault="66AFC795" w14:paraId="04B29899" w14:textId="55A32077">
      <w:pPr>
        <w:rPr>
          <w:rFonts w:ascii="Arial" w:hAnsi="Arial" w:eastAsia="Arial" w:cs="Arial"/>
          <w:b/>
          <w:bCs/>
        </w:rPr>
      </w:pPr>
      <w:r w:rsidRPr="4A02F5E4">
        <w:rPr>
          <w:rFonts w:ascii="Arial" w:hAnsi="Arial" w:eastAsia="Arial" w:cs="Arial"/>
          <w:b/>
          <w:bCs/>
        </w:rPr>
        <w:t>CONTENTS</w:t>
      </w:r>
      <w:r w:rsidRPr="4A02F5E4" w:rsidR="0496108D">
        <w:rPr>
          <w:rFonts w:ascii="Arial" w:hAnsi="Arial" w:eastAsia="Arial" w:cs="Arial"/>
          <w:b/>
          <w:bCs/>
        </w:rPr>
        <w:t>:</w:t>
      </w:r>
    </w:p>
    <w:p w:rsidR="000B425F" w:rsidP="4A02F5E4" w:rsidRDefault="000B425F" w14:paraId="5FD14335" w14:textId="77777777">
      <w:pPr>
        <w:rPr>
          <w:rFonts w:ascii="Arial" w:hAnsi="Arial" w:eastAsia="Arial" w:cs="Arial"/>
        </w:rPr>
      </w:pPr>
    </w:p>
    <w:p w:rsidR="66AFC795" w:rsidP="4A02F5E4" w:rsidRDefault="66AFC795" w14:paraId="786A913F" w14:textId="56CF0A76">
      <w:pPr>
        <w:rPr>
          <w:rFonts w:ascii="Arial" w:hAnsi="Arial" w:eastAsia="Arial" w:cs="Arial"/>
        </w:rPr>
      </w:pPr>
      <w:r w:rsidRPr="4A02F5E4">
        <w:rPr>
          <w:rFonts w:ascii="Arial" w:hAnsi="Arial" w:eastAsia="Arial" w:cs="Arial"/>
        </w:rPr>
        <w:t>1.0</w:t>
      </w:r>
      <w:r>
        <w:tab/>
      </w:r>
      <w:r w:rsidRPr="4A02F5E4">
        <w:rPr>
          <w:rFonts w:ascii="Arial" w:hAnsi="Arial" w:eastAsia="Arial" w:cs="Arial"/>
        </w:rPr>
        <w:t xml:space="preserve"> Purpose of this document</w:t>
      </w:r>
    </w:p>
    <w:p w:rsidR="66AFC795" w:rsidP="4A02F5E4" w:rsidRDefault="66AFC795" w14:paraId="552BF36A" w14:textId="48368AED">
      <w:pPr>
        <w:rPr>
          <w:rFonts w:ascii="Arial" w:hAnsi="Arial" w:eastAsia="Arial" w:cs="Arial"/>
        </w:rPr>
      </w:pPr>
      <w:r w:rsidRPr="4A02F5E4">
        <w:rPr>
          <w:rFonts w:ascii="Arial" w:hAnsi="Arial" w:eastAsia="Arial" w:cs="Arial"/>
        </w:rPr>
        <w:t>2.0</w:t>
      </w:r>
      <w:r w:rsidRPr="4A02F5E4" w:rsidR="5E1457FD">
        <w:rPr>
          <w:rFonts w:ascii="Arial" w:hAnsi="Arial" w:eastAsia="Arial" w:cs="Arial"/>
        </w:rPr>
        <w:t xml:space="preserve"> </w:t>
      </w:r>
      <w:r>
        <w:tab/>
      </w:r>
      <w:r w:rsidRPr="4A02F5E4" w:rsidR="5E1457FD">
        <w:rPr>
          <w:rFonts w:ascii="Arial" w:hAnsi="Arial" w:eastAsia="Arial" w:cs="Arial"/>
        </w:rPr>
        <w:t>Pre-Admission Process</w:t>
      </w:r>
      <w:bookmarkStart w:name="_GoBack" w:id="0"/>
      <w:bookmarkEnd w:id="0"/>
    </w:p>
    <w:p w:rsidR="5E1457FD" w:rsidP="4A02F5E4" w:rsidRDefault="5E1457FD" w14:paraId="31A9D4B4" w14:textId="09A3DB51">
      <w:pPr>
        <w:rPr>
          <w:rFonts w:ascii="Arial" w:hAnsi="Arial" w:eastAsia="Arial" w:cs="Arial"/>
        </w:rPr>
      </w:pPr>
      <w:r w:rsidRPr="4A02F5E4">
        <w:rPr>
          <w:rFonts w:ascii="Arial" w:hAnsi="Arial" w:eastAsia="Arial" w:cs="Arial"/>
        </w:rPr>
        <w:t xml:space="preserve">3.0 </w:t>
      </w:r>
      <w:r>
        <w:tab/>
      </w:r>
      <w:r w:rsidRPr="4A02F5E4">
        <w:rPr>
          <w:rFonts w:ascii="Arial" w:hAnsi="Arial" w:eastAsia="Arial" w:cs="Arial"/>
        </w:rPr>
        <w:t>Inpatient Admission</w:t>
      </w:r>
    </w:p>
    <w:p w:rsidR="5E1457FD" w:rsidP="4A02F5E4" w:rsidRDefault="5E1457FD" w14:paraId="1002DEEE" w14:textId="61D40561">
      <w:pPr>
        <w:rPr>
          <w:rFonts w:ascii="Arial" w:hAnsi="Arial" w:eastAsia="Arial" w:cs="Arial"/>
        </w:rPr>
      </w:pPr>
      <w:r w:rsidRPr="4A02F5E4">
        <w:rPr>
          <w:rFonts w:ascii="Arial" w:hAnsi="Arial" w:eastAsia="Arial" w:cs="Arial"/>
        </w:rPr>
        <w:t xml:space="preserve">4.0 </w:t>
      </w:r>
      <w:r>
        <w:tab/>
      </w:r>
      <w:r w:rsidRPr="4A02F5E4">
        <w:rPr>
          <w:rFonts w:ascii="Arial" w:hAnsi="Arial" w:eastAsia="Arial" w:cs="Arial"/>
        </w:rPr>
        <w:t>Case Open Solely to GP</w:t>
      </w:r>
    </w:p>
    <w:p w:rsidR="5E1457FD" w:rsidP="4A02F5E4" w:rsidRDefault="5E1457FD" w14:paraId="60A6537E" w14:textId="16DB8AEA">
      <w:pPr>
        <w:rPr>
          <w:rFonts w:ascii="Arial" w:hAnsi="Arial" w:eastAsia="Arial" w:cs="Arial"/>
        </w:rPr>
      </w:pPr>
      <w:r w:rsidRPr="4A02F5E4">
        <w:rPr>
          <w:rFonts w:ascii="Arial" w:hAnsi="Arial" w:eastAsia="Arial" w:cs="Arial"/>
        </w:rPr>
        <w:t xml:space="preserve">5.0 </w:t>
      </w:r>
      <w:r>
        <w:tab/>
      </w:r>
      <w:r w:rsidRPr="4A02F5E4">
        <w:rPr>
          <w:rFonts w:ascii="Arial" w:hAnsi="Arial" w:eastAsia="Arial" w:cs="Arial"/>
        </w:rPr>
        <w:t>Cross-provider transfers</w:t>
      </w:r>
    </w:p>
    <w:p w:rsidR="5E1457FD" w:rsidP="4A02F5E4" w:rsidRDefault="5E1457FD" w14:paraId="1A0BE766" w14:textId="33215319">
      <w:pPr>
        <w:rPr>
          <w:rFonts w:ascii="Arial" w:hAnsi="Arial" w:eastAsia="Arial" w:cs="Arial"/>
        </w:rPr>
      </w:pPr>
      <w:r w:rsidRPr="4A02F5E4">
        <w:rPr>
          <w:rFonts w:ascii="Arial" w:hAnsi="Arial" w:eastAsia="Arial" w:cs="Arial"/>
        </w:rPr>
        <w:t xml:space="preserve">6.0 </w:t>
      </w:r>
      <w:r>
        <w:tab/>
      </w:r>
      <w:r w:rsidRPr="4A02F5E4">
        <w:rPr>
          <w:rFonts w:ascii="Arial" w:hAnsi="Arial" w:eastAsia="Arial" w:cs="Arial"/>
        </w:rPr>
        <w:t>Process for determining ICB/Local Authority Responsibilities</w:t>
      </w:r>
    </w:p>
    <w:p w:rsidR="2461CE6E" w:rsidP="4A02F5E4" w:rsidRDefault="2461CE6E" w14:paraId="6414D712" w14:textId="3C9D3B03">
      <w:pPr>
        <w:rPr>
          <w:rFonts w:ascii="Arial" w:hAnsi="Arial" w:eastAsia="Arial" w:cs="Arial"/>
        </w:rPr>
      </w:pPr>
      <w:r w:rsidRPr="4A02F5E4">
        <w:rPr>
          <w:rFonts w:ascii="Arial" w:hAnsi="Arial" w:eastAsia="Arial" w:cs="Arial"/>
        </w:rPr>
        <w:t xml:space="preserve">7.0 </w:t>
      </w:r>
      <w:r>
        <w:tab/>
      </w:r>
      <w:r w:rsidRPr="4A02F5E4">
        <w:rPr>
          <w:rFonts w:ascii="Arial" w:hAnsi="Arial" w:eastAsia="Arial" w:cs="Arial"/>
        </w:rPr>
        <w:t>Review Process</w:t>
      </w:r>
    </w:p>
    <w:p w:rsidR="2461CE6E" w:rsidP="4A02F5E4" w:rsidRDefault="2461CE6E" w14:paraId="7255C52F" w14:textId="2E2C6B0C">
      <w:pPr>
        <w:rPr>
          <w:rFonts w:ascii="Arial" w:hAnsi="Arial" w:eastAsia="Arial" w:cs="Arial"/>
        </w:rPr>
      </w:pPr>
      <w:r w:rsidRPr="4A02F5E4">
        <w:rPr>
          <w:rFonts w:ascii="Arial" w:hAnsi="Arial" w:eastAsia="Arial" w:cs="Arial"/>
        </w:rPr>
        <w:t>8</w:t>
      </w:r>
      <w:r w:rsidRPr="4A02F5E4" w:rsidR="5E1457FD">
        <w:rPr>
          <w:rFonts w:ascii="Arial" w:hAnsi="Arial" w:eastAsia="Arial" w:cs="Arial"/>
        </w:rPr>
        <w:t xml:space="preserve">.0 </w:t>
      </w:r>
      <w:r>
        <w:tab/>
      </w:r>
      <w:r w:rsidRPr="4A02F5E4" w:rsidR="5E1457FD">
        <w:rPr>
          <w:rFonts w:ascii="Arial" w:hAnsi="Arial" w:eastAsia="Arial" w:cs="Arial"/>
        </w:rPr>
        <w:t>Discharge Process</w:t>
      </w:r>
    </w:p>
    <w:p w:rsidR="000B425F" w:rsidP="4A02F5E4" w:rsidRDefault="000B425F" w14:paraId="79138499" w14:textId="54FB862B">
      <w:pPr>
        <w:rPr>
          <w:rFonts w:ascii="Arial" w:hAnsi="Arial" w:eastAsia="Arial" w:cs="Arial"/>
        </w:rPr>
      </w:pPr>
      <w:r>
        <w:rPr>
          <w:rFonts w:ascii="Arial" w:hAnsi="Arial" w:eastAsia="Arial" w:cs="Arial"/>
        </w:rPr>
        <w:t xml:space="preserve">9.0 </w:t>
      </w:r>
      <w:r>
        <w:rPr>
          <w:rFonts w:ascii="Arial" w:hAnsi="Arial" w:eastAsia="Arial" w:cs="Arial"/>
        </w:rPr>
        <w:tab/>
      </w:r>
      <w:r>
        <w:rPr>
          <w:rFonts w:ascii="Arial" w:hAnsi="Arial" w:eastAsia="Arial" w:cs="Arial"/>
        </w:rPr>
        <w:t>Section 117 Standard Operating Procedure</w:t>
      </w:r>
    </w:p>
    <w:p w:rsidR="4A02F5E4" w:rsidP="4A02F5E4" w:rsidRDefault="4A02F5E4" w14:paraId="36B85865" w14:textId="5670CAD1">
      <w:pPr>
        <w:rPr>
          <w:rFonts w:ascii="Arial" w:hAnsi="Arial" w:eastAsia="Arial" w:cs="Arial"/>
        </w:rPr>
      </w:pPr>
    </w:p>
    <w:p w:rsidR="007B7E31" w:rsidP="4A02F5E4" w:rsidRDefault="1FEA7D58" w14:paraId="5E5787A5" w14:textId="43F9BD60">
      <w:pPr>
        <w:rPr>
          <w:rFonts w:ascii="Arial" w:hAnsi="Arial" w:eastAsia="Arial" w:cs="Arial"/>
          <w:b/>
          <w:bCs/>
          <w:color w:val="4472C4" w:themeColor="accent1"/>
        </w:rPr>
      </w:pPr>
      <w:r w:rsidRPr="4A02F5E4">
        <w:rPr>
          <w:rFonts w:ascii="Arial" w:hAnsi="Arial" w:eastAsia="Arial" w:cs="Arial"/>
          <w:b/>
          <w:bCs/>
          <w:color w:val="4472C4" w:themeColor="accent1"/>
        </w:rPr>
        <w:t xml:space="preserve">1.0 </w:t>
      </w:r>
      <w:r w:rsidR="007A43B6">
        <w:rPr>
          <w:rFonts w:ascii="Arial" w:hAnsi="Arial" w:eastAsia="Arial" w:cs="Arial"/>
          <w:b/>
          <w:bCs/>
          <w:color w:val="4472C4" w:themeColor="accent1"/>
        </w:rPr>
        <w:t>PURPOSE OF THIS DOCUMENT</w:t>
      </w:r>
    </w:p>
    <w:p w:rsidR="70E6C51B" w:rsidP="4A02F5E4" w:rsidRDefault="70E6C51B" w14:paraId="335A2539" w14:textId="5DE482A4">
      <w:pPr>
        <w:jc w:val="both"/>
        <w:rPr>
          <w:rFonts w:ascii="Arial" w:hAnsi="Arial" w:eastAsia="Arial" w:cs="Arial"/>
          <w:sz w:val="18"/>
          <w:szCs w:val="18"/>
        </w:rPr>
      </w:pPr>
      <w:r w:rsidRPr="4AECD571">
        <w:rPr>
          <w:rFonts w:ascii="Arial" w:hAnsi="Arial" w:eastAsia="Arial" w:cs="Arial"/>
          <w:sz w:val="20"/>
          <w:szCs w:val="20"/>
        </w:rPr>
        <w:t>The purpose of this document is to provide guidance and goo</w:t>
      </w:r>
      <w:r w:rsidRPr="4AECD571" w:rsidR="00DF6FC3">
        <w:rPr>
          <w:rFonts w:ascii="Arial" w:hAnsi="Arial" w:eastAsia="Arial" w:cs="Arial"/>
          <w:sz w:val="20"/>
          <w:szCs w:val="20"/>
        </w:rPr>
        <w:t>d</w:t>
      </w:r>
      <w:r w:rsidRPr="4AECD571">
        <w:rPr>
          <w:rFonts w:ascii="Arial" w:hAnsi="Arial" w:eastAsia="Arial" w:cs="Arial"/>
          <w:sz w:val="20"/>
          <w:szCs w:val="20"/>
        </w:rPr>
        <w:t xml:space="preserve"> practice for agreeing</w:t>
      </w:r>
      <w:r w:rsidRPr="4AECD571" w:rsidR="5638EB86">
        <w:rPr>
          <w:rFonts w:ascii="Arial" w:hAnsi="Arial" w:eastAsia="Arial" w:cs="Arial"/>
          <w:sz w:val="20"/>
          <w:szCs w:val="20"/>
        </w:rPr>
        <w:t xml:space="preserve"> ELFT staff </w:t>
      </w:r>
      <w:r w:rsidRPr="4AECD571">
        <w:rPr>
          <w:rFonts w:ascii="Arial" w:hAnsi="Arial" w:eastAsia="Arial" w:cs="Arial"/>
          <w:sz w:val="20"/>
          <w:szCs w:val="20"/>
        </w:rPr>
        <w:t>responsibility</w:t>
      </w:r>
      <w:r w:rsidRPr="4AECD571" w:rsidR="0B6BF756">
        <w:rPr>
          <w:rFonts w:ascii="Arial" w:hAnsi="Arial" w:eastAsia="Arial" w:cs="Arial"/>
          <w:sz w:val="20"/>
          <w:szCs w:val="20"/>
        </w:rPr>
        <w:t xml:space="preserve"> </w:t>
      </w:r>
      <w:r w:rsidRPr="4AECD571">
        <w:rPr>
          <w:rFonts w:ascii="Arial" w:hAnsi="Arial" w:eastAsia="Arial" w:cs="Arial"/>
          <w:sz w:val="20"/>
          <w:szCs w:val="20"/>
        </w:rPr>
        <w:t>for after care services and funding responsibilities under Section 117 of the Mental Health Act 1983</w:t>
      </w:r>
      <w:r w:rsidRPr="4AECD571" w:rsidR="2210A6CE">
        <w:rPr>
          <w:rFonts w:ascii="Arial" w:hAnsi="Arial" w:eastAsia="Arial" w:cs="Arial"/>
          <w:sz w:val="20"/>
          <w:szCs w:val="20"/>
        </w:rPr>
        <w:t xml:space="preserve">. </w:t>
      </w:r>
      <w:r w:rsidRPr="4AECD571" w:rsidR="2342AFA7">
        <w:rPr>
          <w:rFonts w:ascii="Arial" w:hAnsi="Arial" w:eastAsia="Arial" w:cs="Arial"/>
          <w:sz w:val="20"/>
          <w:szCs w:val="20"/>
        </w:rPr>
        <w:t>This document should complement local Section 117 policies and procedures. It is not exhaustive and recognises that although correct at the time of distribution, there are likely to be changes to national legislation/guidance/policy developments or case law.</w:t>
      </w:r>
      <w:r w:rsidRPr="4AECD571" w:rsidR="1D604B65">
        <w:rPr>
          <w:rFonts w:ascii="Arial" w:hAnsi="Arial" w:eastAsia="Arial" w:cs="Arial"/>
          <w:sz w:val="20"/>
          <w:szCs w:val="20"/>
        </w:rPr>
        <w:t xml:space="preserve"> This document </w:t>
      </w:r>
      <w:proofErr w:type="gramStart"/>
      <w:r w:rsidRPr="4AECD571" w:rsidR="1D604B65">
        <w:rPr>
          <w:rFonts w:ascii="Arial" w:hAnsi="Arial" w:eastAsia="Arial" w:cs="Arial"/>
          <w:sz w:val="20"/>
          <w:szCs w:val="20"/>
        </w:rPr>
        <w:t>should not be used</w:t>
      </w:r>
      <w:proofErr w:type="gramEnd"/>
      <w:r w:rsidRPr="4AECD571" w:rsidR="1D604B65">
        <w:rPr>
          <w:rFonts w:ascii="Arial" w:hAnsi="Arial" w:eastAsia="Arial" w:cs="Arial"/>
          <w:sz w:val="20"/>
          <w:szCs w:val="20"/>
        </w:rPr>
        <w:t xml:space="preserve"> as a substitute for seeking local legal advice when required. </w:t>
      </w:r>
    </w:p>
    <w:p w:rsidR="06D18D61" w:rsidP="06D18D61" w:rsidRDefault="06D18D61" w14:paraId="5468FF82" w14:textId="30DC9B11">
      <w:pPr>
        <w:jc w:val="both"/>
        <w:rPr>
          <w:rFonts w:ascii="Arial" w:hAnsi="Arial" w:eastAsia="Arial" w:cs="Arial"/>
          <w:b/>
          <w:bCs/>
          <w:color w:val="4472C4" w:themeColor="accent1"/>
        </w:rPr>
      </w:pPr>
    </w:p>
    <w:p w:rsidR="690908AD" w:rsidP="4A02F5E4" w:rsidRDefault="690908AD" w14:paraId="67494FD8" w14:textId="565B296B">
      <w:pPr>
        <w:jc w:val="both"/>
        <w:rPr>
          <w:rFonts w:ascii="Arial" w:hAnsi="Arial" w:eastAsia="Arial" w:cs="Arial"/>
          <w:b/>
          <w:bCs/>
          <w:color w:val="4472C4" w:themeColor="accent1"/>
        </w:rPr>
      </w:pPr>
      <w:r w:rsidRPr="06D18D61">
        <w:rPr>
          <w:rFonts w:ascii="Arial" w:hAnsi="Arial" w:eastAsia="Arial" w:cs="Arial"/>
          <w:b/>
          <w:bCs/>
          <w:color w:val="4472C4" w:themeColor="accent1"/>
        </w:rPr>
        <w:t xml:space="preserve">2.0 </w:t>
      </w:r>
      <w:r w:rsidR="007A43B6">
        <w:rPr>
          <w:rFonts w:ascii="Arial" w:hAnsi="Arial" w:eastAsia="Arial" w:cs="Arial"/>
          <w:b/>
          <w:bCs/>
          <w:color w:val="4472C4" w:themeColor="accent1"/>
        </w:rPr>
        <w:t>PRE-ADMISSION PROCESS</w:t>
      </w:r>
    </w:p>
    <w:p w:rsidR="0F1E3B3E" w:rsidP="06D18D61" w:rsidRDefault="0F1E3B3E" w14:paraId="0FECE8CD" w14:textId="65502823">
      <w:pPr>
        <w:jc w:val="both"/>
        <w:rPr>
          <w:rFonts w:ascii="Arial" w:hAnsi="Arial" w:eastAsia="Arial" w:cs="Arial"/>
          <w:sz w:val="20"/>
          <w:szCs w:val="20"/>
        </w:rPr>
      </w:pPr>
      <w:r w:rsidRPr="4AECD571">
        <w:rPr>
          <w:rFonts w:ascii="Arial" w:hAnsi="Arial" w:eastAsia="Arial" w:cs="Arial"/>
          <w:sz w:val="20"/>
          <w:szCs w:val="20"/>
        </w:rPr>
        <w:t>This is when a service user presents to services through A&amp;E department or Section 13</w:t>
      </w:r>
      <w:r w:rsidRPr="4AECD571" w:rsidR="31B03133">
        <w:rPr>
          <w:rFonts w:ascii="Arial" w:hAnsi="Arial" w:eastAsia="Arial" w:cs="Arial"/>
          <w:sz w:val="20"/>
          <w:szCs w:val="20"/>
        </w:rPr>
        <w:t xml:space="preserve">5(1)/136 </w:t>
      </w:r>
      <w:r w:rsidRPr="4AECD571">
        <w:rPr>
          <w:rFonts w:ascii="Arial" w:hAnsi="Arial" w:eastAsia="Arial" w:cs="Arial"/>
          <w:sz w:val="20"/>
          <w:szCs w:val="20"/>
        </w:rPr>
        <w:t>(Police) and is assessed by the AM</w:t>
      </w:r>
      <w:r w:rsidRPr="4AECD571" w:rsidR="3E2DAFE6">
        <w:rPr>
          <w:rFonts w:ascii="Arial" w:hAnsi="Arial" w:eastAsia="Arial" w:cs="Arial"/>
          <w:sz w:val="20"/>
          <w:szCs w:val="20"/>
        </w:rPr>
        <w:t>H</w:t>
      </w:r>
      <w:r w:rsidRPr="4AECD571">
        <w:rPr>
          <w:rFonts w:ascii="Arial" w:hAnsi="Arial" w:eastAsia="Arial" w:cs="Arial"/>
          <w:sz w:val="20"/>
          <w:szCs w:val="20"/>
        </w:rPr>
        <w:t>P team that will carry out a full assessment and determine if the service user requires detention under a qualifying section of the Mental Health Act.</w:t>
      </w:r>
    </w:p>
    <w:p w:rsidR="007A43B6" w:rsidP="06D18D61" w:rsidRDefault="007A43B6" w14:paraId="4F20ACEB" w14:textId="77777777">
      <w:pPr>
        <w:jc w:val="both"/>
        <w:rPr>
          <w:rFonts w:ascii="Arial" w:hAnsi="Arial" w:eastAsia="Arial" w:cs="Arial"/>
          <w:sz w:val="20"/>
          <w:szCs w:val="20"/>
        </w:rPr>
      </w:pPr>
    </w:p>
    <w:tbl>
      <w:tblPr>
        <w:tblStyle w:val="TableGrid"/>
        <w:tblW w:w="0" w:type="auto"/>
        <w:tblLayout w:type="fixed"/>
        <w:tblLook w:val="06A0" w:firstRow="1" w:lastRow="0" w:firstColumn="1" w:lastColumn="0" w:noHBand="1" w:noVBand="1"/>
      </w:tblPr>
      <w:tblGrid>
        <w:gridCol w:w="9015"/>
      </w:tblGrid>
      <w:tr w:rsidR="06D18D61" w:rsidTr="007A43B6" w14:paraId="2AB4B84F" w14:textId="77777777">
        <w:trPr>
          <w:trHeight w:val="300"/>
        </w:trPr>
        <w:tc>
          <w:tcPr>
            <w:tcW w:w="9015" w:type="dxa"/>
            <w:shd w:val="clear" w:color="auto" w:fill="DEEAF6" w:themeFill="accent5" w:themeFillTint="33"/>
          </w:tcPr>
          <w:p w:rsidR="28809831" w:rsidP="06D18D61" w:rsidRDefault="28809831" w14:paraId="16B7D57B" w14:textId="0EAD1FC3">
            <w:pPr>
              <w:spacing w:line="259" w:lineRule="auto"/>
              <w:rPr>
                <w:rFonts w:ascii="Arial" w:hAnsi="Arial" w:eastAsia="Arial" w:cs="Arial"/>
                <w:b/>
                <w:bCs/>
                <w:color w:val="000000" w:themeColor="text1"/>
              </w:rPr>
            </w:pPr>
            <w:r w:rsidRPr="06D18D61">
              <w:rPr>
                <w:rFonts w:ascii="Arial" w:hAnsi="Arial" w:eastAsia="Arial" w:cs="Arial"/>
                <w:b/>
                <w:bCs/>
                <w:color w:val="000000" w:themeColor="text1"/>
              </w:rPr>
              <w:t>WHAT NEEDS TO BE COMPLETED</w:t>
            </w:r>
          </w:p>
        </w:tc>
      </w:tr>
      <w:tr w:rsidR="06D18D61" w:rsidTr="44996BE1" w14:paraId="2C4ED0F5" w14:textId="77777777">
        <w:trPr>
          <w:trHeight w:val="300"/>
        </w:trPr>
        <w:tc>
          <w:tcPr>
            <w:tcW w:w="9015" w:type="dxa"/>
          </w:tcPr>
          <w:p w:rsidR="28809831" w:rsidP="06D18D61" w:rsidRDefault="3559619C" w14:paraId="67B9C8D3" w14:textId="6224CE2C">
            <w:pPr>
              <w:jc w:val="both"/>
              <w:rPr>
                <w:rFonts w:ascii="Arial" w:hAnsi="Arial" w:eastAsia="Arial" w:cs="Arial"/>
                <w:sz w:val="20"/>
                <w:szCs w:val="20"/>
              </w:rPr>
            </w:pPr>
            <w:r w:rsidRPr="4AECD571">
              <w:rPr>
                <w:rFonts w:ascii="Arial" w:hAnsi="Arial" w:eastAsia="Arial" w:cs="Arial"/>
                <w:sz w:val="20"/>
                <w:szCs w:val="20"/>
              </w:rPr>
              <w:t xml:space="preserve">The Section 117 </w:t>
            </w:r>
            <w:r w:rsidRPr="4AECD571" w:rsidR="010F35C0">
              <w:rPr>
                <w:rFonts w:ascii="Arial" w:hAnsi="Arial" w:eastAsia="Arial" w:cs="Arial"/>
                <w:sz w:val="20"/>
                <w:szCs w:val="20"/>
              </w:rPr>
              <w:t xml:space="preserve">RiO documents need to be completed 24 hours after </w:t>
            </w:r>
            <w:proofErr w:type="gramStart"/>
            <w:r w:rsidRPr="4AECD571" w:rsidR="010F35C0">
              <w:rPr>
                <w:rFonts w:ascii="Arial" w:hAnsi="Arial" w:eastAsia="Arial" w:cs="Arial"/>
                <w:sz w:val="20"/>
                <w:szCs w:val="20"/>
              </w:rPr>
              <w:t>the initial clerking is uploaded by administrators at the Mental Health Act office or community team following the handover from an external provider</w:t>
            </w:r>
            <w:proofErr w:type="gramEnd"/>
            <w:r w:rsidRPr="4AECD571" w:rsidR="010F35C0">
              <w:rPr>
                <w:rFonts w:ascii="Arial" w:hAnsi="Arial" w:eastAsia="Arial" w:cs="Arial"/>
                <w:sz w:val="20"/>
                <w:szCs w:val="20"/>
              </w:rPr>
              <w:t>.</w:t>
            </w:r>
          </w:p>
          <w:p w:rsidR="06D18D61" w:rsidP="06D18D61" w:rsidRDefault="06D18D61" w14:paraId="31219F09" w14:textId="0CB310E7">
            <w:pPr>
              <w:jc w:val="both"/>
              <w:rPr>
                <w:rFonts w:ascii="Arial" w:hAnsi="Arial" w:eastAsia="Arial" w:cs="Arial"/>
                <w:sz w:val="20"/>
                <w:szCs w:val="20"/>
              </w:rPr>
            </w:pPr>
          </w:p>
        </w:tc>
      </w:tr>
      <w:tr w:rsidR="06D18D61" w:rsidTr="007A43B6" w14:paraId="6C349FF8" w14:textId="77777777">
        <w:trPr>
          <w:trHeight w:val="300"/>
        </w:trPr>
        <w:tc>
          <w:tcPr>
            <w:tcW w:w="9015" w:type="dxa"/>
            <w:shd w:val="clear" w:color="auto" w:fill="DEEAF6" w:themeFill="accent5" w:themeFillTint="33"/>
          </w:tcPr>
          <w:p w:rsidR="28809831" w:rsidP="06D18D61" w:rsidRDefault="28809831" w14:paraId="5F9EE8B0" w14:textId="40EC909F">
            <w:pPr>
              <w:spacing w:line="259" w:lineRule="auto"/>
              <w:jc w:val="both"/>
              <w:rPr>
                <w:rFonts w:ascii="Arial" w:hAnsi="Arial" w:eastAsia="Arial" w:cs="Arial"/>
                <w:b/>
                <w:bCs/>
                <w:sz w:val="24"/>
                <w:szCs w:val="24"/>
              </w:rPr>
            </w:pPr>
            <w:r w:rsidRPr="06D18D61">
              <w:rPr>
                <w:rFonts w:ascii="Arial" w:hAnsi="Arial" w:eastAsia="Arial" w:cs="Arial"/>
                <w:b/>
                <w:bCs/>
              </w:rPr>
              <w:t>WHO NEEDS TO COMPLETE THIS</w:t>
            </w:r>
          </w:p>
        </w:tc>
      </w:tr>
      <w:tr w:rsidR="06D18D61" w:rsidTr="44996BE1" w14:paraId="50C9B718" w14:textId="77777777">
        <w:trPr>
          <w:trHeight w:val="300"/>
        </w:trPr>
        <w:tc>
          <w:tcPr>
            <w:tcW w:w="9015" w:type="dxa"/>
          </w:tcPr>
          <w:p w:rsidR="00A87C90" w:rsidP="06D18D61" w:rsidRDefault="00A87C90" w14:paraId="13BFC280" w14:textId="77777777">
            <w:pPr>
              <w:jc w:val="both"/>
              <w:rPr>
                <w:rFonts w:ascii="Arial" w:hAnsi="Arial" w:eastAsia="Arial" w:cs="Arial"/>
                <w:sz w:val="20"/>
                <w:szCs w:val="20"/>
                <w:highlight w:val="yellow"/>
              </w:rPr>
            </w:pPr>
          </w:p>
          <w:p w:rsidR="28809831" w:rsidP="06D18D61" w:rsidRDefault="23104977" w14:paraId="7EA3B762" w14:textId="6663BA7C">
            <w:pPr>
              <w:jc w:val="both"/>
              <w:rPr>
                <w:rFonts w:ascii="Arial" w:hAnsi="Arial" w:eastAsia="Arial" w:cs="Arial"/>
                <w:sz w:val="20"/>
                <w:szCs w:val="20"/>
              </w:rPr>
            </w:pPr>
            <w:r w:rsidRPr="44996BE1">
              <w:rPr>
                <w:rFonts w:ascii="Arial" w:hAnsi="Arial" w:eastAsia="Arial" w:cs="Arial"/>
                <w:sz w:val="20"/>
                <w:szCs w:val="20"/>
              </w:rPr>
              <w:t>Mental Health Law</w:t>
            </w:r>
            <w:r w:rsidRPr="44996BE1" w:rsidR="6BFE89E5">
              <w:rPr>
                <w:rFonts w:ascii="Arial" w:hAnsi="Arial" w:eastAsia="Arial" w:cs="Arial"/>
                <w:sz w:val="20"/>
                <w:szCs w:val="20"/>
              </w:rPr>
              <w:t xml:space="preserve"> Department</w:t>
            </w:r>
            <w:r w:rsidRPr="44996BE1">
              <w:rPr>
                <w:rFonts w:ascii="Arial" w:hAnsi="Arial" w:eastAsia="Arial" w:cs="Arial"/>
                <w:sz w:val="20"/>
                <w:szCs w:val="20"/>
              </w:rPr>
              <w:t xml:space="preserve"> is responsible for </w:t>
            </w:r>
            <w:r w:rsidRPr="44996BE1" w:rsidR="75731591">
              <w:rPr>
                <w:rFonts w:ascii="Arial" w:hAnsi="Arial" w:eastAsia="Arial" w:cs="Arial"/>
                <w:sz w:val="20"/>
                <w:szCs w:val="20"/>
              </w:rPr>
              <w:t>uploading section papers and recording the section on RiO. For those</w:t>
            </w:r>
            <w:r w:rsidRPr="44996BE1">
              <w:rPr>
                <w:rFonts w:ascii="Arial" w:hAnsi="Arial" w:eastAsia="Arial" w:cs="Arial"/>
                <w:sz w:val="20"/>
                <w:szCs w:val="20"/>
              </w:rPr>
              <w:t xml:space="preserve"> assessed within ELFT and for those assessed outside of ELFT and managed by appropriate community team. The Mental Health Act Office will complete the Mental Health Act (MHA) form on RiO entering the following information:</w:t>
            </w:r>
          </w:p>
          <w:p w:rsidR="44996BE1" w:rsidP="44996BE1" w:rsidRDefault="44996BE1" w14:paraId="27DEF6E6" w14:textId="68B23526">
            <w:pPr>
              <w:jc w:val="both"/>
              <w:rPr>
                <w:rFonts w:ascii="Arial" w:hAnsi="Arial" w:eastAsia="Arial" w:cs="Arial"/>
                <w:sz w:val="20"/>
                <w:szCs w:val="20"/>
              </w:rPr>
            </w:pPr>
          </w:p>
          <w:p w:rsidR="28809831" w:rsidP="06D18D61" w:rsidRDefault="28809831" w14:paraId="41E783AD" w14:textId="6336505C">
            <w:pPr>
              <w:pStyle w:val="ListParagraph"/>
              <w:numPr>
                <w:ilvl w:val="0"/>
                <w:numId w:val="10"/>
              </w:numPr>
              <w:jc w:val="both"/>
              <w:rPr>
                <w:rFonts w:ascii="Arial" w:hAnsi="Arial" w:eastAsia="Arial" w:cs="Arial"/>
                <w:sz w:val="20"/>
                <w:szCs w:val="20"/>
              </w:rPr>
            </w:pPr>
            <w:r w:rsidRPr="06D18D61">
              <w:rPr>
                <w:rFonts w:ascii="Arial" w:hAnsi="Arial" w:eastAsia="Arial" w:cs="Arial"/>
                <w:sz w:val="20"/>
                <w:szCs w:val="20"/>
              </w:rPr>
              <w:t>Qualifying section that makes the patient eligible for Section 117 aftercare needs</w:t>
            </w:r>
          </w:p>
          <w:p w:rsidR="28809831" w:rsidP="06D18D61" w:rsidRDefault="2A9AC0E0" w14:paraId="0F5E5ED2" w14:textId="6B57DFD6">
            <w:pPr>
              <w:pStyle w:val="ListParagraph"/>
              <w:numPr>
                <w:ilvl w:val="0"/>
                <w:numId w:val="10"/>
              </w:numPr>
              <w:jc w:val="both"/>
              <w:rPr>
                <w:rFonts w:ascii="Arial" w:hAnsi="Arial" w:eastAsia="Arial" w:cs="Arial"/>
                <w:sz w:val="20"/>
                <w:szCs w:val="20"/>
              </w:rPr>
            </w:pPr>
            <w:r w:rsidRPr="44996BE1">
              <w:rPr>
                <w:rFonts w:ascii="Arial" w:hAnsi="Arial" w:eastAsia="Arial" w:cs="Arial"/>
                <w:sz w:val="20"/>
                <w:szCs w:val="20"/>
              </w:rPr>
              <w:t>Start of section date</w:t>
            </w:r>
          </w:p>
          <w:p w:rsidR="007A43B6" w:rsidP="000E722C" w:rsidRDefault="007A43B6" w14:paraId="00B9ADB2" w14:textId="77777777">
            <w:pPr>
              <w:jc w:val="both"/>
              <w:rPr>
                <w:rFonts w:ascii="Arial" w:hAnsi="Arial" w:eastAsia="Arial" w:cs="Arial"/>
                <w:sz w:val="20"/>
                <w:szCs w:val="20"/>
              </w:rPr>
            </w:pPr>
          </w:p>
          <w:p w:rsidR="00A87C90" w:rsidP="00A87C90" w:rsidRDefault="28809831" w14:paraId="0F930D69" w14:textId="44B16A84">
            <w:pPr>
              <w:jc w:val="both"/>
              <w:rPr>
                <w:rFonts w:ascii="Arial" w:hAnsi="Arial" w:eastAsia="Arial" w:cs="Arial"/>
                <w:sz w:val="20"/>
                <w:szCs w:val="20"/>
              </w:rPr>
            </w:pPr>
            <w:r w:rsidRPr="06D18D61">
              <w:rPr>
                <w:rFonts w:ascii="Arial" w:hAnsi="Arial" w:eastAsia="Arial" w:cs="Arial"/>
                <w:sz w:val="20"/>
                <w:szCs w:val="20"/>
              </w:rPr>
              <w:t>For pat</w:t>
            </w:r>
            <w:r w:rsidR="00DB5263">
              <w:rPr>
                <w:rFonts w:ascii="Arial" w:hAnsi="Arial" w:eastAsia="Arial" w:cs="Arial"/>
                <w:sz w:val="20"/>
                <w:szCs w:val="20"/>
              </w:rPr>
              <w:t xml:space="preserve">ients that </w:t>
            </w:r>
            <w:proofErr w:type="gramStart"/>
            <w:r w:rsidR="00DB5263">
              <w:rPr>
                <w:rFonts w:ascii="Arial" w:hAnsi="Arial" w:eastAsia="Arial" w:cs="Arial"/>
                <w:sz w:val="20"/>
                <w:szCs w:val="20"/>
              </w:rPr>
              <w:t>are managed</w:t>
            </w:r>
            <w:proofErr w:type="gramEnd"/>
            <w:r w:rsidR="00DB5263">
              <w:rPr>
                <w:rFonts w:ascii="Arial" w:hAnsi="Arial" w:eastAsia="Arial" w:cs="Arial"/>
                <w:sz w:val="20"/>
                <w:szCs w:val="20"/>
              </w:rPr>
              <w:t xml:space="preserve"> under a</w:t>
            </w:r>
            <w:r w:rsidRPr="06D18D61">
              <w:rPr>
                <w:rFonts w:ascii="Arial" w:hAnsi="Arial" w:eastAsia="Arial" w:cs="Arial"/>
                <w:sz w:val="20"/>
                <w:szCs w:val="20"/>
              </w:rPr>
              <w:t xml:space="preserve"> community team, the team will fill in the dedicated Section 117 form on RiO.</w:t>
            </w:r>
          </w:p>
        </w:tc>
      </w:tr>
    </w:tbl>
    <w:p w:rsidR="06D18D61" w:rsidP="06D18D61" w:rsidRDefault="06D18D61" w14:paraId="0A41FA56" w14:textId="1AFF0DAB">
      <w:pPr>
        <w:jc w:val="both"/>
        <w:rPr>
          <w:rFonts w:ascii="Arial" w:hAnsi="Arial" w:eastAsia="Arial" w:cs="Arial"/>
          <w:b/>
          <w:bCs/>
          <w:color w:val="4472C4" w:themeColor="accent1"/>
        </w:rPr>
      </w:pPr>
    </w:p>
    <w:p w:rsidR="409141A6" w:rsidP="4A02F5E4" w:rsidRDefault="409141A6" w14:paraId="7BFC9748" w14:textId="311BF44B">
      <w:pPr>
        <w:jc w:val="both"/>
        <w:rPr>
          <w:rFonts w:ascii="Arial" w:hAnsi="Arial" w:eastAsia="Arial" w:cs="Arial"/>
          <w:b/>
          <w:bCs/>
          <w:color w:val="4472C4" w:themeColor="accent1"/>
        </w:rPr>
      </w:pPr>
      <w:r w:rsidRPr="06D18D61">
        <w:rPr>
          <w:rFonts w:ascii="Arial" w:hAnsi="Arial" w:eastAsia="Arial" w:cs="Arial"/>
          <w:b/>
          <w:bCs/>
          <w:color w:val="4472C4" w:themeColor="accent1"/>
        </w:rPr>
        <w:t xml:space="preserve">3.0 </w:t>
      </w:r>
      <w:r w:rsidR="007A43B6">
        <w:rPr>
          <w:rFonts w:ascii="Arial" w:hAnsi="Arial" w:eastAsia="Arial" w:cs="Arial"/>
          <w:b/>
          <w:bCs/>
          <w:color w:val="4472C4" w:themeColor="accent1"/>
        </w:rPr>
        <w:t>INPATIENT ADMISSION</w:t>
      </w:r>
    </w:p>
    <w:p w:rsidR="0E50EDE3" w:rsidP="06D18D61" w:rsidRDefault="0E50EDE3" w14:paraId="6A7DC921" w14:textId="13C4D429">
      <w:pPr>
        <w:jc w:val="both"/>
        <w:rPr>
          <w:rFonts w:ascii="Arial" w:hAnsi="Arial" w:eastAsia="Arial" w:cs="Arial"/>
          <w:sz w:val="20"/>
          <w:szCs w:val="20"/>
        </w:rPr>
      </w:pPr>
      <w:r w:rsidRPr="06D18D61">
        <w:rPr>
          <w:rFonts w:ascii="Arial" w:hAnsi="Arial" w:eastAsia="Arial" w:cs="Arial"/>
          <w:sz w:val="20"/>
          <w:szCs w:val="20"/>
        </w:rPr>
        <w:t xml:space="preserve">This is when the service user, after being detained under the Mental Health Act </w:t>
      </w:r>
      <w:proofErr w:type="gramStart"/>
      <w:r w:rsidRPr="06D18D61">
        <w:rPr>
          <w:rFonts w:ascii="Arial" w:hAnsi="Arial" w:eastAsia="Arial" w:cs="Arial"/>
          <w:sz w:val="20"/>
          <w:szCs w:val="20"/>
        </w:rPr>
        <w:t>gets</w:t>
      </w:r>
      <w:proofErr w:type="gramEnd"/>
      <w:r w:rsidRPr="06D18D61">
        <w:rPr>
          <w:rFonts w:ascii="Arial" w:hAnsi="Arial" w:eastAsia="Arial" w:cs="Arial"/>
          <w:sz w:val="20"/>
          <w:szCs w:val="20"/>
        </w:rPr>
        <w:t xml:space="preserve"> admitted to one of our inpatient services. </w:t>
      </w:r>
    </w:p>
    <w:p w:rsidRPr="007A43B6" w:rsidR="003A5C1C" w:rsidP="003A5C1C" w:rsidRDefault="003A5C1C" w14:paraId="519744A1" w14:textId="1772D1A6">
      <w:pPr>
        <w:jc w:val="both"/>
        <w:rPr>
          <w:rFonts w:ascii="Arial" w:hAnsi="Arial" w:eastAsia="Arial" w:cs="Arial"/>
          <w:sz w:val="20"/>
          <w:szCs w:val="20"/>
        </w:rPr>
      </w:pPr>
      <w:r w:rsidRPr="007A43B6">
        <w:rPr>
          <w:rFonts w:ascii="Arial" w:hAnsi="Arial" w:eastAsia="Arial" w:cs="Arial"/>
          <w:sz w:val="20"/>
          <w:szCs w:val="20"/>
        </w:rPr>
        <w:t>There are opportunities for elements of the form to be completed by inpatient staff as well as community staff collaboratively, however, further discussion</w:t>
      </w:r>
      <w:r w:rsidRPr="007A43B6" w:rsidR="007A43B6">
        <w:rPr>
          <w:rFonts w:ascii="Arial" w:hAnsi="Arial" w:eastAsia="Arial" w:cs="Arial"/>
          <w:sz w:val="20"/>
          <w:szCs w:val="20"/>
        </w:rPr>
        <w:t xml:space="preserve">s and agreements </w:t>
      </w:r>
      <w:proofErr w:type="gramStart"/>
      <w:r w:rsidRPr="007A43B6" w:rsidR="007A43B6">
        <w:rPr>
          <w:rFonts w:ascii="Arial" w:hAnsi="Arial" w:eastAsia="Arial" w:cs="Arial"/>
          <w:sz w:val="20"/>
          <w:szCs w:val="20"/>
        </w:rPr>
        <w:t xml:space="preserve">locally </w:t>
      </w:r>
      <w:r w:rsidRPr="007A43B6">
        <w:rPr>
          <w:rFonts w:ascii="Arial" w:hAnsi="Arial" w:eastAsia="Arial" w:cs="Arial"/>
          <w:sz w:val="20"/>
          <w:szCs w:val="20"/>
        </w:rPr>
        <w:t xml:space="preserve"> will</w:t>
      </w:r>
      <w:proofErr w:type="gramEnd"/>
      <w:r w:rsidRPr="007A43B6">
        <w:rPr>
          <w:rFonts w:ascii="Arial" w:hAnsi="Arial" w:eastAsia="Arial" w:cs="Arial"/>
          <w:sz w:val="20"/>
          <w:szCs w:val="20"/>
        </w:rPr>
        <w:t xml:space="preserve"> be required to agree</w:t>
      </w:r>
      <w:r w:rsidRPr="007A43B6" w:rsidR="00981B1A">
        <w:rPr>
          <w:rFonts w:ascii="Arial" w:hAnsi="Arial" w:eastAsia="Arial" w:cs="Arial"/>
          <w:sz w:val="20"/>
          <w:szCs w:val="20"/>
        </w:rPr>
        <w:t xml:space="preserve"> the</w:t>
      </w:r>
      <w:r w:rsidRPr="007A43B6" w:rsidR="007A43B6">
        <w:rPr>
          <w:rFonts w:ascii="Arial" w:hAnsi="Arial" w:eastAsia="Arial" w:cs="Arial"/>
          <w:sz w:val="20"/>
          <w:szCs w:val="20"/>
        </w:rPr>
        <w:t xml:space="preserve"> best approach. More detail around the following options </w:t>
      </w:r>
      <w:proofErr w:type="gramStart"/>
      <w:r w:rsidRPr="007A43B6" w:rsidR="007A43B6">
        <w:rPr>
          <w:rFonts w:ascii="Arial" w:hAnsi="Arial" w:eastAsia="Arial" w:cs="Arial"/>
          <w:sz w:val="20"/>
          <w:szCs w:val="20"/>
        </w:rPr>
        <w:t>can be found</w:t>
      </w:r>
      <w:proofErr w:type="gramEnd"/>
      <w:r w:rsidRPr="007A43B6" w:rsidR="007A43B6">
        <w:rPr>
          <w:rFonts w:ascii="Arial" w:hAnsi="Arial" w:eastAsia="Arial" w:cs="Arial"/>
          <w:sz w:val="20"/>
          <w:szCs w:val="20"/>
        </w:rPr>
        <w:t xml:space="preserve"> below:</w:t>
      </w:r>
      <w:r w:rsidRPr="007A43B6" w:rsidR="00981B1A">
        <w:rPr>
          <w:rFonts w:ascii="Arial" w:hAnsi="Arial" w:eastAsia="Arial" w:cs="Arial"/>
          <w:sz w:val="20"/>
          <w:szCs w:val="20"/>
        </w:rPr>
        <w:t xml:space="preserve"> </w:t>
      </w:r>
    </w:p>
    <w:p w:rsidRPr="007A43B6" w:rsidR="00981B1A" w:rsidP="00981B1A" w:rsidRDefault="00981B1A" w14:paraId="680354E9" w14:textId="7DE1D1A8">
      <w:pPr>
        <w:pStyle w:val="ListParagraph"/>
        <w:numPr>
          <w:ilvl w:val="0"/>
          <w:numId w:val="13"/>
        </w:numPr>
        <w:jc w:val="both"/>
        <w:rPr>
          <w:rFonts w:ascii="Arial" w:hAnsi="Arial" w:eastAsia="Arial" w:cs="Arial"/>
          <w:sz w:val="20"/>
          <w:szCs w:val="20"/>
        </w:rPr>
      </w:pPr>
      <w:r w:rsidRPr="007A43B6">
        <w:rPr>
          <w:rFonts w:ascii="Arial" w:hAnsi="Arial" w:eastAsia="Arial" w:cs="Arial"/>
          <w:sz w:val="20"/>
          <w:szCs w:val="20"/>
        </w:rPr>
        <w:t>A hybrid approach to completing the form during inpatient admission</w:t>
      </w:r>
    </w:p>
    <w:p w:rsidRPr="007A43B6" w:rsidR="00981B1A" w:rsidP="00981B1A" w:rsidRDefault="00981B1A" w14:paraId="1C56A2EA" w14:textId="659EF370">
      <w:pPr>
        <w:pStyle w:val="ListParagraph"/>
        <w:numPr>
          <w:ilvl w:val="0"/>
          <w:numId w:val="13"/>
        </w:numPr>
        <w:jc w:val="both"/>
        <w:rPr>
          <w:rFonts w:ascii="Arial" w:hAnsi="Arial" w:eastAsia="Arial" w:cs="Arial"/>
          <w:sz w:val="20"/>
          <w:szCs w:val="20"/>
        </w:rPr>
      </w:pPr>
      <w:r w:rsidRPr="007A43B6">
        <w:rPr>
          <w:rFonts w:ascii="Arial" w:hAnsi="Arial" w:eastAsia="Arial" w:cs="Arial"/>
          <w:sz w:val="20"/>
          <w:szCs w:val="20"/>
        </w:rPr>
        <w:t>Inpatient staff have no responsibility in the process and solely to be completed by community teams</w:t>
      </w:r>
    </w:p>
    <w:p w:rsidR="00160136" w:rsidP="00981B1A" w:rsidRDefault="00160136" w14:paraId="1DEE02A1" w14:textId="13B6551D">
      <w:pPr>
        <w:pStyle w:val="ListParagraph"/>
        <w:numPr>
          <w:ilvl w:val="0"/>
          <w:numId w:val="13"/>
        </w:numPr>
        <w:jc w:val="both"/>
        <w:rPr>
          <w:rFonts w:ascii="Arial" w:hAnsi="Arial" w:eastAsia="Arial" w:cs="Arial"/>
          <w:sz w:val="20"/>
          <w:szCs w:val="20"/>
        </w:rPr>
      </w:pPr>
      <w:r w:rsidRPr="007A43B6">
        <w:rPr>
          <w:rFonts w:ascii="Arial" w:hAnsi="Arial" w:eastAsia="Arial" w:cs="Arial"/>
          <w:sz w:val="20"/>
          <w:szCs w:val="20"/>
        </w:rPr>
        <w:t xml:space="preserve">Discharge coordinator completes </w:t>
      </w:r>
      <w:r w:rsidRPr="007A43B6" w:rsidR="007A43B6">
        <w:rPr>
          <w:rFonts w:ascii="Arial" w:hAnsi="Arial" w:eastAsia="Arial" w:cs="Arial"/>
          <w:sz w:val="20"/>
          <w:szCs w:val="20"/>
        </w:rPr>
        <w:t>the form</w:t>
      </w:r>
    </w:p>
    <w:p w:rsidRPr="007A43B6" w:rsidR="007A43B6" w:rsidP="007A43B6" w:rsidRDefault="007A43B6" w14:paraId="54EBF301" w14:textId="77777777">
      <w:pPr>
        <w:pStyle w:val="ListParagraph"/>
        <w:jc w:val="both"/>
        <w:rPr>
          <w:rFonts w:ascii="Arial" w:hAnsi="Arial" w:eastAsia="Arial" w:cs="Arial"/>
          <w:sz w:val="20"/>
          <w:szCs w:val="20"/>
        </w:rPr>
      </w:pPr>
    </w:p>
    <w:tbl>
      <w:tblPr>
        <w:tblStyle w:val="TableGrid"/>
        <w:tblW w:w="0" w:type="auto"/>
        <w:tblLayout w:type="fixed"/>
        <w:tblLook w:val="06A0" w:firstRow="1" w:lastRow="0" w:firstColumn="1" w:lastColumn="0" w:noHBand="1" w:noVBand="1"/>
      </w:tblPr>
      <w:tblGrid>
        <w:gridCol w:w="9015"/>
      </w:tblGrid>
      <w:tr w:rsidR="06D18D61" w:rsidTr="007A43B6" w14:paraId="72B4935C" w14:textId="77777777">
        <w:trPr>
          <w:trHeight w:val="300"/>
        </w:trPr>
        <w:tc>
          <w:tcPr>
            <w:tcW w:w="9015" w:type="dxa"/>
            <w:shd w:val="clear" w:color="auto" w:fill="DEEAF6" w:themeFill="accent5" w:themeFillTint="33"/>
          </w:tcPr>
          <w:p w:rsidR="06D18D61" w:rsidP="06D18D61" w:rsidRDefault="06D18D61" w14:paraId="3B28087E" w14:textId="0EAD1FC3">
            <w:pPr>
              <w:spacing w:line="259" w:lineRule="auto"/>
              <w:rPr>
                <w:rFonts w:ascii="Arial" w:hAnsi="Arial" w:eastAsia="Arial" w:cs="Arial"/>
                <w:b/>
                <w:bCs/>
                <w:color w:val="000000" w:themeColor="text1"/>
              </w:rPr>
            </w:pPr>
            <w:r w:rsidRPr="06D18D61">
              <w:rPr>
                <w:rFonts w:ascii="Arial" w:hAnsi="Arial" w:eastAsia="Arial" w:cs="Arial"/>
                <w:b/>
                <w:bCs/>
                <w:color w:val="000000" w:themeColor="text1"/>
              </w:rPr>
              <w:t>WHAT NEEDS TO BE COMPLETED</w:t>
            </w:r>
          </w:p>
        </w:tc>
      </w:tr>
      <w:tr w:rsidR="06D18D61" w:rsidTr="4AECD571" w14:paraId="55DDCE66" w14:textId="77777777">
        <w:trPr>
          <w:trHeight w:val="300"/>
        </w:trPr>
        <w:tc>
          <w:tcPr>
            <w:tcW w:w="9015" w:type="dxa"/>
          </w:tcPr>
          <w:p w:rsidR="06D18D61" w:rsidP="06D18D61" w:rsidRDefault="06D18D61" w14:paraId="103814EE" w14:textId="718E21B6">
            <w:pPr>
              <w:jc w:val="both"/>
              <w:rPr>
                <w:rFonts w:ascii="Arial" w:hAnsi="Arial" w:eastAsia="Arial" w:cs="Arial"/>
                <w:sz w:val="20"/>
                <w:szCs w:val="20"/>
              </w:rPr>
            </w:pPr>
          </w:p>
          <w:p w:rsidR="003A5C1C" w:rsidP="06D18D61" w:rsidRDefault="2E052372" w14:paraId="11604714" w14:textId="5766505B">
            <w:pPr>
              <w:jc w:val="both"/>
              <w:rPr>
                <w:rFonts w:ascii="Arial" w:hAnsi="Arial" w:eastAsia="Arial" w:cs="Arial"/>
                <w:sz w:val="20"/>
                <w:szCs w:val="20"/>
              </w:rPr>
            </w:pPr>
            <w:r w:rsidRPr="06D18D61">
              <w:rPr>
                <w:rFonts w:ascii="Arial" w:hAnsi="Arial" w:eastAsia="Arial" w:cs="Arial"/>
                <w:sz w:val="20"/>
                <w:szCs w:val="20"/>
              </w:rPr>
              <w:t xml:space="preserve">When detained under an eligible section for Section 117 aftercare needs, the RiO dedicated Section 117 form also needs to be completed which </w:t>
            </w:r>
            <w:proofErr w:type="gramStart"/>
            <w:r w:rsidRPr="06D18D61">
              <w:rPr>
                <w:rFonts w:ascii="Arial" w:hAnsi="Arial" w:eastAsia="Arial" w:cs="Arial"/>
                <w:sz w:val="20"/>
                <w:szCs w:val="20"/>
              </w:rPr>
              <w:t xml:space="preserve">will be </w:t>
            </w:r>
            <w:r w:rsidRPr="06D18D61" w:rsidR="0D03EC03">
              <w:rPr>
                <w:rFonts w:ascii="Arial" w:hAnsi="Arial" w:eastAsia="Arial" w:cs="Arial"/>
                <w:sz w:val="20"/>
                <w:szCs w:val="20"/>
              </w:rPr>
              <w:t>combined</w:t>
            </w:r>
            <w:proofErr w:type="gramEnd"/>
            <w:r w:rsidRPr="06D18D61" w:rsidR="0D03EC03">
              <w:rPr>
                <w:rFonts w:ascii="Arial" w:hAnsi="Arial" w:eastAsia="Arial" w:cs="Arial"/>
                <w:sz w:val="20"/>
                <w:szCs w:val="20"/>
              </w:rPr>
              <w:t xml:space="preserve"> with My Recovery Care Plan Documentation as an output. </w:t>
            </w:r>
          </w:p>
          <w:p w:rsidR="06D18D61" w:rsidP="06D18D61" w:rsidRDefault="06D18D61" w14:paraId="777EA0A0" w14:textId="0CB310E7">
            <w:pPr>
              <w:jc w:val="both"/>
              <w:rPr>
                <w:rFonts w:ascii="Arial" w:hAnsi="Arial" w:eastAsia="Arial" w:cs="Arial"/>
                <w:sz w:val="20"/>
                <w:szCs w:val="20"/>
              </w:rPr>
            </w:pPr>
          </w:p>
        </w:tc>
      </w:tr>
      <w:tr w:rsidR="06D18D61" w:rsidTr="007A43B6" w14:paraId="5476FAF9" w14:textId="77777777">
        <w:trPr>
          <w:trHeight w:val="300"/>
        </w:trPr>
        <w:tc>
          <w:tcPr>
            <w:tcW w:w="9015" w:type="dxa"/>
            <w:shd w:val="clear" w:color="auto" w:fill="DEEAF6" w:themeFill="accent5" w:themeFillTint="33"/>
          </w:tcPr>
          <w:p w:rsidR="06D18D61" w:rsidP="06D18D61" w:rsidRDefault="06D18D61" w14:paraId="12C37A1F" w14:textId="40EC909F">
            <w:pPr>
              <w:spacing w:line="259" w:lineRule="auto"/>
              <w:jc w:val="both"/>
              <w:rPr>
                <w:rFonts w:ascii="Arial" w:hAnsi="Arial" w:eastAsia="Arial" w:cs="Arial"/>
                <w:b/>
                <w:bCs/>
                <w:sz w:val="24"/>
                <w:szCs w:val="24"/>
              </w:rPr>
            </w:pPr>
            <w:r w:rsidRPr="06D18D61">
              <w:rPr>
                <w:rFonts w:ascii="Arial" w:hAnsi="Arial" w:eastAsia="Arial" w:cs="Arial"/>
                <w:b/>
                <w:bCs/>
              </w:rPr>
              <w:t>WHO NEEDS TO COMPLETE THIS</w:t>
            </w:r>
          </w:p>
        </w:tc>
      </w:tr>
      <w:tr w:rsidR="06D18D61" w:rsidTr="4AECD571" w14:paraId="6ADF4B3F" w14:textId="77777777">
        <w:trPr>
          <w:trHeight w:val="300"/>
        </w:trPr>
        <w:tc>
          <w:tcPr>
            <w:tcW w:w="9015" w:type="dxa"/>
          </w:tcPr>
          <w:p w:rsidR="007A43B6" w:rsidP="06D18D61" w:rsidRDefault="007A43B6" w14:paraId="15042AEA" w14:textId="77777777">
            <w:pPr>
              <w:jc w:val="both"/>
              <w:rPr>
                <w:rFonts w:ascii="Arial" w:hAnsi="Arial" w:eastAsia="Arial" w:cs="Arial"/>
                <w:sz w:val="20"/>
                <w:szCs w:val="20"/>
              </w:rPr>
            </w:pPr>
          </w:p>
          <w:p w:rsidR="1C5DF6AC" w:rsidP="06D18D61" w:rsidRDefault="1C5DF6AC" w14:paraId="3858E26B" w14:textId="45D4EFE6">
            <w:pPr>
              <w:jc w:val="both"/>
              <w:rPr>
                <w:rFonts w:ascii="Arial" w:hAnsi="Arial" w:eastAsia="Arial" w:cs="Arial"/>
                <w:sz w:val="20"/>
                <w:szCs w:val="20"/>
              </w:rPr>
            </w:pPr>
            <w:r w:rsidRPr="06D18D61">
              <w:rPr>
                <w:rFonts w:ascii="Arial" w:hAnsi="Arial" w:eastAsia="Arial" w:cs="Arial"/>
                <w:sz w:val="20"/>
                <w:szCs w:val="20"/>
              </w:rPr>
              <w:t>The discharging ward nurse alongside a Community Care Coordinator or Local Authority Hospital Discharge team is responsible for filling in the relevant details on the dedicated Section 117 RiO form as part of the Section 117 post-discharge plan. This documentation process takes place within the discharge MDT huddle.</w:t>
            </w:r>
          </w:p>
          <w:p w:rsidR="007A43B6" w:rsidP="06D18D61" w:rsidRDefault="007A43B6" w14:paraId="4E9BEF99" w14:textId="1832A83D">
            <w:pPr>
              <w:jc w:val="both"/>
              <w:rPr>
                <w:rFonts w:ascii="Arial" w:hAnsi="Arial" w:eastAsia="Arial" w:cs="Arial"/>
                <w:sz w:val="20"/>
                <w:szCs w:val="20"/>
              </w:rPr>
            </w:pPr>
          </w:p>
          <w:p w:rsidR="007A43B6" w:rsidP="06D18D61" w:rsidRDefault="007A43B6" w14:paraId="6A6CED92" w14:textId="2FD61560">
            <w:pPr>
              <w:jc w:val="both"/>
              <w:rPr>
                <w:rFonts w:ascii="Arial" w:hAnsi="Arial" w:eastAsia="Arial" w:cs="Arial"/>
                <w:sz w:val="20"/>
                <w:szCs w:val="20"/>
              </w:rPr>
            </w:pPr>
            <w:r>
              <w:rPr>
                <w:rFonts w:ascii="Arial" w:hAnsi="Arial" w:eastAsia="Arial" w:cs="Arial"/>
                <w:sz w:val="20"/>
                <w:szCs w:val="20"/>
              </w:rPr>
              <w:t>Depending what is locally appropriate, the following approaches can be taken to completing the RiO dedicated Section 117 form:</w:t>
            </w:r>
          </w:p>
          <w:p w:rsidR="00A72D06" w:rsidP="06D18D61" w:rsidRDefault="00A72D06" w14:paraId="26326817" w14:textId="71307B53">
            <w:pPr>
              <w:jc w:val="both"/>
              <w:rPr>
                <w:rFonts w:ascii="Arial" w:hAnsi="Arial" w:eastAsia="Arial" w:cs="Arial"/>
                <w:sz w:val="20"/>
                <w:szCs w:val="20"/>
              </w:rPr>
            </w:pPr>
          </w:p>
          <w:p w:rsidRPr="007A43B6" w:rsidR="00A72D06" w:rsidP="06D18D61" w:rsidRDefault="00A72D06" w14:paraId="2798A616" w14:textId="23BA05D9">
            <w:pPr>
              <w:jc w:val="both"/>
              <w:rPr>
                <w:rFonts w:ascii="Arial" w:hAnsi="Arial" w:eastAsia="Arial" w:cs="Arial"/>
                <w:b/>
                <w:sz w:val="20"/>
                <w:szCs w:val="20"/>
                <w:u w:val="single"/>
              </w:rPr>
            </w:pPr>
            <w:r w:rsidRPr="007A43B6">
              <w:rPr>
                <w:rFonts w:ascii="Arial" w:hAnsi="Arial" w:eastAsia="Arial" w:cs="Arial"/>
                <w:b/>
                <w:sz w:val="20"/>
                <w:szCs w:val="20"/>
                <w:u w:val="single"/>
              </w:rPr>
              <w:t xml:space="preserve">Hybrid Model: </w:t>
            </w:r>
          </w:p>
          <w:p w:rsidR="14360ABB" w:rsidP="06D18D61" w:rsidRDefault="14360ABB" w14:paraId="0C8F61A1" w14:textId="2D62C519">
            <w:pPr>
              <w:jc w:val="both"/>
              <w:rPr>
                <w:rFonts w:ascii="Arial" w:hAnsi="Arial" w:eastAsia="Arial" w:cs="Arial"/>
                <w:sz w:val="20"/>
                <w:szCs w:val="20"/>
              </w:rPr>
            </w:pPr>
            <w:r w:rsidRPr="06D18D61">
              <w:rPr>
                <w:rFonts w:ascii="Arial" w:hAnsi="Arial" w:eastAsia="Arial" w:cs="Arial"/>
                <w:sz w:val="20"/>
                <w:szCs w:val="20"/>
              </w:rPr>
              <w:t>Discharging ward nurse can answer the following questions on the Section 117 form:</w:t>
            </w:r>
          </w:p>
          <w:p w:rsidR="14360ABB" w:rsidP="06D18D61" w:rsidRDefault="14360ABB" w14:paraId="5E51FD7A" w14:textId="3616565E">
            <w:pPr>
              <w:pStyle w:val="ListParagraph"/>
              <w:numPr>
                <w:ilvl w:val="0"/>
                <w:numId w:val="9"/>
              </w:numPr>
              <w:jc w:val="both"/>
              <w:rPr>
                <w:rFonts w:ascii="Arial" w:hAnsi="Arial" w:eastAsia="Arial" w:cs="Arial"/>
                <w:sz w:val="20"/>
                <w:szCs w:val="20"/>
              </w:rPr>
            </w:pPr>
            <w:r w:rsidRPr="06D18D61">
              <w:rPr>
                <w:rFonts w:ascii="Arial" w:hAnsi="Arial" w:eastAsia="Arial" w:cs="Arial"/>
                <w:sz w:val="20"/>
                <w:szCs w:val="20"/>
              </w:rPr>
              <w:t>Cross-referencing the initial date of detention from the relevant section (Section 3, 37, 47, 48 and 45a)</w:t>
            </w:r>
          </w:p>
          <w:p w:rsidR="14360ABB" w:rsidP="06D18D61" w:rsidRDefault="14360ABB" w14:paraId="1E41E25D" w14:textId="159D2920">
            <w:pPr>
              <w:pStyle w:val="ListParagraph"/>
              <w:numPr>
                <w:ilvl w:val="0"/>
                <w:numId w:val="9"/>
              </w:numPr>
              <w:jc w:val="both"/>
              <w:rPr>
                <w:rFonts w:ascii="Arial" w:hAnsi="Arial" w:eastAsia="Arial" w:cs="Arial"/>
                <w:sz w:val="20"/>
                <w:szCs w:val="20"/>
              </w:rPr>
            </w:pPr>
            <w:r w:rsidRPr="06D18D61">
              <w:rPr>
                <w:rFonts w:ascii="Arial" w:hAnsi="Arial" w:eastAsia="Arial" w:cs="Arial"/>
                <w:sz w:val="20"/>
                <w:szCs w:val="20"/>
              </w:rPr>
              <w:t>Cross-referencing the most recent detention date under the Mental Health Act Section 3, 37, 47, 48 and 45a</w:t>
            </w:r>
          </w:p>
          <w:p w:rsidR="14360ABB" w:rsidP="06D18D61" w:rsidRDefault="14360ABB" w14:paraId="027E7939" w14:textId="073339AA">
            <w:pPr>
              <w:pStyle w:val="ListParagraph"/>
              <w:numPr>
                <w:ilvl w:val="0"/>
                <w:numId w:val="9"/>
              </w:numPr>
              <w:jc w:val="both"/>
              <w:rPr>
                <w:rFonts w:ascii="Arial" w:hAnsi="Arial" w:eastAsia="Arial" w:cs="Arial"/>
                <w:sz w:val="20"/>
                <w:szCs w:val="20"/>
              </w:rPr>
            </w:pPr>
            <w:r w:rsidRPr="06D18D61">
              <w:rPr>
                <w:rFonts w:ascii="Arial" w:hAnsi="Arial" w:eastAsia="Arial" w:cs="Arial"/>
                <w:sz w:val="20"/>
                <w:szCs w:val="20"/>
              </w:rPr>
              <w:t>GP practice where the patient was registered at the time of their most recent detention under Section 3, 37, 47, 48 and 45a</w:t>
            </w:r>
          </w:p>
          <w:p w:rsidR="14360ABB" w:rsidP="06D18D61" w:rsidRDefault="14360ABB" w14:paraId="0495AE70" w14:textId="62ABB2AF">
            <w:pPr>
              <w:pStyle w:val="ListParagraph"/>
              <w:numPr>
                <w:ilvl w:val="0"/>
                <w:numId w:val="9"/>
              </w:numPr>
              <w:rPr>
                <w:rFonts w:ascii="Arial" w:hAnsi="Arial" w:eastAsia="Arial" w:cs="Arial"/>
                <w:sz w:val="20"/>
                <w:szCs w:val="20"/>
              </w:rPr>
            </w:pPr>
            <w:r w:rsidRPr="06D18D61">
              <w:rPr>
                <w:rFonts w:ascii="Arial" w:hAnsi="Arial" w:eastAsia="Arial" w:cs="Arial"/>
                <w:sz w:val="20"/>
                <w:szCs w:val="20"/>
              </w:rPr>
              <w:t>If patient was not registered with the GP, address at the time of their most recent detention</w:t>
            </w:r>
          </w:p>
          <w:p w:rsidR="14360ABB" w:rsidP="06D18D61" w:rsidRDefault="14360ABB" w14:paraId="371B159D" w14:textId="42FECAE8">
            <w:pPr>
              <w:pStyle w:val="ListParagraph"/>
              <w:numPr>
                <w:ilvl w:val="0"/>
                <w:numId w:val="9"/>
              </w:numPr>
              <w:jc w:val="both"/>
              <w:rPr>
                <w:rFonts w:ascii="Arial" w:hAnsi="Arial" w:eastAsia="Arial" w:cs="Arial"/>
                <w:sz w:val="20"/>
                <w:szCs w:val="20"/>
              </w:rPr>
            </w:pPr>
            <w:r w:rsidRPr="06D18D61">
              <w:rPr>
                <w:rFonts w:ascii="Arial" w:hAnsi="Arial" w:eastAsia="Arial" w:cs="Arial"/>
                <w:sz w:val="20"/>
                <w:szCs w:val="20"/>
              </w:rPr>
              <w:t>If the patient did not have a usual residence address, identify where the patient was physically present at the time o</w:t>
            </w:r>
            <w:r w:rsidR="002F236A">
              <w:rPr>
                <w:rFonts w:ascii="Arial" w:hAnsi="Arial" w:eastAsia="Arial" w:cs="Arial"/>
                <w:sz w:val="20"/>
                <w:szCs w:val="20"/>
              </w:rPr>
              <w:t xml:space="preserve">f their most recent detention </w:t>
            </w:r>
          </w:p>
          <w:p w:rsidR="007A43B6" w:rsidP="00160136" w:rsidRDefault="007A43B6" w14:paraId="45056B82" w14:textId="77777777">
            <w:pPr>
              <w:jc w:val="both"/>
            </w:pPr>
          </w:p>
          <w:p w:rsidRPr="007A43B6" w:rsidR="00160136" w:rsidP="00160136" w:rsidRDefault="00160136" w14:paraId="5172BE90" w14:textId="6737069C">
            <w:pPr>
              <w:jc w:val="both"/>
              <w:rPr>
                <w:rFonts w:ascii="Arial" w:hAnsi="Arial" w:eastAsia="Arial" w:cs="Arial"/>
                <w:sz w:val="18"/>
                <w:szCs w:val="20"/>
              </w:rPr>
            </w:pPr>
            <w:r w:rsidRPr="007A43B6">
              <w:rPr>
                <w:rFonts w:ascii="Arial" w:hAnsi="Arial" w:cs="Arial"/>
                <w:sz w:val="20"/>
              </w:rPr>
              <w:t xml:space="preserve">Remaining questions to be completed by Community Teams </w:t>
            </w:r>
          </w:p>
          <w:p w:rsidR="002F236A" w:rsidP="002F236A" w:rsidRDefault="002F236A" w14:paraId="7DA1DBA5" w14:textId="1A285189">
            <w:pPr>
              <w:jc w:val="both"/>
              <w:rPr>
                <w:rFonts w:ascii="Arial" w:hAnsi="Arial" w:eastAsia="Arial" w:cs="Arial"/>
                <w:sz w:val="20"/>
                <w:szCs w:val="20"/>
              </w:rPr>
            </w:pPr>
          </w:p>
          <w:p w:rsidRPr="007A43B6" w:rsidR="002F236A" w:rsidP="002F236A" w:rsidRDefault="002F236A" w14:paraId="216ACA0B" w14:textId="6E12C08F">
            <w:pPr>
              <w:jc w:val="both"/>
              <w:rPr>
                <w:rFonts w:ascii="Arial" w:hAnsi="Arial" w:eastAsia="Arial" w:cs="Arial"/>
                <w:b/>
                <w:sz w:val="20"/>
                <w:szCs w:val="20"/>
                <w:u w:val="single"/>
              </w:rPr>
            </w:pPr>
            <w:r w:rsidRPr="007A43B6">
              <w:rPr>
                <w:rFonts w:ascii="Arial" w:hAnsi="Arial" w:eastAsia="Arial" w:cs="Arial"/>
                <w:b/>
                <w:sz w:val="20"/>
                <w:szCs w:val="20"/>
                <w:u w:val="single"/>
              </w:rPr>
              <w:t>Sole Responsibility to Community Team</w:t>
            </w:r>
          </w:p>
          <w:p w:rsidR="002F236A" w:rsidP="002F236A" w:rsidRDefault="00D41C5C" w14:paraId="12E0B3DA" w14:textId="25EB0D2E">
            <w:pPr>
              <w:pStyle w:val="ListParagraph"/>
              <w:numPr>
                <w:ilvl w:val="0"/>
                <w:numId w:val="14"/>
              </w:numPr>
              <w:jc w:val="both"/>
              <w:rPr>
                <w:rFonts w:ascii="Arial" w:hAnsi="Arial" w:eastAsia="Arial" w:cs="Arial"/>
                <w:sz w:val="20"/>
                <w:szCs w:val="20"/>
              </w:rPr>
            </w:pPr>
            <w:r>
              <w:rPr>
                <w:rFonts w:ascii="Arial" w:hAnsi="Arial" w:eastAsia="Arial" w:cs="Arial"/>
                <w:sz w:val="20"/>
                <w:szCs w:val="20"/>
              </w:rPr>
              <w:t xml:space="preserve">In preparation for the discharge plan, community teams would complete and update the </w:t>
            </w:r>
            <w:r w:rsidR="00160136">
              <w:rPr>
                <w:rFonts w:ascii="Arial" w:hAnsi="Arial" w:eastAsia="Arial" w:cs="Arial"/>
                <w:sz w:val="20"/>
                <w:szCs w:val="20"/>
              </w:rPr>
              <w:t xml:space="preserve">Section 117 </w:t>
            </w:r>
            <w:r>
              <w:rPr>
                <w:rFonts w:ascii="Arial" w:hAnsi="Arial" w:eastAsia="Arial" w:cs="Arial"/>
                <w:sz w:val="20"/>
                <w:szCs w:val="20"/>
              </w:rPr>
              <w:t>form</w:t>
            </w:r>
            <w:r w:rsidR="00160136">
              <w:rPr>
                <w:rFonts w:ascii="Arial" w:hAnsi="Arial" w:eastAsia="Arial" w:cs="Arial"/>
                <w:sz w:val="20"/>
                <w:szCs w:val="20"/>
              </w:rPr>
              <w:t xml:space="preserve"> with all of the relevant information highlighted above</w:t>
            </w:r>
          </w:p>
          <w:p w:rsidR="00160136" w:rsidP="00160136" w:rsidRDefault="00160136" w14:paraId="45656677" w14:textId="50405564">
            <w:pPr>
              <w:jc w:val="both"/>
              <w:rPr>
                <w:rFonts w:ascii="Arial" w:hAnsi="Arial" w:eastAsia="Arial" w:cs="Arial"/>
                <w:sz w:val="20"/>
                <w:szCs w:val="20"/>
              </w:rPr>
            </w:pPr>
          </w:p>
          <w:p w:rsidRPr="007A43B6" w:rsidR="00160136" w:rsidP="00160136" w:rsidRDefault="00160136" w14:paraId="4F18C88D" w14:textId="287641FF">
            <w:pPr>
              <w:jc w:val="both"/>
              <w:rPr>
                <w:rFonts w:ascii="Arial" w:hAnsi="Arial" w:eastAsia="Arial" w:cs="Arial"/>
                <w:b/>
                <w:sz w:val="20"/>
                <w:szCs w:val="20"/>
                <w:u w:val="single"/>
              </w:rPr>
            </w:pPr>
            <w:r w:rsidRPr="007A43B6">
              <w:rPr>
                <w:rFonts w:ascii="Arial" w:hAnsi="Arial" w:eastAsia="Arial" w:cs="Arial"/>
                <w:b/>
                <w:sz w:val="20"/>
                <w:szCs w:val="20"/>
                <w:u w:val="single"/>
              </w:rPr>
              <w:t>Discharge Coordinator</w:t>
            </w:r>
          </w:p>
          <w:p w:rsidRPr="00160136" w:rsidR="00160136" w:rsidP="00160136" w:rsidRDefault="00160136" w14:paraId="5BCE95A6" w14:textId="4F4FDD9F">
            <w:pPr>
              <w:jc w:val="both"/>
              <w:rPr>
                <w:rFonts w:ascii="Arial" w:hAnsi="Arial" w:eastAsia="Arial" w:cs="Arial"/>
                <w:sz w:val="20"/>
                <w:szCs w:val="20"/>
              </w:rPr>
            </w:pPr>
            <w:r>
              <w:rPr>
                <w:rFonts w:ascii="Arial" w:hAnsi="Arial" w:eastAsia="Arial" w:cs="Arial"/>
                <w:sz w:val="20"/>
                <w:szCs w:val="20"/>
              </w:rPr>
              <w:t>To be confirmed whether there is scope for discharge coordinators to complete the form</w:t>
            </w:r>
          </w:p>
          <w:p w:rsidR="00A72D06" w:rsidP="00A72D06" w:rsidRDefault="00A72D06" w14:paraId="68A3FE9B" w14:textId="77777777">
            <w:pPr>
              <w:pStyle w:val="ListParagraph"/>
              <w:jc w:val="both"/>
              <w:rPr>
                <w:rFonts w:ascii="Arial" w:hAnsi="Arial" w:eastAsia="Arial" w:cs="Arial"/>
                <w:sz w:val="20"/>
                <w:szCs w:val="20"/>
              </w:rPr>
            </w:pPr>
          </w:p>
          <w:p w:rsidR="14360ABB" w:rsidP="06D18D61" w:rsidRDefault="14360ABB" w14:paraId="7160E78C" w14:textId="5B200040">
            <w:pPr>
              <w:jc w:val="both"/>
              <w:rPr>
                <w:rFonts w:ascii="Arial" w:hAnsi="Arial" w:eastAsia="Arial" w:cs="Arial"/>
                <w:sz w:val="20"/>
                <w:szCs w:val="20"/>
              </w:rPr>
            </w:pPr>
            <w:r w:rsidRPr="06D18D61">
              <w:rPr>
                <w:rFonts w:ascii="Arial" w:hAnsi="Arial" w:eastAsia="Arial" w:cs="Arial"/>
                <w:b/>
                <w:bCs/>
                <w:sz w:val="20"/>
                <w:szCs w:val="20"/>
                <w:u w:val="single"/>
              </w:rPr>
              <w:t>Please note:</w:t>
            </w:r>
            <w:r w:rsidRPr="06D18D61">
              <w:rPr>
                <w:rFonts w:ascii="Arial" w:hAnsi="Arial" w:eastAsia="Arial" w:cs="Arial"/>
                <w:sz w:val="20"/>
                <w:szCs w:val="20"/>
              </w:rPr>
              <w:t xml:space="preserve"> Any after care plan information would need to be done with the input of the community team/HCP and Hospital Discharge Team</w:t>
            </w:r>
          </w:p>
        </w:tc>
      </w:tr>
    </w:tbl>
    <w:p w:rsidR="4A02F5E4" w:rsidP="4A02F5E4" w:rsidRDefault="4A02F5E4" w14:paraId="18DD2EB6" w14:textId="493190BF">
      <w:pPr>
        <w:jc w:val="both"/>
        <w:rPr>
          <w:rFonts w:ascii="Arial" w:hAnsi="Arial" w:eastAsia="Arial" w:cs="Arial"/>
          <w:sz w:val="20"/>
          <w:szCs w:val="20"/>
        </w:rPr>
      </w:pPr>
    </w:p>
    <w:p w:rsidR="6AC51291" w:rsidP="4A02F5E4" w:rsidRDefault="785B4F00" w14:paraId="76A2AA32" w14:textId="77E0ACA1">
      <w:pPr>
        <w:jc w:val="both"/>
        <w:rPr>
          <w:rFonts w:ascii="Arial" w:hAnsi="Arial" w:eastAsia="Arial" w:cs="Arial"/>
          <w:b/>
          <w:bCs/>
          <w:color w:val="4472C4" w:themeColor="accent1"/>
        </w:rPr>
      </w:pPr>
      <w:r w:rsidRPr="44996BE1">
        <w:rPr>
          <w:rFonts w:ascii="Arial" w:hAnsi="Arial" w:eastAsia="Arial" w:cs="Arial"/>
          <w:sz w:val="20"/>
          <w:szCs w:val="20"/>
        </w:rPr>
        <w:t xml:space="preserve"> </w:t>
      </w:r>
      <w:r w:rsidRPr="44996BE1" w:rsidR="6AC51291">
        <w:rPr>
          <w:rFonts w:ascii="Arial" w:hAnsi="Arial" w:eastAsia="Arial" w:cs="Arial"/>
          <w:b/>
          <w:bCs/>
          <w:color w:val="4472C4" w:themeColor="accent1"/>
        </w:rPr>
        <w:t xml:space="preserve">4.0 </w:t>
      </w:r>
      <w:r w:rsidR="007A43B6">
        <w:rPr>
          <w:rFonts w:ascii="Arial" w:hAnsi="Arial" w:eastAsia="Arial" w:cs="Arial"/>
          <w:b/>
          <w:bCs/>
          <w:color w:val="4472C4" w:themeColor="accent1"/>
        </w:rPr>
        <w:t>CASE OPEN SOLELY TO THE GP</w:t>
      </w:r>
    </w:p>
    <w:p w:rsidR="3FF2EF43" w:rsidP="61BBD3AF" w:rsidRDefault="3FF2EF43" w14:paraId="4FC210A5" w14:textId="4D0DA2A2">
      <w:pPr>
        <w:pStyle w:val="Normal"/>
        <w:bidi w:val="0"/>
        <w:spacing w:before="0" w:beforeAutospacing="off" w:after="160" w:afterAutospacing="off" w:line="259" w:lineRule="auto"/>
        <w:ind w:left="0" w:right="0"/>
        <w:jc w:val="both"/>
        <w:rPr>
          <w:rFonts w:ascii="Arial" w:hAnsi="Arial" w:eastAsia="Arial" w:cs="Arial"/>
          <w:sz w:val="20"/>
          <w:szCs w:val="20"/>
        </w:rPr>
      </w:pPr>
      <w:r w:rsidRPr="61BBD3AF" w:rsidR="3FF2EF43">
        <w:rPr>
          <w:rFonts w:ascii="Arial" w:hAnsi="Arial" w:eastAsia="Arial" w:cs="Arial"/>
          <w:sz w:val="20"/>
          <w:szCs w:val="20"/>
        </w:rPr>
        <w:t xml:space="preserve">For patients that are open solely to the GP, </w:t>
      </w:r>
      <w:r w:rsidRPr="61BBD3AF" w:rsidR="6A06FB17">
        <w:rPr>
          <w:rFonts w:ascii="Arial" w:hAnsi="Arial" w:eastAsia="Arial" w:cs="Arial"/>
          <w:sz w:val="20"/>
          <w:szCs w:val="20"/>
        </w:rPr>
        <w:t>this is subject to local arrangements.</w:t>
      </w:r>
    </w:p>
    <w:p w:rsidR="6AC51291" w:rsidP="4A02F5E4" w:rsidRDefault="6AC51291" w14:paraId="1AB81530" w14:textId="75A7F7CD">
      <w:pPr>
        <w:jc w:val="both"/>
        <w:rPr>
          <w:rFonts w:ascii="Arial" w:hAnsi="Arial" w:eastAsia="Arial" w:cs="Arial"/>
          <w:b/>
          <w:bCs/>
          <w:color w:val="4472C4" w:themeColor="accent1"/>
        </w:rPr>
      </w:pPr>
      <w:r w:rsidRPr="06D18D61">
        <w:rPr>
          <w:rFonts w:ascii="Arial" w:hAnsi="Arial" w:eastAsia="Arial" w:cs="Arial"/>
          <w:b/>
          <w:bCs/>
          <w:color w:val="4472C4" w:themeColor="accent1"/>
        </w:rPr>
        <w:t xml:space="preserve">5.0 </w:t>
      </w:r>
      <w:r w:rsidR="007A43B6">
        <w:rPr>
          <w:rFonts w:ascii="Arial" w:hAnsi="Arial" w:eastAsia="Arial" w:cs="Arial"/>
          <w:b/>
          <w:bCs/>
          <w:color w:val="4472C4" w:themeColor="accent1"/>
        </w:rPr>
        <w:t>CROSS PROVIDER TRANSFERS</w:t>
      </w:r>
    </w:p>
    <w:tbl>
      <w:tblPr>
        <w:tblStyle w:val="TableGrid"/>
        <w:tblW w:w="0" w:type="auto"/>
        <w:tblLayout w:type="fixed"/>
        <w:tblLook w:val="06A0" w:firstRow="1" w:lastRow="0" w:firstColumn="1" w:lastColumn="0" w:noHBand="1" w:noVBand="1"/>
      </w:tblPr>
      <w:tblGrid>
        <w:gridCol w:w="9015"/>
      </w:tblGrid>
      <w:tr w:rsidR="06D18D61" w:rsidTr="007A43B6" w14:paraId="748BC339" w14:textId="77777777">
        <w:trPr>
          <w:trHeight w:val="300"/>
        </w:trPr>
        <w:tc>
          <w:tcPr>
            <w:tcW w:w="9015" w:type="dxa"/>
            <w:shd w:val="clear" w:color="auto" w:fill="DEEAF6" w:themeFill="accent5" w:themeFillTint="33"/>
          </w:tcPr>
          <w:p w:rsidR="06D18D61" w:rsidP="06D18D61" w:rsidRDefault="06D18D61" w14:paraId="02E89663" w14:textId="0EAD1FC3">
            <w:pPr>
              <w:spacing w:line="259" w:lineRule="auto"/>
              <w:rPr>
                <w:rFonts w:ascii="Arial" w:hAnsi="Arial" w:eastAsia="Arial" w:cs="Arial"/>
                <w:b/>
                <w:bCs/>
                <w:color w:val="000000" w:themeColor="text1"/>
              </w:rPr>
            </w:pPr>
            <w:r w:rsidRPr="06D18D61">
              <w:rPr>
                <w:rFonts w:ascii="Arial" w:hAnsi="Arial" w:eastAsia="Arial" w:cs="Arial"/>
                <w:b/>
                <w:bCs/>
                <w:color w:val="000000" w:themeColor="text1"/>
              </w:rPr>
              <w:t>WHAT NEEDS TO BE COMPLETED</w:t>
            </w:r>
          </w:p>
        </w:tc>
      </w:tr>
      <w:tr w:rsidR="06D18D61" w:rsidTr="06D18D61" w14:paraId="27F2FEB3" w14:textId="77777777">
        <w:trPr>
          <w:trHeight w:val="300"/>
        </w:trPr>
        <w:tc>
          <w:tcPr>
            <w:tcW w:w="9015" w:type="dxa"/>
          </w:tcPr>
          <w:p w:rsidRPr="00160136" w:rsidR="19A7C10F" w:rsidP="06D18D61" w:rsidRDefault="00160136" w14:paraId="46141871" w14:textId="76555531">
            <w:pPr>
              <w:jc w:val="both"/>
              <w:rPr>
                <w:rFonts w:ascii="Arial" w:hAnsi="Arial" w:eastAsia="Arial" w:cs="Arial"/>
                <w:sz w:val="20"/>
                <w:szCs w:val="20"/>
              </w:rPr>
            </w:pPr>
            <w:r>
              <w:rPr>
                <w:rFonts w:ascii="Arial" w:hAnsi="Arial" w:eastAsia="Arial" w:cs="Arial"/>
                <w:sz w:val="20"/>
                <w:szCs w:val="20"/>
              </w:rPr>
              <w:t>Transfer of information from the refer and ascertaining all of the details to complete the Section 117 RiO form accordingly</w:t>
            </w:r>
          </w:p>
          <w:p w:rsidR="06D18D61" w:rsidP="06D18D61" w:rsidRDefault="06D18D61" w14:paraId="4AD5DA3B" w14:textId="5C1B4860">
            <w:pPr>
              <w:jc w:val="both"/>
              <w:rPr>
                <w:rFonts w:ascii="Arial" w:hAnsi="Arial" w:eastAsia="Arial" w:cs="Arial"/>
                <w:sz w:val="20"/>
                <w:szCs w:val="20"/>
              </w:rPr>
            </w:pPr>
          </w:p>
        </w:tc>
      </w:tr>
      <w:tr w:rsidR="06D18D61" w:rsidTr="007A43B6" w14:paraId="3EFD3401" w14:textId="77777777">
        <w:trPr>
          <w:trHeight w:val="300"/>
        </w:trPr>
        <w:tc>
          <w:tcPr>
            <w:tcW w:w="9015" w:type="dxa"/>
            <w:shd w:val="clear" w:color="auto" w:fill="DEEAF6" w:themeFill="accent5" w:themeFillTint="33"/>
          </w:tcPr>
          <w:p w:rsidR="06D18D61" w:rsidP="06D18D61" w:rsidRDefault="06D18D61" w14:paraId="65A9D564" w14:textId="40EC909F">
            <w:pPr>
              <w:spacing w:line="259" w:lineRule="auto"/>
              <w:jc w:val="both"/>
              <w:rPr>
                <w:rFonts w:ascii="Arial" w:hAnsi="Arial" w:eastAsia="Arial" w:cs="Arial"/>
                <w:b/>
                <w:bCs/>
                <w:sz w:val="24"/>
                <w:szCs w:val="24"/>
              </w:rPr>
            </w:pPr>
            <w:r w:rsidRPr="06D18D61">
              <w:rPr>
                <w:rFonts w:ascii="Arial" w:hAnsi="Arial" w:eastAsia="Arial" w:cs="Arial"/>
                <w:b/>
                <w:bCs/>
              </w:rPr>
              <w:t>WHO NEEDS TO COMPLETE THIS</w:t>
            </w:r>
          </w:p>
        </w:tc>
      </w:tr>
      <w:tr w:rsidR="06D18D61" w:rsidTr="06D18D61" w14:paraId="421F1330" w14:textId="77777777">
        <w:trPr>
          <w:trHeight w:val="300"/>
        </w:trPr>
        <w:tc>
          <w:tcPr>
            <w:tcW w:w="9015" w:type="dxa"/>
          </w:tcPr>
          <w:p w:rsidR="04C5B13D" w:rsidP="06D18D61" w:rsidRDefault="04C5B13D" w14:paraId="050F7E6B" w14:textId="5BEF1D1C">
            <w:pPr>
              <w:jc w:val="both"/>
              <w:rPr>
                <w:rFonts w:ascii="Arial" w:hAnsi="Arial" w:eastAsia="Arial" w:cs="Arial"/>
                <w:sz w:val="20"/>
                <w:szCs w:val="20"/>
              </w:rPr>
            </w:pPr>
            <w:r w:rsidRPr="06D18D61">
              <w:rPr>
                <w:rFonts w:ascii="Arial" w:hAnsi="Arial" w:eastAsia="Arial" w:cs="Arial"/>
                <w:sz w:val="20"/>
                <w:szCs w:val="20"/>
              </w:rPr>
              <w:t>ELFT Community Teams</w:t>
            </w:r>
            <w:r w:rsidR="00160136">
              <w:rPr>
                <w:rFonts w:ascii="Arial" w:hAnsi="Arial" w:eastAsia="Arial" w:cs="Arial"/>
                <w:sz w:val="20"/>
                <w:szCs w:val="20"/>
              </w:rPr>
              <w:t xml:space="preserve"> or dedicated team (e.g. rehab)</w:t>
            </w:r>
            <w:r w:rsidRPr="06D18D61">
              <w:rPr>
                <w:rFonts w:ascii="Arial" w:hAnsi="Arial" w:eastAsia="Arial" w:cs="Arial"/>
                <w:sz w:val="20"/>
                <w:szCs w:val="20"/>
              </w:rPr>
              <w:t xml:space="preserve"> are responsible for managing the transfer and this is subject to the care coordinator or community team filling in the new Section 117 form during the MDT handover process. </w:t>
            </w:r>
          </w:p>
          <w:p w:rsidR="007A43B6" w:rsidP="06D18D61" w:rsidRDefault="007A43B6" w14:paraId="7F3CADA9" w14:textId="77777777">
            <w:pPr>
              <w:jc w:val="both"/>
              <w:rPr>
                <w:rFonts w:ascii="Arial" w:hAnsi="Arial" w:eastAsia="Arial" w:cs="Arial"/>
                <w:sz w:val="20"/>
                <w:szCs w:val="20"/>
              </w:rPr>
            </w:pPr>
          </w:p>
          <w:p w:rsidR="04C5B13D" w:rsidP="06D18D61" w:rsidRDefault="04C5B13D" w14:paraId="61AE110E" w14:textId="7313BC8C">
            <w:pPr>
              <w:jc w:val="both"/>
              <w:rPr>
                <w:rFonts w:ascii="Arial" w:hAnsi="Arial" w:eastAsia="Arial" w:cs="Arial"/>
                <w:sz w:val="20"/>
                <w:szCs w:val="20"/>
              </w:rPr>
            </w:pPr>
            <w:r w:rsidRPr="06D18D61">
              <w:rPr>
                <w:rFonts w:ascii="Arial" w:hAnsi="Arial" w:eastAsia="Arial" w:cs="Arial"/>
                <w:sz w:val="20"/>
                <w:szCs w:val="20"/>
              </w:rPr>
              <w:t xml:space="preserve">The after-care plan will need to </w:t>
            </w:r>
            <w:proofErr w:type="gramStart"/>
            <w:r w:rsidRPr="06D18D61">
              <w:rPr>
                <w:rFonts w:ascii="Arial" w:hAnsi="Arial" w:eastAsia="Arial" w:cs="Arial"/>
                <w:sz w:val="20"/>
                <w:szCs w:val="20"/>
              </w:rPr>
              <w:t>be reviewed</w:t>
            </w:r>
            <w:proofErr w:type="gramEnd"/>
            <w:r w:rsidRPr="06D18D61">
              <w:rPr>
                <w:rFonts w:ascii="Arial" w:hAnsi="Arial" w:eastAsia="Arial" w:cs="Arial"/>
                <w:sz w:val="20"/>
                <w:szCs w:val="20"/>
              </w:rPr>
              <w:t xml:space="preserve"> if the individual moves to another area. The care coordinator or relevant community team will be responsible for making transfer arrangements is commissioning responsibility consequently passes to authorities in the new area.</w:t>
            </w:r>
          </w:p>
          <w:p w:rsidR="06D18D61" w:rsidP="06D18D61" w:rsidRDefault="06D18D61" w14:paraId="25011ED0" w14:textId="5B148882">
            <w:pPr>
              <w:spacing w:line="259" w:lineRule="auto"/>
              <w:jc w:val="both"/>
              <w:rPr>
                <w:rFonts w:ascii="Arial" w:hAnsi="Arial" w:eastAsia="Arial" w:cs="Arial"/>
                <w:b/>
                <w:bCs/>
              </w:rPr>
            </w:pPr>
          </w:p>
        </w:tc>
      </w:tr>
    </w:tbl>
    <w:p w:rsidR="06D18D61" w:rsidP="06D18D61" w:rsidRDefault="06D18D61" w14:paraId="3378DA3F" w14:textId="3EF228CD">
      <w:pPr>
        <w:jc w:val="both"/>
        <w:rPr>
          <w:rFonts w:ascii="Arial" w:hAnsi="Arial" w:eastAsia="Arial" w:cs="Arial"/>
          <w:sz w:val="20"/>
          <w:szCs w:val="20"/>
        </w:rPr>
      </w:pPr>
    </w:p>
    <w:p w:rsidR="6AC51291" w:rsidP="4A02F5E4" w:rsidRDefault="6AC51291" w14:paraId="3854C1E8" w14:textId="1B90C4CA">
      <w:pPr>
        <w:jc w:val="both"/>
        <w:rPr>
          <w:rFonts w:ascii="Arial" w:hAnsi="Arial" w:eastAsia="Arial" w:cs="Arial"/>
          <w:b/>
          <w:bCs/>
          <w:color w:val="4472C4" w:themeColor="accent1"/>
        </w:rPr>
      </w:pPr>
      <w:r w:rsidRPr="4A02F5E4">
        <w:rPr>
          <w:rFonts w:ascii="Arial" w:hAnsi="Arial" w:eastAsia="Arial" w:cs="Arial"/>
          <w:b/>
          <w:bCs/>
          <w:color w:val="4472C4" w:themeColor="accent1"/>
        </w:rPr>
        <w:t xml:space="preserve">6.0 </w:t>
      </w:r>
      <w:r w:rsidR="007A43B6">
        <w:rPr>
          <w:rFonts w:ascii="Arial" w:hAnsi="Arial" w:eastAsia="Arial" w:cs="Arial"/>
          <w:b/>
          <w:bCs/>
          <w:color w:val="4472C4" w:themeColor="accent1"/>
        </w:rPr>
        <w:t>PROCESS FOR DETERMINING ICB RESPONSIBILITY</w:t>
      </w:r>
    </w:p>
    <w:p w:rsidR="34F7D96C" w:rsidP="4A02F5E4" w:rsidRDefault="34F7D96C" w14:paraId="5181EA4A" w14:textId="6A938664">
      <w:pPr>
        <w:jc w:val="both"/>
        <w:rPr>
          <w:rFonts w:ascii="Arial" w:hAnsi="Arial" w:eastAsia="Arial" w:cs="Arial"/>
          <w:sz w:val="20"/>
          <w:szCs w:val="20"/>
        </w:rPr>
      </w:pPr>
      <w:r w:rsidRPr="4A02F5E4">
        <w:rPr>
          <w:rFonts w:ascii="Arial" w:hAnsi="Arial" w:eastAsia="Arial" w:cs="Arial"/>
          <w:sz w:val="20"/>
          <w:szCs w:val="20"/>
        </w:rPr>
        <w:t>Responsibility for the provision of Section 117 services lies jointly with local authorities and Integrated Care Boards (ICBs)</w:t>
      </w:r>
      <w:r w:rsidRPr="4A02F5E4" w:rsidR="1EC7CC0F">
        <w:rPr>
          <w:rFonts w:ascii="Arial" w:hAnsi="Arial" w:eastAsia="Arial" w:cs="Arial"/>
          <w:sz w:val="20"/>
          <w:szCs w:val="20"/>
        </w:rPr>
        <w:t>.</w:t>
      </w:r>
    </w:p>
    <w:p w:rsidR="16612F29" w:rsidP="4A02F5E4" w:rsidRDefault="16612F29" w14:paraId="36560C54" w14:textId="3DDC43A6">
      <w:pPr>
        <w:jc w:val="both"/>
        <w:rPr>
          <w:rFonts w:ascii="Arial" w:hAnsi="Arial" w:eastAsia="Arial" w:cs="Arial"/>
          <w:sz w:val="20"/>
          <w:szCs w:val="20"/>
        </w:rPr>
      </w:pPr>
      <w:r w:rsidRPr="4A02F5E4">
        <w:rPr>
          <w:rFonts w:ascii="Arial" w:hAnsi="Arial" w:eastAsia="Arial" w:cs="Arial"/>
          <w:sz w:val="20"/>
          <w:szCs w:val="20"/>
        </w:rPr>
        <w:t xml:space="preserve">Identifying the responsible ICB and Local Authority </w:t>
      </w:r>
      <w:proofErr w:type="gramStart"/>
      <w:r w:rsidRPr="4A02F5E4">
        <w:rPr>
          <w:rFonts w:ascii="Arial" w:hAnsi="Arial" w:eastAsia="Arial" w:cs="Arial"/>
          <w:sz w:val="20"/>
          <w:szCs w:val="20"/>
        </w:rPr>
        <w:t>should be established</w:t>
      </w:r>
      <w:proofErr w:type="gramEnd"/>
      <w:r w:rsidRPr="4A02F5E4">
        <w:rPr>
          <w:rFonts w:ascii="Arial" w:hAnsi="Arial" w:eastAsia="Arial" w:cs="Arial"/>
          <w:sz w:val="20"/>
          <w:szCs w:val="20"/>
        </w:rPr>
        <w:t xml:space="preserve"> as soon as the requirement to provide Section 1</w:t>
      </w:r>
      <w:r w:rsidR="00160136">
        <w:rPr>
          <w:rFonts w:ascii="Arial" w:hAnsi="Arial" w:eastAsia="Arial" w:cs="Arial"/>
          <w:sz w:val="20"/>
          <w:szCs w:val="20"/>
        </w:rPr>
        <w:t>1</w:t>
      </w:r>
      <w:r w:rsidRPr="4A02F5E4">
        <w:rPr>
          <w:rFonts w:ascii="Arial" w:hAnsi="Arial" w:eastAsia="Arial" w:cs="Arial"/>
          <w:sz w:val="20"/>
          <w:szCs w:val="20"/>
        </w:rPr>
        <w:t>7 aftercare services is established. The governing rules are different for ICB and Local Authority are complex</w:t>
      </w:r>
    </w:p>
    <w:p w:rsidR="16612F29" w:rsidP="4A02F5E4" w:rsidRDefault="16612F29" w14:paraId="59C69CC1" w14:textId="4198A72B">
      <w:pPr>
        <w:jc w:val="both"/>
        <w:rPr>
          <w:rFonts w:ascii="Arial" w:hAnsi="Arial" w:eastAsia="Arial" w:cs="Arial"/>
          <w:b/>
          <w:bCs/>
          <w:sz w:val="20"/>
          <w:szCs w:val="20"/>
        </w:rPr>
      </w:pPr>
      <w:r w:rsidRPr="007A43B6">
        <w:rPr>
          <w:rFonts w:ascii="Arial" w:hAnsi="Arial" w:eastAsia="Arial" w:cs="Arial"/>
          <w:b/>
          <w:bCs/>
          <w:sz w:val="20"/>
          <w:szCs w:val="20"/>
          <w:u w:val="single"/>
        </w:rPr>
        <w:t>ICB</w:t>
      </w:r>
      <w:r w:rsidRPr="4A02F5E4">
        <w:rPr>
          <w:rFonts w:ascii="Arial" w:hAnsi="Arial" w:eastAsia="Arial" w:cs="Arial"/>
          <w:b/>
          <w:bCs/>
          <w:sz w:val="20"/>
          <w:szCs w:val="20"/>
        </w:rPr>
        <w:t>:</w:t>
      </w:r>
    </w:p>
    <w:p w:rsidR="58B45435" w:rsidP="4A02F5E4" w:rsidRDefault="58B45435" w14:paraId="04B5499E" w14:textId="047B975E">
      <w:pPr>
        <w:pStyle w:val="ListParagraph"/>
        <w:numPr>
          <w:ilvl w:val="0"/>
          <w:numId w:val="5"/>
        </w:numPr>
        <w:jc w:val="both"/>
        <w:rPr>
          <w:rFonts w:ascii="Arial" w:hAnsi="Arial" w:eastAsia="Arial" w:cs="Arial"/>
          <w:sz w:val="20"/>
          <w:szCs w:val="20"/>
        </w:rPr>
      </w:pPr>
      <w:r w:rsidRPr="4A02F5E4">
        <w:rPr>
          <w:rFonts w:ascii="Arial" w:hAnsi="Arial" w:eastAsia="Arial" w:cs="Arial"/>
          <w:sz w:val="20"/>
          <w:szCs w:val="20"/>
        </w:rPr>
        <w:t>NHS England have issued guidance “Who Pays” establishing the responsible ICB for commissioning healthcare services and making payments to providers</w:t>
      </w:r>
    </w:p>
    <w:p w:rsidR="58B45435" w:rsidP="4A02F5E4" w:rsidRDefault="58B45435" w14:paraId="61176823" w14:textId="6E0E0D14">
      <w:pPr>
        <w:pStyle w:val="ListParagraph"/>
        <w:numPr>
          <w:ilvl w:val="0"/>
          <w:numId w:val="5"/>
        </w:numPr>
        <w:jc w:val="both"/>
        <w:rPr>
          <w:rFonts w:ascii="Arial" w:hAnsi="Arial" w:eastAsia="Arial" w:cs="Arial"/>
          <w:sz w:val="20"/>
          <w:szCs w:val="20"/>
        </w:rPr>
      </w:pPr>
      <w:r w:rsidRPr="4A02F5E4">
        <w:rPr>
          <w:rFonts w:ascii="Arial" w:hAnsi="Arial" w:eastAsia="Arial" w:cs="Arial"/>
          <w:sz w:val="20"/>
          <w:szCs w:val="20"/>
        </w:rPr>
        <w:t xml:space="preserve">Under the guidance, the originating ICB covering the GP practice where the person was registered before they were detained is responsible for commissioning and payment throughout the most recent </w:t>
      </w:r>
      <w:r w:rsidRPr="4A02F5E4" w:rsidR="06CF725D">
        <w:rPr>
          <w:rFonts w:ascii="Arial" w:hAnsi="Arial" w:eastAsia="Arial" w:cs="Arial"/>
          <w:sz w:val="20"/>
          <w:szCs w:val="20"/>
        </w:rPr>
        <w:t>detention under an eligible section</w:t>
      </w:r>
    </w:p>
    <w:p w:rsidR="00942DA1" w:rsidP="00942DA1" w:rsidRDefault="06CF725D" w14:paraId="12B1B270" w14:textId="70037D17">
      <w:pPr>
        <w:pStyle w:val="ListParagraph"/>
        <w:numPr>
          <w:ilvl w:val="0"/>
          <w:numId w:val="5"/>
        </w:numPr>
        <w:jc w:val="both"/>
        <w:rPr>
          <w:rFonts w:ascii="Arial" w:hAnsi="Arial" w:eastAsia="Arial" w:cs="Arial"/>
          <w:sz w:val="20"/>
          <w:szCs w:val="20"/>
        </w:rPr>
      </w:pPr>
      <w:r w:rsidRPr="4A02F5E4">
        <w:rPr>
          <w:rFonts w:ascii="Arial" w:hAnsi="Arial" w:eastAsia="Arial" w:cs="Arial"/>
          <w:sz w:val="20"/>
          <w:szCs w:val="20"/>
        </w:rPr>
        <w:t>Where the person is not registered with a GP practice, the responsible ICB will be that covering the geographic area in which the individual is usually resident, or physically present at the time of detention</w:t>
      </w:r>
    </w:p>
    <w:p w:rsidR="00942DA1" w:rsidP="00942DA1" w:rsidRDefault="00942DA1" w14:paraId="50E2DDE1" w14:textId="248249DA">
      <w:pPr>
        <w:pStyle w:val="ListParagraph"/>
        <w:numPr>
          <w:ilvl w:val="0"/>
          <w:numId w:val="5"/>
        </w:numPr>
        <w:jc w:val="both"/>
        <w:rPr>
          <w:rFonts w:ascii="Arial" w:hAnsi="Arial" w:eastAsia="Arial" w:cs="Arial"/>
          <w:sz w:val="20"/>
          <w:szCs w:val="20"/>
        </w:rPr>
      </w:pPr>
      <w:r>
        <w:rPr>
          <w:rFonts w:ascii="Arial" w:hAnsi="Arial" w:eastAsia="Arial" w:cs="Arial"/>
          <w:sz w:val="20"/>
          <w:szCs w:val="20"/>
        </w:rPr>
        <w:t xml:space="preserve">In order to ensure that we have correct GP details at the time of the detention, all staff to access GP Spine through RiO or local PowerBI report and populate Section 117 form accordingly </w:t>
      </w:r>
    </w:p>
    <w:p w:rsidRPr="007A43B6" w:rsidR="4A02F5E4" w:rsidP="4A02F5E4" w:rsidRDefault="007A43B6" w14:paraId="22F3380F" w14:textId="59DFE216">
      <w:pPr>
        <w:jc w:val="both"/>
        <w:rPr>
          <w:rFonts w:ascii="Arial" w:hAnsi="Arial" w:eastAsia="Arial" w:cs="Arial"/>
          <w:b/>
          <w:i/>
          <w:sz w:val="20"/>
          <w:szCs w:val="20"/>
        </w:rPr>
      </w:pPr>
      <w:r w:rsidRPr="007A43B6">
        <w:rPr>
          <w:rFonts w:ascii="Arial" w:hAnsi="Arial" w:eastAsia="Arial" w:cs="Arial"/>
          <w:b/>
          <w:i/>
          <w:sz w:val="20"/>
          <w:szCs w:val="20"/>
        </w:rPr>
        <w:t>Link to the NHS England “</w:t>
      </w:r>
      <w:hyperlink w:history="1" r:id="rId8">
        <w:r w:rsidRPr="007A43B6">
          <w:rPr>
            <w:rStyle w:val="Hyperlink"/>
            <w:rFonts w:ascii="Arial" w:hAnsi="Arial" w:eastAsia="Arial" w:cs="Arial"/>
            <w:b/>
            <w:i/>
            <w:sz w:val="20"/>
            <w:szCs w:val="20"/>
          </w:rPr>
          <w:t>Who Pays Guidance</w:t>
        </w:r>
      </w:hyperlink>
      <w:r w:rsidRPr="007A43B6">
        <w:rPr>
          <w:rFonts w:ascii="Arial" w:hAnsi="Arial" w:eastAsia="Arial" w:cs="Arial"/>
          <w:b/>
          <w:i/>
          <w:sz w:val="20"/>
          <w:szCs w:val="20"/>
        </w:rPr>
        <w:t>”</w:t>
      </w:r>
      <w:r>
        <w:rPr>
          <w:rFonts w:ascii="Arial" w:hAnsi="Arial" w:eastAsia="Arial" w:cs="Arial"/>
          <w:b/>
          <w:i/>
          <w:sz w:val="20"/>
          <w:szCs w:val="20"/>
        </w:rPr>
        <w:t xml:space="preserve"> </w:t>
      </w:r>
    </w:p>
    <w:p w:rsidRPr="007A43B6" w:rsidR="16612F29" w:rsidP="4A02F5E4" w:rsidRDefault="16612F29" w14:paraId="2A668E01" w14:textId="79E1BD4E">
      <w:pPr>
        <w:jc w:val="both"/>
        <w:rPr>
          <w:rFonts w:ascii="Arial" w:hAnsi="Arial" w:eastAsia="Arial" w:cs="Arial"/>
          <w:b/>
          <w:bCs/>
          <w:sz w:val="20"/>
          <w:szCs w:val="20"/>
          <w:u w:val="single"/>
        </w:rPr>
      </w:pPr>
      <w:r w:rsidRPr="007A43B6">
        <w:rPr>
          <w:rFonts w:ascii="Arial" w:hAnsi="Arial" w:eastAsia="Arial" w:cs="Arial"/>
          <w:b/>
          <w:bCs/>
          <w:sz w:val="20"/>
          <w:szCs w:val="20"/>
          <w:u w:val="single"/>
        </w:rPr>
        <w:t>Local Authority</w:t>
      </w:r>
      <w:r w:rsidRPr="007A43B6" w:rsidR="71DBD11B">
        <w:rPr>
          <w:rFonts w:ascii="Arial" w:hAnsi="Arial" w:eastAsia="Arial" w:cs="Arial"/>
          <w:b/>
          <w:bCs/>
          <w:sz w:val="20"/>
          <w:szCs w:val="20"/>
          <w:u w:val="single"/>
        </w:rPr>
        <w:t>:</w:t>
      </w:r>
    </w:p>
    <w:p w:rsidR="16612F29" w:rsidP="4A02F5E4" w:rsidRDefault="16612F29" w14:paraId="53F2E306" w14:textId="033D92B5">
      <w:pPr>
        <w:pStyle w:val="ListParagraph"/>
        <w:numPr>
          <w:ilvl w:val="0"/>
          <w:numId w:val="7"/>
        </w:numPr>
        <w:jc w:val="both"/>
        <w:rPr>
          <w:rFonts w:ascii="Arial" w:hAnsi="Arial" w:eastAsia="Arial" w:cs="Arial"/>
          <w:sz w:val="20"/>
          <w:szCs w:val="20"/>
        </w:rPr>
      </w:pPr>
      <w:r w:rsidRPr="4A02F5E4">
        <w:rPr>
          <w:rFonts w:ascii="Arial" w:hAnsi="Arial" w:eastAsia="Arial" w:cs="Arial"/>
          <w:sz w:val="20"/>
          <w:szCs w:val="20"/>
        </w:rPr>
        <w:t xml:space="preserve">The Local Authority responsible for providing or commissioning after care services is the local authority in which the person </w:t>
      </w:r>
      <w:proofErr w:type="gramStart"/>
      <w:r w:rsidRPr="4A02F5E4">
        <w:rPr>
          <w:rFonts w:ascii="Arial" w:hAnsi="Arial" w:eastAsia="Arial" w:cs="Arial"/>
          <w:sz w:val="20"/>
          <w:szCs w:val="20"/>
        </w:rPr>
        <w:t>was found</w:t>
      </w:r>
      <w:proofErr w:type="gramEnd"/>
      <w:r w:rsidRPr="4A02F5E4">
        <w:rPr>
          <w:rFonts w:ascii="Arial" w:hAnsi="Arial" w:eastAsia="Arial" w:cs="Arial"/>
          <w:sz w:val="20"/>
          <w:szCs w:val="20"/>
        </w:rPr>
        <w:t xml:space="preserve"> to be ordinary resident. </w:t>
      </w:r>
    </w:p>
    <w:p w:rsidR="3395EE54" w:rsidP="4A02F5E4" w:rsidRDefault="3395EE54" w14:paraId="4D679770" w14:textId="4B3555B0">
      <w:pPr>
        <w:pStyle w:val="ListParagraph"/>
        <w:numPr>
          <w:ilvl w:val="0"/>
          <w:numId w:val="7"/>
        </w:numPr>
        <w:jc w:val="both"/>
        <w:rPr>
          <w:rFonts w:ascii="Arial" w:hAnsi="Arial" w:eastAsia="Arial" w:cs="Arial"/>
          <w:sz w:val="20"/>
          <w:szCs w:val="20"/>
        </w:rPr>
      </w:pPr>
      <w:r w:rsidRPr="4AECD571">
        <w:rPr>
          <w:rFonts w:ascii="Arial" w:hAnsi="Arial" w:eastAsia="Arial" w:cs="Arial"/>
          <w:sz w:val="20"/>
          <w:szCs w:val="20"/>
        </w:rPr>
        <w:t>In light of the Worcestershire judgement, the duty to provide after care services automatically ceases if a person who is in receipt of after care services is detained again under a relevant section of the Mental Health Act</w:t>
      </w:r>
      <w:r w:rsidRPr="4AECD571" w:rsidR="409CF7D0">
        <w:rPr>
          <w:rFonts w:ascii="Arial" w:hAnsi="Arial" w:eastAsia="Arial" w:cs="Arial"/>
          <w:sz w:val="20"/>
          <w:szCs w:val="20"/>
        </w:rPr>
        <w:t xml:space="preserve"> in the new area. </w:t>
      </w:r>
    </w:p>
    <w:p w:rsidR="006183F9" w:rsidP="4A02F5E4" w:rsidRDefault="006183F9" w14:paraId="0CF57ED6" w14:textId="164A4618">
      <w:pPr>
        <w:pStyle w:val="ListParagraph"/>
        <w:numPr>
          <w:ilvl w:val="0"/>
          <w:numId w:val="7"/>
        </w:numPr>
        <w:jc w:val="both"/>
        <w:rPr>
          <w:rFonts w:ascii="Arial" w:hAnsi="Arial" w:eastAsia="Arial" w:cs="Arial"/>
          <w:sz w:val="20"/>
          <w:szCs w:val="20"/>
        </w:rPr>
      </w:pPr>
      <w:r w:rsidRPr="4A02F5E4">
        <w:rPr>
          <w:rFonts w:ascii="Arial" w:hAnsi="Arial" w:eastAsia="Arial" w:cs="Arial"/>
          <w:sz w:val="20"/>
          <w:szCs w:val="20"/>
        </w:rPr>
        <w:t>Section 117 Mental Health Act assigns responsibility for after care services to the local authority where the person was ordinarily resident immediately before detention. This responsibility remains even if the person´s residence was established in accommodation provided or funded by another local authority</w:t>
      </w:r>
    </w:p>
    <w:p w:rsidR="007A43B6" w:rsidP="06D18D61" w:rsidRDefault="007A43B6" w14:paraId="01AA0526" w14:textId="77777777">
      <w:pPr>
        <w:jc w:val="both"/>
        <w:rPr>
          <w:rFonts w:ascii="Arial" w:hAnsi="Arial" w:eastAsia="Arial" w:cs="Arial"/>
          <w:b/>
          <w:i/>
          <w:sz w:val="20"/>
          <w:szCs w:val="20"/>
        </w:rPr>
      </w:pPr>
      <w:hyperlink w:history="1" r:id="rId9">
        <w:r w:rsidRPr="007A43B6">
          <w:rPr>
            <w:rStyle w:val="Hyperlink"/>
            <w:rFonts w:ascii="Arial" w:hAnsi="Arial" w:eastAsia="Arial" w:cs="Arial"/>
            <w:b/>
            <w:i/>
            <w:sz w:val="20"/>
            <w:szCs w:val="20"/>
          </w:rPr>
          <w:t>Link</w:t>
        </w:r>
      </w:hyperlink>
      <w:r>
        <w:rPr>
          <w:rFonts w:ascii="Arial" w:hAnsi="Arial" w:eastAsia="Arial" w:cs="Arial"/>
          <w:b/>
          <w:i/>
          <w:sz w:val="20"/>
          <w:szCs w:val="20"/>
        </w:rPr>
        <w:t xml:space="preserve"> to the Department of Health and Social Care’s position around the Worcestershire case and what this means for the ‘ordinary residence’ principle</w:t>
      </w:r>
    </w:p>
    <w:p w:rsidR="007A43B6" w:rsidP="06D18D61" w:rsidRDefault="007A43B6" w14:paraId="4B26372A" w14:textId="2E11F328">
      <w:pPr>
        <w:jc w:val="both"/>
        <w:rPr>
          <w:rFonts w:ascii="Arial" w:hAnsi="Arial" w:eastAsia="Arial" w:cs="Arial"/>
          <w:b/>
          <w:i/>
          <w:sz w:val="20"/>
          <w:szCs w:val="20"/>
        </w:rPr>
      </w:pPr>
      <w:r>
        <w:rPr>
          <w:rFonts w:ascii="Arial" w:hAnsi="Arial" w:eastAsia="Arial" w:cs="Arial"/>
          <w:b/>
          <w:i/>
          <w:sz w:val="20"/>
          <w:szCs w:val="20"/>
        </w:rPr>
        <w:t xml:space="preserve"> </w:t>
      </w:r>
    </w:p>
    <w:p w:rsidR="3CDF69AF" w:rsidP="4A02F5E4" w:rsidRDefault="3CDF69AF" w14:paraId="641DB77C" w14:textId="188799E6">
      <w:pPr>
        <w:jc w:val="both"/>
        <w:rPr>
          <w:rFonts w:ascii="Arial" w:hAnsi="Arial" w:eastAsia="Arial" w:cs="Arial"/>
          <w:b/>
          <w:bCs/>
          <w:color w:val="4472C4" w:themeColor="accent1"/>
        </w:rPr>
      </w:pPr>
      <w:r w:rsidRPr="06D18D61">
        <w:rPr>
          <w:rFonts w:ascii="Arial" w:hAnsi="Arial" w:eastAsia="Arial" w:cs="Arial"/>
          <w:b/>
          <w:bCs/>
          <w:color w:val="4472C4" w:themeColor="accent1"/>
        </w:rPr>
        <w:t>7.0</w:t>
      </w:r>
      <w:r w:rsidR="007A43B6">
        <w:rPr>
          <w:rFonts w:ascii="Arial" w:hAnsi="Arial" w:eastAsia="Arial" w:cs="Arial"/>
          <w:b/>
          <w:bCs/>
          <w:color w:val="4472C4" w:themeColor="accent1"/>
        </w:rPr>
        <w:t xml:space="preserve"> SECTION 117 REVIEWS</w:t>
      </w:r>
    </w:p>
    <w:p w:rsidR="06D18D61" w:rsidP="06D18D61" w:rsidRDefault="06D18D61" w14:paraId="08BC3865" w14:textId="22A15576">
      <w:pPr>
        <w:jc w:val="both"/>
        <w:rPr>
          <w:rFonts w:ascii="Arial" w:hAnsi="Arial" w:eastAsia="Arial" w:cs="Arial"/>
          <w:b/>
          <w:bCs/>
          <w:color w:val="4472C4" w:themeColor="accent1"/>
        </w:rPr>
      </w:pPr>
    </w:p>
    <w:tbl>
      <w:tblPr>
        <w:tblStyle w:val="TableGrid"/>
        <w:tblW w:w="0" w:type="auto"/>
        <w:tblLayout w:type="fixed"/>
        <w:tblLook w:val="06A0" w:firstRow="1" w:lastRow="0" w:firstColumn="1" w:lastColumn="0" w:noHBand="1" w:noVBand="1"/>
      </w:tblPr>
      <w:tblGrid>
        <w:gridCol w:w="9015"/>
      </w:tblGrid>
      <w:tr w:rsidR="06D18D61" w:rsidTr="000B425F" w14:paraId="48254696" w14:textId="77777777">
        <w:trPr>
          <w:trHeight w:val="300"/>
        </w:trPr>
        <w:tc>
          <w:tcPr>
            <w:tcW w:w="9015" w:type="dxa"/>
            <w:shd w:val="clear" w:color="auto" w:fill="DEEAF6" w:themeFill="accent5" w:themeFillTint="33"/>
          </w:tcPr>
          <w:p w:rsidR="06D18D61" w:rsidP="06D18D61" w:rsidRDefault="06D18D61" w14:paraId="0ACADD90" w14:textId="0EAD1FC3">
            <w:pPr>
              <w:spacing w:line="259" w:lineRule="auto"/>
              <w:rPr>
                <w:rFonts w:ascii="Arial" w:hAnsi="Arial" w:eastAsia="Arial" w:cs="Arial"/>
                <w:b/>
                <w:bCs/>
                <w:color w:val="000000" w:themeColor="text1"/>
              </w:rPr>
            </w:pPr>
            <w:r w:rsidRPr="06D18D61">
              <w:rPr>
                <w:rFonts w:ascii="Arial" w:hAnsi="Arial" w:eastAsia="Arial" w:cs="Arial"/>
                <w:b/>
                <w:bCs/>
                <w:color w:val="000000" w:themeColor="text1"/>
              </w:rPr>
              <w:t>WHAT NEEDS TO BE COMPLETED</w:t>
            </w:r>
          </w:p>
        </w:tc>
      </w:tr>
      <w:tr w:rsidR="06D18D61" w:rsidTr="4AECD571" w14:paraId="32BFE1F5" w14:textId="77777777">
        <w:trPr>
          <w:trHeight w:val="300"/>
        </w:trPr>
        <w:tc>
          <w:tcPr>
            <w:tcW w:w="9015" w:type="dxa"/>
          </w:tcPr>
          <w:p w:rsidR="412AAD84" w:rsidP="06D18D61" w:rsidRDefault="4B74E679" w14:paraId="7DF9EC9F" w14:textId="3F0DD34B">
            <w:pPr>
              <w:jc w:val="both"/>
              <w:rPr>
                <w:rFonts w:ascii="Arial" w:hAnsi="Arial" w:eastAsia="Arial" w:cs="Arial"/>
                <w:sz w:val="20"/>
                <w:szCs w:val="20"/>
              </w:rPr>
            </w:pPr>
            <w:r w:rsidRPr="4AECD571">
              <w:rPr>
                <w:rFonts w:ascii="Arial" w:hAnsi="Arial" w:eastAsia="Arial" w:cs="Arial"/>
                <w:sz w:val="20"/>
                <w:szCs w:val="20"/>
              </w:rPr>
              <w:t xml:space="preserve">Reviews </w:t>
            </w:r>
            <w:proofErr w:type="gramStart"/>
            <w:r w:rsidRPr="4AECD571">
              <w:rPr>
                <w:rFonts w:ascii="Arial" w:hAnsi="Arial" w:eastAsia="Arial" w:cs="Arial"/>
                <w:sz w:val="20"/>
                <w:szCs w:val="20"/>
              </w:rPr>
              <w:t>should be documented</w:t>
            </w:r>
            <w:proofErr w:type="gramEnd"/>
            <w:r w:rsidRPr="4AECD571">
              <w:rPr>
                <w:rFonts w:ascii="Arial" w:hAnsi="Arial" w:eastAsia="Arial" w:cs="Arial"/>
                <w:sz w:val="20"/>
                <w:szCs w:val="20"/>
              </w:rPr>
              <w:t xml:space="preserve"> on the Section 117 RiO form in order to assess whether or not the patient´s</w:t>
            </w:r>
            <w:r w:rsidRPr="4AECD571" w:rsidR="0FB2F270">
              <w:rPr>
                <w:rFonts w:ascii="Arial" w:hAnsi="Arial" w:eastAsia="Arial" w:cs="Arial"/>
                <w:sz w:val="20"/>
                <w:szCs w:val="20"/>
              </w:rPr>
              <w:t xml:space="preserve"> after care needs still exist</w:t>
            </w:r>
            <w:r w:rsidRPr="4AECD571">
              <w:rPr>
                <w:rFonts w:ascii="Arial" w:hAnsi="Arial" w:eastAsia="Arial" w:cs="Arial"/>
                <w:sz w:val="20"/>
                <w:szCs w:val="20"/>
              </w:rPr>
              <w:t xml:space="preserve">. </w:t>
            </w:r>
            <w:r w:rsidRPr="4AECD571" w:rsidR="5F8A23A4">
              <w:rPr>
                <w:rFonts w:ascii="Arial" w:hAnsi="Arial" w:eastAsia="Arial" w:cs="Arial"/>
                <w:sz w:val="20"/>
                <w:szCs w:val="20"/>
              </w:rPr>
              <w:t xml:space="preserve">This </w:t>
            </w:r>
            <w:proofErr w:type="gramStart"/>
            <w:r w:rsidRPr="4AECD571" w:rsidR="5F8A23A4">
              <w:rPr>
                <w:rFonts w:ascii="Arial" w:hAnsi="Arial" w:eastAsia="Arial" w:cs="Arial"/>
                <w:sz w:val="20"/>
                <w:szCs w:val="20"/>
              </w:rPr>
              <w:t>should be done</w:t>
            </w:r>
            <w:proofErr w:type="gramEnd"/>
            <w:r w:rsidRPr="4AECD571" w:rsidR="5F8A23A4">
              <w:rPr>
                <w:rFonts w:ascii="Arial" w:hAnsi="Arial" w:eastAsia="Arial" w:cs="Arial"/>
                <w:sz w:val="20"/>
                <w:szCs w:val="20"/>
              </w:rPr>
              <w:t xml:space="preserve"> as part of the multi-disciplinary meetings. </w:t>
            </w:r>
            <w:r w:rsidRPr="4AECD571">
              <w:rPr>
                <w:rFonts w:ascii="Arial" w:hAnsi="Arial" w:eastAsia="Arial" w:cs="Arial"/>
                <w:sz w:val="20"/>
                <w:szCs w:val="20"/>
              </w:rPr>
              <w:t xml:space="preserve">Any changes to the support plan and care and support package, including a recommendation to discharge some or all of the services, </w:t>
            </w:r>
            <w:proofErr w:type="gramStart"/>
            <w:r w:rsidRPr="4AECD571">
              <w:rPr>
                <w:rFonts w:ascii="Arial" w:hAnsi="Arial" w:eastAsia="Arial" w:cs="Arial"/>
                <w:sz w:val="20"/>
                <w:szCs w:val="20"/>
              </w:rPr>
              <w:t>must be formally recorded on the Section 117 RiO form and authorised by the relevant decision-making body</w:t>
            </w:r>
            <w:proofErr w:type="gramEnd"/>
            <w:r w:rsidRPr="4AECD571">
              <w:rPr>
                <w:rFonts w:ascii="Arial" w:hAnsi="Arial" w:eastAsia="Arial" w:cs="Arial"/>
                <w:sz w:val="20"/>
                <w:szCs w:val="20"/>
              </w:rPr>
              <w:t>.</w:t>
            </w:r>
          </w:p>
          <w:p w:rsidR="00516901" w:rsidP="06D18D61" w:rsidRDefault="00516901" w14:paraId="78B94DD0" w14:textId="4D4290C2">
            <w:pPr>
              <w:jc w:val="both"/>
              <w:rPr>
                <w:rFonts w:ascii="Arial" w:hAnsi="Arial" w:eastAsia="Arial" w:cs="Arial"/>
                <w:sz w:val="20"/>
                <w:szCs w:val="20"/>
              </w:rPr>
            </w:pPr>
          </w:p>
          <w:p w:rsidR="00516901" w:rsidP="06D18D61" w:rsidRDefault="00516901" w14:paraId="0DB8386C" w14:textId="6FE94D76">
            <w:pPr>
              <w:jc w:val="both"/>
              <w:rPr>
                <w:rFonts w:ascii="Arial" w:hAnsi="Arial" w:eastAsia="Arial" w:cs="Arial"/>
                <w:sz w:val="20"/>
                <w:szCs w:val="20"/>
              </w:rPr>
            </w:pPr>
            <w:r>
              <w:rPr>
                <w:rFonts w:ascii="Arial" w:hAnsi="Arial" w:eastAsia="Arial" w:cs="Arial"/>
                <w:sz w:val="20"/>
                <w:szCs w:val="20"/>
              </w:rPr>
              <w:t xml:space="preserve">The meeting should consist of the following items: </w:t>
            </w:r>
          </w:p>
          <w:p w:rsidR="00516901" w:rsidP="00516901" w:rsidRDefault="00516901" w14:paraId="644D8BBF" w14:textId="42A37461">
            <w:pPr>
              <w:pStyle w:val="ListParagraph"/>
              <w:numPr>
                <w:ilvl w:val="0"/>
                <w:numId w:val="12"/>
              </w:numPr>
              <w:jc w:val="both"/>
              <w:rPr>
                <w:rFonts w:ascii="Arial" w:hAnsi="Arial" w:eastAsia="Arial" w:cs="Arial"/>
                <w:sz w:val="20"/>
                <w:szCs w:val="20"/>
              </w:rPr>
            </w:pPr>
            <w:r>
              <w:rPr>
                <w:rFonts w:ascii="Arial" w:hAnsi="Arial" w:eastAsia="Arial" w:cs="Arial"/>
                <w:sz w:val="20"/>
                <w:szCs w:val="20"/>
              </w:rPr>
              <w:t>Discussion of Section 117 needs identified on the Dialog care plan and whether needs have been met or continue to exist</w:t>
            </w:r>
          </w:p>
          <w:p w:rsidR="00516901" w:rsidP="00516901" w:rsidRDefault="00516901" w14:paraId="13B4897A" w14:textId="560F44C9">
            <w:pPr>
              <w:pStyle w:val="ListParagraph"/>
              <w:numPr>
                <w:ilvl w:val="0"/>
                <w:numId w:val="12"/>
              </w:numPr>
              <w:jc w:val="both"/>
              <w:rPr>
                <w:rFonts w:ascii="Arial" w:hAnsi="Arial" w:eastAsia="Arial" w:cs="Arial"/>
                <w:sz w:val="20"/>
                <w:szCs w:val="20"/>
              </w:rPr>
            </w:pPr>
            <w:r>
              <w:rPr>
                <w:rFonts w:ascii="Arial" w:hAnsi="Arial" w:eastAsia="Arial" w:cs="Arial"/>
                <w:sz w:val="20"/>
                <w:szCs w:val="20"/>
              </w:rPr>
              <w:t>Discussion as to whether any other Section 117 needs have been identified</w:t>
            </w:r>
          </w:p>
          <w:p w:rsidR="00516901" w:rsidP="00516901" w:rsidRDefault="00516901" w14:paraId="22CEB2C8" w14:textId="2034442A">
            <w:pPr>
              <w:pStyle w:val="ListParagraph"/>
              <w:numPr>
                <w:ilvl w:val="0"/>
                <w:numId w:val="12"/>
              </w:numPr>
              <w:jc w:val="both"/>
              <w:rPr>
                <w:rFonts w:ascii="Arial" w:hAnsi="Arial" w:eastAsia="Arial" w:cs="Arial"/>
                <w:sz w:val="20"/>
                <w:szCs w:val="20"/>
              </w:rPr>
            </w:pPr>
            <w:r>
              <w:rPr>
                <w:rFonts w:ascii="Arial" w:hAnsi="Arial" w:eastAsia="Arial" w:cs="Arial"/>
                <w:sz w:val="20"/>
                <w:szCs w:val="20"/>
              </w:rPr>
              <w:t>Ensure all present have the opportunity to discuss care needs</w:t>
            </w:r>
          </w:p>
          <w:p w:rsidR="00516901" w:rsidP="00516901" w:rsidRDefault="00516901" w14:paraId="1027C372" w14:textId="67570733">
            <w:pPr>
              <w:pStyle w:val="ListParagraph"/>
              <w:numPr>
                <w:ilvl w:val="0"/>
                <w:numId w:val="12"/>
              </w:numPr>
              <w:jc w:val="both"/>
              <w:rPr>
                <w:rFonts w:ascii="Arial" w:hAnsi="Arial" w:eastAsia="Arial" w:cs="Arial"/>
                <w:sz w:val="20"/>
                <w:szCs w:val="20"/>
              </w:rPr>
            </w:pPr>
            <w:r>
              <w:rPr>
                <w:rFonts w:ascii="Arial" w:hAnsi="Arial" w:eastAsia="Arial" w:cs="Arial"/>
                <w:sz w:val="20"/>
                <w:szCs w:val="20"/>
              </w:rPr>
              <w:t>Any additional care needs not subject to Section 117 should also be considered</w:t>
            </w:r>
          </w:p>
          <w:p w:rsidR="00516901" w:rsidP="00516901" w:rsidRDefault="00516901" w14:paraId="10BC18CF" w14:textId="53093AAE">
            <w:pPr>
              <w:pStyle w:val="ListParagraph"/>
              <w:numPr>
                <w:ilvl w:val="0"/>
                <w:numId w:val="12"/>
              </w:numPr>
              <w:jc w:val="both"/>
              <w:rPr>
                <w:rFonts w:ascii="Arial" w:hAnsi="Arial" w:eastAsia="Arial" w:cs="Arial"/>
                <w:sz w:val="20"/>
                <w:szCs w:val="20"/>
              </w:rPr>
            </w:pPr>
            <w:r>
              <w:rPr>
                <w:rFonts w:ascii="Arial" w:hAnsi="Arial" w:eastAsia="Arial" w:cs="Arial"/>
                <w:sz w:val="20"/>
                <w:szCs w:val="20"/>
              </w:rPr>
              <w:t>Is there a need to consider the Mental Capacity Act or DOLS</w:t>
            </w:r>
          </w:p>
          <w:p w:rsidR="00516901" w:rsidP="00516901" w:rsidRDefault="00516901" w14:paraId="241D13BB" w14:textId="04D841A5">
            <w:pPr>
              <w:jc w:val="both"/>
              <w:rPr>
                <w:rFonts w:ascii="Arial" w:hAnsi="Arial" w:eastAsia="Arial" w:cs="Arial"/>
                <w:sz w:val="20"/>
                <w:szCs w:val="20"/>
              </w:rPr>
            </w:pPr>
          </w:p>
          <w:p w:rsidR="00516901" w:rsidP="00516901" w:rsidRDefault="5F8A23A4" w14:paraId="775B1128" w14:textId="57BFC6E0">
            <w:pPr>
              <w:jc w:val="both"/>
              <w:rPr>
                <w:rFonts w:ascii="Arial" w:hAnsi="Arial" w:eastAsia="Arial" w:cs="Arial"/>
                <w:sz w:val="20"/>
                <w:szCs w:val="20"/>
              </w:rPr>
            </w:pPr>
            <w:r w:rsidRPr="4AECD571">
              <w:rPr>
                <w:rFonts w:ascii="Arial" w:hAnsi="Arial" w:eastAsia="Arial" w:cs="Arial"/>
                <w:sz w:val="20"/>
                <w:szCs w:val="20"/>
              </w:rPr>
              <w:t>If the outcome of the meeting results in a proposal to discharge the service user from Section 117, please refer to section 8.0 of this document.</w:t>
            </w:r>
          </w:p>
          <w:p w:rsidR="06D18D61" w:rsidP="4AECD571" w:rsidRDefault="06D18D61" w14:paraId="642E21B1" w14:textId="4E8818CA">
            <w:pPr>
              <w:jc w:val="both"/>
              <w:rPr>
                <w:rFonts w:ascii="Arial" w:hAnsi="Arial" w:eastAsia="Arial" w:cs="Arial"/>
                <w:sz w:val="20"/>
                <w:szCs w:val="20"/>
              </w:rPr>
            </w:pPr>
          </w:p>
          <w:p w:rsidR="06D18D61" w:rsidP="4AECD571" w:rsidRDefault="70B259EC" w14:paraId="3953621D" w14:textId="4D5A0A08">
            <w:pPr>
              <w:jc w:val="both"/>
              <w:rPr>
                <w:rFonts w:ascii="Arial" w:hAnsi="Arial" w:eastAsia="Arial" w:cs="Arial"/>
                <w:sz w:val="20"/>
                <w:szCs w:val="20"/>
              </w:rPr>
            </w:pPr>
            <w:r w:rsidRPr="4AECD571">
              <w:rPr>
                <w:rFonts w:ascii="Arial" w:hAnsi="Arial" w:eastAsia="Arial" w:cs="Arial"/>
                <w:sz w:val="20"/>
                <w:szCs w:val="20"/>
              </w:rPr>
              <w:t>Frequency for review is</w:t>
            </w:r>
            <w:r w:rsidRPr="4AECD571" w:rsidR="3AB5FFC3">
              <w:rPr>
                <w:rFonts w:ascii="Arial" w:hAnsi="Arial" w:eastAsia="Arial" w:cs="Arial"/>
                <w:sz w:val="20"/>
                <w:szCs w:val="20"/>
              </w:rPr>
              <w:t xml:space="preserve"> minimum</w:t>
            </w:r>
            <w:r w:rsidRPr="4AECD571">
              <w:rPr>
                <w:rFonts w:ascii="Arial" w:hAnsi="Arial" w:eastAsia="Arial" w:cs="Arial"/>
                <w:sz w:val="20"/>
                <w:szCs w:val="20"/>
              </w:rPr>
              <w:t xml:space="preserve"> once a year when there is evidence in change.</w:t>
            </w:r>
            <w:r w:rsidRPr="4AECD571" w:rsidR="69E5BBA9">
              <w:rPr>
                <w:rFonts w:ascii="Arial" w:hAnsi="Arial" w:eastAsia="Arial" w:cs="Arial"/>
                <w:sz w:val="20"/>
                <w:szCs w:val="20"/>
              </w:rPr>
              <w:t xml:space="preserve"> This </w:t>
            </w:r>
            <w:proofErr w:type="gramStart"/>
            <w:r w:rsidRPr="4AECD571" w:rsidR="69E5BBA9">
              <w:rPr>
                <w:rFonts w:ascii="Arial" w:hAnsi="Arial" w:eastAsia="Arial" w:cs="Arial"/>
                <w:sz w:val="20"/>
                <w:szCs w:val="20"/>
              </w:rPr>
              <w:t>will be driven</w:t>
            </w:r>
            <w:proofErr w:type="gramEnd"/>
            <w:r w:rsidRPr="4AECD571" w:rsidR="69E5BBA9">
              <w:rPr>
                <w:rFonts w:ascii="Arial" w:hAnsi="Arial" w:eastAsia="Arial" w:cs="Arial"/>
                <w:sz w:val="20"/>
                <w:szCs w:val="20"/>
              </w:rPr>
              <w:t xml:space="preserve"> by significant changes in clinical need. </w:t>
            </w:r>
          </w:p>
          <w:p w:rsidR="06D18D61" w:rsidP="4AECD571" w:rsidRDefault="06D18D61" w14:paraId="0DD3571D" w14:textId="1B61184E">
            <w:pPr>
              <w:jc w:val="both"/>
              <w:rPr>
                <w:rFonts w:ascii="Arial" w:hAnsi="Arial" w:eastAsia="Arial" w:cs="Arial"/>
                <w:sz w:val="20"/>
                <w:szCs w:val="20"/>
              </w:rPr>
            </w:pPr>
          </w:p>
        </w:tc>
      </w:tr>
      <w:tr w:rsidR="06D18D61" w:rsidTr="000B425F" w14:paraId="73DA0FEB" w14:textId="77777777">
        <w:trPr>
          <w:trHeight w:val="300"/>
        </w:trPr>
        <w:tc>
          <w:tcPr>
            <w:tcW w:w="9015" w:type="dxa"/>
            <w:shd w:val="clear" w:color="auto" w:fill="DEEAF6" w:themeFill="accent5" w:themeFillTint="33"/>
          </w:tcPr>
          <w:p w:rsidR="06D18D61" w:rsidP="06D18D61" w:rsidRDefault="06D18D61" w14:paraId="4231860E" w14:textId="40EC909F">
            <w:pPr>
              <w:spacing w:line="259" w:lineRule="auto"/>
              <w:jc w:val="both"/>
              <w:rPr>
                <w:rFonts w:ascii="Arial" w:hAnsi="Arial" w:eastAsia="Arial" w:cs="Arial"/>
                <w:b/>
                <w:bCs/>
                <w:sz w:val="24"/>
                <w:szCs w:val="24"/>
              </w:rPr>
            </w:pPr>
            <w:r w:rsidRPr="06D18D61">
              <w:rPr>
                <w:rFonts w:ascii="Arial" w:hAnsi="Arial" w:eastAsia="Arial" w:cs="Arial"/>
                <w:b/>
                <w:bCs/>
              </w:rPr>
              <w:t>WHO NEEDS TO COMPLETE THIS</w:t>
            </w:r>
          </w:p>
        </w:tc>
      </w:tr>
      <w:tr w:rsidR="06D18D61" w:rsidTr="4AECD571" w14:paraId="28476CC9" w14:textId="77777777">
        <w:trPr>
          <w:trHeight w:val="300"/>
        </w:trPr>
        <w:tc>
          <w:tcPr>
            <w:tcW w:w="9015" w:type="dxa"/>
          </w:tcPr>
          <w:p w:rsidR="584CA640" w:rsidP="06D18D61" w:rsidRDefault="5F8A23A4" w14:paraId="23B09456" w14:textId="54E42578">
            <w:pPr>
              <w:jc w:val="both"/>
              <w:rPr>
                <w:rFonts w:ascii="Arial" w:hAnsi="Arial" w:eastAsia="Arial" w:cs="Arial"/>
                <w:sz w:val="20"/>
                <w:szCs w:val="20"/>
              </w:rPr>
            </w:pPr>
            <w:r w:rsidRPr="4AECD571">
              <w:rPr>
                <w:rFonts w:ascii="Arial" w:hAnsi="Arial" w:eastAsia="Arial" w:cs="Arial"/>
                <w:sz w:val="20"/>
                <w:szCs w:val="20"/>
              </w:rPr>
              <w:t>The Care Coordinator</w:t>
            </w:r>
            <w:r w:rsidRPr="4AECD571" w:rsidR="1C41A635">
              <w:rPr>
                <w:rFonts w:ascii="Arial" w:hAnsi="Arial" w:eastAsia="Arial" w:cs="Arial"/>
                <w:sz w:val="20"/>
                <w:szCs w:val="20"/>
              </w:rPr>
              <w:t xml:space="preserve"> must undertake regular reviews of the aftercare support plan, in line with the agreed </w:t>
            </w:r>
            <w:r w:rsidRPr="4AECD571" w:rsidR="6D22446A">
              <w:rPr>
                <w:rFonts w:ascii="Arial" w:hAnsi="Arial" w:eastAsia="Arial" w:cs="Arial"/>
                <w:sz w:val="20"/>
                <w:szCs w:val="20"/>
              </w:rPr>
              <w:t xml:space="preserve">minimum yearly review </w:t>
            </w:r>
            <w:r w:rsidRPr="4AECD571" w:rsidR="1C41A635">
              <w:rPr>
                <w:rFonts w:ascii="Arial" w:hAnsi="Arial" w:eastAsia="Arial" w:cs="Arial"/>
                <w:sz w:val="20"/>
                <w:szCs w:val="20"/>
              </w:rPr>
              <w:t xml:space="preserve">and this must be documented in line with </w:t>
            </w:r>
            <w:r w:rsidRPr="4AECD571" w:rsidR="00942DA1">
              <w:rPr>
                <w:rFonts w:ascii="Arial" w:hAnsi="Arial" w:eastAsia="Arial" w:cs="Arial"/>
                <w:sz w:val="20"/>
                <w:szCs w:val="20"/>
              </w:rPr>
              <w:t xml:space="preserve">the agreed timescales within it, according to the new replacement to CPA </w:t>
            </w:r>
          </w:p>
          <w:p w:rsidR="00516901" w:rsidP="06D18D61" w:rsidRDefault="00516901" w14:paraId="1DD534E1" w14:textId="77777777">
            <w:pPr>
              <w:jc w:val="both"/>
              <w:rPr>
                <w:rFonts w:ascii="Arial" w:hAnsi="Arial" w:eastAsia="Arial" w:cs="Arial"/>
                <w:sz w:val="20"/>
                <w:szCs w:val="20"/>
              </w:rPr>
            </w:pPr>
          </w:p>
          <w:p w:rsidR="00516901" w:rsidP="06D18D61" w:rsidRDefault="00516901" w14:paraId="631670D7" w14:textId="26E351CE">
            <w:pPr>
              <w:jc w:val="both"/>
              <w:rPr>
                <w:rFonts w:ascii="Arial" w:hAnsi="Arial" w:eastAsia="Arial" w:cs="Arial"/>
                <w:sz w:val="20"/>
                <w:szCs w:val="20"/>
              </w:rPr>
            </w:pPr>
            <w:r>
              <w:rPr>
                <w:rFonts w:ascii="Arial" w:hAnsi="Arial" w:eastAsia="Arial" w:cs="Arial"/>
                <w:sz w:val="20"/>
                <w:szCs w:val="20"/>
              </w:rPr>
              <w:t xml:space="preserve">The care coordinator should liaise with the responsible clinician and convene a section 117 review </w:t>
            </w:r>
            <w:proofErr w:type="gramStart"/>
            <w:r>
              <w:rPr>
                <w:rFonts w:ascii="Arial" w:hAnsi="Arial" w:eastAsia="Arial" w:cs="Arial"/>
                <w:sz w:val="20"/>
                <w:szCs w:val="20"/>
              </w:rPr>
              <w:t>meeting which</w:t>
            </w:r>
            <w:proofErr w:type="gramEnd"/>
            <w:r>
              <w:rPr>
                <w:rFonts w:ascii="Arial" w:hAnsi="Arial" w:eastAsia="Arial" w:cs="Arial"/>
                <w:sz w:val="20"/>
                <w:szCs w:val="20"/>
              </w:rPr>
              <w:t xml:space="preserve"> will take place as part of the scheduled teams’ multi-disciplinary meetings. The following staff member are required to join: </w:t>
            </w:r>
          </w:p>
          <w:p w:rsidR="00516901" w:rsidP="06D18D61" w:rsidRDefault="00516901" w14:paraId="79C6065A" w14:textId="77777777">
            <w:pPr>
              <w:jc w:val="both"/>
              <w:rPr>
                <w:rFonts w:ascii="Arial" w:hAnsi="Arial" w:eastAsia="Arial" w:cs="Arial"/>
                <w:sz w:val="20"/>
                <w:szCs w:val="20"/>
              </w:rPr>
            </w:pPr>
          </w:p>
          <w:p w:rsidR="00516901" w:rsidP="00516901" w:rsidRDefault="00516901" w14:paraId="6CA6445A" w14:textId="03AC1BC9">
            <w:pPr>
              <w:pStyle w:val="ListParagraph"/>
              <w:numPr>
                <w:ilvl w:val="0"/>
                <w:numId w:val="11"/>
              </w:numPr>
              <w:jc w:val="both"/>
              <w:rPr>
                <w:rFonts w:ascii="Arial" w:hAnsi="Arial" w:eastAsia="Arial" w:cs="Arial"/>
                <w:sz w:val="20"/>
                <w:szCs w:val="20"/>
              </w:rPr>
            </w:pPr>
            <w:r>
              <w:rPr>
                <w:rFonts w:ascii="Arial" w:hAnsi="Arial" w:eastAsia="Arial" w:cs="Arial"/>
                <w:sz w:val="20"/>
                <w:szCs w:val="20"/>
              </w:rPr>
              <w:t>Responsible Clinician/Consultant Psychiatrist</w:t>
            </w:r>
          </w:p>
          <w:p w:rsidR="00516901" w:rsidP="00516901" w:rsidRDefault="00516901" w14:paraId="7CB28E50" w14:textId="4D2AFFD1">
            <w:pPr>
              <w:pStyle w:val="ListParagraph"/>
              <w:numPr>
                <w:ilvl w:val="0"/>
                <w:numId w:val="11"/>
              </w:numPr>
              <w:jc w:val="both"/>
              <w:rPr>
                <w:rFonts w:ascii="Arial" w:hAnsi="Arial" w:eastAsia="Arial" w:cs="Arial"/>
                <w:sz w:val="20"/>
                <w:szCs w:val="20"/>
              </w:rPr>
            </w:pPr>
            <w:r>
              <w:rPr>
                <w:rFonts w:ascii="Arial" w:hAnsi="Arial" w:eastAsia="Arial" w:cs="Arial"/>
                <w:sz w:val="20"/>
                <w:szCs w:val="20"/>
              </w:rPr>
              <w:t>Care Coordinator</w:t>
            </w:r>
          </w:p>
          <w:p w:rsidR="00516901" w:rsidP="00516901" w:rsidRDefault="00516901" w14:paraId="05A4C122" w14:textId="726AE913">
            <w:pPr>
              <w:pStyle w:val="ListParagraph"/>
              <w:numPr>
                <w:ilvl w:val="0"/>
                <w:numId w:val="11"/>
              </w:numPr>
              <w:jc w:val="both"/>
              <w:rPr>
                <w:rFonts w:ascii="Arial" w:hAnsi="Arial" w:eastAsia="Arial" w:cs="Arial"/>
                <w:sz w:val="20"/>
                <w:szCs w:val="20"/>
              </w:rPr>
            </w:pPr>
            <w:r>
              <w:rPr>
                <w:rFonts w:ascii="Arial" w:hAnsi="Arial" w:eastAsia="Arial" w:cs="Arial"/>
                <w:sz w:val="20"/>
                <w:szCs w:val="20"/>
              </w:rPr>
              <w:t>Service User</w:t>
            </w:r>
          </w:p>
          <w:p w:rsidR="00516901" w:rsidP="00516901" w:rsidRDefault="00516901" w14:paraId="0A7C738B" w14:textId="5053EB3B">
            <w:pPr>
              <w:pStyle w:val="ListParagraph"/>
              <w:numPr>
                <w:ilvl w:val="0"/>
                <w:numId w:val="11"/>
              </w:numPr>
              <w:jc w:val="both"/>
              <w:rPr>
                <w:rFonts w:ascii="Arial" w:hAnsi="Arial" w:eastAsia="Arial" w:cs="Arial"/>
                <w:sz w:val="20"/>
                <w:szCs w:val="20"/>
              </w:rPr>
            </w:pPr>
            <w:r>
              <w:rPr>
                <w:rFonts w:ascii="Arial" w:hAnsi="Arial" w:eastAsia="Arial" w:cs="Arial"/>
                <w:sz w:val="20"/>
                <w:szCs w:val="20"/>
              </w:rPr>
              <w:t>Advocacy Representation (if service user requests involvement)</w:t>
            </w:r>
          </w:p>
          <w:p w:rsidRPr="00942DA1" w:rsidR="06D18D61" w:rsidP="06D18D61" w:rsidRDefault="00516901" w14:paraId="21EC3CF0" w14:textId="22488771">
            <w:pPr>
              <w:pStyle w:val="ListParagraph"/>
              <w:numPr>
                <w:ilvl w:val="0"/>
                <w:numId w:val="11"/>
              </w:numPr>
              <w:jc w:val="both"/>
              <w:rPr>
                <w:rFonts w:ascii="Arial" w:hAnsi="Arial" w:eastAsia="Arial" w:cs="Arial"/>
                <w:sz w:val="20"/>
                <w:szCs w:val="20"/>
              </w:rPr>
            </w:pPr>
            <w:r>
              <w:rPr>
                <w:rFonts w:ascii="Arial" w:hAnsi="Arial" w:eastAsia="Arial" w:cs="Arial"/>
                <w:sz w:val="20"/>
                <w:szCs w:val="20"/>
              </w:rPr>
              <w:t>ICB Representative (if there is joint funding in place)</w:t>
            </w:r>
          </w:p>
        </w:tc>
      </w:tr>
    </w:tbl>
    <w:p w:rsidR="06D18D61" w:rsidP="06D18D61" w:rsidRDefault="06D18D61" w14:paraId="4C68A644" w14:textId="4C571E5D">
      <w:pPr>
        <w:jc w:val="both"/>
        <w:rPr>
          <w:rFonts w:ascii="Arial" w:hAnsi="Arial" w:eastAsia="Arial" w:cs="Arial"/>
          <w:sz w:val="20"/>
          <w:szCs w:val="20"/>
        </w:rPr>
      </w:pPr>
    </w:p>
    <w:p w:rsidR="3CDF69AF" w:rsidP="4A02F5E4" w:rsidRDefault="3CDF69AF" w14:paraId="30DA7C93" w14:textId="04418AE8">
      <w:pPr>
        <w:jc w:val="both"/>
        <w:rPr>
          <w:rFonts w:ascii="Arial" w:hAnsi="Arial" w:eastAsia="Arial" w:cs="Arial"/>
          <w:b/>
          <w:bCs/>
          <w:color w:val="4472C4" w:themeColor="accent1"/>
        </w:rPr>
      </w:pPr>
      <w:r w:rsidRPr="2A716929">
        <w:rPr>
          <w:rFonts w:ascii="Arial" w:hAnsi="Arial" w:eastAsia="Arial" w:cs="Arial"/>
          <w:b/>
          <w:bCs/>
          <w:color w:val="4471C4"/>
        </w:rPr>
        <w:t>8</w:t>
      </w:r>
      <w:r w:rsidRPr="2A716929" w:rsidR="6AC51291">
        <w:rPr>
          <w:rFonts w:ascii="Arial" w:hAnsi="Arial" w:eastAsia="Arial" w:cs="Arial"/>
          <w:b/>
          <w:bCs/>
          <w:color w:val="4471C4"/>
        </w:rPr>
        <w:t xml:space="preserve">.0 </w:t>
      </w:r>
      <w:r w:rsidR="007A43B6">
        <w:rPr>
          <w:rFonts w:ascii="Arial" w:hAnsi="Arial" w:eastAsia="Arial" w:cs="Arial"/>
          <w:b/>
          <w:bCs/>
          <w:color w:val="4471C4"/>
        </w:rPr>
        <w:t>SECTION 117 DISCHARGE PROCESS</w:t>
      </w:r>
    </w:p>
    <w:p w:rsidR="379F18D9" w:rsidP="06D18D61" w:rsidRDefault="379F18D9" w14:paraId="38CD45D7" w14:textId="08A50254">
      <w:pPr>
        <w:jc w:val="both"/>
        <w:rPr>
          <w:rFonts w:ascii="Arial" w:hAnsi="Arial" w:eastAsia="Arial" w:cs="Arial"/>
          <w:sz w:val="20"/>
          <w:szCs w:val="20"/>
        </w:rPr>
      </w:pPr>
      <w:r w:rsidRPr="2A716929">
        <w:rPr>
          <w:rFonts w:ascii="Arial" w:hAnsi="Arial" w:eastAsia="Arial" w:cs="Arial"/>
          <w:sz w:val="20"/>
          <w:szCs w:val="20"/>
        </w:rPr>
        <w:t xml:space="preserve">It is possible to transfer an individual back to a GP where their mental health is stable even though they may still be eligible for Section 117 service. When an individual </w:t>
      </w:r>
      <w:proofErr w:type="gramStart"/>
      <w:r w:rsidRPr="2A716929">
        <w:rPr>
          <w:rFonts w:ascii="Arial" w:hAnsi="Arial" w:eastAsia="Arial" w:cs="Arial"/>
          <w:sz w:val="20"/>
          <w:szCs w:val="20"/>
        </w:rPr>
        <w:t xml:space="preserve">is reviewed by the multi-disciplinary </w:t>
      </w:r>
      <w:r w:rsidRPr="2A716929">
        <w:rPr>
          <w:rFonts w:ascii="Arial" w:hAnsi="Arial" w:eastAsia="Arial" w:cs="Arial"/>
          <w:sz w:val="20"/>
          <w:szCs w:val="20"/>
        </w:rPr>
        <w:t>team and found no longer to need Section 117 aftercare there should be a follow-up check of the decision within 6 weeks of the discharge</w:t>
      </w:r>
      <w:proofErr w:type="gramEnd"/>
      <w:r w:rsidRPr="2A716929">
        <w:rPr>
          <w:rFonts w:ascii="Arial" w:hAnsi="Arial" w:eastAsia="Arial" w:cs="Arial"/>
          <w:sz w:val="20"/>
          <w:szCs w:val="20"/>
        </w:rPr>
        <w:t xml:space="preserve">.      </w:t>
      </w:r>
    </w:p>
    <w:p w:rsidR="000B425F" w:rsidP="06D18D61" w:rsidRDefault="000B425F" w14:paraId="3D57147A" w14:textId="77777777">
      <w:pPr>
        <w:jc w:val="both"/>
        <w:rPr>
          <w:rFonts w:ascii="Arial" w:hAnsi="Arial" w:eastAsia="Arial" w:cs="Arial"/>
          <w:sz w:val="20"/>
          <w:szCs w:val="20"/>
        </w:rPr>
      </w:pPr>
    </w:p>
    <w:tbl>
      <w:tblPr>
        <w:tblStyle w:val="TableGrid"/>
        <w:tblW w:w="0" w:type="auto"/>
        <w:tblLayout w:type="fixed"/>
        <w:tblLook w:val="06A0" w:firstRow="1" w:lastRow="0" w:firstColumn="1" w:lastColumn="0" w:noHBand="1" w:noVBand="1"/>
      </w:tblPr>
      <w:tblGrid>
        <w:gridCol w:w="9015"/>
      </w:tblGrid>
      <w:tr w:rsidR="06D18D61" w:rsidTr="000B425F" w14:paraId="5DCBBD3C" w14:textId="77777777">
        <w:trPr>
          <w:trHeight w:val="300"/>
        </w:trPr>
        <w:tc>
          <w:tcPr>
            <w:tcW w:w="9015" w:type="dxa"/>
            <w:shd w:val="clear" w:color="auto" w:fill="DEEAF6" w:themeFill="accent5" w:themeFillTint="33"/>
          </w:tcPr>
          <w:p w:rsidR="06D18D61" w:rsidP="06D18D61" w:rsidRDefault="06D18D61" w14:paraId="53CD5155" w14:textId="0EAD1FC3">
            <w:pPr>
              <w:spacing w:line="259" w:lineRule="auto"/>
              <w:rPr>
                <w:rFonts w:ascii="Arial" w:hAnsi="Arial" w:eastAsia="Arial" w:cs="Arial"/>
                <w:b/>
                <w:bCs/>
                <w:color w:val="000000" w:themeColor="text1"/>
              </w:rPr>
            </w:pPr>
            <w:r w:rsidRPr="06D18D61">
              <w:rPr>
                <w:rFonts w:ascii="Arial" w:hAnsi="Arial" w:eastAsia="Arial" w:cs="Arial"/>
                <w:b/>
                <w:bCs/>
                <w:color w:val="000000" w:themeColor="text1"/>
              </w:rPr>
              <w:t>WHAT NEEDS TO BE COMPLETED</w:t>
            </w:r>
          </w:p>
        </w:tc>
      </w:tr>
      <w:tr w:rsidR="06D18D61" w:rsidTr="4AECD571" w14:paraId="0BB0754E" w14:textId="77777777">
        <w:trPr>
          <w:trHeight w:val="300"/>
        </w:trPr>
        <w:tc>
          <w:tcPr>
            <w:tcW w:w="9015" w:type="dxa"/>
          </w:tcPr>
          <w:p w:rsidR="494D75FD" w:rsidP="06D18D61" w:rsidRDefault="494D75FD" w14:paraId="4BF3CEC2" w14:textId="6BAEA917">
            <w:pPr>
              <w:jc w:val="both"/>
              <w:rPr>
                <w:rFonts w:ascii="Arial" w:hAnsi="Arial" w:eastAsia="Arial" w:cs="Arial"/>
                <w:sz w:val="20"/>
                <w:szCs w:val="20"/>
              </w:rPr>
            </w:pPr>
            <w:r w:rsidRPr="06D18D61">
              <w:rPr>
                <w:rFonts w:ascii="Arial" w:hAnsi="Arial" w:eastAsia="Arial" w:cs="Arial"/>
                <w:sz w:val="20"/>
                <w:szCs w:val="20"/>
              </w:rPr>
              <w:t xml:space="preserve">Under question 19 of the Section 117 form, once a review </w:t>
            </w:r>
            <w:proofErr w:type="gramStart"/>
            <w:r w:rsidRPr="06D18D61">
              <w:rPr>
                <w:rFonts w:ascii="Arial" w:hAnsi="Arial" w:eastAsia="Arial" w:cs="Arial"/>
                <w:sz w:val="20"/>
                <w:szCs w:val="20"/>
              </w:rPr>
              <w:t>has been selected</w:t>
            </w:r>
            <w:proofErr w:type="gramEnd"/>
            <w:r w:rsidRPr="06D18D61">
              <w:rPr>
                <w:rFonts w:ascii="Arial" w:hAnsi="Arial" w:eastAsia="Arial" w:cs="Arial"/>
                <w:sz w:val="20"/>
                <w:szCs w:val="20"/>
              </w:rPr>
              <w:t xml:space="preserve"> and “proposed section 117 discharge” has been selected, </w:t>
            </w:r>
            <w:r w:rsidR="00516901">
              <w:rPr>
                <w:rFonts w:ascii="Arial" w:hAnsi="Arial" w:eastAsia="Arial" w:cs="Arial"/>
                <w:sz w:val="20"/>
                <w:szCs w:val="20"/>
              </w:rPr>
              <w:t>the care coordinator</w:t>
            </w:r>
            <w:r w:rsidRPr="06D18D61">
              <w:rPr>
                <w:rFonts w:ascii="Arial" w:hAnsi="Arial" w:eastAsia="Arial" w:cs="Arial"/>
                <w:sz w:val="20"/>
                <w:szCs w:val="20"/>
              </w:rPr>
              <w:t xml:space="preserve"> need</w:t>
            </w:r>
            <w:r w:rsidR="00516901">
              <w:rPr>
                <w:rFonts w:ascii="Arial" w:hAnsi="Arial" w:eastAsia="Arial" w:cs="Arial"/>
                <w:sz w:val="20"/>
                <w:szCs w:val="20"/>
              </w:rPr>
              <w:t>s</w:t>
            </w:r>
            <w:r w:rsidRPr="06D18D61">
              <w:rPr>
                <w:rFonts w:ascii="Arial" w:hAnsi="Arial" w:eastAsia="Arial" w:cs="Arial"/>
                <w:sz w:val="20"/>
                <w:szCs w:val="20"/>
              </w:rPr>
              <w:t xml:space="preserve"> to ensure that this decision has been clearly evidenced </w:t>
            </w:r>
            <w:r w:rsidRPr="06D18D61" w:rsidR="07F25B2F">
              <w:rPr>
                <w:rFonts w:ascii="Arial" w:hAnsi="Arial" w:eastAsia="Arial" w:cs="Arial"/>
                <w:sz w:val="20"/>
                <w:szCs w:val="20"/>
              </w:rPr>
              <w:t xml:space="preserve">and documented in the patient’s </w:t>
            </w:r>
            <w:r w:rsidR="00516901">
              <w:rPr>
                <w:rFonts w:ascii="Arial" w:hAnsi="Arial" w:eastAsia="Arial" w:cs="Arial"/>
                <w:sz w:val="20"/>
                <w:szCs w:val="20"/>
              </w:rPr>
              <w:t>Dialog C</w:t>
            </w:r>
            <w:r w:rsidRPr="06D18D61" w:rsidR="07F25B2F">
              <w:rPr>
                <w:rFonts w:ascii="Arial" w:hAnsi="Arial" w:eastAsia="Arial" w:cs="Arial"/>
                <w:sz w:val="20"/>
                <w:szCs w:val="20"/>
              </w:rPr>
              <w:t>are</w:t>
            </w:r>
            <w:r w:rsidR="00516901">
              <w:rPr>
                <w:rFonts w:ascii="Arial" w:hAnsi="Arial" w:eastAsia="Arial" w:cs="Arial"/>
                <w:sz w:val="20"/>
                <w:szCs w:val="20"/>
              </w:rPr>
              <w:t xml:space="preserve"> Pl</w:t>
            </w:r>
            <w:r w:rsidRPr="06D18D61" w:rsidR="07F25B2F">
              <w:rPr>
                <w:rFonts w:ascii="Arial" w:hAnsi="Arial" w:eastAsia="Arial" w:cs="Arial"/>
                <w:sz w:val="20"/>
                <w:szCs w:val="20"/>
              </w:rPr>
              <w:t xml:space="preserve">an. Any recommendation to discharge </w:t>
            </w:r>
            <w:proofErr w:type="gramStart"/>
            <w:r w:rsidRPr="06D18D61" w:rsidR="07F25B2F">
              <w:rPr>
                <w:rFonts w:ascii="Arial" w:hAnsi="Arial" w:eastAsia="Arial" w:cs="Arial"/>
                <w:sz w:val="20"/>
                <w:szCs w:val="20"/>
              </w:rPr>
              <w:t>should be agreed</w:t>
            </w:r>
            <w:proofErr w:type="gramEnd"/>
            <w:r w:rsidRPr="06D18D61" w:rsidR="07F25B2F">
              <w:rPr>
                <w:rFonts w:ascii="Arial" w:hAnsi="Arial" w:eastAsia="Arial" w:cs="Arial"/>
                <w:sz w:val="20"/>
                <w:szCs w:val="20"/>
              </w:rPr>
              <w:t xml:space="preserve"> by both the relevant ICB and Local Authority. </w:t>
            </w:r>
          </w:p>
          <w:p w:rsidR="06D18D61" w:rsidP="06D18D61" w:rsidRDefault="06D18D61" w14:paraId="70325102" w14:textId="05B04E18">
            <w:pPr>
              <w:jc w:val="both"/>
              <w:rPr>
                <w:rFonts w:ascii="Arial" w:hAnsi="Arial" w:eastAsia="Arial" w:cs="Arial"/>
                <w:sz w:val="20"/>
                <w:szCs w:val="20"/>
              </w:rPr>
            </w:pPr>
          </w:p>
          <w:p w:rsidR="1AA1EC39" w:rsidP="06D18D61" w:rsidRDefault="1AA1EC39" w14:paraId="3AAFAAFC" w14:textId="3AE2CB63">
            <w:pPr>
              <w:jc w:val="both"/>
              <w:rPr>
                <w:rFonts w:ascii="Arial" w:hAnsi="Arial" w:eastAsia="Arial" w:cs="Arial"/>
                <w:sz w:val="20"/>
                <w:szCs w:val="20"/>
              </w:rPr>
            </w:pPr>
            <w:r w:rsidRPr="06D18D61">
              <w:rPr>
                <w:rFonts w:ascii="Arial" w:hAnsi="Arial" w:eastAsia="Arial" w:cs="Arial"/>
                <w:sz w:val="20"/>
                <w:szCs w:val="20"/>
              </w:rPr>
              <w:t>Aftercare under Section 117 may be terminated for the following reasons:</w:t>
            </w:r>
          </w:p>
          <w:p w:rsidR="1AA1EC39" w:rsidP="06D18D61" w:rsidRDefault="1AA1EC39" w14:paraId="2A3898B2" w14:textId="76AE00A9">
            <w:pPr>
              <w:pStyle w:val="ListParagraph"/>
              <w:numPr>
                <w:ilvl w:val="0"/>
                <w:numId w:val="2"/>
              </w:numPr>
              <w:jc w:val="both"/>
              <w:rPr>
                <w:rFonts w:ascii="Arial" w:hAnsi="Arial" w:eastAsia="Arial" w:cs="Arial"/>
                <w:sz w:val="20"/>
                <w:szCs w:val="20"/>
              </w:rPr>
            </w:pPr>
            <w:r w:rsidRPr="06D18D61">
              <w:rPr>
                <w:rFonts w:ascii="Arial" w:hAnsi="Arial" w:eastAsia="Arial" w:cs="Arial"/>
                <w:sz w:val="20"/>
                <w:szCs w:val="20"/>
              </w:rPr>
              <w:t>Death of the service user</w:t>
            </w:r>
          </w:p>
          <w:p w:rsidR="06D18D61" w:rsidP="2A716929" w:rsidRDefault="1AA1EC39" w14:paraId="0BC1F8DC" w14:textId="77777777">
            <w:pPr>
              <w:pStyle w:val="ListParagraph"/>
              <w:numPr>
                <w:ilvl w:val="0"/>
                <w:numId w:val="2"/>
              </w:numPr>
              <w:jc w:val="both"/>
              <w:rPr>
                <w:rFonts w:ascii="Arial" w:hAnsi="Arial" w:eastAsia="Arial" w:cs="Arial"/>
                <w:sz w:val="20"/>
                <w:szCs w:val="20"/>
              </w:rPr>
            </w:pPr>
            <w:r w:rsidRPr="2A716929">
              <w:rPr>
                <w:rFonts w:ascii="Arial" w:hAnsi="Arial" w:eastAsia="Arial" w:cs="Arial"/>
                <w:sz w:val="20"/>
                <w:szCs w:val="20"/>
              </w:rPr>
              <w:t>A review has determined that aftercare is no longer required</w:t>
            </w:r>
          </w:p>
          <w:p w:rsidR="007A43B6" w:rsidP="007A43B6" w:rsidRDefault="007A43B6" w14:paraId="33273B4C" w14:textId="5F4F9989">
            <w:pPr>
              <w:pStyle w:val="ListParagraph"/>
              <w:jc w:val="both"/>
              <w:rPr>
                <w:rFonts w:ascii="Arial" w:hAnsi="Arial" w:eastAsia="Arial" w:cs="Arial"/>
                <w:sz w:val="20"/>
                <w:szCs w:val="20"/>
              </w:rPr>
            </w:pPr>
          </w:p>
        </w:tc>
      </w:tr>
      <w:tr w:rsidR="06D18D61" w:rsidTr="000B425F" w14:paraId="2C10ED1D" w14:textId="77777777">
        <w:trPr>
          <w:trHeight w:val="300"/>
        </w:trPr>
        <w:tc>
          <w:tcPr>
            <w:tcW w:w="9015" w:type="dxa"/>
            <w:shd w:val="clear" w:color="auto" w:fill="DEEAF6" w:themeFill="accent5" w:themeFillTint="33"/>
          </w:tcPr>
          <w:p w:rsidR="06D18D61" w:rsidP="06D18D61" w:rsidRDefault="06D18D61" w14:paraId="0429F975" w14:textId="4B6F36ED">
            <w:pPr>
              <w:spacing w:line="259" w:lineRule="auto"/>
              <w:jc w:val="both"/>
              <w:rPr>
                <w:rFonts w:ascii="Arial" w:hAnsi="Arial" w:eastAsia="Arial" w:cs="Arial"/>
                <w:b/>
                <w:bCs/>
                <w:sz w:val="24"/>
                <w:szCs w:val="24"/>
              </w:rPr>
            </w:pPr>
            <w:r w:rsidRPr="06D18D61">
              <w:rPr>
                <w:rFonts w:ascii="Arial" w:hAnsi="Arial" w:eastAsia="Arial" w:cs="Arial"/>
                <w:b/>
                <w:bCs/>
              </w:rPr>
              <w:t>WHO NEEDS TO COMPLETE THIS</w:t>
            </w:r>
          </w:p>
        </w:tc>
      </w:tr>
      <w:tr w:rsidR="06D18D61" w:rsidTr="4AECD571" w14:paraId="4AE4AA2B" w14:textId="77777777">
        <w:trPr>
          <w:trHeight w:val="300"/>
        </w:trPr>
        <w:tc>
          <w:tcPr>
            <w:tcW w:w="9015" w:type="dxa"/>
          </w:tcPr>
          <w:p w:rsidR="16F18B72" w:rsidP="06D18D61" w:rsidRDefault="16F18B72" w14:paraId="3C9D18B1" w14:textId="61AC0F25">
            <w:pPr>
              <w:jc w:val="both"/>
              <w:rPr>
                <w:rFonts w:ascii="Arial" w:hAnsi="Arial" w:eastAsia="Arial" w:cs="Arial"/>
                <w:sz w:val="20"/>
                <w:szCs w:val="20"/>
              </w:rPr>
            </w:pPr>
            <w:r w:rsidRPr="06D18D61">
              <w:rPr>
                <w:rFonts w:ascii="Arial" w:hAnsi="Arial" w:eastAsia="Arial" w:cs="Arial"/>
                <w:sz w:val="20"/>
                <w:szCs w:val="20"/>
              </w:rPr>
              <w:t>It is the joint responsibility of the ICB and Local Authority, in consultation with the person, carers and professionals involved, to decide whether aftercare should end</w:t>
            </w:r>
          </w:p>
          <w:p w:rsidR="06D18D61" w:rsidP="06D18D61" w:rsidRDefault="06D18D61" w14:paraId="2644477D" w14:textId="2FBF5DF3">
            <w:pPr>
              <w:jc w:val="both"/>
              <w:rPr>
                <w:rFonts w:ascii="Arial" w:hAnsi="Arial" w:eastAsia="Arial" w:cs="Arial"/>
                <w:sz w:val="20"/>
                <w:szCs w:val="20"/>
              </w:rPr>
            </w:pPr>
          </w:p>
          <w:p w:rsidR="16F18B72" w:rsidP="06D18D61" w:rsidRDefault="16F18B72" w14:paraId="0298992D" w14:textId="10A8DA9F">
            <w:pPr>
              <w:jc w:val="both"/>
              <w:rPr>
                <w:rFonts w:ascii="Arial" w:hAnsi="Arial" w:eastAsia="Arial" w:cs="Arial"/>
                <w:sz w:val="20"/>
                <w:szCs w:val="20"/>
              </w:rPr>
            </w:pPr>
            <w:r w:rsidRPr="06D18D61">
              <w:rPr>
                <w:rFonts w:ascii="Arial" w:hAnsi="Arial" w:eastAsia="Arial" w:cs="Arial"/>
                <w:sz w:val="20"/>
                <w:szCs w:val="20"/>
              </w:rPr>
              <w:t xml:space="preserve">Any recommendation to discharge </w:t>
            </w:r>
            <w:proofErr w:type="gramStart"/>
            <w:r w:rsidRPr="06D18D61">
              <w:rPr>
                <w:rFonts w:ascii="Arial" w:hAnsi="Arial" w:eastAsia="Arial" w:cs="Arial"/>
                <w:sz w:val="20"/>
                <w:szCs w:val="20"/>
              </w:rPr>
              <w:t>should be agreed</w:t>
            </w:r>
            <w:proofErr w:type="gramEnd"/>
            <w:r w:rsidRPr="06D18D61">
              <w:rPr>
                <w:rFonts w:ascii="Arial" w:hAnsi="Arial" w:eastAsia="Arial" w:cs="Arial"/>
                <w:sz w:val="20"/>
                <w:szCs w:val="20"/>
              </w:rPr>
              <w:t xml:space="preserve"> by both the relevant ICB and Local Authority being satisfied that the individual is no longer in need of aftercare services by virtue of their mental disorder. Local Section 117 policies will need to determine how this is done</w:t>
            </w:r>
          </w:p>
          <w:p w:rsidR="06D18D61" w:rsidP="06D18D61" w:rsidRDefault="06D18D61" w14:paraId="1E163668" w14:textId="00A94DAF">
            <w:pPr>
              <w:jc w:val="both"/>
              <w:rPr>
                <w:rFonts w:ascii="Arial" w:hAnsi="Arial" w:eastAsia="Arial" w:cs="Arial"/>
                <w:sz w:val="20"/>
                <w:szCs w:val="20"/>
              </w:rPr>
            </w:pPr>
          </w:p>
          <w:p w:rsidR="16F18B72" w:rsidP="06D18D61" w:rsidRDefault="16F18B72" w14:paraId="261F2A60" w14:textId="083F4B94">
            <w:pPr>
              <w:jc w:val="both"/>
              <w:rPr>
                <w:rFonts w:ascii="Arial" w:hAnsi="Arial" w:eastAsia="Arial" w:cs="Arial"/>
                <w:sz w:val="20"/>
                <w:szCs w:val="20"/>
              </w:rPr>
            </w:pPr>
            <w:r w:rsidRPr="06D18D61">
              <w:rPr>
                <w:rFonts w:ascii="Arial" w:hAnsi="Arial" w:eastAsia="Arial" w:cs="Arial"/>
                <w:sz w:val="20"/>
                <w:szCs w:val="20"/>
              </w:rPr>
              <w:t xml:space="preserve">Consideration of discharge from Section 117 should be made at a review between the relevant professionals, the individual, </w:t>
            </w:r>
            <w:proofErr w:type="gramStart"/>
            <w:r w:rsidRPr="06D18D61">
              <w:rPr>
                <w:rFonts w:ascii="Arial" w:hAnsi="Arial" w:eastAsia="Arial" w:cs="Arial"/>
                <w:sz w:val="20"/>
                <w:szCs w:val="20"/>
              </w:rPr>
              <w:t>carer</w:t>
            </w:r>
            <w:proofErr w:type="gramEnd"/>
            <w:r w:rsidRPr="06D18D61">
              <w:rPr>
                <w:rFonts w:ascii="Arial" w:hAnsi="Arial" w:eastAsia="Arial" w:cs="Arial"/>
                <w:sz w:val="20"/>
                <w:szCs w:val="20"/>
              </w:rPr>
              <w:t>, nearest relative and service providers where possible, following a re-assessment of the individual´s needs. Prior to ending Section 117, it should be demonstrated that there has been active engagement with the service users and their representatives</w:t>
            </w:r>
          </w:p>
          <w:p w:rsidR="06D18D61" w:rsidP="06D18D61" w:rsidRDefault="06D18D61" w14:paraId="22BF8134" w14:textId="7F302C53">
            <w:pPr>
              <w:jc w:val="both"/>
              <w:rPr>
                <w:rFonts w:ascii="Arial" w:hAnsi="Arial" w:eastAsia="Arial" w:cs="Arial"/>
                <w:sz w:val="20"/>
                <w:szCs w:val="20"/>
              </w:rPr>
            </w:pPr>
          </w:p>
          <w:p w:rsidR="16F18B72" w:rsidP="06D18D61" w:rsidRDefault="16F18B72" w14:paraId="70F921FC" w14:textId="478D5F35">
            <w:pPr>
              <w:jc w:val="both"/>
              <w:rPr>
                <w:rFonts w:ascii="Arial" w:hAnsi="Arial" w:eastAsia="Arial" w:cs="Arial"/>
                <w:sz w:val="20"/>
                <w:szCs w:val="20"/>
              </w:rPr>
            </w:pPr>
            <w:r w:rsidRPr="06D18D61">
              <w:rPr>
                <w:rFonts w:ascii="Arial" w:hAnsi="Arial" w:eastAsia="Arial" w:cs="Arial"/>
                <w:sz w:val="20"/>
                <w:szCs w:val="20"/>
              </w:rPr>
              <w:t>Section 117 requires both responsible aftercare statutory bodies to be satisfied that the person no longer requires after care services for Section 117 to be lawfully ended and any such decision may only be taken after a lawful multi-disciplinary reassessment of a person´s need</w:t>
            </w:r>
          </w:p>
          <w:p w:rsidR="06D18D61" w:rsidP="06D18D61" w:rsidRDefault="06D18D61" w14:paraId="7094865D" w14:textId="3237B372">
            <w:pPr>
              <w:jc w:val="both"/>
              <w:rPr>
                <w:rFonts w:ascii="Arial" w:hAnsi="Arial" w:eastAsia="Arial" w:cs="Arial"/>
                <w:sz w:val="20"/>
                <w:szCs w:val="20"/>
              </w:rPr>
            </w:pPr>
          </w:p>
          <w:p w:rsidR="06D18D61" w:rsidP="06D18D61" w:rsidRDefault="7E0E5CDE" w14:paraId="44D17783" w14:textId="39857A64">
            <w:pPr>
              <w:jc w:val="both"/>
              <w:rPr>
                <w:rFonts w:ascii="Arial" w:hAnsi="Arial" w:eastAsia="Arial" w:cs="Arial"/>
                <w:sz w:val="20"/>
                <w:szCs w:val="20"/>
              </w:rPr>
            </w:pPr>
            <w:r w:rsidRPr="4AECD571">
              <w:rPr>
                <w:rFonts w:ascii="Arial" w:hAnsi="Arial" w:eastAsia="Arial" w:cs="Arial"/>
                <w:sz w:val="20"/>
                <w:szCs w:val="20"/>
              </w:rPr>
              <w:t xml:space="preserve">No element of the Section 117 duty should be discharged without a formal </w:t>
            </w:r>
            <w:proofErr w:type="gramStart"/>
            <w:r w:rsidRPr="4AECD571">
              <w:rPr>
                <w:rFonts w:ascii="Arial" w:hAnsi="Arial" w:eastAsia="Arial" w:cs="Arial"/>
                <w:sz w:val="20"/>
                <w:szCs w:val="20"/>
              </w:rPr>
              <w:t>assessment taking</w:t>
            </w:r>
            <w:proofErr w:type="gramEnd"/>
            <w:r w:rsidRPr="4AECD571">
              <w:rPr>
                <w:rFonts w:ascii="Arial" w:hAnsi="Arial" w:eastAsia="Arial" w:cs="Arial"/>
                <w:sz w:val="20"/>
                <w:szCs w:val="20"/>
              </w:rPr>
              <w:t xml:space="preserve"> place by the appropriate professionals and presentation to the ICB and Local Authority to formally discharge from Section 117. However, some elements of the aftercare package </w:t>
            </w:r>
            <w:proofErr w:type="gramStart"/>
            <w:r w:rsidRPr="4AECD571">
              <w:rPr>
                <w:rFonts w:ascii="Arial" w:hAnsi="Arial" w:eastAsia="Arial" w:cs="Arial"/>
                <w:sz w:val="20"/>
                <w:szCs w:val="20"/>
              </w:rPr>
              <w:t>may be discharged</w:t>
            </w:r>
            <w:proofErr w:type="gramEnd"/>
            <w:r w:rsidRPr="4AECD571">
              <w:rPr>
                <w:rFonts w:ascii="Arial" w:hAnsi="Arial" w:eastAsia="Arial" w:cs="Arial"/>
                <w:sz w:val="20"/>
                <w:szCs w:val="20"/>
              </w:rPr>
              <w:t xml:space="preserve"> sooner than others if a specific need has been successfully me</w:t>
            </w:r>
            <w:r w:rsidRPr="4AECD571" w:rsidR="392706F1">
              <w:rPr>
                <w:rFonts w:ascii="Arial" w:hAnsi="Arial" w:eastAsia="Arial" w:cs="Arial"/>
                <w:sz w:val="20"/>
                <w:szCs w:val="20"/>
              </w:rPr>
              <w:t xml:space="preserve">t. Legal support is required to ascertain this clinical judgement. </w:t>
            </w:r>
          </w:p>
          <w:p w:rsidR="007A43B6" w:rsidP="06D18D61" w:rsidRDefault="007A43B6" w14:paraId="7F5E926F" w14:textId="156E6CAD">
            <w:pPr>
              <w:jc w:val="both"/>
              <w:rPr>
                <w:rFonts w:ascii="Arial" w:hAnsi="Arial" w:eastAsia="Arial" w:cs="Arial"/>
                <w:sz w:val="20"/>
                <w:szCs w:val="20"/>
              </w:rPr>
            </w:pPr>
          </w:p>
          <w:p w:rsidR="007A43B6" w:rsidP="06D18D61" w:rsidRDefault="007A43B6" w14:paraId="484BD67B" w14:textId="5D8F8D8B">
            <w:pPr>
              <w:jc w:val="both"/>
              <w:rPr>
                <w:rFonts w:ascii="Arial" w:hAnsi="Arial" w:eastAsia="Arial" w:cs="Arial"/>
                <w:sz w:val="20"/>
                <w:szCs w:val="20"/>
              </w:rPr>
            </w:pPr>
            <w:r>
              <w:rPr>
                <w:rFonts w:ascii="Arial" w:hAnsi="Arial" w:eastAsia="Arial" w:cs="Arial"/>
                <w:sz w:val="20"/>
                <w:szCs w:val="20"/>
              </w:rPr>
              <w:t xml:space="preserve">It is recommended that staff send a letter to the patient should eligibility be rescinded. A Section 117 leaflet </w:t>
            </w:r>
            <w:proofErr w:type="gramStart"/>
            <w:r>
              <w:rPr>
                <w:rFonts w:ascii="Arial" w:hAnsi="Arial" w:eastAsia="Arial" w:cs="Arial"/>
                <w:sz w:val="20"/>
                <w:szCs w:val="20"/>
              </w:rPr>
              <w:t>will be distributed</w:t>
            </w:r>
            <w:proofErr w:type="gramEnd"/>
            <w:r>
              <w:rPr>
                <w:rFonts w:ascii="Arial" w:hAnsi="Arial" w:eastAsia="Arial" w:cs="Arial"/>
                <w:sz w:val="20"/>
                <w:szCs w:val="20"/>
              </w:rPr>
              <w:t xml:space="preserve"> including the patient’s rights should this be rescinded. Patients </w:t>
            </w:r>
            <w:proofErr w:type="gramStart"/>
            <w:r>
              <w:rPr>
                <w:rFonts w:ascii="Arial" w:hAnsi="Arial" w:eastAsia="Arial" w:cs="Arial"/>
                <w:sz w:val="20"/>
                <w:szCs w:val="20"/>
              </w:rPr>
              <w:t>should be consulted</w:t>
            </w:r>
            <w:proofErr w:type="gramEnd"/>
            <w:r>
              <w:rPr>
                <w:rFonts w:ascii="Arial" w:hAnsi="Arial" w:eastAsia="Arial" w:cs="Arial"/>
                <w:sz w:val="20"/>
                <w:szCs w:val="20"/>
              </w:rPr>
              <w:t xml:space="preserve"> to understand what they would find useful in the wording of this leaflet.</w:t>
            </w:r>
          </w:p>
          <w:p w:rsidR="06D18D61" w:rsidP="007A43B6" w:rsidRDefault="06D18D61" w14:paraId="09EB055A" w14:textId="46CB1D81">
            <w:pPr>
              <w:jc w:val="both"/>
              <w:rPr>
                <w:rFonts w:ascii="Arial" w:hAnsi="Arial" w:eastAsia="Arial" w:cs="Arial"/>
                <w:b/>
                <w:bCs/>
              </w:rPr>
            </w:pPr>
          </w:p>
        </w:tc>
      </w:tr>
    </w:tbl>
    <w:p w:rsidR="06D18D61" w:rsidP="06D18D61" w:rsidRDefault="06D18D61" w14:paraId="747EF077" w14:textId="1A0051D9">
      <w:pPr>
        <w:jc w:val="both"/>
        <w:rPr>
          <w:rFonts w:ascii="Arial" w:hAnsi="Arial" w:eastAsia="Arial" w:cs="Arial"/>
          <w:sz w:val="20"/>
          <w:szCs w:val="20"/>
        </w:rPr>
      </w:pPr>
    </w:p>
    <w:p w:rsidR="00942DA1" w:rsidP="2A716929" w:rsidRDefault="00942DA1" w14:paraId="36BD0687" w14:textId="77777777">
      <w:pPr>
        <w:jc w:val="both"/>
        <w:rPr>
          <w:rFonts w:ascii="Arial" w:hAnsi="Arial" w:eastAsia="Arial" w:cs="Arial"/>
          <w:b/>
          <w:bCs/>
          <w:color w:val="4471C4"/>
        </w:rPr>
      </w:pPr>
    </w:p>
    <w:p w:rsidR="00942DA1" w:rsidP="2A716929" w:rsidRDefault="00942DA1" w14:paraId="4E004EAD" w14:textId="77777777">
      <w:pPr>
        <w:jc w:val="both"/>
        <w:rPr>
          <w:rFonts w:ascii="Arial" w:hAnsi="Arial" w:eastAsia="Arial" w:cs="Arial"/>
          <w:b/>
          <w:bCs/>
          <w:color w:val="4471C4"/>
        </w:rPr>
      </w:pPr>
    </w:p>
    <w:p w:rsidR="000B425F" w:rsidP="2A716929" w:rsidRDefault="000B425F" w14:paraId="3476C4A5" w14:textId="77777777">
      <w:pPr>
        <w:jc w:val="both"/>
        <w:rPr>
          <w:rFonts w:ascii="Arial" w:hAnsi="Arial" w:eastAsia="Arial" w:cs="Arial"/>
          <w:b/>
          <w:bCs/>
          <w:color w:val="4471C4"/>
        </w:rPr>
      </w:pPr>
    </w:p>
    <w:p w:rsidR="000B425F" w:rsidP="2A716929" w:rsidRDefault="000B425F" w14:paraId="289409F3" w14:textId="77777777">
      <w:pPr>
        <w:jc w:val="both"/>
        <w:rPr>
          <w:rFonts w:ascii="Arial" w:hAnsi="Arial" w:eastAsia="Arial" w:cs="Arial"/>
          <w:b/>
          <w:bCs/>
          <w:color w:val="4471C4"/>
        </w:rPr>
      </w:pPr>
    </w:p>
    <w:p w:rsidR="000B425F" w:rsidP="2A716929" w:rsidRDefault="000B425F" w14:paraId="2742F45A" w14:textId="77777777">
      <w:pPr>
        <w:jc w:val="both"/>
        <w:rPr>
          <w:rFonts w:ascii="Arial" w:hAnsi="Arial" w:eastAsia="Arial" w:cs="Arial"/>
          <w:b/>
          <w:bCs/>
          <w:color w:val="4471C4"/>
        </w:rPr>
      </w:pPr>
    </w:p>
    <w:p w:rsidR="000B425F" w:rsidP="2A716929" w:rsidRDefault="000B425F" w14:paraId="279CC8EE" w14:textId="77777777">
      <w:pPr>
        <w:jc w:val="both"/>
        <w:rPr>
          <w:rFonts w:ascii="Arial" w:hAnsi="Arial" w:eastAsia="Arial" w:cs="Arial"/>
          <w:b/>
          <w:bCs/>
          <w:color w:val="4471C4"/>
        </w:rPr>
      </w:pPr>
    </w:p>
    <w:p w:rsidR="000B425F" w:rsidP="2A716929" w:rsidRDefault="000B425F" w14:paraId="3E14BA0C" w14:textId="77777777">
      <w:pPr>
        <w:jc w:val="both"/>
        <w:rPr>
          <w:rFonts w:ascii="Arial" w:hAnsi="Arial" w:eastAsia="Arial" w:cs="Arial"/>
          <w:b/>
          <w:bCs/>
          <w:color w:val="4471C4"/>
        </w:rPr>
      </w:pPr>
    </w:p>
    <w:p w:rsidR="000B425F" w:rsidP="2A716929" w:rsidRDefault="000B425F" w14:paraId="6B1EEB2A" w14:textId="77777777">
      <w:pPr>
        <w:jc w:val="both"/>
        <w:rPr>
          <w:rFonts w:ascii="Arial" w:hAnsi="Arial" w:eastAsia="Arial" w:cs="Arial"/>
          <w:b/>
          <w:bCs/>
          <w:color w:val="4471C4"/>
        </w:rPr>
      </w:pPr>
    </w:p>
    <w:p w:rsidR="000B425F" w:rsidP="2A716929" w:rsidRDefault="000B425F" w14:paraId="1252FF41" w14:textId="77777777">
      <w:pPr>
        <w:jc w:val="both"/>
        <w:rPr>
          <w:rFonts w:ascii="Arial" w:hAnsi="Arial" w:eastAsia="Arial" w:cs="Arial"/>
          <w:b/>
          <w:bCs/>
          <w:color w:val="4471C4"/>
        </w:rPr>
      </w:pPr>
    </w:p>
    <w:p w:rsidR="06D18D61" w:rsidP="2A716929" w:rsidRDefault="000B425F" w14:paraId="0E53E6D7" w14:textId="4FDB3DA0">
      <w:pPr>
        <w:jc w:val="both"/>
      </w:pPr>
      <w:r>
        <w:rPr>
          <w:rFonts w:ascii="Arial" w:hAnsi="Arial" w:eastAsia="Arial" w:cs="Arial"/>
          <w:b/>
          <w:bCs/>
          <w:color w:val="4471C4"/>
        </w:rPr>
        <w:t>9.0 STANDARD OPERATING PROCEEDURE</w:t>
      </w:r>
    </w:p>
    <w:p w:rsidR="06D18D61" w:rsidP="2A716929" w:rsidRDefault="00A621C4" w14:paraId="7A1F54BF" w14:textId="0F7A0C16">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59264" behindDoc="0" locked="0" layoutInCell="1" allowOverlap="1" wp14:anchorId="0F335314" wp14:editId="219CF069">
                <wp:simplePos x="0" y="0"/>
                <wp:positionH relativeFrom="column">
                  <wp:posOffset>539115</wp:posOffset>
                </wp:positionH>
                <wp:positionV relativeFrom="paragraph">
                  <wp:posOffset>81915</wp:posOffset>
                </wp:positionV>
                <wp:extent cx="4791710" cy="391795"/>
                <wp:effectExtent l="0" t="0" r="279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391795"/>
                        </a:xfrm>
                        <a:prstGeom prst="rect">
                          <a:avLst/>
                        </a:prstGeom>
                        <a:solidFill>
                          <a:srgbClr val="FFFFFF"/>
                        </a:solidFill>
                        <a:ln w="9525">
                          <a:solidFill>
                            <a:srgbClr val="000000"/>
                          </a:solidFill>
                          <a:miter lim="800000"/>
                          <a:headEnd/>
                          <a:tailEnd/>
                        </a:ln>
                      </wps:spPr>
                      <wps:txbx>
                        <w:txbxContent>
                          <w:p w:rsidRPr="00A621C4" w:rsidR="00A621C4" w:rsidRDefault="00A621C4" w14:paraId="41345099" w14:textId="69306D83">
                            <w:pPr>
                              <w:rPr>
                                <w:rFonts w:ascii="Arial" w:hAnsi="Arial" w:cs="Arial"/>
                                <w:sz w:val="18"/>
                              </w:rPr>
                            </w:pPr>
                            <w:r w:rsidRPr="00A621C4">
                              <w:rPr>
                                <w:rFonts w:ascii="Arial" w:hAnsi="Arial" w:cs="Arial"/>
                                <w:sz w:val="18"/>
                              </w:rPr>
                              <w:t>Has the patient been detained under Section 3, 37, 47, 48 or 45a by the Trust? If yes – MHA Administrator to add them on to the Trust’s Section 117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ECC754">
              <v:shapetype id="_x0000_t202" coordsize="21600,21600" o:spt="202" path="m,l,21600r21600,l21600,xe" w14:anchorId="0F335314">
                <v:stroke joinstyle="miter"/>
                <v:path gradientshapeok="t" o:connecttype="rect"/>
              </v:shapetype>
              <v:shape id="Text Box 2" style="position:absolute;left:0;text-align:left;margin-left:42.45pt;margin-top:6.45pt;width:377.3pt;height:3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">
                <v:textbox>
                  <w:txbxContent>
                    <w:p w:rsidRPr="00A621C4" w:rsidR="00A621C4" w:rsidRDefault="00A621C4" w14:paraId="189D635D" w14:textId="69306D83">
                      <w:pPr>
                        <w:rPr>
                          <w:rFonts w:ascii="Arial" w:hAnsi="Arial" w:cs="Arial"/>
                          <w:sz w:val="18"/>
                        </w:rPr>
                      </w:pPr>
                      <w:r w:rsidRPr="00A621C4">
                        <w:rPr>
                          <w:rFonts w:ascii="Arial" w:hAnsi="Arial" w:cs="Arial"/>
                          <w:sz w:val="18"/>
                        </w:rPr>
                        <w:t>Has the patient been detained under Section 3, 37, 47, 48 or 45a by the Trust? If yes – MHA Administrator to add them on to the Trust’s Section 117 register</w:t>
                      </w:r>
                    </w:p>
                  </w:txbxContent>
                </v:textbox>
                <w10:wrap type="square"/>
              </v:shape>
            </w:pict>
          </mc:Fallback>
        </mc:AlternateContent>
      </w:r>
    </w:p>
    <w:p w:rsidR="2610AF34" w:rsidP="4A02F5E4" w:rsidRDefault="00516901" w14:paraId="5589822C" w14:textId="7B6BA279">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76672" behindDoc="0" locked="0" layoutInCell="1" allowOverlap="1" wp14:anchorId="13C243B7" wp14:editId="2AF73E8D">
                <wp:simplePos x="0" y="0"/>
                <wp:positionH relativeFrom="column">
                  <wp:posOffset>2647950</wp:posOffset>
                </wp:positionH>
                <wp:positionV relativeFrom="paragraph">
                  <wp:posOffset>201930</wp:posOffset>
                </wp:positionV>
                <wp:extent cx="0" cy="19685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F367304">
              <v:shapetype id="_x0000_t32" coordsize="21600,21600" o:oned="t" filled="f" o:spt="32" path="m,l21600,21600e" w14:anchorId="47569418">
                <v:path fillok="f" arrowok="t" o:connecttype="none"/>
                <o:lock v:ext="edit" shapetype="t"/>
              </v:shapetype>
              <v:shape id="Straight Arrow Connector 9" style="position:absolute;margin-left:208.5pt;margin-top:15.9pt;width:0;height:15.5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">
                <v:stroke joinstyle="miter" endarrow="block"/>
              </v:shape>
            </w:pict>
          </mc:Fallback>
        </mc:AlternateContent>
      </w:r>
      <w:r w:rsidRPr="06D18D61" w:rsidR="22547048">
        <w:rPr>
          <w:rFonts w:ascii="Arial" w:hAnsi="Arial" w:eastAsia="Arial" w:cs="Arial"/>
          <w:sz w:val="20"/>
          <w:szCs w:val="20"/>
        </w:rPr>
        <w:t xml:space="preserve">          </w:t>
      </w:r>
    </w:p>
    <w:p w:rsidR="4A02F5E4" w:rsidP="4A02F5E4" w:rsidRDefault="00A621C4" w14:paraId="6EC73759" w14:textId="15AA99C4">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61312" behindDoc="0" locked="0" layoutInCell="1" allowOverlap="1" wp14:anchorId="5C9816DB" wp14:editId="1F8C6CA1">
                <wp:simplePos x="0" y="0"/>
                <wp:positionH relativeFrom="column">
                  <wp:posOffset>554355</wp:posOffset>
                </wp:positionH>
                <wp:positionV relativeFrom="paragraph">
                  <wp:posOffset>132715</wp:posOffset>
                </wp:positionV>
                <wp:extent cx="4791710" cy="781685"/>
                <wp:effectExtent l="0" t="0" r="2794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781685"/>
                        </a:xfrm>
                        <a:prstGeom prst="rect">
                          <a:avLst/>
                        </a:prstGeom>
                        <a:solidFill>
                          <a:srgbClr val="FFFFFF"/>
                        </a:solidFill>
                        <a:ln w="9525">
                          <a:solidFill>
                            <a:srgbClr val="000000"/>
                          </a:solidFill>
                          <a:miter lim="800000"/>
                          <a:headEnd/>
                          <a:tailEnd/>
                        </a:ln>
                      </wps:spPr>
                      <wps:txbx>
                        <w:txbxContent>
                          <w:p w:rsidRPr="00A621C4" w:rsidR="00A621C4" w:rsidP="00A621C4" w:rsidRDefault="00A621C4" w14:paraId="74A5176D" w14:textId="54CC18DB">
                            <w:pPr>
                              <w:rPr>
                                <w:rFonts w:ascii="Arial" w:hAnsi="Arial" w:cs="Arial"/>
                                <w:sz w:val="18"/>
                              </w:rPr>
                            </w:pPr>
                            <w:r>
                              <w:rPr>
                                <w:rFonts w:ascii="Arial" w:hAnsi="Arial" w:cs="Arial"/>
                                <w:sz w:val="18"/>
                              </w:rPr>
                              <w:t>When the patient is ready for discharge from the ward, the responsible clinicians should follow ELFT discharge planning procedures. An MDT pre-discharge Section 117 meeting to take place with the inclusion of the patient, carer, clinician, care coordinator, social worker and represe</w:t>
                            </w:r>
                            <w:r w:rsidR="00457CDB">
                              <w:rPr>
                                <w:rFonts w:ascii="Arial" w:hAnsi="Arial" w:cs="Arial"/>
                                <w:sz w:val="18"/>
                              </w:rPr>
                              <w:t xml:space="preserve">ntation from the community team). The outcome of this meeting </w:t>
                            </w:r>
                            <w:proofErr w:type="gramStart"/>
                            <w:r w:rsidR="00457CDB">
                              <w:rPr>
                                <w:rFonts w:ascii="Arial" w:hAnsi="Arial" w:cs="Arial"/>
                                <w:sz w:val="18"/>
                              </w:rPr>
                              <w:t>should be recorded</w:t>
                            </w:r>
                            <w:proofErr w:type="gramEnd"/>
                            <w:r w:rsidR="00457CDB">
                              <w:rPr>
                                <w:rFonts w:ascii="Arial" w:hAnsi="Arial" w:cs="Arial"/>
                                <w:sz w:val="18"/>
                              </w:rPr>
                              <w:t xml:space="preserve"> on the RiO care plan documentation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504EF1">
              <v:shape id="_x0000_s1027" style="position:absolute;left:0;text-align:left;margin-left:43.65pt;margin-top:10.45pt;width:377.3pt;height:6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" w14:anchorId="5C9816DB">
                <v:textbox>
                  <w:txbxContent>
                    <w:p w:rsidRPr="00A621C4" w:rsidR="00A621C4" w:rsidP="00A621C4" w:rsidRDefault="00A621C4" w14:paraId="2BF60956" w14:textId="54CC18DB">
                      <w:pPr>
                        <w:rPr>
                          <w:rFonts w:ascii="Arial" w:hAnsi="Arial" w:cs="Arial"/>
                          <w:sz w:val="18"/>
                        </w:rPr>
                      </w:pPr>
                      <w:r>
                        <w:rPr>
                          <w:rFonts w:ascii="Arial" w:hAnsi="Arial" w:cs="Arial"/>
                          <w:sz w:val="18"/>
                        </w:rPr>
                        <w:t>When the patient is ready for discharge from the ward, the responsible clinicians should follow ELFT discharge planning procedures. An MDT pre-discharge Section 117 meeting to take place with the inclusion of the patient, carer, clinician, care coordinator, social worker and represe</w:t>
                      </w:r>
                      <w:r w:rsidR="00457CDB">
                        <w:rPr>
                          <w:rFonts w:ascii="Arial" w:hAnsi="Arial" w:cs="Arial"/>
                          <w:sz w:val="18"/>
                        </w:rPr>
                        <w:t xml:space="preserve">ntation from the community team). The outcome of this meeting should be recorded on the RiO care plan documentation </w:t>
                      </w:r>
                    </w:p>
                  </w:txbxContent>
                </v:textbox>
                <w10:wrap type="square"/>
              </v:shape>
            </w:pict>
          </mc:Fallback>
        </mc:AlternateContent>
      </w:r>
    </w:p>
    <w:p w:rsidR="4A02F5E4" w:rsidP="4A02F5E4" w:rsidRDefault="4A02F5E4" w14:paraId="12AF132D" w14:textId="254FC9EF">
      <w:pPr>
        <w:jc w:val="both"/>
        <w:rPr>
          <w:rFonts w:ascii="Arial" w:hAnsi="Arial" w:eastAsia="Arial" w:cs="Arial"/>
          <w:sz w:val="20"/>
          <w:szCs w:val="20"/>
        </w:rPr>
      </w:pPr>
    </w:p>
    <w:p w:rsidR="4A02F5E4" w:rsidP="4A02F5E4" w:rsidRDefault="4A02F5E4" w14:paraId="00A6DD53" w14:textId="45AF56FA">
      <w:pPr>
        <w:jc w:val="both"/>
        <w:rPr>
          <w:rFonts w:ascii="Arial" w:hAnsi="Arial" w:eastAsia="Arial" w:cs="Arial"/>
          <w:sz w:val="20"/>
          <w:szCs w:val="20"/>
        </w:rPr>
      </w:pPr>
    </w:p>
    <w:p w:rsidR="4A02F5E4" w:rsidP="4A02F5E4" w:rsidRDefault="00516901" w14:paraId="2BD989FA" w14:textId="1CCC7041">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78720" behindDoc="0" locked="0" layoutInCell="1" allowOverlap="1" wp14:anchorId="784981A4" wp14:editId="61F7C39D">
                <wp:simplePos x="0" y="0"/>
                <wp:positionH relativeFrom="column">
                  <wp:posOffset>2628900</wp:posOffset>
                </wp:positionH>
                <wp:positionV relativeFrom="paragraph">
                  <wp:posOffset>137160</wp:posOffset>
                </wp:positionV>
                <wp:extent cx="0" cy="196850"/>
                <wp:effectExtent l="76200" t="0" r="57150" b="50800"/>
                <wp:wrapNone/>
                <wp:docPr id="11" name="Straight Arrow Connector 11"/>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C29704F">
              <v:shape id="Straight Arrow Connector 11" style="position:absolute;margin-left:207pt;margin-top:10.8pt;width:0;height:15.5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xX1QEAAAEEAAAOAAAAZHJzL2Uyb0RvYy54bWysU9tuEzEQfUfiHyy/k81Woip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" w14:anchorId="597B034F">
                <v:stroke joinstyle="miter" endarrow="block"/>
              </v:shape>
            </w:pict>
          </mc:Fallback>
        </mc:AlternateContent>
      </w:r>
    </w:p>
    <w:p w:rsidR="4A02F5E4" w:rsidP="4A02F5E4" w:rsidRDefault="00457CDB" w14:paraId="349EB107" w14:textId="778FF067">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65408" behindDoc="0" locked="0" layoutInCell="1" allowOverlap="1" wp14:anchorId="45E5614F" wp14:editId="5F15804E">
                <wp:simplePos x="0" y="0"/>
                <wp:positionH relativeFrom="column">
                  <wp:posOffset>559435</wp:posOffset>
                </wp:positionH>
                <wp:positionV relativeFrom="paragraph">
                  <wp:posOffset>46990</wp:posOffset>
                </wp:positionV>
                <wp:extent cx="4791710" cy="406400"/>
                <wp:effectExtent l="0" t="0" r="2794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91710" cy="406400"/>
                        </a:xfrm>
                        <a:prstGeom prst="rect">
                          <a:avLst/>
                        </a:prstGeom>
                        <a:solidFill>
                          <a:srgbClr val="FFFFFF"/>
                        </a:solidFill>
                        <a:ln w="9525">
                          <a:solidFill>
                            <a:srgbClr val="000000"/>
                          </a:solidFill>
                          <a:miter/>
                        </a:ln>
                      </wps:spPr>
                      <wps:txbx>
                        <w:txbxContent>
                          <w:p w:rsidR="00B33912" w:rsidP="00B33912" w:rsidRDefault="00244C1C" w14:paraId="1469C1C6" w14:textId="77777777">
                            <w:pPr>
                              <w:spacing w:line="256" w:lineRule="auto"/>
                              <w:rPr>
                                <w:rFonts w:ascii="Arial" w:hAnsi="Arial" w:cs="Arial"/>
                                <w:sz w:val="18"/>
                                <w:szCs w:val="18"/>
                              </w:rPr>
                            </w:pPr>
                            <w:r>
                              <w:rPr>
                                <w:rFonts w:ascii="Arial" w:hAnsi="Arial" w:cs="Arial"/>
                                <w:sz w:val="18"/>
                                <w:szCs w:val="18"/>
                              </w:rPr>
                              <w:t>When the patient is discharged from section, the responsible clinician must</w:t>
                            </w:r>
                            <w:r>
                              <w:rPr>
                                <w:rFonts w:ascii="Arial" w:hAnsi="Arial" w:cs="Arial"/>
                                <w:sz w:val="18"/>
                                <w:szCs w:val="18"/>
                              </w:rPr>
                              <w:t xml:space="preserve"> complete the RiO Section 117 Form and indicate if the patient is subject to Section 117 or not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p>
    <w:p w:rsidR="4A02F5E4" w:rsidP="4A02F5E4" w:rsidRDefault="00516901" w14:paraId="4283D16D" w14:textId="348AD98C">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80768" behindDoc="0" locked="0" layoutInCell="1" allowOverlap="1" wp14:anchorId="0657EB9B" wp14:editId="256DF1D9">
                <wp:simplePos x="0" y="0"/>
                <wp:positionH relativeFrom="column">
                  <wp:posOffset>2654300</wp:posOffset>
                </wp:positionH>
                <wp:positionV relativeFrom="paragraph">
                  <wp:posOffset>189865</wp:posOffset>
                </wp:positionV>
                <wp:extent cx="0" cy="196850"/>
                <wp:effectExtent l="76200" t="0" r="57150" b="50800"/>
                <wp:wrapNone/>
                <wp:docPr id="12" name="Straight Arrow Connector 12"/>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EF464EC">
              <v:shape id="Straight Arrow Connector 12" style="position:absolute;margin-left:209pt;margin-top:14.95pt;width:0;height:15.5pt;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3X1AEAAAEEAAAOAAAAZHJzL2Uyb0RvYy54bWysU9uO0zAQfUfiHyy/0zSVWC1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" w14:anchorId="570B73DF">
                <v:stroke joinstyle="miter" endarrow="block"/>
              </v:shape>
            </w:pict>
          </mc:Fallback>
        </mc:AlternateContent>
      </w:r>
    </w:p>
    <w:p w:rsidR="4A02F5E4" w:rsidP="4A02F5E4" w:rsidRDefault="00457CDB" w14:paraId="55F276DF" w14:textId="55478CC7">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63360" behindDoc="0" locked="0" layoutInCell="1" allowOverlap="1" wp14:anchorId="40E0EF76" wp14:editId="34F097DE">
                <wp:simplePos x="0" y="0"/>
                <wp:positionH relativeFrom="column">
                  <wp:posOffset>570230</wp:posOffset>
                </wp:positionH>
                <wp:positionV relativeFrom="paragraph">
                  <wp:posOffset>130810</wp:posOffset>
                </wp:positionV>
                <wp:extent cx="4791710" cy="655320"/>
                <wp:effectExtent l="0" t="0" r="279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655320"/>
                        </a:xfrm>
                        <a:prstGeom prst="rect">
                          <a:avLst/>
                        </a:prstGeom>
                        <a:solidFill>
                          <a:srgbClr val="FFFFFF"/>
                        </a:solidFill>
                        <a:ln w="9525">
                          <a:solidFill>
                            <a:srgbClr val="000000"/>
                          </a:solidFill>
                          <a:miter lim="800000"/>
                          <a:headEnd/>
                          <a:tailEnd/>
                        </a:ln>
                      </wps:spPr>
                      <wps:txbx>
                        <w:txbxContent>
                          <w:p w:rsidRPr="00A621C4" w:rsidR="00457CDB" w:rsidP="00457CDB" w:rsidRDefault="00457CDB" w14:paraId="19BA1B33" w14:textId="3AD54D1A">
                            <w:pPr>
                              <w:rPr>
                                <w:rFonts w:ascii="Arial" w:hAnsi="Arial" w:cs="Arial"/>
                                <w:sz w:val="18"/>
                              </w:rPr>
                            </w:pPr>
                            <w:r>
                              <w:rPr>
                                <w:rFonts w:ascii="Arial" w:hAnsi="Arial" w:cs="Arial"/>
                                <w:sz w:val="18"/>
                              </w:rPr>
                              <w:t xml:space="preserve">Following discharge from the ward, the patient’s care coordinator must include a review of the Section 117 arrangements as part of any ongoing care and support plan review as per ELFT policy. A date of </w:t>
                            </w:r>
                            <w:r w:rsidRPr="000B425F">
                              <w:rPr>
                                <w:rFonts w:ascii="Arial" w:hAnsi="Arial" w:cs="Arial"/>
                                <w:sz w:val="18"/>
                              </w:rPr>
                              <w:t xml:space="preserve">minimum </w:t>
                            </w:r>
                            <w:r w:rsidRPr="000B425F" w:rsidR="000B425F">
                              <w:rPr>
                                <w:rFonts w:ascii="Arial" w:hAnsi="Arial" w:cs="Arial"/>
                                <w:sz w:val="18"/>
                              </w:rPr>
                              <w:t>12</w:t>
                            </w:r>
                            <w:r w:rsidR="000B425F">
                              <w:rPr>
                                <w:rFonts w:ascii="Arial" w:hAnsi="Arial" w:cs="Arial"/>
                                <w:sz w:val="18"/>
                              </w:rPr>
                              <w:t>-</w:t>
                            </w:r>
                            <w:r w:rsidRPr="000B425F" w:rsidR="000B425F">
                              <w:rPr>
                                <w:rFonts w:ascii="Arial" w:hAnsi="Arial" w:cs="Arial"/>
                                <w:sz w:val="18"/>
                              </w:rPr>
                              <w:t xml:space="preserve">month </w:t>
                            </w:r>
                            <w:r>
                              <w:rPr>
                                <w:rFonts w:ascii="Arial" w:hAnsi="Arial" w:cs="Arial"/>
                                <w:sz w:val="18"/>
                              </w:rPr>
                              <w:t xml:space="preserve">review requirement for Section 117 aftercare will be part of the care coordinators active caseload dashboard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5C0B99">
              <v:shapetype id="_x0000_t202" coordsize="21600,21600" o:spt="202" path="m,l,21600r21600,l21600,xe" w14:anchorId="40E0EF76">
                <v:stroke joinstyle="miter"/>
                <v:path gradientshapeok="t" o:connecttype="rect"/>
              </v:shapetype>
              <v:shape id="_x0000_s1029" style="position:absolute;left:0;text-align:left;margin-left:44.9pt;margin-top:10.3pt;width:377.3pt;height:5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">
                <v:textbox>
                  <w:txbxContent>
                    <w:p w:rsidRPr="00A621C4" w:rsidR="00457CDB" w:rsidP="00457CDB" w:rsidRDefault="00457CDB" w14:paraId="34E13E9B" w14:textId="3AD54D1A">
                      <w:pPr>
                        <w:rPr>
                          <w:rFonts w:ascii="Arial" w:hAnsi="Arial" w:cs="Arial"/>
                          <w:sz w:val="18"/>
                        </w:rPr>
                      </w:pPr>
                      <w:r>
                        <w:rPr>
                          <w:rFonts w:ascii="Arial" w:hAnsi="Arial" w:cs="Arial"/>
                          <w:sz w:val="18"/>
                        </w:rPr>
                        <w:t xml:space="preserve">Following discharge from the ward, the patient’s care coordinator must include a review of the Section 117 arrangements as part of any ongoing care and support plan review as per ELFT policy. A date of </w:t>
                      </w:r>
                      <w:r w:rsidRPr="000B425F">
                        <w:rPr>
                          <w:rFonts w:ascii="Arial" w:hAnsi="Arial" w:cs="Arial"/>
                          <w:sz w:val="18"/>
                        </w:rPr>
                        <w:t xml:space="preserve">minimum </w:t>
                      </w:r>
                      <w:r w:rsidRPr="000B425F" w:rsidR="000B425F">
                        <w:rPr>
                          <w:rFonts w:ascii="Arial" w:hAnsi="Arial" w:cs="Arial"/>
                          <w:sz w:val="18"/>
                        </w:rPr>
                        <w:t>12</w:t>
                      </w:r>
                      <w:r w:rsidR="000B425F">
                        <w:rPr>
                          <w:rFonts w:ascii="Arial" w:hAnsi="Arial" w:cs="Arial"/>
                          <w:sz w:val="18"/>
                        </w:rPr>
                        <w:t>-</w:t>
                      </w:r>
                      <w:r w:rsidRPr="000B425F" w:rsidR="000B425F">
                        <w:rPr>
                          <w:rFonts w:ascii="Arial" w:hAnsi="Arial" w:cs="Arial"/>
                          <w:sz w:val="18"/>
                        </w:rPr>
                        <w:t xml:space="preserve">month </w:t>
                      </w:r>
                      <w:r>
                        <w:rPr>
                          <w:rFonts w:ascii="Arial" w:hAnsi="Arial" w:cs="Arial"/>
                          <w:sz w:val="18"/>
                        </w:rPr>
                        <w:t xml:space="preserve">review requirement for Section 117 aftercare will be part of the care coordinators active caseload dashboard </w:t>
                      </w:r>
                    </w:p>
                  </w:txbxContent>
                </v:textbox>
                <w10:wrap type="square"/>
              </v:shape>
            </w:pict>
          </mc:Fallback>
        </mc:AlternateContent>
      </w:r>
    </w:p>
    <w:p w:rsidR="4A02F5E4" w:rsidP="4A02F5E4" w:rsidRDefault="4A02F5E4" w14:paraId="13C017BA" w14:textId="1990A98F">
      <w:pPr>
        <w:jc w:val="both"/>
        <w:rPr>
          <w:rFonts w:ascii="Arial" w:hAnsi="Arial" w:eastAsia="Arial" w:cs="Arial"/>
          <w:sz w:val="20"/>
          <w:szCs w:val="20"/>
        </w:rPr>
      </w:pPr>
    </w:p>
    <w:p w:rsidR="4A02F5E4" w:rsidP="4A02F5E4" w:rsidRDefault="4A02F5E4" w14:paraId="539FC485" w14:textId="59B248DB">
      <w:pPr>
        <w:jc w:val="both"/>
        <w:rPr>
          <w:rFonts w:ascii="Arial" w:hAnsi="Arial" w:eastAsia="Arial" w:cs="Arial"/>
          <w:sz w:val="20"/>
          <w:szCs w:val="20"/>
        </w:rPr>
      </w:pPr>
    </w:p>
    <w:p w:rsidR="4A02F5E4" w:rsidP="4A02F5E4" w:rsidRDefault="00516901" w14:paraId="44B9D209" w14:textId="571EA3FA">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82816" behindDoc="0" locked="0" layoutInCell="1" allowOverlap="1" wp14:anchorId="41C1E54F" wp14:editId="78531B55">
                <wp:simplePos x="0" y="0"/>
                <wp:positionH relativeFrom="column">
                  <wp:posOffset>2622550</wp:posOffset>
                </wp:positionH>
                <wp:positionV relativeFrom="paragraph">
                  <wp:posOffset>3810</wp:posOffset>
                </wp:positionV>
                <wp:extent cx="0" cy="196850"/>
                <wp:effectExtent l="76200" t="0" r="57150" b="50800"/>
                <wp:wrapNone/>
                <wp:docPr id="13" name="Straight Arrow Connector 13"/>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BC7C757">
              <v:shape id="Straight Arrow Connector 13" style="position:absolute;margin-left:206.5pt;margin-top:.3pt;width:0;height:15.5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e1AEAAAEEAAAOAAAAZHJzL2Uyb0RvYy54bWysU9uO0zAQfUfiHyy/0zSLWC1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" w14:anchorId="676A6FC8">
                <v:stroke joinstyle="miter" endarrow="block"/>
              </v:shape>
            </w:pict>
          </mc:Fallback>
        </mc:AlternateContent>
      </w:r>
      <w:r w:rsidRPr="00A621C4" w:rsidR="00457CDB">
        <w:rPr>
          <w:rFonts w:ascii="Arial" w:hAnsi="Arial" w:eastAsia="Arial" w:cs="Arial"/>
          <w:noProof/>
          <w:sz w:val="20"/>
          <w:szCs w:val="20"/>
          <w:lang w:eastAsia="en-GB"/>
        </w:rPr>
        <mc:AlternateContent>
          <mc:Choice Requires="wps">
            <w:drawing>
              <wp:anchor distT="45720" distB="45720" distL="114300" distR="114300" simplePos="0" relativeHeight="251667456" behindDoc="0" locked="0" layoutInCell="1" allowOverlap="1" wp14:anchorId="3AD0B82A" wp14:editId="24E753F1">
                <wp:simplePos x="0" y="0"/>
                <wp:positionH relativeFrom="column">
                  <wp:posOffset>558165</wp:posOffset>
                </wp:positionH>
                <wp:positionV relativeFrom="paragraph">
                  <wp:posOffset>229235</wp:posOffset>
                </wp:positionV>
                <wp:extent cx="4791710" cy="655320"/>
                <wp:effectExtent l="0" t="0" r="2794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655320"/>
                        </a:xfrm>
                        <a:prstGeom prst="rect">
                          <a:avLst/>
                        </a:prstGeom>
                        <a:solidFill>
                          <a:srgbClr val="FFFFFF"/>
                        </a:solidFill>
                        <a:ln w="9525">
                          <a:solidFill>
                            <a:srgbClr val="000000"/>
                          </a:solidFill>
                          <a:miter lim="800000"/>
                          <a:headEnd/>
                          <a:tailEnd/>
                        </a:ln>
                      </wps:spPr>
                      <wps:txbx>
                        <w:txbxContent>
                          <w:p w:rsidRPr="00A621C4" w:rsidR="00457CDB" w:rsidP="00457CDB" w:rsidRDefault="00457CDB" w14:paraId="66FE17CC" w14:textId="14B195C7">
                            <w:pPr>
                              <w:rPr>
                                <w:rFonts w:ascii="Arial" w:hAnsi="Arial" w:cs="Arial"/>
                                <w:sz w:val="18"/>
                              </w:rPr>
                            </w:pPr>
                            <w:r>
                              <w:rPr>
                                <w:rFonts w:ascii="Arial" w:hAnsi="Arial" w:cs="Arial"/>
                                <w:sz w:val="18"/>
                              </w:rPr>
                              <w:t xml:space="preserve">Care coordinator to arrange a Section 117 review. This </w:t>
                            </w:r>
                            <w:proofErr w:type="gramStart"/>
                            <w:r>
                              <w:rPr>
                                <w:rFonts w:ascii="Arial" w:hAnsi="Arial" w:cs="Arial"/>
                                <w:sz w:val="18"/>
                              </w:rPr>
                              <w:t>must be updated</w:t>
                            </w:r>
                            <w:proofErr w:type="gramEnd"/>
                            <w:r>
                              <w:rPr>
                                <w:rFonts w:ascii="Arial" w:hAnsi="Arial" w:cs="Arial"/>
                                <w:sz w:val="18"/>
                              </w:rPr>
                              <w:t xml:space="preserve"> in the RiO Section 117 Form as well as in the care plan. Relevant risk assessments </w:t>
                            </w:r>
                            <w:proofErr w:type="gramStart"/>
                            <w:r>
                              <w:rPr>
                                <w:rFonts w:ascii="Arial" w:hAnsi="Arial" w:cs="Arial"/>
                                <w:sz w:val="18"/>
                              </w:rPr>
                              <w:t>must be considered</w:t>
                            </w:r>
                            <w:proofErr w:type="gramEnd"/>
                            <w:r>
                              <w:rPr>
                                <w:rFonts w:ascii="Arial" w:hAnsi="Arial" w:cs="Arial"/>
                                <w:sz w:val="18"/>
                              </w:rPr>
                              <w:t xml:space="preserve"> in the My Safety Plan. The S117 review must involve the patient, carer, care coordinator, consultant and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326E9D">
              <v:shape id="Text Box 4" style="position:absolute;left:0;text-align:left;margin-left:43.95pt;margin-top:18.05pt;width:377.3pt;height:51.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" w14:anchorId="3AD0B82A">
                <v:textbox>
                  <w:txbxContent>
                    <w:p w:rsidRPr="00A621C4" w:rsidR="00457CDB" w:rsidP="00457CDB" w:rsidRDefault="00457CDB" w14:paraId="0FC778B6" w14:textId="14B195C7">
                      <w:pPr>
                        <w:rPr>
                          <w:rFonts w:ascii="Arial" w:hAnsi="Arial" w:cs="Arial"/>
                          <w:sz w:val="18"/>
                        </w:rPr>
                      </w:pPr>
                      <w:r>
                        <w:rPr>
                          <w:rFonts w:ascii="Arial" w:hAnsi="Arial" w:cs="Arial"/>
                          <w:sz w:val="18"/>
                        </w:rPr>
                        <w:t>Care coordinator to arrange a Section 117 review. This must be updated in the RiO Section 117 Form as well as in the care plan. Relevant risk assessments must be considered in the My Safety Plan. The S117 review must involve the patient, carer, care coordinator, consultant and social worker</w:t>
                      </w:r>
                    </w:p>
                  </w:txbxContent>
                </v:textbox>
                <w10:wrap type="square"/>
              </v:shape>
            </w:pict>
          </mc:Fallback>
        </mc:AlternateContent>
      </w:r>
    </w:p>
    <w:p w:rsidR="4A02F5E4" w:rsidP="4A02F5E4" w:rsidRDefault="4A02F5E4" w14:paraId="6D4B844A" w14:textId="74264907">
      <w:pPr>
        <w:jc w:val="both"/>
        <w:rPr>
          <w:rFonts w:ascii="Arial" w:hAnsi="Arial" w:eastAsia="Arial" w:cs="Arial"/>
          <w:sz w:val="20"/>
          <w:szCs w:val="20"/>
        </w:rPr>
      </w:pPr>
    </w:p>
    <w:p w:rsidR="4A02F5E4" w:rsidP="4A02F5E4" w:rsidRDefault="00B67E47" w14:paraId="60A37595" w14:textId="6ACF725E">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86912" behindDoc="0" locked="0" layoutInCell="1" allowOverlap="1" wp14:anchorId="13C18A4F" wp14:editId="62247DC0">
                <wp:simplePos x="0" y="0"/>
                <wp:positionH relativeFrom="column">
                  <wp:posOffset>4762500</wp:posOffset>
                </wp:positionH>
                <wp:positionV relativeFrom="paragraph">
                  <wp:posOffset>261620</wp:posOffset>
                </wp:positionV>
                <wp:extent cx="0" cy="196850"/>
                <wp:effectExtent l="76200" t="0" r="57150" b="50800"/>
                <wp:wrapNone/>
                <wp:docPr id="16" name="Straight Arrow Connector 16"/>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6C887E2">
              <v:shape id="Straight Arrow Connector 16" style="position:absolute;margin-left:375pt;margin-top:20.6pt;width:0;height:15.5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" w14:anchorId="1C08A873">
                <v:stroke joinstyle="miter" endarrow="block"/>
              </v:shape>
            </w:pict>
          </mc:Fallback>
        </mc:AlternateContent>
      </w:r>
    </w:p>
    <w:p w:rsidR="4A02F5E4" w:rsidP="4A02F5E4" w:rsidRDefault="00B67E47" w14:paraId="7AB3DD54" w14:textId="4D6D07C2">
      <w:pPr>
        <w:jc w:val="both"/>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114300" distR="114300" simplePos="0" relativeHeight="251684864" behindDoc="0" locked="0" layoutInCell="1" allowOverlap="1" wp14:anchorId="0E9B9401" wp14:editId="3A2CECD0">
                <wp:simplePos x="0" y="0"/>
                <wp:positionH relativeFrom="column">
                  <wp:posOffset>1016000</wp:posOffset>
                </wp:positionH>
                <wp:positionV relativeFrom="paragraph">
                  <wp:posOffset>39370</wp:posOffset>
                </wp:positionV>
                <wp:extent cx="0" cy="196850"/>
                <wp:effectExtent l="76200" t="0" r="57150" b="50800"/>
                <wp:wrapNone/>
                <wp:docPr id="15" name="Straight Arrow Connector 15"/>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D81B176">
              <v:shape id="Straight Arrow Connector 15" style="position:absolute;margin-left:80pt;margin-top:3.1pt;width:0;height:15.5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" w14:anchorId="51B8D212">
                <v:stroke joinstyle="miter" endarrow="block"/>
              </v:shape>
            </w:pict>
          </mc:Fallback>
        </mc:AlternateContent>
      </w:r>
    </w:p>
    <w:p w:rsidR="4A02F5E4" w:rsidP="4A02F5E4" w:rsidRDefault="00516901" w14:paraId="76A4AB37" w14:textId="7D398EF9">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73600" behindDoc="0" locked="0" layoutInCell="1" allowOverlap="1" wp14:anchorId="2AFDCA7A" wp14:editId="4B14188D">
                <wp:simplePos x="0" y="0"/>
                <wp:positionH relativeFrom="margin">
                  <wp:posOffset>3851910</wp:posOffset>
                </wp:positionH>
                <wp:positionV relativeFrom="paragraph">
                  <wp:posOffset>8890</wp:posOffset>
                </wp:positionV>
                <wp:extent cx="1739900" cy="520700"/>
                <wp:effectExtent l="0" t="0" r="1270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520700"/>
                        </a:xfrm>
                        <a:prstGeom prst="rect">
                          <a:avLst/>
                        </a:prstGeom>
                        <a:solidFill>
                          <a:srgbClr val="F9B6AD"/>
                        </a:solidFill>
                        <a:ln w="9525">
                          <a:solidFill>
                            <a:srgbClr val="000000"/>
                          </a:solidFill>
                          <a:miter lim="800000"/>
                          <a:headEnd/>
                          <a:tailEnd/>
                        </a:ln>
                      </wps:spPr>
                      <wps:txbx>
                        <w:txbxContent>
                          <w:p w:rsidRPr="00A621C4" w:rsidR="00516901" w:rsidP="00516901" w:rsidRDefault="00516901" w14:paraId="542AD35B" w14:textId="11525C8B">
                            <w:pPr>
                              <w:rPr>
                                <w:rFonts w:ascii="Arial" w:hAnsi="Arial" w:cs="Arial"/>
                                <w:sz w:val="18"/>
                              </w:rPr>
                            </w:pPr>
                            <w:r>
                              <w:rPr>
                                <w:rFonts w:ascii="Arial" w:hAnsi="Arial" w:cs="Arial"/>
                                <w:sz w:val="18"/>
                              </w:rPr>
                              <w:t>Following Section 117 review S117 aftercare is no longer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F0CE71">
              <v:shape id="Text Box 7" style="position:absolute;left:0;text-align:left;margin-left:303.3pt;margin-top:.7pt;width:137pt;height:4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fillcolor="#f9b6a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" w14:anchorId="2AFDCA7A">
                <v:textbox>
                  <w:txbxContent>
                    <w:p w:rsidRPr="00A621C4" w:rsidR="00516901" w:rsidP="00516901" w:rsidRDefault="00516901" w14:paraId="3E72FE59" w14:textId="11525C8B">
                      <w:pPr>
                        <w:rPr>
                          <w:rFonts w:ascii="Arial" w:hAnsi="Arial" w:cs="Arial"/>
                          <w:sz w:val="18"/>
                        </w:rPr>
                      </w:pPr>
                      <w:r>
                        <w:rPr>
                          <w:rFonts w:ascii="Arial" w:hAnsi="Arial" w:cs="Arial"/>
                          <w:sz w:val="18"/>
                        </w:rPr>
                        <w:t>Following Section 117 review S117 aftercare is no longer required</w:t>
                      </w:r>
                    </w:p>
                  </w:txbxContent>
                </v:textbox>
                <w10:wrap type="square" anchorx="margin"/>
              </v:shape>
            </w:pict>
          </mc:Fallback>
        </mc:AlternateContent>
      </w:r>
      <w:r w:rsidRPr="00A621C4">
        <w:rPr>
          <w:rFonts w:ascii="Arial" w:hAnsi="Arial" w:eastAsia="Arial" w:cs="Arial"/>
          <w:noProof/>
          <w:sz w:val="20"/>
          <w:szCs w:val="20"/>
          <w:lang w:eastAsia="en-GB"/>
        </w:rPr>
        <mc:AlternateContent>
          <mc:Choice Requires="wps">
            <w:drawing>
              <wp:anchor distT="45720" distB="45720" distL="114300" distR="114300" simplePos="0" relativeHeight="251669504" behindDoc="0" locked="0" layoutInCell="1" allowOverlap="1" wp14:anchorId="03B9246A" wp14:editId="162B31F3">
                <wp:simplePos x="0" y="0"/>
                <wp:positionH relativeFrom="column">
                  <wp:posOffset>139700</wp:posOffset>
                </wp:positionH>
                <wp:positionV relativeFrom="paragraph">
                  <wp:posOffset>8890</wp:posOffset>
                </wp:positionV>
                <wp:extent cx="1739900" cy="520700"/>
                <wp:effectExtent l="0" t="0" r="1270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520700"/>
                        </a:xfrm>
                        <a:prstGeom prst="rect">
                          <a:avLst/>
                        </a:prstGeom>
                        <a:solidFill>
                          <a:srgbClr val="DDF5D7"/>
                        </a:solidFill>
                        <a:ln w="9525">
                          <a:solidFill>
                            <a:srgbClr val="000000"/>
                          </a:solidFill>
                          <a:miter lim="800000"/>
                          <a:headEnd/>
                          <a:tailEnd/>
                        </a:ln>
                      </wps:spPr>
                      <wps:txbx>
                        <w:txbxContent>
                          <w:p w:rsidRPr="00A621C4" w:rsidR="00516901" w:rsidP="00516901" w:rsidRDefault="00516901" w14:paraId="4B5B5296" w14:textId="538D36E6">
                            <w:pPr>
                              <w:rPr>
                                <w:rFonts w:ascii="Arial" w:hAnsi="Arial" w:cs="Arial"/>
                                <w:sz w:val="18"/>
                              </w:rPr>
                            </w:pPr>
                            <w:r>
                              <w:rPr>
                                <w:rFonts w:ascii="Arial" w:hAnsi="Arial" w:cs="Arial"/>
                                <w:sz w:val="18"/>
                              </w:rPr>
                              <w:t>Following Section 117 review is Section 117 aftercare is still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EF39F">
              <v:shape id="Text Box 5" style="position:absolute;left:0;text-align:left;margin-left:11pt;margin-top:.7pt;width:137pt;height: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fillcolor="#ddf5d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" w14:anchorId="03B9246A">
                <v:textbox>
                  <w:txbxContent>
                    <w:p w:rsidRPr="00A621C4" w:rsidR="00516901" w:rsidP="00516901" w:rsidRDefault="00516901" w14:paraId="5FC305B6" w14:textId="538D36E6">
                      <w:pPr>
                        <w:rPr>
                          <w:rFonts w:ascii="Arial" w:hAnsi="Arial" w:cs="Arial"/>
                          <w:sz w:val="18"/>
                        </w:rPr>
                      </w:pPr>
                      <w:r>
                        <w:rPr>
                          <w:rFonts w:ascii="Arial" w:hAnsi="Arial" w:cs="Arial"/>
                          <w:sz w:val="18"/>
                        </w:rPr>
                        <w:t>Following Section 117 review is Section 117 aftercare is still required</w:t>
                      </w:r>
                    </w:p>
                  </w:txbxContent>
                </v:textbox>
                <w10:wrap type="square"/>
              </v:shape>
            </w:pict>
          </mc:Fallback>
        </mc:AlternateContent>
      </w:r>
    </w:p>
    <w:p w:rsidR="4A02F5E4" w:rsidP="4A02F5E4" w:rsidRDefault="4A02F5E4" w14:paraId="0EB95413" w14:textId="0AE28BF9">
      <w:pPr>
        <w:jc w:val="both"/>
        <w:rPr>
          <w:rFonts w:ascii="Arial" w:hAnsi="Arial" w:eastAsia="Arial" w:cs="Arial"/>
          <w:sz w:val="20"/>
          <w:szCs w:val="20"/>
        </w:rPr>
      </w:pPr>
    </w:p>
    <w:p w:rsidR="4A02F5E4" w:rsidP="4A02F5E4" w:rsidRDefault="00516901" w14:paraId="301019EF" w14:textId="428D2EF8">
      <w:pPr>
        <w:jc w:val="both"/>
        <w:rPr>
          <w:rFonts w:ascii="Arial" w:hAnsi="Arial" w:eastAsia="Arial" w:cs="Arial"/>
          <w:sz w:val="20"/>
          <w:szCs w:val="20"/>
        </w:rPr>
      </w:pPr>
      <w:r w:rsidRPr="00A621C4">
        <w:rPr>
          <w:rFonts w:ascii="Arial" w:hAnsi="Arial" w:eastAsia="Arial" w:cs="Arial"/>
          <w:noProof/>
          <w:sz w:val="20"/>
          <w:szCs w:val="20"/>
          <w:lang w:eastAsia="en-GB"/>
        </w:rPr>
        <mc:AlternateContent>
          <mc:Choice Requires="wps">
            <w:drawing>
              <wp:anchor distT="45720" distB="45720" distL="114300" distR="114300" simplePos="0" relativeHeight="251675648" behindDoc="0" locked="0" layoutInCell="1" allowOverlap="1" wp14:anchorId="77699CB2" wp14:editId="263D508E">
                <wp:simplePos x="0" y="0"/>
                <wp:positionH relativeFrom="margin">
                  <wp:posOffset>2966720</wp:posOffset>
                </wp:positionH>
                <wp:positionV relativeFrom="paragraph">
                  <wp:posOffset>191770</wp:posOffset>
                </wp:positionV>
                <wp:extent cx="3194050" cy="1911350"/>
                <wp:effectExtent l="0" t="0" r="2540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911350"/>
                        </a:xfrm>
                        <a:prstGeom prst="rect">
                          <a:avLst/>
                        </a:prstGeom>
                        <a:solidFill>
                          <a:srgbClr val="F9B6AD"/>
                        </a:solidFill>
                        <a:ln w="9525">
                          <a:solidFill>
                            <a:srgbClr val="000000"/>
                          </a:solidFill>
                          <a:miter lim="800000"/>
                          <a:headEnd/>
                          <a:tailEnd/>
                        </a:ln>
                      </wps:spPr>
                      <wps:txbx>
                        <w:txbxContent>
                          <w:p w:rsidR="00516901" w:rsidP="00516901" w:rsidRDefault="00516901" w14:paraId="26F41A60" w14:textId="07622416">
                            <w:pPr>
                              <w:rPr>
                                <w:rFonts w:ascii="Arial" w:hAnsi="Arial" w:cs="Arial"/>
                                <w:sz w:val="18"/>
                              </w:rPr>
                            </w:pPr>
                            <w:r>
                              <w:rPr>
                                <w:rFonts w:ascii="Arial" w:hAnsi="Arial" w:cs="Arial"/>
                                <w:sz w:val="18"/>
                              </w:rPr>
                              <w:t xml:space="preserve">If following the review and in collaboration with the patient and their carer, the agreed outcome is that the patient </w:t>
                            </w:r>
                            <w:proofErr w:type="gramStart"/>
                            <w:r>
                              <w:rPr>
                                <w:rFonts w:ascii="Arial" w:hAnsi="Arial" w:cs="Arial"/>
                                <w:sz w:val="18"/>
                              </w:rPr>
                              <w:t>should be discharged</w:t>
                            </w:r>
                            <w:proofErr w:type="gramEnd"/>
                            <w:r>
                              <w:rPr>
                                <w:rFonts w:ascii="Arial" w:hAnsi="Arial" w:cs="Arial"/>
                                <w:sz w:val="18"/>
                              </w:rPr>
                              <w:t xml:space="preserve"> from Section 117, this should be indicated in the RiO Section 117 form and agreed by all individuals. This should then be emailed/shared with local MHA Administrator and Local Social Care Lead. </w:t>
                            </w:r>
                          </w:p>
                          <w:p w:rsidR="00516901" w:rsidP="00516901" w:rsidRDefault="00516901" w14:paraId="5B0F05AE" w14:textId="6A59CC0F">
                            <w:pPr>
                              <w:rPr>
                                <w:rFonts w:ascii="Arial" w:hAnsi="Arial" w:cs="Arial"/>
                                <w:sz w:val="18"/>
                              </w:rPr>
                            </w:pPr>
                          </w:p>
                          <w:p w:rsidRPr="00A621C4" w:rsidR="00516901" w:rsidP="00516901" w:rsidRDefault="00516901" w14:paraId="11F65237" w14:textId="6438EF3F">
                            <w:pPr>
                              <w:rPr>
                                <w:rFonts w:ascii="Arial" w:hAnsi="Arial" w:cs="Arial"/>
                                <w:sz w:val="18"/>
                              </w:rPr>
                            </w:pPr>
                            <w:r>
                              <w:rPr>
                                <w:rFonts w:ascii="Arial" w:hAnsi="Arial" w:cs="Arial"/>
                                <w:sz w:val="18"/>
                              </w:rPr>
                              <w:t>The Care Coordinator will confirm the outcome in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BD2212">
              <v:shape id="Text Box 8" style="position:absolute;left:0;text-align:left;margin-left:233.6pt;margin-top:15.1pt;width:251.5pt;height:15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3" fillcolor="#f9b6a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" w14:anchorId="77699CB2">
                <v:textbox>
                  <w:txbxContent>
                    <w:p w:rsidR="00516901" w:rsidP="00516901" w:rsidRDefault="00516901" w14:paraId="4C29F0DE" w14:textId="07622416">
                      <w:pPr>
                        <w:rPr>
                          <w:rFonts w:ascii="Arial" w:hAnsi="Arial" w:cs="Arial"/>
                          <w:sz w:val="18"/>
                        </w:rPr>
                      </w:pPr>
                      <w:r>
                        <w:rPr>
                          <w:rFonts w:ascii="Arial" w:hAnsi="Arial" w:cs="Arial"/>
                          <w:sz w:val="18"/>
                        </w:rPr>
                        <w:t xml:space="preserve">If following the review and in collaboration with the patient and their carer, the agreed outcome is that the patient </w:t>
                      </w:r>
                      <w:proofErr w:type="gramStart"/>
                      <w:r>
                        <w:rPr>
                          <w:rFonts w:ascii="Arial" w:hAnsi="Arial" w:cs="Arial"/>
                          <w:sz w:val="18"/>
                        </w:rPr>
                        <w:t>should be discharged</w:t>
                      </w:r>
                      <w:proofErr w:type="gramEnd"/>
                      <w:r>
                        <w:rPr>
                          <w:rFonts w:ascii="Arial" w:hAnsi="Arial" w:cs="Arial"/>
                          <w:sz w:val="18"/>
                        </w:rPr>
                        <w:t xml:space="preserve"> from Section 117, this should be indicated in the RiO Section 117 form and agreed by all individuals. This should then be emailed/shared with local MHA Administrator and Local Social Care Lead. </w:t>
                      </w:r>
                    </w:p>
                    <w:p w:rsidR="00516901" w:rsidP="00516901" w:rsidRDefault="00516901" w14:paraId="672A6659" w14:textId="6A59CC0F">
                      <w:pPr>
                        <w:rPr>
                          <w:rFonts w:ascii="Arial" w:hAnsi="Arial" w:cs="Arial"/>
                          <w:sz w:val="18"/>
                        </w:rPr>
                      </w:pPr>
                    </w:p>
                    <w:p w:rsidRPr="00A621C4" w:rsidR="00516901" w:rsidP="00516901" w:rsidRDefault="00516901" w14:paraId="7B30F0E2" w14:textId="6438EF3F">
                      <w:pPr>
                        <w:rPr>
                          <w:rFonts w:ascii="Arial" w:hAnsi="Arial" w:cs="Arial"/>
                          <w:sz w:val="18"/>
                        </w:rPr>
                      </w:pPr>
                      <w:r>
                        <w:rPr>
                          <w:rFonts w:ascii="Arial" w:hAnsi="Arial" w:cs="Arial"/>
                          <w:sz w:val="18"/>
                        </w:rPr>
                        <w:t>The Care Coordinator will confirm the outcome in writing.</w:t>
                      </w:r>
                    </w:p>
                  </w:txbxContent>
                </v:textbox>
                <w10:wrap type="square" anchorx="margin"/>
              </v:shape>
            </w:pict>
          </mc:Fallback>
        </mc:AlternateContent>
      </w:r>
      <w:r w:rsidRPr="00A621C4">
        <w:rPr>
          <w:rFonts w:ascii="Arial" w:hAnsi="Arial" w:eastAsia="Arial" w:cs="Arial"/>
          <w:noProof/>
          <w:sz w:val="20"/>
          <w:szCs w:val="20"/>
          <w:lang w:eastAsia="en-GB"/>
        </w:rPr>
        <mc:AlternateContent>
          <mc:Choice Requires="wps">
            <w:drawing>
              <wp:anchor distT="45720" distB="45720" distL="114300" distR="114300" simplePos="0" relativeHeight="251671552" behindDoc="0" locked="0" layoutInCell="1" allowOverlap="1" wp14:anchorId="66E8552D" wp14:editId="1AC826AA">
                <wp:simplePos x="0" y="0"/>
                <wp:positionH relativeFrom="column">
                  <wp:posOffset>-476250</wp:posOffset>
                </wp:positionH>
                <wp:positionV relativeFrom="paragraph">
                  <wp:posOffset>208280</wp:posOffset>
                </wp:positionV>
                <wp:extent cx="3162300" cy="187960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879600"/>
                        </a:xfrm>
                        <a:prstGeom prst="rect">
                          <a:avLst/>
                        </a:prstGeom>
                        <a:solidFill>
                          <a:srgbClr val="DDF5D7"/>
                        </a:solidFill>
                        <a:ln w="9525">
                          <a:solidFill>
                            <a:srgbClr val="000000"/>
                          </a:solidFill>
                          <a:miter lim="800000"/>
                          <a:headEnd/>
                          <a:tailEnd/>
                        </a:ln>
                      </wps:spPr>
                      <wps:txbx>
                        <w:txbxContent>
                          <w:p w:rsidR="00516901" w:rsidP="00516901" w:rsidRDefault="00516901" w14:paraId="2A29ABEF" w14:textId="5CB509D9">
                            <w:pPr>
                              <w:rPr>
                                <w:rFonts w:ascii="Arial" w:hAnsi="Arial" w:cs="Arial"/>
                                <w:sz w:val="18"/>
                              </w:rPr>
                            </w:pPr>
                            <w:r>
                              <w:rPr>
                                <w:rFonts w:ascii="Arial" w:hAnsi="Arial" w:cs="Arial"/>
                                <w:sz w:val="18"/>
                              </w:rPr>
                              <w:t xml:space="preserve">If following the review, it is decided that the patient is still eligible to be subject to Section 117, </w:t>
                            </w:r>
                            <w:proofErr w:type="gramStart"/>
                            <w:r>
                              <w:rPr>
                                <w:rFonts w:ascii="Arial" w:hAnsi="Arial" w:cs="Arial"/>
                                <w:sz w:val="18"/>
                              </w:rPr>
                              <w:t>then</w:t>
                            </w:r>
                            <w:proofErr w:type="gramEnd"/>
                            <w:r>
                              <w:rPr>
                                <w:rFonts w:ascii="Arial" w:hAnsi="Arial" w:cs="Arial"/>
                                <w:sz w:val="18"/>
                              </w:rPr>
                              <w:t xml:space="preserve"> the patient cannot be discharged from ELFT services and will remain on the care coordinators caseload.</w:t>
                            </w:r>
                          </w:p>
                          <w:p w:rsidR="00516901" w:rsidP="00516901" w:rsidRDefault="00516901" w14:paraId="1BCD0D36" w14:textId="4FCDC1C6">
                            <w:pPr>
                              <w:rPr>
                                <w:rFonts w:ascii="Arial" w:hAnsi="Arial" w:cs="Arial"/>
                                <w:sz w:val="18"/>
                              </w:rPr>
                            </w:pPr>
                            <w:r>
                              <w:rPr>
                                <w:rFonts w:ascii="Arial" w:hAnsi="Arial" w:cs="Arial"/>
                                <w:sz w:val="18"/>
                              </w:rPr>
                              <w:t xml:space="preserve">The RiO Section 117 form </w:t>
                            </w:r>
                            <w:proofErr w:type="gramStart"/>
                            <w:r>
                              <w:rPr>
                                <w:rFonts w:ascii="Arial" w:hAnsi="Arial" w:cs="Arial"/>
                                <w:sz w:val="18"/>
                              </w:rPr>
                              <w:t>must be completed</w:t>
                            </w:r>
                            <w:proofErr w:type="gramEnd"/>
                            <w:r>
                              <w:rPr>
                                <w:rFonts w:ascii="Arial" w:hAnsi="Arial" w:cs="Arial"/>
                                <w:sz w:val="18"/>
                              </w:rPr>
                              <w:t xml:space="preserve"> outlining this decision has been agreed by all individuals and emailed to the local MHA Administrator. </w:t>
                            </w:r>
                          </w:p>
                          <w:p w:rsidRPr="00A621C4" w:rsidR="00516901" w:rsidP="00516901" w:rsidRDefault="00516901" w14:paraId="2D937483" w14:textId="0101F92C">
                            <w:pPr>
                              <w:rPr>
                                <w:rFonts w:ascii="Arial" w:hAnsi="Arial" w:cs="Arial"/>
                                <w:sz w:val="18"/>
                              </w:rPr>
                            </w:pPr>
                            <w:r>
                              <w:rPr>
                                <w:rFonts w:ascii="Arial" w:hAnsi="Arial" w:cs="Arial"/>
                                <w:sz w:val="18"/>
                              </w:rPr>
                              <w:t>The Care Coordinator will document the outcome of the review on the patients Care Plan and co-produce a care plan with their patient and carers/relatives. A follow-up review should take place when necessary, or within 6 months from last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3A4EEF">
              <v:shape id="Text Box 6" style="position:absolute;left:0;text-align:left;margin-left:-37.5pt;margin-top:16.4pt;width:249pt;height:14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fillcolor="#ddf5d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" w14:anchorId="66E8552D">
                <v:textbox>
                  <w:txbxContent>
                    <w:p w:rsidR="00516901" w:rsidP="00516901" w:rsidRDefault="00516901" w14:paraId="45BFEE23" w14:textId="5CB509D9">
                      <w:pPr>
                        <w:rPr>
                          <w:rFonts w:ascii="Arial" w:hAnsi="Arial" w:cs="Arial"/>
                          <w:sz w:val="18"/>
                        </w:rPr>
                      </w:pPr>
                      <w:r>
                        <w:rPr>
                          <w:rFonts w:ascii="Arial" w:hAnsi="Arial" w:cs="Arial"/>
                          <w:sz w:val="18"/>
                        </w:rPr>
                        <w:t>If following the review, it is decided that the patient is still eligible to be subject to Section 117, then the patient cannot be discharged from ELFT services and will remain on the care coordinators caseload.</w:t>
                      </w:r>
                    </w:p>
                    <w:p w:rsidR="00516901" w:rsidP="00516901" w:rsidRDefault="00516901" w14:paraId="7A327274" w14:textId="4FCDC1C6">
                      <w:pPr>
                        <w:rPr>
                          <w:rFonts w:ascii="Arial" w:hAnsi="Arial" w:cs="Arial"/>
                          <w:sz w:val="18"/>
                        </w:rPr>
                      </w:pPr>
                      <w:r>
                        <w:rPr>
                          <w:rFonts w:ascii="Arial" w:hAnsi="Arial" w:cs="Arial"/>
                          <w:sz w:val="18"/>
                        </w:rPr>
                        <w:t xml:space="preserve">The RiO Section 117 form must be completed outlining this decision has been agreed by all individuals and emailed to the local MHA Administrator. </w:t>
                      </w:r>
                    </w:p>
                    <w:p w:rsidRPr="00A621C4" w:rsidR="00516901" w:rsidP="00516901" w:rsidRDefault="00516901" w14:paraId="19DEAE24" w14:textId="0101F92C">
                      <w:pPr>
                        <w:rPr>
                          <w:rFonts w:ascii="Arial" w:hAnsi="Arial" w:cs="Arial"/>
                          <w:sz w:val="18"/>
                        </w:rPr>
                      </w:pPr>
                      <w:r>
                        <w:rPr>
                          <w:rFonts w:ascii="Arial" w:hAnsi="Arial" w:cs="Arial"/>
                          <w:sz w:val="18"/>
                        </w:rPr>
                        <w:t>The Care Coordinator will document the outcome of the review on the patients Care Plan and co-produce a care plan with their patient and carers/relatives. A follow-up review should take place when necessary, or within 6 months from last review</w:t>
                      </w:r>
                    </w:p>
                  </w:txbxContent>
                </v:textbox>
                <w10:wrap type="square"/>
              </v:shape>
            </w:pict>
          </mc:Fallback>
        </mc:AlternateContent>
      </w:r>
    </w:p>
    <w:p w:rsidR="4A02F5E4" w:rsidP="4A02F5E4" w:rsidRDefault="4A02F5E4" w14:paraId="3BCC9C4A" w14:textId="4B72DD0C">
      <w:pPr>
        <w:jc w:val="both"/>
        <w:rPr>
          <w:rFonts w:ascii="Arial" w:hAnsi="Arial" w:eastAsia="Arial" w:cs="Arial"/>
          <w:sz w:val="20"/>
          <w:szCs w:val="20"/>
        </w:rPr>
      </w:pPr>
    </w:p>
    <w:p w:rsidR="4A02F5E4" w:rsidP="4A02F5E4" w:rsidRDefault="4A02F5E4" w14:paraId="7CE054D4" w14:textId="27F9249C">
      <w:pPr>
        <w:jc w:val="both"/>
        <w:rPr>
          <w:rFonts w:ascii="Arial" w:hAnsi="Arial" w:eastAsia="Arial" w:cs="Arial"/>
          <w:sz w:val="20"/>
          <w:szCs w:val="20"/>
        </w:rPr>
      </w:pPr>
    </w:p>
    <w:p w:rsidR="4A02F5E4" w:rsidP="4A02F5E4" w:rsidRDefault="4A02F5E4" w14:paraId="1A444585" w14:textId="388256B4">
      <w:pPr>
        <w:jc w:val="both"/>
        <w:rPr>
          <w:rFonts w:ascii="Arial" w:hAnsi="Arial" w:eastAsia="Arial" w:cs="Arial"/>
          <w:sz w:val="20"/>
          <w:szCs w:val="20"/>
        </w:rPr>
      </w:pPr>
    </w:p>
    <w:sectPr w:rsidR="4A02F5E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6E98"/>
    <w:multiLevelType w:val="hybridMultilevel"/>
    <w:tmpl w:val="7E1686DE"/>
    <w:lvl w:ilvl="0" w:tplc="5610F476">
      <w:start w:val="1"/>
      <w:numFmt w:val="bullet"/>
      <w:lvlText w:val=""/>
      <w:lvlJc w:val="left"/>
      <w:pPr>
        <w:ind w:left="720" w:hanging="360"/>
      </w:pPr>
      <w:rPr>
        <w:rFonts w:hint="default" w:ascii="Symbol" w:hAnsi="Symbol"/>
      </w:rPr>
    </w:lvl>
    <w:lvl w:ilvl="1" w:tplc="FB7A454E">
      <w:start w:val="1"/>
      <w:numFmt w:val="bullet"/>
      <w:lvlText w:val="o"/>
      <w:lvlJc w:val="left"/>
      <w:pPr>
        <w:ind w:left="1440" w:hanging="360"/>
      </w:pPr>
      <w:rPr>
        <w:rFonts w:hint="default" w:ascii="Courier New" w:hAnsi="Courier New"/>
      </w:rPr>
    </w:lvl>
    <w:lvl w:ilvl="2" w:tplc="0D2817CC">
      <w:start w:val="1"/>
      <w:numFmt w:val="bullet"/>
      <w:lvlText w:val=""/>
      <w:lvlJc w:val="left"/>
      <w:pPr>
        <w:ind w:left="2160" w:hanging="360"/>
      </w:pPr>
      <w:rPr>
        <w:rFonts w:hint="default" w:ascii="Wingdings" w:hAnsi="Wingdings"/>
      </w:rPr>
    </w:lvl>
    <w:lvl w:ilvl="3" w:tplc="41B29B06">
      <w:start w:val="1"/>
      <w:numFmt w:val="bullet"/>
      <w:lvlText w:val=""/>
      <w:lvlJc w:val="left"/>
      <w:pPr>
        <w:ind w:left="2880" w:hanging="360"/>
      </w:pPr>
      <w:rPr>
        <w:rFonts w:hint="default" w:ascii="Symbol" w:hAnsi="Symbol"/>
      </w:rPr>
    </w:lvl>
    <w:lvl w:ilvl="4" w:tplc="B18A9D60">
      <w:start w:val="1"/>
      <w:numFmt w:val="bullet"/>
      <w:lvlText w:val="o"/>
      <w:lvlJc w:val="left"/>
      <w:pPr>
        <w:ind w:left="3600" w:hanging="360"/>
      </w:pPr>
      <w:rPr>
        <w:rFonts w:hint="default" w:ascii="Courier New" w:hAnsi="Courier New"/>
      </w:rPr>
    </w:lvl>
    <w:lvl w:ilvl="5" w:tplc="DFAC55B8">
      <w:start w:val="1"/>
      <w:numFmt w:val="bullet"/>
      <w:lvlText w:val=""/>
      <w:lvlJc w:val="left"/>
      <w:pPr>
        <w:ind w:left="4320" w:hanging="360"/>
      </w:pPr>
      <w:rPr>
        <w:rFonts w:hint="default" w:ascii="Wingdings" w:hAnsi="Wingdings"/>
      </w:rPr>
    </w:lvl>
    <w:lvl w:ilvl="6" w:tplc="E2BA84FC">
      <w:start w:val="1"/>
      <w:numFmt w:val="bullet"/>
      <w:lvlText w:val=""/>
      <w:lvlJc w:val="left"/>
      <w:pPr>
        <w:ind w:left="5040" w:hanging="360"/>
      </w:pPr>
      <w:rPr>
        <w:rFonts w:hint="default" w:ascii="Symbol" w:hAnsi="Symbol"/>
      </w:rPr>
    </w:lvl>
    <w:lvl w:ilvl="7" w:tplc="469E6DBE">
      <w:start w:val="1"/>
      <w:numFmt w:val="bullet"/>
      <w:lvlText w:val="o"/>
      <w:lvlJc w:val="left"/>
      <w:pPr>
        <w:ind w:left="5760" w:hanging="360"/>
      </w:pPr>
      <w:rPr>
        <w:rFonts w:hint="default" w:ascii="Courier New" w:hAnsi="Courier New"/>
      </w:rPr>
    </w:lvl>
    <w:lvl w:ilvl="8" w:tplc="88C8D4EA">
      <w:start w:val="1"/>
      <w:numFmt w:val="bullet"/>
      <w:lvlText w:val=""/>
      <w:lvlJc w:val="left"/>
      <w:pPr>
        <w:ind w:left="6480" w:hanging="360"/>
      </w:pPr>
      <w:rPr>
        <w:rFonts w:hint="default" w:ascii="Wingdings" w:hAnsi="Wingdings"/>
      </w:rPr>
    </w:lvl>
  </w:abstractNum>
  <w:abstractNum w:abstractNumId="1" w15:restartNumberingAfterBreak="0">
    <w:nsid w:val="0D4D78F5"/>
    <w:multiLevelType w:val="hybridMultilevel"/>
    <w:tmpl w:val="088AE364"/>
    <w:lvl w:ilvl="0" w:tplc="FB0EEB9E">
      <w:start w:val="1"/>
      <w:numFmt w:val="bullet"/>
      <w:lvlText w:val=""/>
      <w:lvlJc w:val="left"/>
      <w:pPr>
        <w:ind w:left="720" w:hanging="360"/>
      </w:pPr>
      <w:rPr>
        <w:rFonts w:hint="default" w:ascii="Symbol" w:hAnsi="Symbol"/>
      </w:rPr>
    </w:lvl>
    <w:lvl w:ilvl="1" w:tplc="952C27A0">
      <w:start w:val="1"/>
      <w:numFmt w:val="bullet"/>
      <w:lvlText w:val="o"/>
      <w:lvlJc w:val="left"/>
      <w:pPr>
        <w:ind w:left="1440" w:hanging="360"/>
      </w:pPr>
      <w:rPr>
        <w:rFonts w:hint="default" w:ascii="Courier New" w:hAnsi="Courier New"/>
      </w:rPr>
    </w:lvl>
    <w:lvl w:ilvl="2" w:tplc="76C023EC">
      <w:start w:val="1"/>
      <w:numFmt w:val="bullet"/>
      <w:lvlText w:val=""/>
      <w:lvlJc w:val="left"/>
      <w:pPr>
        <w:ind w:left="2160" w:hanging="360"/>
      </w:pPr>
      <w:rPr>
        <w:rFonts w:hint="default" w:ascii="Wingdings" w:hAnsi="Wingdings"/>
      </w:rPr>
    </w:lvl>
    <w:lvl w:ilvl="3" w:tplc="8F1EDB06">
      <w:start w:val="1"/>
      <w:numFmt w:val="bullet"/>
      <w:lvlText w:val=""/>
      <w:lvlJc w:val="left"/>
      <w:pPr>
        <w:ind w:left="2880" w:hanging="360"/>
      </w:pPr>
      <w:rPr>
        <w:rFonts w:hint="default" w:ascii="Symbol" w:hAnsi="Symbol"/>
      </w:rPr>
    </w:lvl>
    <w:lvl w:ilvl="4" w:tplc="292AA428">
      <w:start w:val="1"/>
      <w:numFmt w:val="bullet"/>
      <w:lvlText w:val="o"/>
      <w:lvlJc w:val="left"/>
      <w:pPr>
        <w:ind w:left="3600" w:hanging="360"/>
      </w:pPr>
      <w:rPr>
        <w:rFonts w:hint="default" w:ascii="Courier New" w:hAnsi="Courier New"/>
      </w:rPr>
    </w:lvl>
    <w:lvl w:ilvl="5" w:tplc="32F08534">
      <w:start w:val="1"/>
      <w:numFmt w:val="bullet"/>
      <w:lvlText w:val=""/>
      <w:lvlJc w:val="left"/>
      <w:pPr>
        <w:ind w:left="4320" w:hanging="360"/>
      </w:pPr>
      <w:rPr>
        <w:rFonts w:hint="default" w:ascii="Wingdings" w:hAnsi="Wingdings"/>
      </w:rPr>
    </w:lvl>
    <w:lvl w:ilvl="6" w:tplc="7F008CF2">
      <w:start w:val="1"/>
      <w:numFmt w:val="bullet"/>
      <w:lvlText w:val=""/>
      <w:lvlJc w:val="left"/>
      <w:pPr>
        <w:ind w:left="5040" w:hanging="360"/>
      </w:pPr>
      <w:rPr>
        <w:rFonts w:hint="default" w:ascii="Symbol" w:hAnsi="Symbol"/>
      </w:rPr>
    </w:lvl>
    <w:lvl w:ilvl="7" w:tplc="BE8A3B4A">
      <w:start w:val="1"/>
      <w:numFmt w:val="bullet"/>
      <w:lvlText w:val="o"/>
      <w:lvlJc w:val="left"/>
      <w:pPr>
        <w:ind w:left="5760" w:hanging="360"/>
      </w:pPr>
      <w:rPr>
        <w:rFonts w:hint="default" w:ascii="Courier New" w:hAnsi="Courier New"/>
      </w:rPr>
    </w:lvl>
    <w:lvl w:ilvl="8" w:tplc="FB208FEE">
      <w:start w:val="1"/>
      <w:numFmt w:val="bullet"/>
      <w:lvlText w:val=""/>
      <w:lvlJc w:val="left"/>
      <w:pPr>
        <w:ind w:left="6480" w:hanging="360"/>
      </w:pPr>
      <w:rPr>
        <w:rFonts w:hint="default" w:ascii="Wingdings" w:hAnsi="Wingdings"/>
      </w:rPr>
    </w:lvl>
  </w:abstractNum>
  <w:abstractNum w:abstractNumId="2" w15:restartNumberingAfterBreak="0">
    <w:nsid w:val="15633254"/>
    <w:multiLevelType w:val="hybridMultilevel"/>
    <w:tmpl w:val="A196A27C"/>
    <w:lvl w:ilvl="0" w:tplc="ED58E0A2">
      <w:start w:val="1"/>
      <w:numFmt w:val="bullet"/>
      <w:lvlText w:val=""/>
      <w:lvlJc w:val="left"/>
      <w:pPr>
        <w:ind w:left="720" w:hanging="360"/>
      </w:pPr>
      <w:rPr>
        <w:rFonts w:hint="default" w:ascii="Symbol" w:hAnsi="Symbol"/>
      </w:rPr>
    </w:lvl>
    <w:lvl w:ilvl="1" w:tplc="3C7E129A">
      <w:start w:val="1"/>
      <w:numFmt w:val="bullet"/>
      <w:lvlText w:val="o"/>
      <w:lvlJc w:val="left"/>
      <w:pPr>
        <w:ind w:left="1440" w:hanging="360"/>
      </w:pPr>
      <w:rPr>
        <w:rFonts w:hint="default" w:ascii="Courier New" w:hAnsi="Courier New"/>
      </w:rPr>
    </w:lvl>
    <w:lvl w:ilvl="2" w:tplc="166CAB92">
      <w:start w:val="1"/>
      <w:numFmt w:val="bullet"/>
      <w:lvlText w:val=""/>
      <w:lvlJc w:val="left"/>
      <w:pPr>
        <w:ind w:left="2160" w:hanging="360"/>
      </w:pPr>
      <w:rPr>
        <w:rFonts w:hint="default" w:ascii="Wingdings" w:hAnsi="Wingdings"/>
      </w:rPr>
    </w:lvl>
    <w:lvl w:ilvl="3" w:tplc="AD8EACE6">
      <w:start w:val="1"/>
      <w:numFmt w:val="bullet"/>
      <w:lvlText w:val=""/>
      <w:lvlJc w:val="left"/>
      <w:pPr>
        <w:ind w:left="2880" w:hanging="360"/>
      </w:pPr>
      <w:rPr>
        <w:rFonts w:hint="default" w:ascii="Symbol" w:hAnsi="Symbol"/>
      </w:rPr>
    </w:lvl>
    <w:lvl w:ilvl="4" w:tplc="867CAC42">
      <w:start w:val="1"/>
      <w:numFmt w:val="bullet"/>
      <w:lvlText w:val="o"/>
      <w:lvlJc w:val="left"/>
      <w:pPr>
        <w:ind w:left="3600" w:hanging="360"/>
      </w:pPr>
      <w:rPr>
        <w:rFonts w:hint="default" w:ascii="Courier New" w:hAnsi="Courier New"/>
      </w:rPr>
    </w:lvl>
    <w:lvl w:ilvl="5" w:tplc="FAB458C8">
      <w:start w:val="1"/>
      <w:numFmt w:val="bullet"/>
      <w:lvlText w:val=""/>
      <w:lvlJc w:val="left"/>
      <w:pPr>
        <w:ind w:left="4320" w:hanging="360"/>
      </w:pPr>
      <w:rPr>
        <w:rFonts w:hint="default" w:ascii="Wingdings" w:hAnsi="Wingdings"/>
      </w:rPr>
    </w:lvl>
    <w:lvl w:ilvl="6" w:tplc="5CCEC244">
      <w:start w:val="1"/>
      <w:numFmt w:val="bullet"/>
      <w:lvlText w:val=""/>
      <w:lvlJc w:val="left"/>
      <w:pPr>
        <w:ind w:left="5040" w:hanging="360"/>
      </w:pPr>
      <w:rPr>
        <w:rFonts w:hint="default" w:ascii="Symbol" w:hAnsi="Symbol"/>
      </w:rPr>
    </w:lvl>
    <w:lvl w:ilvl="7" w:tplc="3D72B818">
      <w:start w:val="1"/>
      <w:numFmt w:val="bullet"/>
      <w:lvlText w:val="o"/>
      <w:lvlJc w:val="left"/>
      <w:pPr>
        <w:ind w:left="5760" w:hanging="360"/>
      </w:pPr>
      <w:rPr>
        <w:rFonts w:hint="default" w:ascii="Courier New" w:hAnsi="Courier New"/>
      </w:rPr>
    </w:lvl>
    <w:lvl w:ilvl="8" w:tplc="1922B486">
      <w:start w:val="1"/>
      <w:numFmt w:val="bullet"/>
      <w:lvlText w:val=""/>
      <w:lvlJc w:val="left"/>
      <w:pPr>
        <w:ind w:left="6480" w:hanging="360"/>
      </w:pPr>
      <w:rPr>
        <w:rFonts w:hint="default" w:ascii="Wingdings" w:hAnsi="Wingdings"/>
      </w:rPr>
    </w:lvl>
  </w:abstractNum>
  <w:abstractNum w:abstractNumId="3" w15:restartNumberingAfterBreak="0">
    <w:nsid w:val="16594A02"/>
    <w:multiLevelType w:val="hybridMultilevel"/>
    <w:tmpl w:val="3CC4BEF4"/>
    <w:lvl w:ilvl="0" w:tplc="3634C42A">
      <w:start w:val="1"/>
      <w:numFmt w:val="bullet"/>
      <w:lvlText w:val=""/>
      <w:lvlJc w:val="left"/>
      <w:pPr>
        <w:ind w:left="720" w:hanging="360"/>
      </w:pPr>
      <w:rPr>
        <w:rFonts w:hint="default" w:ascii="Symbol" w:hAnsi="Symbol"/>
      </w:rPr>
    </w:lvl>
    <w:lvl w:ilvl="1" w:tplc="FD88DCD6">
      <w:start w:val="1"/>
      <w:numFmt w:val="bullet"/>
      <w:lvlText w:val="o"/>
      <w:lvlJc w:val="left"/>
      <w:pPr>
        <w:ind w:left="1440" w:hanging="360"/>
      </w:pPr>
      <w:rPr>
        <w:rFonts w:hint="default" w:ascii="Courier New" w:hAnsi="Courier New"/>
      </w:rPr>
    </w:lvl>
    <w:lvl w:ilvl="2" w:tplc="7A1E77BE">
      <w:start w:val="1"/>
      <w:numFmt w:val="bullet"/>
      <w:lvlText w:val=""/>
      <w:lvlJc w:val="left"/>
      <w:pPr>
        <w:ind w:left="2160" w:hanging="360"/>
      </w:pPr>
      <w:rPr>
        <w:rFonts w:hint="default" w:ascii="Wingdings" w:hAnsi="Wingdings"/>
      </w:rPr>
    </w:lvl>
    <w:lvl w:ilvl="3" w:tplc="106AF51E">
      <w:start w:val="1"/>
      <w:numFmt w:val="bullet"/>
      <w:lvlText w:val=""/>
      <w:lvlJc w:val="left"/>
      <w:pPr>
        <w:ind w:left="2880" w:hanging="360"/>
      </w:pPr>
      <w:rPr>
        <w:rFonts w:hint="default" w:ascii="Symbol" w:hAnsi="Symbol"/>
      </w:rPr>
    </w:lvl>
    <w:lvl w:ilvl="4" w:tplc="0AA6D654">
      <w:start w:val="1"/>
      <w:numFmt w:val="bullet"/>
      <w:lvlText w:val="o"/>
      <w:lvlJc w:val="left"/>
      <w:pPr>
        <w:ind w:left="3600" w:hanging="360"/>
      </w:pPr>
      <w:rPr>
        <w:rFonts w:hint="default" w:ascii="Courier New" w:hAnsi="Courier New"/>
      </w:rPr>
    </w:lvl>
    <w:lvl w:ilvl="5" w:tplc="F67A32AE">
      <w:start w:val="1"/>
      <w:numFmt w:val="bullet"/>
      <w:lvlText w:val=""/>
      <w:lvlJc w:val="left"/>
      <w:pPr>
        <w:ind w:left="4320" w:hanging="360"/>
      </w:pPr>
      <w:rPr>
        <w:rFonts w:hint="default" w:ascii="Wingdings" w:hAnsi="Wingdings"/>
      </w:rPr>
    </w:lvl>
    <w:lvl w:ilvl="6" w:tplc="A986E3E4">
      <w:start w:val="1"/>
      <w:numFmt w:val="bullet"/>
      <w:lvlText w:val=""/>
      <w:lvlJc w:val="left"/>
      <w:pPr>
        <w:ind w:left="5040" w:hanging="360"/>
      </w:pPr>
      <w:rPr>
        <w:rFonts w:hint="default" w:ascii="Symbol" w:hAnsi="Symbol"/>
      </w:rPr>
    </w:lvl>
    <w:lvl w:ilvl="7" w:tplc="3884B04A">
      <w:start w:val="1"/>
      <w:numFmt w:val="bullet"/>
      <w:lvlText w:val="o"/>
      <w:lvlJc w:val="left"/>
      <w:pPr>
        <w:ind w:left="5760" w:hanging="360"/>
      </w:pPr>
      <w:rPr>
        <w:rFonts w:hint="default" w:ascii="Courier New" w:hAnsi="Courier New"/>
      </w:rPr>
    </w:lvl>
    <w:lvl w:ilvl="8" w:tplc="A4CA4B76">
      <w:start w:val="1"/>
      <w:numFmt w:val="bullet"/>
      <w:lvlText w:val=""/>
      <w:lvlJc w:val="left"/>
      <w:pPr>
        <w:ind w:left="6480" w:hanging="360"/>
      </w:pPr>
      <w:rPr>
        <w:rFonts w:hint="default" w:ascii="Wingdings" w:hAnsi="Wingdings"/>
      </w:rPr>
    </w:lvl>
  </w:abstractNum>
  <w:abstractNum w:abstractNumId="4" w15:restartNumberingAfterBreak="0">
    <w:nsid w:val="1A1C6A2D"/>
    <w:multiLevelType w:val="hybridMultilevel"/>
    <w:tmpl w:val="B5E22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BBF26"/>
    <w:multiLevelType w:val="hybridMultilevel"/>
    <w:tmpl w:val="14EE3120"/>
    <w:lvl w:ilvl="0" w:tplc="EF82FF0E">
      <w:start w:val="1"/>
      <w:numFmt w:val="bullet"/>
      <w:lvlText w:val=""/>
      <w:lvlJc w:val="left"/>
      <w:pPr>
        <w:ind w:left="720" w:hanging="360"/>
      </w:pPr>
      <w:rPr>
        <w:rFonts w:hint="default" w:ascii="Symbol" w:hAnsi="Symbol"/>
      </w:rPr>
    </w:lvl>
    <w:lvl w:ilvl="1" w:tplc="7E3E7A8C">
      <w:start w:val="1"/>
      <w:numFmt w:val="bullet"/>
      <w:lvlText w:val="o"/>
      <w:lvlJc w:val="left"/>
      <w:pPr>
        <w:ind w:left="1440" w:hanging="360"/>
      </w:pPr>
      <w:rPr>
        <w:rFonts w:hint="default" w:ascii="Courier New" w:hAnsi="Courier New"/>
      </w:rPr>
    </w:lvl>
    <w:lvl w:ilvl="2" w:tplc="AB64B06E">
      <w:start w:val="1"/>
      <w:numFmt w:val="bullet"/>
      <w:lvlText w:val=""/>
      <w:lvlJc w:val="left"/>
      <w:pPr>
        <w:ind w:left="2160" w:hanging="360"/>
      </w:pPr>
      <w:rPr>
        <w:rFonts w:hint="default" w:ascii="Wingdings" w:hAnsi="Wingdings"/>
      </w:rPr>
    </w:lvl>
    <w:lvl w:ilvl="3" w:tplc="1AE2D620">
      <w:start w:val="1"/>
      <w:numFmt w:val="bullet"/>
      <w:lvlText w:val=""/>
      <w:lvlJc w:val="left"/>
      <w:pPr>
        <w:ind w:left="2880" w:hanging="360"/>
      </w:pPr>
      <w:rPr>
        <w:rFonts w:hint="default" w:ascii="Symbol" w:hAnsi="Symbol"/>
      </w:rPr>
    </w:lvl>
    <w:lvl w:ilvl="4" w:tplc="19AAF74C">
      <w:start w:val="1"/>
      <w:numFmt w:val="bullet"/>
      <w:lvlText w:val="o"/>
      <w:lvlJc w:val="left"/>
      <w:pPr>
        <w:ind w:left="3600" w:hanging="360"/>
      </w:pPr>
      <w:rPr>
        <w:rFonts w:hint="default" w:ascii="Courier New" w:hAnsi="Courier New"/>
      </w:rPr>
    </w:lvl>
    <w:lvl w:ilvl="5" w:tplc="C39CE7EC">
      <w:start w:val="1"/>
      <w:numFmt w:val="bullet"/>
      <w:lvlText w:val=""/>
      <w:lvlJc w:val="left"/>
      <w:pPr>
        <w:ind w:left="4320" w:hanging="360"/>
      </w:pPr>
      <w:rPr>
        <w:rFonts w:hint="default" w:ascii="Wingdings" w:hAnsi="Wingdings"/>
      </w:rPr>
    </w:lvl>
    <w:lvl w:ilvl="6" w:tplc="F0EACC3E">
      <w:start w:val="1"/>
      <w:numFmt w:val="bullet"/>
      <w:lvlText w:val=""/>
      <w:lvlJc w:val="left"/>
      <w:pPr>
        <w:ind w:left="5040" w:hanging="360"/>
      </w:pPr>
      <w:rPr>
        <w:rFonts w:hint="default" w:ascii="Symbol" w:hAnsi="Symbol"/>
      </w:rPr>
    </w:lvl>
    <w:lvl w:ilvl="7" w:tplc="0366C680">
      <w:start w:val="1"/>
      <w:numFmt w:val="bullet"/>
      <w:lvlText w:val="o"/>
      <w:lvlJc w:val="left"/>
      <w:pPr>
        <w:ind w:left="5760" w:hanging="360"/>
      </w:pPr>
      <w:rPr>
        <w:rFonts w:hint="default" w:ascii="Courier New" w:hAnsi="Courier New"/>
      </w:rPr>
    </w:lvl>
    <w:lvl w:ilvl="8" w:tplc="A3AEC990">
      <w:start w:val="1"/>
      <w:numFmt w:val="bullet"/>
      <w:lvlText w:val=""/>
      <w:lvlJc w:val="left"/>
      <w:pPr>
        <w:ind w:left="6480" w:hanging="360"/>
      </w:pPr>
      <w:rPr>
        <w:rFonts w:hint="default" w:ascii="Wingdings" w:hAnsi="Wingdings"/>
      </w:rPr>
    </w:lvl>
  </w:abstractNum>
  <w:abstractNum w:abstractNumId="6" w15:restartNumberingAfterBreak="0">
    <w:nsid w:val="227FEB75"/>
    <w:multiLevelType w:val="hybridMultilevel"/>
    <w:tmpl w:val="FD740C74"/>
    <w:lvl w:ilvl="0" w:tplc="17685B86">
      <w:start w:val="1"/>
      <w:numFmt w:val="bullet"/>
      <w:lvlText w:val=""/>
      <w:lvlJc w:val="left"/>
      <w:pPr>
        <w:ind w:left="720" w:hanging="360"/>
      </w:pPr>
      <w:rPr>
        <w:rFonts w:hint="default" w:ascii="Symbol" w:hAnsi="Symbol"/>
      </w:rPr>
    </w:lvl>
    <w:lvl w:ilvl="1" w:tplc="B7A820D8">
      <w:start w:val="1"/>
      <w:numFmt w:val="bullet"/>
      <w:lvlText w:val="o"/>
      <w:lvlJc w:val="left"/>
      <w:pPr>
        <w:ind w:left="1440" w:hanging="360"/>
      </w:pPr>
      <w:rPr>
        <w:rFonts w:hint="default" w:ascii="Courier New" w:hAnsi="Courier New"/>
      </w:rPr>
    </w:lvl>
    <w:lvl w:ilvl="2" w:tplc="7220AB54">
      <w:start w:val="1"/>
      <w:numFmt w:val="bullet"/>
      <w:lvlText w:val=""/>
      <w:lvlJc w:val="left"/>
      <w:pPr>
        <w:ind w:left="2160" w:hanging="360"/>
      </w:pPr>
      <w:rPr>
        <w:rFonts w:hint="default" w:ascii="Wingdings" w:hAnsi="Wingdings"/>
      </w:rPr>
    </w:lvl>
    <w:lvl w:ilvl="3" w:tplc="3D50AE6A">
      <w:start w:val="1"/>
      <w:numFmt w:val="bullet"/>
      <w:lvlText w:val=""/>
      <w:lvlJc w:val="left"/>
      <w:pPr>
        <w:ind w:left="2880" w:hanging="360"/>
      </w:pPr>
      <w:rPr>
        <w:rFonts w:hint="default" w:ascii="Symbol" w:hAnsi="Symbol"/>
      </w:rPr>
    </w:lvl>
    <w:lvl w:ilvl="4" w:tplc="8A685684">
      <w:start w:val="1"/>
      <w:numFmt w:val="bullet"/>
      <w:lvlText w:val="o"/>
      <w:lvlJc w:val="left"/>
      <w:pPr>
        <w:ind w:left="3600" w:hanging="360"/>
      </w:pPr>
      <w:rPr>
        <w:rFonts w:hint="default" w:ascii="Courier New" w:hAnsi="Courier New"/>
      </w:rPr>
    </w:lvl>
    <w:lvl w:ilvl="5" w:tplc="88128BE8">
      <w:start w:val="1"/>
      <w:numFmt w:val="bullet"/>
      <w:lvlText w:val=""/>
      <w:lvlJc w:val="left"/>
      <w:pPr>
        <w:ind w:left="4320" w:hanging="360"/>
      </w:pPr>
      <w:rPr>
        <w:rFonts w:hint="default" w:ascii="Wingdings" w:hAnsi="Wingdings"/>
      </w:rPr>
    </w:lvl>
    <w:lvl w:ilvl="6" w:tplc="A70AB212">
      <w:start w:val="1"/>
      <w:numFmt w:val="bullet"/>
      <w:lvlText w:val=""/>
      <w:lvlJc w:val="left"/>
      <w:pPr>
        <w:ind w:left="5040" w:hanging="360"/>
      </w:pPr>
      <w:rPr>
        <w:rFonts w:hint="default" w:ascii="Symbol" w:hAnsi="Symbol"/>
      </w:rPr>
    </w:lvl>
    <w:lvl w:ilvl="7" w:tplc="E474BD92">
      <w:start w:val="1"/>
      <w:numFmt w:val="bullet"/>
      <w:lvlText w:val="o"/>
      <w:lvlJc w:val="left"/>
      <w:pPr>
        <w:ind w:left="5760" w:hanging="360"/>
      </w:pPr>
      <w:rPr>
        <w:rFonts w:hint="default" w:ascii="Courier New" w:hAnsi="Courier New"/>
      </w:rPr>
    </w:lvl>
    <w:lvl w:ilvl="8" w:tplc="05FABBB8">
      <w:start w:val="1"/>
      <w:numFmt w:val="bullet"/>
      <w:lvlText w:val=""/>
      <w:lvlJc w:val="left"/>
      <w:pPr>
        <w:ind w:left="6480" w:hanging="360"/>
      </w:pPr>
      <w:rPr>
        <w:rFonts w:hint="default" w:ascii="Wingdings" w:hAnsi="Wingdings"/>
      </w:rPr>
    </w:lvl>
  </w:abstractNum>
  <w:abstractNum w:abstractNumId="7" w15:restartNumberingAfterBreak="0">
    <w:nsid w:val="25AE777D"/>
    <w:multiLevelType w:val="hybridMultilevel"/>
    <w:tmpl w:val="7BEA38C8"/>
    <w:lvl w:ilvl="0" w:tplc="DF9E4414">
      <w:start w:val="1"/>
      <w:numFmt w:val="bullet"/>
      <w:lvlText w:val=""/>
      <w:lvlJc w:val="left"/>
      <w:pPr>
        <w:ind w:left="720" w:hanging="360"/>
      </w:pPr>
      <w:rPr>
        <w:rFonts w:hint="default" w:ascii="Symbol" w:hAnsi="Symbol"/>
      </w:rPr>
    </w:lvl>
    <w:lvl w:ilvl="1" w:tplc="2F543180">
      <w:start w:val="1"/>
      <w:numFmt w:val="bullet"/>
      <w:lvlText w:val="o"/>
      <w:lvlJc w:val="left"/>
      <w:pPr>
        <w:ind w:left="1440" w:hanging="360"/>
      </w:pPr>
      <w:rPr>
        <w:rFonts w:hint="default" w:ascii="Courier New" w:hAnsi="Courier New"/>
      </w:rPr>
    </w:lvl>
    <w:lvl w:ilvl="2" w:tplc="7CFE9642">
      <w:start w:val="1"/>
      <w:numFmt w:val="bullet"/>
      <w:lvlText w:val=""/>
      <w:lvlJc w:val="left"/>
      <w:pPr>
        <w:ind w:left="2160" w:hanging="360"/>
      </w:pPr>
      <w:rPr>
        <w:rFonts w:hint="default" w:ascii="Wingdings" w:hAnsi="Wingdings"/>
      </w:rPr>
    </w:lvl>
    <w:lvl w:ilvl="3" w:tplc="09B01540">
      <w:start w:val="1"/>
      <w:numFmt w:val="bullet"/>
      <w:lvlText w:val=""/>
      <w:lvlJc w:val="left"/>
      <w:pPr>
        <w:ind w:left="2880" w:hanging="360"/>
      </w:pPr>
      <w:rPr>
        <w:rFonts w:hint="default" w:ascii="Symbol" w:hAnsi="Symbol"/>
      </w:rPr>
    </w:lvl>
    <w:lvl w:ilvl="4" w:tplc="B1D014A2">
      <w:start w:val="1"/>
      <w:numFmt w:val="bullet"/>
      <w:lvlText w:val="o"/>
      <w:lvlJc w:val="left"/>
      <w:pPr>
        <w:ind w:left="3600" w:hanging="360"/>
      </w:pPr>
      <w:rPr>
        <w:rFonts w:hint="default" w:ascii="Courier New" w:hAnsi="Courier New"/>
      </w:rPr>
    </w:lvl>
    <w:lvl w:ilvl="5" w:tplc="C8946234">
      <w:start w:val="1"/>
      <w:numFmt w:val="bullet"/>
      <w:lvlText w:val=""/>
      <w:lvlJc w:val="left"/>
      <w:pPr>
        <w:ind w:left="4320" w:hanging="360"/>
      </w:pPr>
      <w:rPr>
        <w:rFonts w:hint="default" w:ascii="Wingdings" w:hAnsi="Wingdings"/>
      </w:rPr>
    </w:lvl>
    <w:lvl w:ilvl="6" w:tplc="C8F4F36C">
      <w:start w:val="1"/>
      <w:numFmt w:val="bullet"/>
      <w:lvlText w:val=""/>
      <w:lvlJc w:val="left"/>
      <w:pPr>
        <w:ind w:left="5040" w:hanging="360"/>
      </w:pPr>
      <w:rPr>
        <w:rFonts w:hint="default" w:ascii="Symbol" w:hAnsi="Symbol"/>
      </w:rPr>
    </w:lvl>
    <w:lvl w:ilvl="7" w:tplc="3A147EAA">
      <w:start w:val="1"/>
      <w:numFmt w:val="bullet"/>
      <w:lvlText w:val="o"/>
      <w:lvlJc w:val="left"/>
      <w:pPr>
        <w:ind w:left="5760" w:hanging="360"/>
      </w:pPr>
      <w:rPr>
        <w:rFonts w:hint="default" w:ascii="Courier New" w:hAnsi="Courier New"/>
      </w:rPr>
    </w:lvl>
    <w:lvl w:ilvl="8" w:tplc="A6A81E16">
      <w:start w:val="1"/>
      <w:numFmt w:val="bullet"/>
      <w:lvlText w:val=""/>
      <w:lvlJc w:val="left"/>
      <w:pPr>
        <w:ind w:left="6480" w:hanging="360"/>
      </w:pPr>
      <w:rPr>
        <w:rFonts w:hint="default" w:ascii="Wingdings" w:hAnsi="Wingdings"/>
      </w:rPr>
    </w:lvl>
  </w:abstractNum>
  <w:abstractNum w:abstractNumId="8" w15:restartNumberingAfterBreak="0">
    <w:nsid w:val="26087FCF"/>
    <w:multiLevelType w:val="hybridMultilevel"/>
    <w:tmpl w:val="9F562094"/>
    <w:lvl w:ilvl="0" w:tplc="259EA204">
      <w:start w:val="1"/>
      <w:numFmt w:val="bullet"/>
      <w:lvlText w:val=""/>
      <w:lvlJc w:val="left"/>
      <w:pPr>
        <w:ind w:left="720" w:hanging="360"/>
      </w:pPr>
      <w:rPr>
        <w:rFonts w:hint="default" w:ascii="Symbol" w:hAnsi="Symbol"/>
      </w:rPr>
    </w:lvl>
    <w:lvl w:ilvl="1" w:tplc="052CE9FA">
      <w:start w:val="1"/>
      <w:numFmt w:val="bullet"/>
      <w:lvlText w:val="o"/>
      <w:lvlJc w:val="left"/>
      <w:pPr>
        <w:ind w:left="1440" w:hanging="360"/>
      </w:pPr>
      <w:rPr>
        <w:rFonts w:hint="default" w:ascii="Courier New" w:hAnsi="Courier New"/>
      </w:rPr>
    </w:lvl>
    <w:lvl w:ilvl="2" w:tplc="C94AA17E">
      <w:start w:val="1"/>
      <w:numFmt w:val="bullet"/>
      <w:lvlText w:val=""/>
      <w:lvlJc w:val="left"/>
      <w:pPr>
        <w:ind w:left="2160" w:hanging="360"/>
      </w:pPr>
      <w:rPr>
        <w:rFonts w:hint="default" w:ascii="Wingdings" w:hAnsi="Wingdings"/>
      </w:rPr>
    </w:lvl>
    <w:lvl w:ilvl="3" w:tplc="0C52ECE0">
      <w:start w:val="1"/>
      <w:numFmt w:val="bullet"/>
      <w:lvlText w:val=""/>
      <w:lvlJc w:val="left"/>
      <w:pPr>
        <w:ind w:left="2880" w:hanging="360"/>
      </w:pPr>
      <w:rPr>
        <w:rFonts w:hint="default" w:ascii="Symbol" w:hAnsi="Symbol"/>
      </w:rPr>
    </w:lvl>
    <w:lvl w:ilvl="4" w:tplc="126C1C18">
      <w:start w:val="1"/>
      <w:numFmt w:val="bullet"/>
      <w:lvlText w:val="o"/>
      <w:lvlJc w:val="left"/>
      <w:pPr>
        <w:ind w:left="3600" w:hanging="360"/>
      </w:pPr>
      <w:rPr>
        <w:rFonts w:hint="default" w:ascii="Courier New" w:hAnsi="Courier New"/>
      </w:rPr>
    </w:lvl>
    <w:lvl w:ilvl="5" w:tplc="09CE5DAA">
      <w:start w:val="1"/>
      <w:numFmt w:val="bullet"/>
      <w:lvlText w:val=""/>
      <w:lvlJc w:val="left"/>
      <w:pPr>
        <w:ind w:left="4320" w:hanging="360"/>
      </w:pPr>
      <w:rPr>
        <w:rFonts w:hint="default" w:ascii="Wingdings" w:hAnsi="Wingdings"/>
      </w:rPr>
    </w:lvl>
    <w:lvl w:ilvl="6" w:tplc="AE2C465A">
      <w:start w:val="1"/>
      <w:numFmt w:val="bullet"/>
      <w:lvlText w:val=""/>
      <w:lvlJc w:val="left"/>
      <w:pPr>
        <w:ind w:left="5040" w:hanging="360"/>
      </w:pPr>
      <w:rPr>
        <w:rFonts w:hint="default" w:ascii="Symbol" w:hAnsi="Symbol"/>
      </w:rPr>
    </w:lvl>
    <w:lvl w:ilvl="7" w:tplc="38348E3A">
      <w:start w:val="1"/>
      <w:numFmt w:val="bullet"/>
      <w:lvlText w:val="o"/>
      <w:lvlJc w:val="left"/>
      <w:pPr>
        <w:ind w:left="5760" w:hanging="360"/>
      </w:pPr>
      <w:rPr>
        <w:rFonts w:hint="default" w:ascii="Courier New" w:hAnsi="Courier New"/>
      </w:rPr>
    </w:lvl>
    <w:lvl w:ilvl="8" w:tplc="ED0A3B3A">
      <w:start w:val="1"/>
      <w:numFmt w:val="bullet"/>
      <w:lvlText w:val=""/>
      <w:lvlJc w:val="left"/>
      <w:pPr>
        <w:ind w:left="6480" w:hanging="360"/>
      </w:pPr>
      <w:rPr>
        <w:rFonts w:hint="default" w:ascii="Wingdings" w:hAnsi="Wingdings"/>
      </w:rPr>
    </w:lvl>
  </w:abstractNum>
  <w:abstractNum w:abstractNumId="9" w15:restartNumberingAfterBreak="0">
    <w:nsid w:val="34AA0C3E"/>
    <w:multiLevelType w:val="hybridMultilevel"/>
    <w:tmpl w:val="3C923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131C1B"/>
    <w:multiLevelType w:val="hybridMultilevel"/>
    <w:tmpl w:val="EDAC6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E76470"/>
    <w:multiLevelType w:val="hybridMultilevel"/>
    <w:tmpl w:val="EAB6C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2A0016C"/>
    <w:multiLevelType w:val="hybridMultilevel"/>
    <w:tmpl w:val="600C4814"/>
    <w:lvl w:ilvl="0">
      <w:start w:val="1"/>
      <w:numFmt w:val="bullet"/>
      <w:lvlText w:val="-"/>
      <w:lvlJc w:val="left"/>
      <w:pPr>
        <w:ind w:left="720" w:hanging="360"/>
      </w:pPr>
      <w:rPr>
        <w:rFonts w:hint="default" w:ascii="Calibri" w:hAnsi="Calibri"/>
      </w:rPr>
    </w:lvl>
    <w:lvl w:ilvl="1" w:tplc="F84AED54">
      <w:start w:val="1"/>
      <w:numFmt w:val="bullet"/>
      <w:lvlText w:val="o"/>
      <w:lvlJc w:val="left"/>
      <w:pPr>
        <w:ind w:left="1440" w:hanging="360"/>
      </w:pPr>
      <w:rPr>
        <w:rFonts w:hint="default" w:ascii="Courier New" w:hAnsi="Courier New"/>
      </w:rPr>
    </w:lvl>
    <w:lvl w:ilvl="2" w:tplc="6FB6F0B0">
      <w:start w:val="1"/>
      <w:numFmt w:val="bullet"/>
      <w:lvlText w:val=""/>
      <w:lvlJc w:val="left"/>
      <w:pPr>
        <w:ind w:left="2160" w:hanging="360"/>
      </w:pPr>
      <w:rPr>
        <w:rFonts w:hint="default" w:ascii="Wingdings" w:hAnsi="Wingdings"/>
      </w:rPr>
    </w:lvl>
    <w:lvl w:ilvl="3" w:tplc="45ECD0B8">
      <w:start w:val="1"/>
      <w:numFmt w:val="bullet"/>
      <w:lvlText w:val=""/>
      <w:lvlJc w:val="left"/>
      <w:pPr>
        <w:ind w:left="2880" w:hanging="360"/>
      </w:pPr>
      <w:rPr>
        <w:rFonts w:hint="default" w:ascii="Symbol" w:hAnsi="Symbol"/>
      </w:rPr>
    </w:lvl>
    <w:lvl w:ilvl="4" w:tplc="C6F09F72">
      <w:start w:val="1"/>
      <w:numFmt w:val="bullet"/>
      <w:lvlText w:val="o"/>
      <w:lvlJc w:val="left"/>
      <w:pPr>
        <w:ind w:left="3600" w:hanging="360"/>
      </w:pPr>
      <w:rPr>
        <w:rFonts w:hint="default" w:ascii="Courier New" w:hAnsi="Courier New"/>
      </w:rPr>
    </w:lvl>
    <w:lvl w:ilvl="5" w:tplc="7FCEA19C">
      <w:start w:val="1"/>
      <w:numFmt w:val="bullet"/>
      <w:lvlText w:val=""/>
      <w:lvlJc w:val="left"/>
      <w:pPr>
        <w:ind w:left="4320" w:hanging="360"/>
      </w:pPr>
      <w:rPr>
        <w:rFonts w:hint="default" w:ascii="Wingdings" w:hAnsi="Wingdings"/>
      </w:rPr>
    </w:lvl>
    <w:lvl w:ilvl="6" w:tplc="8334FB38">
      <w:start w:val="1"/>
      <w:numFmt w:val="bullet"/>
      <w:lvlText w:val=""/>
      <w:lvlJc w:val="left"/>
      <w:pPr>
        <w:ind w:left="5040" w:hanging="360"/>
      </w:pPr>
      <w:rPr>
        <w:rFonts w:hint="default" w:ascii="Symbol" w:hAnsi="Symbol"/>
      </w:rPr>
    </w:lvl>
    <w:lvl w:ilvl="7" w:tplc="207A47BC">
      <w:start w:val="1"/>
      <w:numFmt w:val="bullet"/>
      <w:lvlText w:val="o"/>
      <w:lvlJc w:val="left"/>
      <w:pPr>
        <w:ind w:left="5760" w:hanging="360"/>
      </w:pPr>
      <w:rPr>
        <w:rFonts w:hint="default" w:ascii="Courier New" w:hAnsi="Courier New"/>
      </w:rPr>
    </w:lvl>
    <w:lvl w:ilvl="8" w:tplc="51803088">
      <w:start w:val="1"/>
      <w:numFmt w:val="bullet"/>
      <w:lvlText w:val=""/>
      <w:lvlJc w:val="left"/>
      <w:pPr>
        <w:ind w:left="6480" w:hanging="360"/>
      </w:pPr>
      <w:rPr>
        <w:rFonts w:hint="default" w:ascii="Wingdings" w:hAnsi="Wingdings"/>
      </w:rPr>
    </w:lvl>
  </w:abstractNum>
  <w:abstractNum w:abstractNumId="13" w15:restartNumberingAfterBreak="0">
    <w:nsid w:val="6AFC1702"/>
    <w:multiLevelType w:val="hybridMultilevel"/>
    <w:tmpl w:val="3DF68DF0"/>
    <w:lvl w:ilvl="0" w:tplc="DACA2562">
      <w:start w:val="1"/>
      <w:numFmt w:val="bullet"/>
      <w:lvlText w:val=""/>
      <w:lvlJc w:val="left"/>
      <w:pPr>
        <w:ind w:left="720" w:hanging="360"/>
      </w:pPr>
      <w:rPr>
        <w:rFonts w:hint="default" w:ascii="Symbol" w:hAnsi="Symbol"/>
      </w:rPr>
    </w:lvl>
    <w:lvl w:ilvl="1" w:tplc="901E75E0">
      <w:start w:val="1"/>
      <w:numFmt w:val="bullet"/>
      <w:lvlText w:val="o"/>
      <w:lvlJc w:val="left"/>
      <w:pPr>
        <w:ind w:left="1440" w:hanging="360"/>
      </w:pPr>
      <w:rPr>
        <w:rFonts w:hint="default" w:ascii="Courier New" w:hAnsi="Courier New"/>
      </w:rPr>
    </w:lvl>
    <w:lvl w:ilvl="2" w:tplc="A724B3B8">
      <w:start w:val="1"/>
      <w:numFmt w:val="bullet"/>
      <w:lvlText w:val=""/>
      <w:lvlJc w:val="left"/>
      <w:pPr>
        <w:ind w:left="2160" w:hanging="360"/>
      </w:pPr>
      <w:rPr>
        <w:rFonts w:hint="default" w:ascii="Wingdings" w:hAnsi="Wingdings"/>
      </w:rPr>
    </w:lvl>
    <w:lvl w:ilvl="3" w:tplc="440CEBD4">
      <w:start w:val="1"/>
      <w:numFmt w:val="bullet"/>
      <w:lvlText w:val=""/>
      <w:lvlJc w:val="left"/>
      <w:pPr>
        <w:ind w:left="2880" w:hanging="360"/>
      </w:pPr>
      <w:rPr>
        <w:rFonts w:hint="default" w:ascii="Symbol" w:hAnsi="Symbol"/>
      </w:rPr>
    </w:lvl>
    <w:lvl w:ilvl="4" w:tplc="C532BC8E">
      <w:start w:val="1"/>
      <w:numFmt w:val="bullet"/>
      <w:lvlText w:val="o"/>
      <w:lvlJc w:val="left"/>
      <w:pPr>
        <w:ind w:left="3600" w:hanging="360"/>
      </w:pPr>
      <w:rPr>
        <w:rFonts w:hint="default" w:ascii="Courier New" w:hAnsi="Courier New"/>
      </w:rPr>
    </w:lvl>
    <w:lvl w:ilvl="5" w:tplc="24D0A2F4">
      <w:start w:val="1"/>
      <w:numFmt w:val="bullet"/>
      <w:lvlText w:val=""/>
      <w:lvlJc w:val="left"/>
      <w:pPr>
        <w:ind w:left="4320" w:hanging="360"/>
      </w:pPr>
      <w:rPr>
        <w:rFonts w:hint="default" w:ascii="Wingdings" w:hAnsi="Wingdings"/>
      </w:rPr>
    </w:lvl>
    <w:lvl w:ilvl="6" w:tplc="10B8BF38">
      <w:start w:val="1"/>
      <w:numFmt w:val="bullet"/>
      <w:lvlText w:val=""/>
      <w:lvlJc w:val="left"/>
      <w:pPr>
        <w:ind w:left="5040" w:hanging="360"/>
      </w:pPr>
      <w:rPr>
        <w:rFonts w:hint="default" w:ascii="Symbol" w:hAnsi="Symbol"/>
      </w:rPr>
    </w:lvl>
    <w:lvl w:ilvl="7" w:tplc="7EC8324E">
      <w:start w:val="1"/>
      <w:numFmt w:val="bullet"/>
      <w:lvlText w:val="o"/>
      <w:lvlJc w:val="left"/>
      <w:pPr>
        <w:ind w:left="5760" w:hanging="360"/>
      </w:pPr>
      <w:rPr>
        <w:rFonts w:hint="default" w:ascii="Courier New" w:hAnsi="Courier New"/>
      </w:rPr>
    </w:lvl>
    <w:lvl w:ilvl="8" w:tplc="4A0AB868">
      <w:start w:val="1"/>
      <w:numFmt w:val="bullet"/>
      <w:lvlText w:val=""/>
      <w:lvlJc w:val="left"/>
      <w:pPr>
        <w:ind w:left="6480" w:hanging="360"/>
      </w:pPr>
      <w:rPr>
        <w:rFonts w:hint="default" w:ascii="Wingdings" w:hAnsi="Wingdings"/>
      </w:rPr>
    </w:lvl>
  </w:abstractNum>
  <w:num w:numId="1">
    <w:abstractNumId w:val="12"/>
  </w:num>
  <w:num w:numId="2">
    <w:abstractNumId w:val="7"/>
  </w:num>
  <w:num w:numId="3">
    <w:abstractNumId w:val="8"/>
  </w:num>
  <w:num w:numId="4">
    <w:abstractNumId w:val="0"/>
  </w:num>
  <w:num w:numId="5">
    <w:abstractNumId w:val="2"/>
  </w:num>
  <w:num w:numId="6">
    <w:abstractNumId w:val="6"/>
  </w:num>
  <w:num w:numId="7">
    <w:abstractNumId w:val="1"/>
  </w:num>
  <w:num w:numId="8">
    <w:abstractNumId w:val="5"/>
  </w:num>
  <w:num w:numId="9">
    <w:abstractNumId w:val="3"/>
  </w:num>
  <w:num w:numId="10">
    <w:abstractNumId w:val="13"/>
  </w:num>
  <w:num w:numId="11">
    <w:abstractNumId w:val="11"/>
  </w:num>
  <w:num w:numId="12">
    <w:abstractNumId w:val="10"/>
  </w:num>
  <w:num w:numId="13">
    <w:abstractNumId w:val="4"/>
  </w:num>
  <w:num w:numId="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wNTE2NLc0sjA2sjBU0lEKTi0uzszPAykwqQUAPoDVtywAAAA="/>
  </w:docVars>
  <w:rsids>
    <w:rsidRoot w:val="1D44823E"/>
    <w:rsid w:val="000B16F2"/>
    <w:rsid w:val="000B425F"/>
    <w:rsid w:val="000E722C"/>
    <w:rsid w:val="00160136"/>
    <w:rsid w:val="00244C1C"/>
    <w:rsid w:val="002F236A"/>
    <w:rsid w:val="003A5C1C"/>
    <w:rsid w:val="00457CDB"/>
    <w:rsid w:val="004B3DDD"/>
    <w:rsid w:val="00516901"/>
    <w:rsid w:val="00581C0E"/>
    <w:rsid w:val="0058444D"/>
    <w:rsid w:val="006183F9"/>
    <w:rsid w:val="0066CDC6"/>
    <w:rsid w:val="00732762"/>
    <w:rsid w:val="00795E5B"/>
    <w:rsid w:val="007A43B6"/>
    <w:rsid w:val="007B7E31"/>
    <w:rsid w:val="00835797"/>
    <w:rsid w:val="00942DA1"/>
    <w:rsid w:val="00981B1A"/>
    <w:rsid w:val="00A621C4"/>
    <w:rsid w:val="00A66563"/>
    <w:rsid w:val="00A72D06"/>
    <w:rsid w:val="00A87C90"/>
    <w:rsid w:val="00B1580A"/>
    <w:rsid w:val="00B47480"/>
    <w:rsid w:val="00B67E47"/>
    <w:rsid w:val="00C21DB0"/>
    <w:rsid w:val="00D34D24"/>
    <w:rsid w:val="00D3BE06"/>
    <w:rsid w:val="00D41C5C"/>
    <w:rsid w:val="00D54D68"/>
    <w:rsid w:val="00DB5263"/>
    <w:rsid w:val="00DD0ECB"/>
    <w:rsid w:val="00DF6FC3"/>
    <w:rsid w:val="00E4C575"/>
    <w:rsid w:val="00E937E4"/>
    <w:rsid w:val="00F25945"/>
    <w:rsid w:val="010F35C0"/>
    <w:rsid w:val="0216FFA9"/>
    <w:rsid w:val="025B2DCD"/>
    <w:rsid w:val="033C50C7"/>
    <w:rsid w:val="037EF8CA"/>
    <w:rsid w:val="03BAFB7C"/>
    <w:rsid w:val="040B10BC"/>
    <w:rsid w:val="043333AE"/>
    <w:rsid w:val="0496108D"/>
    <w:rsid w:val="04C5B13D"/>
    <w:rsid w:val="06CF725D"/>
    <w:rsid w:val="06D18D61"/>
    <w:rsid w:val="0742FF8A"/>
    <w:rsid w:val="07B6A9C0"/>
    <w:rsid w:val="07F25B2F"/>
    <w:rsid w:val="08018D7A"/>
    <w:rsid w:val="08DECFEB"/>
    <w:rsid w:val="08F33159"/>
    <w:rsid w:val="0914045F"/>
    <w:rsid w:val="09AA724F"/>
    <w:rsid w:val="0A7D1F5F"/>
    <w:rsid w:val="0A9347CC"/>
    <w:rsid w:val="0B6BF756"/>
    <w:rsid w:val="0CF4FCBA"/>
    <w:rsid w:val="0D03EC03"/>
    <w:rsid w:val="0E25EB44"/>
    <w:rsid w:val="0E50EDE3"/>
    <w:rsid w:val="0E766882"/>
    <w:rsid w:val="0E8611DF"/>
    <w:rsid w:val="0F017D6C"/>
    <w:rsid w:val="0F1E3B3E"/>
    <w:rsid w:val="0F24E92E"/>
    <w:rsid w:val="0FB2F270"/>
    <w:rsid w:val="109A2585"/>
    <w:rsid w:val="10EC60E3"/>
    <w:rsid w:val="10F44E69"/>
    <w:rsid w:val="119E7C4E"/>
    <w:rsid w:val="11F94C33"/>
    <w:rsid w:val="12123215"/>
    <w:rsid w:val="128EFEEB"/>
    <w:rsid w:val="12901ECA"/>
    <w:rsid w:val="12AF3805"/>
    <w:rsid w:val="13951514"/>
    <w:rsid w:val="13BE2C6F"/>
    <w:rsid w:val="14360ABB"/>
    <w:rsid w:val="14840E97"/>
    <w:rsid w:val="14AF8925"/>
    <w:rsid w:val="1560A16B"/>
    <w:rsid w:val="159CD583"/>
    <w:rsid w:val="15C046B9"/>
    <w:rsid w:val="15C4F26D"/>
    <w:rsid w:val="16612F29"/>
    <w:rsid w:val="16CFA88F"/>
    <w:rsid w:val="16F18B72"/>
    <w:rsid w:val="175BA267"/>
    <w:rsid w:val="17638FED"/>
    <w:rsid w:val="178F5E7F"/>
    <w:rsid w:val="1844C559"/>
    <w:rsid w:val="186E6CFE"/>
    <w:rsid w:val="18C9098C"/>
    <w:rsid w:val="19A7C10F"/>
    <w:rsid w:val="1AA1EC39"/>
    <w:rsid w:val="1AEBCE8A"/>
    <w:rsid w:val="1B1AFB60"/>
    <w:rsid w:val="1B6BC9CB"/>
    <w:rsid w:val="1C41A635"/>
    <w:rsid w:val="1C5DF6AC"/>
    <w:rsid w:val="1D32046E"/>
    <w:rsid w:val="1D44823E"/>
    <w:rsid w:val="1D604B65"/>
    <w:rsid w:val="1EC7CC0F"/>
    <w:rsid w:val="1F142C49"/>
    <w:rsid w:val="1F960516"/>
    <w:rsid w:val="1FEA7D58"/>
    <w:rsid w:val="21894B5D"/>
    <w:rsid w:val="2210A6CE"/>
    <w:rsid w:val="22547048"/>
    <w:rsid w:val="228EA336"/>
    <w:rsid w:val="229E550E"/>
    <w:rsid w:val="23104977"/>
    <w:rsid w:val="2318C2EA"/>
    <w:rsid w:val="2342AFA7"/>
    <w:rsid w:val="236C4450"/>
    <w:rsid w:val="23921801"/>
    <w:rsid w:val="23AB405E"/>
    <w:rsid w:val="2461CE6E"/>
    <w:rsid w:val="248835B3"/>
    <w:rsid w:val="249A15BB"/>
    <w:rsid w:val="24B4934B"/>
    <w:rsid w:val="251E1FEF"/>
    <w:rsid w:val="2610AF34"/>
    <w:rsid w:val="27004673"/>
    <w:rsid w:val="271A831C"/>
    <w:rsid w:val="278C9D60"/>
    <w:rsid w:val="28809831"/>
    <w:rsid w:val="289C16D4"/>
    <w:rsid w:val="297A0B69"/>
    <w:rsid w:val="29B8291E"/>
    <w:rsid w:val="2A1486B3"/>
    <w:rsid w:val="2A42E145"/>
    <w:rsid w:val="2A716929"/>
    <w:rsid w:val="2A9AC0E0"/>
    <w:rsid w:val="2BDEB1A6"/>
    <w:rsid w:val="2C77C47C"/>
    <w:rsid w:val="2CA527A0"/>
    <w:rsid w:val="2D27BF70"/>
    <w:rsid w:val="2E052372"/>
    <w:rsid w:val="2EDCB82E"/>
    <w:rsid w:val="3023A4C6"/>
    <w:rsid w:val="31A9AEFA"/>
    <w:rsid w:val="31B03133"/>
    <w:rsid w:val="31BE4E06"/>
    <w:rsid w:val="323E46AF"/>
    <w:rsid w:val="32711680"/>
    <w:rsid w:val="32EA1DDE"/>
    <w:rsid w:val="339481E1"/>
    <w:rsid w:val="3395EE54"/>
    <w:rsid w:val="340F0658"/>
    <w:rsid w:val="3489A408"/>
    <w:rsid w:val="34DEFD6F"/>
    <w:rsid w:val="34F7D96C"/>
    <w:rsid w:val="3532D155"/>
    <w:rsid w:val="3559619C"/>
    <w:rsid w:val="358B5E1F"/>
    <w:rsid w:val="360A0AA1"/>
    <w:rsid w:val="379F18D9"/>
    <w:rsid w:val="37D6BC16"/>
    <w:rsid w:val="392706F1"/>
    <w:rsid w:val="396F6FE1"/>
    <w:rsid w:val="3970FA96"/>
    <w:rsid w:val="3A3F6A76"/>
    <w:rsid w:val="3A5E453E"/>
    <w:rsid w:val="3AB5FFC3"/>
    <w:rsid w:val="3B995BF1"/>
    <w:rsid w:val="3C669BEB"/>
    <w:rsid w:val="3C8303D8"/>
    <w:rsid w:val="3CDF69AF"/>
    <w:rsid w:val="3DCA880C"/>
    <w:rsid w:val="3E2DAFE6"/>
    <w:rsid w:val="3E584FCB"/>
    <w:rsid w:val="3E7A8300"/>
    <w:rsid w:val="3EAFF5CF"/>
    <w:rsid w:val="3ECEAEF3"/>
    <w:rsid w:val="3F653B1B"/>
    <w:rsid w:val="3FF2EF43"/>
    <w:rsid w:val="4061B7ED"/>
    <w:rsid w:val="408943F1"/>
    <w:rsid w:val="409141A6"/>
    <w:rsid w:val="409CF7D0"/>
    <w:rsid w:val="40F77418"/>
    <w:rsid w:val="412AAD84"/>
    <w:rsid w:val="4211545D"/>
    <w:rsid w:val="44875E1C"/>
    <w:rsid w:val="44925A11"/>
    <w:rsid w:val="44996BE1"/>
    <w:rsid w:val="44C7914F"/>
    <w:rsid w:val="44F83A6F"/>
    <w:rsid w:val="4697DFD6"/>
    <w:rsid w:val="46A78FDA"/>
    <w:rsid w:val="46A79857"/>
    <w:rsid w:val="46FDEDDD"/>
    <w:rsid w:val="486E3B2B"/>
    <w:rsid w:val="48CEA84B"/>
    <w:rsid w:val="494D75FD"/>
    <w:rsid w:val="49510510"/>
    <w:rsid w:val="4A02F5E4"/>
    <w:rsid w:val="4A2AA129"/>
    <w:rsid w:val="4A43C986"/>
    <w:rsid w:val="4AECD571"/>
    <w:rsid w:val="4AF481C5"/>
    <w:rsid w:val="4B6F063C"/>
    <w:rsid w:val="4B74E679"/>
    <w:rsid w:val="4D540704"/>
    <w:rsid w:val="4DBA0CF0"/>
    <w:rsid w:val="4E7E6FD4"/>
    <w:rsid w:val="4EA6A6FE"/>
    <w:rsid w:val="4EBB466C"/>
    <w:rsid w:val="4F08F42F"/>
    <w:rsid w:val="500A43F6"/>
    <w:rsid w:val="50B963FE"/>
    <w:rsid w:val="50D1322D"/>
    <w:rsid w:val="52424F56"/>
    <w:rsid w:val="52960801"/>
    <w:rsid w:val="53297601"/>
    <w:rsid w:val="53F30891"/>
    <w:rsid w:val="540C94E0"/>
    <w:rsid w:val="54248E07"/>
    <w:rsid w:val="54E514B0"/>
    <w:rsid w:val="55051DE5"/>
    <w:rsid w:val="5577203E"/>
    <w:rsid w:val="5638EB86"/>
    <w:rsid w:val="5679857A"/>
    <w:rsid w:val="5728A582"/>
    <w:rsid w:val="579EA195"/>
    <w:rsid w:val="581D4361"/>
    <w:rsid w:val="582D86A6"/>
    <w:rsid w:val="584CA640"/>
    <w:rsid w:val="58B45435"/>
    <w:rsid w:val="5A604644"/>
    <w:rsid w:val="5AADF407"/>
    <w:rsid w:val="5B5E2260"/>
    <w:rsid w:val="5C3FDEA4"/>
    <w:rsid w:val="5D132417"/>
    <w:rsid w:val="5D3C8B3C"/>
    <w:rsid w:val="5DAB1B16"/>
    <w:rsid w:val="5E1457FD"/>
    <w:rsid w:val="5E23CEAD"/>
    <w:rsid w:val="5E4A33D7"/>
    <w:rsid w:val="5F138671"/>
    <w:rsid w:val="5F8A23A4"/>
    <w:rsid w:val="5FE8834B"/>
    <w:rsid w:val="60432CB3"/>
    <w:rsid w:val="61450909"/>
    <w:rsid w:val="617C6626"/>
    <w:rsid w:val="61BBD3AF"/>
    <w:rsid w:val="63DBF170"/>
    <w:rsid w:val="644AF089"/>
    <w:rsid w:val="649F02D3"/>
    <w:rsid w:val="64B9F09D"/>
    <w:rsid w:val="64BBF46E"/>
    <w:rsid w:val="669796CA"/>
    <w:rsid w:val="66AFC795"/>
    <w:rsid w:val="6746B6D2"/>
    <w:rsid w:val="68061B81"/>
    <w:rsid w:val="6838EB52"/>
    <w:rsid w:val="68DC6AAD"/>
    <w:rsid w:val="690908AD"/>
    <w:rsid w:val="690E01C1"/>
    <w:rsid w:val="69737015"/>
    <w:rsid w:val="69CF378C"/>
    <w:rsid w:val="69D217C5"/>
    <w:rsid w:val="69E5BBA9"/>
    <w:rsid w:val="6A06FB17"/>
    <w:rsid w:val="6AC51291"/>
    <w:rsid w:val="6B93A6E2"/>
    <w:rsid w:val="6BFE89E5"/>
    <w:rsid w:val="6CCB5B76"/>
    <w:rsid w:val="6D22446A"/>
    <w:rsid w:val="6D3017B3"/>
    <w:rsid w:val="6D8F9131"/>
    <w:rsid w:val="6DA0E6AC"/>
    <w:rsid w:val="6E62D6B4"/>
    <w:rsid w:val="6E9E29C1"/>
    <w:rsid w:val="6F7D4345"/>
    <w:rsid w:val="6FE0BF66"/>
    <w:rsid w:val="7056A9DB"/>
    <w:rsid w:val="70B259EC"/>
    <w:rsid w:val="70E6C51B"/>
    <w:rsid w:val="71DBD11B"/>
    <w:rsid w:val="71F27A3C"/>
    <w:rsid w:val="72EEE3C6"/>
    <w:rsid w:val="72FAE375"/>
    <w:rsid w:val="7409F6DF"/>
    <w:rsid w:val="7450B468"/>
    <w:rsid w:val="74D21838"/>
    <w:rsid w:val="75731591"/>
    <w:rsid w:val="75EC84C9"/>
    <w:rsid w:val="769CFE27"/>
    <w:rsid w:val="77410A5C"/>
    <w:rsid w:val="7765256F"/>
    <w:rsid w:val="785B4F00"/>
    <w:rsid w:val="789E87C0"/>
    <w:rsid w:val="78E2BFCB"/>
    <w:rsid w:val="7924258B"/>
    <w:rsid w:val="79A47A39"/>
    <w:rsid w:val="7A46C466"/>
    <w:rsid w:val="7ABF1B00"/>
    <w:rsid w:val="7ABFF5EC"/>
    <w:rsid w:val="7B57A764"/>
    <w:rsid w:val="7BBBC798"/>
    <w:rsid w:val="7C115451"/>
    <w:rsid w:val="7C5BC64D"/>
    <w:rsid w:val="7C81A8CF"/>
    <w:rsid w:val="7C9E110A"/>
    <w:rsid w:val="7D3A6334"/>
    <w:rsid w:val="7D68F80C"/>
    <w:rsid w:val="7DDE1EA6"/>
    <w:rsid w:val="7DE6ED44"/>
    <w:rsid w:val="7E0E5CDE"/>
    <w:rsid w:val="7E3B5EAD"/>
    <w:rsid w:val="7F36A379"/>
    <w:rsid w:val="7FFA498A"/>
    <w:rsid w:val="7FFC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823E"/>
  <w15:chartTrackingRefBased/>
  <w15:docId w15:val="{26A57624-FD44-48BC-9FD3-437685620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7A4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gland.nhs.uk/who-pay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gov.uk/government/publications/care-act-statutory-guidance/dhscs-position-on-the-determination-of-ordinary-residence-disputes-pending-the-outcome-of-r-worcestershire-county-council-v-secretary-of-state-for"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48a74-5c83-46a7-8e4c-7f989ae960a5">
      <Terms xmlns="http://schemas.microsoft.com/office/infopath/2007/PartnerControls"/>
    </lcf76f155ced4ddcb4097134ff3c332f>
    <TaxCatchAll xmlns="6194e418-5875-4308-b033-74eb9c181361" xsi:nil="true"/>
    <_ip_UnifiedCompliancePolicyUIAction xmlns="http://schemas.microsoft.com/sharepoint/v3" xsi:nil="true"/>
    <_ip_UnifiedCompliancePolicyProperties xmlns="http://schemas.microsoft.com/sharepoint/v3" xsi:nil="true"/>
    <SharedWithUsers xmlns="6194e418-5875-4308-b033-74eb9c181361">
      <UserInfo>
        <DisplayName>ALI, Amrus (EAST LONDON NHS FOUNDATION TRUST)</DisplayName>
        <AccountId>11</AccountId>
        <AccountType/>
      </UserInfo>
      <UserInfo>
        <DisplayName>BAKSH DE LA IGLESIA, Amber (EAST LONDON NHS FOUNDATION TRUST)</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19BAE8345774E8669FA46DF2DD9E1" ma:contentTypeVersion="19" ma:contentTypeDescription="Create a new document." ma:contentTypeScope="" ma:versionID="fa2263b710239e4f5d7ab157163caa0c">
  <xsd:schema xmlns:xsd="http://www.w3.org/2001/XMLSchema" xmlns:xs="http://www.w3.org/2001/XMLSchema" xmlns:p="http://schemas.microsoft.com/office/2006/metadata/properties" xmlns:ns1="http://schemas.microsoft.com/sharepoint/v3" xmlns:ns2="4d648a74-5c83-46a7-8e4c-7f989ae960a5" xmlns:ns3="6194e418-5875-4308-b033-74eb9c181361" targetNamespace="http://schemas.microsoft.com/office/2006/metadata/properties" ma:root="true" ma:fieldsID="8d3b0e2c279178309cdc8e9ab4488619" ns1:_="" ns2:_="" ns3:_="">
    <xsd:import namespace="http://schemas.microsoft.com/sharepoint/v3"/>
    <xsd:import namespace="4d648a74-5c83-46a7-8e4c-7f989ae960a5"/>
    <xsd:import namespace="6194e418-5875-4308-b033-74eb9c181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48a74-5c83-46a7-8e4c-7f989ae96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4e418-5875-4308-b033-74eb9c18136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777f02-5793-47ea-9637-5fc0f7654bd6}" ma:internalName="TaxCatchAll" ma:showField="CatchAllData" ma:web="6194e418-5875-4308-b033-74eb9c181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8314B-F962-48FF-9395-4D870FCA9726}">
  <ds:schemaRefs>
    <ds:schemaRef ds:uri="http://schemas.microsoft.com/sharepoint/v3/contenttype/forms"/>
  </ds:schemaRefs>
</ds:datastoreItem>
</file>

<file path=customXml/itemProps2.xml><?xml version="1.0" encoding="utf-8"?>
<ds:datastoreItem xmlns:ds="http://schemas.openxmlformats.org/officeDocument/2006/customXml" ds:itemID="{A8909F80-4825-4559-AF9D-2E4517B978BB}">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6194e418-5875-4308-b033-74eb9c181361"/>
    <ds:schemaRef ds:uri="http://schemas.microsoft.com/office/2006/documentManagement/types"/>
    <ds:schemaRef ds:uri="4d648a74-5c83-46a7-8e4c-7f989ae960a5"/>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CAD96FCB-3C40-41E1-B031-9E191EB3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48a74-5c83-46a7-8e4c-7f989ae960a5"/>
    <ds:schemaRef ds:uri="6194e418-5875-4308-b033-74eb9c18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BAKSH DE LA IGLESIA, Amber (EAST LONDON NHS FOUNDATION TRUST)</dc:creator>
  <keywords/>
  <dc:description/>
  <lastModifiedBy>BAKSH DE LA IGLESIA, Amber (EAST LONDON NHS FOUNDATION TRUST)</lastModifiedBy>
  <revision>37</revision>
  <dcterms:created xsi:type="dcterms:W3CDTF">2023-08-31T12:55:00.0000000Z</dcterms:created>
  <dcterms:modified xsi:type="dcterms:W3CDTF">2023-10-23T13:31:26.0770122Z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0x0101007B519BAE8345774E8669FA46DF2DD9E1</vt:lpwstr>
  </property>
  <property fmtid="{D5CDD505-2E9C-101B-9397-08002B2CF9AE}" pid="3" name="GrammarlyDocumentId">
    <vt:lpwstr>fb825436164eff98ea2d439abf534ef01b597f89d1ead3f59adcc158e22f879d</vt:lpwstr>
  </property>
  <property fmtid="{D5CDD505-2E9C-101B-9397-08002B2CF9AE}" pid="4" name="MediaServiceImageTags">
    <vt:lpwstr/>
  </property>
</Properties>
</file>