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3EB" w:rsidRPr="002263EB" w:rsidRDefault="002263EB" w:rsidP="002263EB">
      <w:pPr>
        <w:keepNext/>
        <w:tabs>
          <w:tab w:val="left" w:pos="360"/>
        </w:tabs>
        <w:spacing w:after="0" w:line="240" w:lineRule="auto"/>
        <w:jc w:val="center"/>
        <w:outlineLvl w:val="2"/>
        <w:rPr>
          <w:rFonts w:ascii="Arial" w:eastAsia="Arial Unicode MS" w:hAnsi="Arial" w:cs="Arial"/>
          <w:b/>
          <w:bCs/>
          <w:sz w:val="21"/>
          <w:szCs w:val="21"/>
        </w:rPr>
      </w:pPr>
      <w:bookmarkStart w:id="0" w:name="_Toc516235999"/>
      <w:r w:rsidRPr="002263EB">
        <w:rPr>
          <w:rFonts w:ascii="Arial" w:eastAsia="Arial Unicode MS" w:hAnsi="Arial" w:cs="Arial"/>
          <w:b/>
          <w:bCs/>
          <w:sz w:val="21"/>
          <w:szCs w:val="21"/>
        </w:rPr>
        <w:t>Categories of Risk</w:t>
      </w:r>
      <w:bookmarkEnd w:id="0"/>
    </w:p>
    <w:p w:rsidR="002263EB" w:rsidRPr="002263EB" w:rsidRDefault="002263EB" w:rsidP="002263EB">
      <w:pPr>
        <w:spacing w:after="0" w:line="240" w:lineRule="auto"/>
        <w:rPr>
          <w:rFonts w:ascii="Arial" w:eastAsia="Times New Roman" w:hAnsi="Arial" w:cs="Arial"/>
          <w:sz w:val="21"/>
          <w:szCs w:val="21"/>
        </w:rPr>
      </w:pPr>
    </w:p>
    <w:p w:rsidR="002263EB" w:rsidRPr="002263EB" w:rsidRDefault="002263EB" w:rsidP="002263EB">
      <w:pPr>
        <w:snapToGrid w:val="0"/>
        <w:spacing w:after="0" w:line="276" w:lineRule="auto"/>
        <w:ind w:right="13"/>
        <w:jc w:val="both"/>
        <w:rPr>
          <w:rFonts w:ascii="Arial" w:eastAsia="Times New Roman" w:hAnsi="Arial" w:cs="Arial"/>
          <w:color w:val="000000"/>
          <w:sz w:val="21"/>
          <w:szCs w:val="21"/>
          <w:lang w:eastAsia="en-GB"/>
        </w:rPr>
      </w:pPr>
      <w:r w:rsidRPr="002263EB">
        <w:rPr>
          <w:rFonts w:ascii="Arial" w:eastAsia="Times New Roman" w:hAnsi="Arial" w:cs="Arial"/>
          <w:color w:val="000000"/>
          <w:sz w:val="21"/>
          <w:szCs w:val="21"/>
          <w:lang w:eastAsia="en-GB"/>
        </w:rPr>
        <w:t xml:space="preserve">The Trust </w:t>
      </w:r>
      <w:proofErr w:type="gramStart"/>
      <w:r w:rsidRPr="002263EB">
        <w:rPr>
          <w:rFonts w:ascii="Arial" w:eastAsia="Times New Roman" w:hAnsi="Arial" w:cs="Arial"/>
          <w:color w:val="000000"/>
          <w:sz w:val="21"/>
          <w:szCs w:val="21"/>
          <w:lang w:eastAsia="en-GB"/>
        </w:rPr>
        <w:t>is exposed</w:t>
      </w:r>
      <w:proofErr w:type="gramEnd"/>
      <w:r w:rsidRPr="002263EB">
        <w:rPr>
          <w:rFonts w:ascii="Arial" w:eastAsia="Times New Roman" w:hAnsi="Arial" w:cs="Arial"/>
          <w:color w:val="000000"/>
          <w:sz w:val="21"/>
          <w:szCs w:val="21"/>
          <w:lang w:eastAsia="en-GB"/>
        </w:rPr>
        <w:t xml:space="preserve"> to range of </w:t>
      </w:r>
      <w:r w:rsidRPr="002263EB">
        <w:rPr>
          <w:rFonts w:ascii="Arial" w:eastAsia="Times New Roman" w:hAnsi="Arial" w:cs="Arial"/>
          <w:color w:val="000000"/>
          <w:sz w:val="21"/>
          <w:szCs w:val="21"/>
          <w:lang w:eastAsia="en-GB"/>
        </w:rPr>
        <w:t>risks, which</w:t>
      </w:r>
      <w:r w:rsidRPr="002263EB">
        <w:rPr>
          <w:rFonts w:ascii="Arial" w:eastAsia="Times New Roman" w:hAnsi="Arial" w:cs="Arial"/>
          <w:color w:val="000000"/>
          <w:sz w:val="21"/>
          <w:szCs w:val="21"/>
          <w:lang w:eastAsia="en-GB"/>
        </w:rPr>
        <w:t xml:space="preserve"> have the potential to damage or threaten the achievement of the Trust objectives. </w:t>
      </w:r>
      <w:bookmarkStart w:id="1" w:name="_GoBack"/>
      <w:bookmarkEnd w:id="1"/>
    </w:p>
    <w:p w:rsidR="002263EB" w:rsidRPr="002263EB" w:rsidRDefault="002263EB" w:rsidP="002263EB">
      <w:pPr>
        <w:snapToGrid w:val="0"/>
        <w:spacing w:after="0" w:line="276" w:lineRule="auto"/>
        <w:ind w:right="13"/>
        <w:jc w:val="both"/>
        <w:rPr>
          <w:rFonts w:ascii="Arial" w:eastAsia="Times New Roman" w:hAnsi="Arial" w:cs="Arial"/>
          <w:color w:val="000000"/>
          <w:sz w:val="21"/>
          <w:szCs w:val="21"/>
          <w:lang w:eastAsia="en-GB"/>
        </w:rPr>
      </w:pPr>
      <w:r w:rsidRPr="002263EB">
        <w:rPr>
          <w:rFonts w:ascii="Arial" w:eastAsia="Times New Roman" w:hAnsi="Arial" w:cs="Arial"/>
          <w:color w:val="000000"/>
          <w:sz w:val="21"/>
          <w:szCs w:val="21"/>
          <w:lang w:eastAsia="en-GB"/>
        </w:rPr>
        <w:t>The categories of risk faced by the Trust include:</w:t>
      </w:r>
    </w:p>
    <w:p w:rsidR="002263EB" w:rsidRPr="002263EB" w:rsidRDefault="002263EB" w:rsidP="002263EB">
      <w:pPr>
        <w:snapToGrid w:val="0"/>
        <w:spacing w:after="0" w:line="276" w:lineRule="auto"/>
        <w:ind w:right="13"/>
        <w:jc w:val="both"/>
        <w:rPr>
          <w:rFonts w:ascii="Arial" w:eastAsia="Times New Roman" w:hAnsi="Arial" w:cs="Arial"/>
          <w:color w:val="000000"/>
          <w:sz w:val="21"/>
          <w:szCs w:val="21"/>
          <w:lang w:eastAsia="en-GB"/>
        </w:rPr>
      </w:pPr>
    </w:p>
    <w:p w:rsidR="002263EB" w:rsidRPr="002263EB" w:rsidRDefault="002263EB" w:rsidP="002263EB">
      <w:pPr>
        <w:numPr>
          <w:ilvl w:val="0"/>
          <w:numId w:val="1"/>
        </w:numPr>
        <w:snapToGrid w:val="0"/>
        <w:spacing w:after="0" w:line="240" w:lineRule="auto"/>
        <w:ind w:right="13"/>
        <w:jc w:val="both"/>
        <w:rPr>
          <w:rFonts w:ascii="Arial" w:eastAsia="Times New Roman" w:hAnsi="Arial" w:cs="Arial"/>
          <w:sz w:val="21"/>
          <w:szCs w:val="21"/>
          <w:lang w:eastAsia="en-GB"/>
        </w:rPr>
      </w:pPr>
      <w:r w:rsidRPr="002263EB">
        <w:rPr>
          <w:rFonts w:ascii="Arial" w:eastAsia="Times New Roman" w:hAnsi="Arial" w:cs="Arial"/>
          <w:b/>
          <w:sz w:val="21"/>
          <w:szCs w:val="21"/>
          <w:lang w:eastAsia="en-GB"/>
        </w:rPr>
        <w:t>Strategic risk</w:t>
      </w:r>
      <w:r w:rsidRPr="002263EB">
        <w:rPr>
          <w:rFonts w:ascii="Arial" w:eastAsia="Times New Roman" w:hAnsi="Arial" w:cs="Arial"/>
          <w:sz w:val="21"/>
          <w:szCs w:val="21"/>
          <w:lang w:eastAsia="en-GB"/>
        </w:rPr>
        <w:t xml:space="preserve"> is associated with the Trust’s ability to maintain its </w:t>
      </w:r>
      <w:r w:rsidRPr="002263EB">
        <w:rPr>
          <w:rFonts w:ascii="Arial" w:eastAsia="Times New Roman" w:hAnsi="Arial" w:cs="Arial"/>
          <w:sz w:val="21"/>
          <w:szCs w:val="21"/>
          <w:lang w:eastAsia="en-GB"/>
        </w:rPr>
        <w:t>longer-term</w:t>
      </w:r>
      <w:r w:rsidRPr="002263EB">
        <w:rPr>
          <w:rFonts w:ascii="Arial" w:eastAsia="Times New Roman" w:hAnsi="Arial" w:cs="Arial"/>
          <w:sz w:val="21"/>
          <w:szCs w:val="21"/>
          <w:lang w:eastAsia="en-GB"/>
        </w:rPr>
        <w:t xml:space="preserve"> viability and the delivery of developing national and local priorities.</w:t>
      </w:r>
    </w:p>
    <w:p w:rsidR="002263EB" w:rsidRPr="002263EB" w:rsidRDefault="002263EB" w:rsidP="002263EB">
      <w:pPr>
        <w:snapToGrid w:val="0"/>
        <w:spacing w:after="0" w:line="240" w:lineRule="auto"/>
        <w:ind w:left="720" w:right="13"/>
        <w:jc w:val="both"/>
        <w:rPr>
          <w:rFonts w:ascii="Arial" w:eastAsia="Times New Roman" w:hAnsi="Arial" w:cs="Arial"/>
          <w:sz w:val="21"/>
          <w:szCs w:val="21"/>
          <w:lang w:eastAsia="en-GB"/>
        </w:rPr>
      </w:pPr>
    </w:p>
    <w:p w:rsidR="002263EB" w:rsidRPr="002263EB" w:rsidRDefault="002263EB" w:rsidP="002263EB">
      <w:pPr>
        <w:numPr>
          <w:ilvl w:val="0"/>
          <w:numId w:val="1"/>
        </w:numPr>
        <w:snapToGrid w:val="0"/>
        <w:spacing w:after="0" w:line="240" w:lineRule="auto"/>
        <w:ind w:right="13"/>
        <w:jc w:val="both"/>
        <w:rPr>
          <w:rFonts w:ascii="Arial" w:eastAsia="Times New Roman" w:hAnsi="Arial" w:cs="Arial"/>
          <w:sz w:val="21"/>
          <w:szCs w:val="21"/>
          <w:lang w:eastAsia="en-GB"/>
        </w:rPr>
      </w:pPr>
      <w:r w:rsidRPr="002263EB">
        <w:rPr>
          <w:rFonts w:ascii="Arial" w:eastAsia="Times New Roman" w:hAnsi="Arial" w:cs="Arial"/>
          <w:b/>
          <w:sz w:val="21"/>
          <w:szCs w:val="21"/>
          <w:lang w:eastAsia="en-GB"/>
        </w:rPr>
        <w:t>Performance risk</w:t>
      </w:r>
      <w:r w:rsidRPr="002263EB">
        <w:rPr>
          <w:rFonts w:ascii="Arial" w:eastAsia="Times New Roman" w:hAnsi="Arial" w:cs="Arial"/>
          <w:sz w:val="21"/>
          <w:szCs w:val="21"/>
          <w:lang w:eastAsia="en-GB"/>
        </w:rPr>
        <w:t xml:space="preserve"> the ability of the Trust to deliver high quality care for patients in accordance with the Trust’s business plan and the standards set by NHS Improvement, the Care Quality Commission, and Commissioners.</w:t>
      </w:r>
    </w:p>
    <w:p w:rsidR="002263EB" w:rsidRPr="002263EB" w:rsidRDefault="002263EB" w:rsidP="002263EB">
      <w:pPr>
        <w:snapToGrid w:val="0"/>
        <w:spacing w:after="0" w:line="240" w:lineRule="auto"/>
        <w:ind w:right="13"/>
        <w:jc w:val="both"/>
        <w:rPr>
          <w:rFonts w:ascii="Arial" w:eastAsia="Times New Roman" w:hAnsi="Arial" w:cs="Arial"/>
          <w:sz w:val="21"/>
          <w:szCs w:val="21"/>
          <w:lang w:eastAsia="en-GB"/>
        </w:rPr>
      </w:pPr>
    </w:p>
    <w:p w:rsidR="002263EB" w:rsidRPr="002263EB" w:rsidRDefault="002263EB" w:rsidP="002263EB">
      <w:pPr>
        <w:numPr>
          <w:ilvl w:val="0"/>
          <w:numId w:val="1"/>
        </w:numPr>
        <w:snapToGrid w:val="0"/>
        <w:spacing w:after="0" w:line="240" w:lineRule="auto"/>
        <w:ind w:right="13"/>
        <w:jc w:val="both"/>
        <w:rPr>
          <w:rFonts w:ascii="Arial" w:eastAsia="Times New Roman" w:hAnsi="Arial" w:cs="Arial"/>
          <w:sz w:val="21"/>
          <w:szCs w:val="21"/>
          <w:lang w:eastAsia="en-GB"/>
        </w:rPr>
      </w:pPr>
      <w:r w:rsidRPr="002263EB">
        <w:rPr>
          <w:rFonts w:ascii="Arial" w:eastAsia="Times New Roman" w:hAnsi="Arial" w:cs="Arial"/>
          <w:b/>
          <w:sz w:val="21"/>
          <w:szCs w:val="21"/>
          <w:lang w:eastAsia="en-GB"/>
        </w:rPr>
        <w:t>Financial risk</w:t>
      </w:r>
      <w:r w:rsidRPr="002263EB">
        <w:rPr>
          <w:rFonts w:ascii="Arial" w:eastAsia="Times New Roman" w:hAnsi="Arial" w:cs="Arial"/>
          <w:sz w:val="21"/>
          <w:szCs w:val="21"/>
          <w:lang w:eastAsia="en-GB"/>
        </w:rPr>
        <w:t xml:space="preserve"> is a potential weakness in financial </w:t>
      </w:r>
      <w:r w:rsidRPr="002263EB">
        <w:rPr>
          <w:rFonts w:ascii="Arial" w:eastAsia="Times New Roman" w:hAnsi="Arial" w:cs="Arial"/>
          <w:sz w:val="21"/>
          <w:szCs w:val="21"/>
          <w:lang w:eastAsia="en-GB"/>
        </w:rPr>
        <w:t>control, which</w:t>
      </w:r>
      <w:r w:rsidRPr="002263EB">
        <w:rPr>
          <w:rFonts w:ascii="Arial" w:eastAsia="Times New Roman" w:hAnsi="Arial" w:cs="Arial"/>
          <w:sz w:val="21"/>
          <w:szCs w:val="21"/>
          <w:lang w:eastAsia="en-GB"/>
        </w:rPr>
        <w:t xml:space="preserve"> could result in a failure to safeguard assets, </w:t>
      </w:r>
      <w:proofErr w:type="gramStart"/>
      <w:r w:rsidRPr="002263EB">
        <w:rPr>
          <w:rFonts w:ascii="Arial" w:eastAsia="Times New Roman" w:hAnsi="Arial" w:cs="Arial"/>
          <w:sz w:val="21"/>
          <w:szCs w:val="21"/>
          <w:lang w:eastAsia="en-GB"/>
        </w:rPr>
        <w:t>impacting</w:t>
      </w:r>
      <w:proofErr w:type="gramEnd"/>
      <w:r w:rsidRPr="002263EB">
        <w:rPr>
          <w:rFonts w:ascii="Arial" w:eastAsia="Times New Roman" w:hAnsi="Arial" w:cs="Arial"/>
          <w:sz w:val="21"/>
          <w:szCs w:val="21"/>
          <w:lang w:eastAsia="en-GB"/>
        </w:rPr>
        <w:t xml:space="preserve"> adversely on the Trust’s financial viability and capability for providing services.</w:t>
      </w:r>
    </w:p>
    <w:p w:rsidR="002263EB" w:rsidRPr="002263EB" w:rsidRDefault="002263EB" w:rsidP="002263EB">
      <w:pPr>
        <w:snapToGrid w:val="0"/>
        <w:spacing w:after="0" w:line="240" w:lineRule="auto"/>
        <w:ind w:right="13"/>
        <w:jc w:val="both"/>
        <w:rPr>
          <w:rFonts w:ascii="Arial" w:eastAsia="Times New Roman" w:hAnsi="Arial" w:cs="Arial"/>
          <w:sz w:val="21"/>
          <w:szCs w:val="21"/>
          <w:lang w:eastAsia="en-GB"/>
        </w:rPr>
      </w:pPr>
    </w:p>
    <w:p w:rsidR="002263EB" w:rsidRPr="002263EB" w:rsidRDefault="002263EB" w:rsidP="002263EB">
      <w:pPr>
        <w:numPr>
          <w:ilvl w:val="0"/>
          <w:numId w:val="1"/>
        </w:numPr>
        <w:snapToGrid w:val="0"/>
        <w:spacing w:after="0" w:line="240" w:lineRule="auto"/>
        <w:ind w:right="13"/>
        <w:jc w:val="both"/>
        <w:rPr>
          <w:rFonts w:ascii="Arial" w:eastAsia="Times New Roman" w:hAnsi="Arial" w:cs="Arial"/>
          <w:sz w:val="21"/>
          <w:szCs w:val="21"/>
          <w:lang w:eastAsia="en-GB"/>
        </w:rPr>
      </w:pPr>
      <w:r w:rsidRPr="002263EB">
        <w:rPr>
          <w:rFonts w:ascii="Arial" w:eastAsia="Times New Roman" w:hAnsi="Arial" w:cs="Arial"/>
          <w:b/>
          <w:sz w:val="21"/>
          <w:szCs w:val="21"/>
          <w:lang w:eastAsia="en-GB"/>
        </w:rPr>
        <w:t>Reputation risk</w:t>
      </w:r>
      <w:r w:rsidRPr="002263EB">
        <w:rPr>
          <w:rFonts w:ascii="Arial" w:eastAsia="Times New Roman" w:hAnsi="Arial" w:cs="Arial"/>
          <w:sz w:val="21"/>
          <w:szCs w:val="21"/>
          <w:lang w:eastAsia="en-GB"/>
        </w:rPr>
        <w:t xml:space="preserve"> may occur if the organisation receives negative publicity, which </w:t>
      </w:r>
      <w:proofErr w:type="gramStart"/>
      <w:r w:rsidRPr="002263EB">
        <w:rPr>
          <w:rFonts w:ascii="Arial" w:eastAsia="Times New Roman" w:hAnsi="Arial" w:cs="Arial"/>
          <w:sz w:val="21"/>
          <w:szCs w:val="21"/>
          <w:lang w:eastAsia="en-GB"/>
        </w:rPr>
        <w:t>impacts on</w:t>
      </w:r>
      <w:proofErr w:type="gramEnd"/>
      <w:r w:rsidRPr="002263EB">
        <w:rPr>
          <w:rFonts w:ascii="Arial" w:eastAsia="Times New Roman" w:hAnsi="Arial" w:cs="Arial"/>
          <w:sz w:val="21"/>
          <w:szCs w:val="21"/>
          <w:lang w:eastAsia="en-GB"/>
        </w:rPr>
        <w:t xml:space="preserve"> public and stakeholder confidence in the organisation.</w:t>
      </w:r>
    </w:p>
    <w:p w:rsidR="002263EB" w:rsidRPr="002263EB" w:rsidRDefault="002263EB" w:rsidP="002263EB">
      <w:pPr>
        <w:snapToGrid w:val="0"/>
        <w:spacing w:after="0" w:line="240" w:lineRule="auto"/>
        <w:ind w:right="13"/>
        <w:jc w:val="both"/>
        <w:rPr>
          <w:rFonts w:ascii="Arial" w:eastAsia="Times New Roman" w:hAnsi="Arial" w:cs="Arial"/>
          <w:sz w:val="21"/>
          <w:szCs w:val="21"/>
          <w:lang w:eastAsia="en-GB"/>
        </w:rPr>
      </w:pPr>
    </w:p>
    <w:p w:rsidR="002263EB" w:rsidRPr="002263EB" w:rsidRDefault="002263EB" w:rsidP="002263EB">
      <w:pPr>
        <w:numPr>
          <w:ilvl w:val="0"/>
          <w:numId w:val="1"/>
        </w:numPr>
        <w:snapToGrid w:val="0"/>
        <w:spacing w:after="0" w:line="240" w:lineRule="auto"/>
        <w:ind w:right="13"/>
        <w:jc w:val="both"/>
        <w:rPr>
          <w:rFonts w:ascii="Arial" w:eastAsia="Times New Roman" w:hAnsi="Arial" w:cs="Arial"/>
          <w:sz w:val="21"/>
          <w:szCs w:val="21"/>
          <w:lang w:eastAsia="en-GB"/>
        </w:rPr>
      </w:pPr>
      <w:r w:rsidRPr="002263EB">
        <w:rPr>
          <w:rFonts w:ascii="Arial" w:eastAsia="Times New Roman" w:hAnsi="Arial" w:cs="Arial"/>
          <w:b/>
          <w:sz w:val="21"/>
          <w:szCs w:val="21"/>
          <w:lang w:eastAsia="en-GB"/>
        </w:rPr>
        <w:t xml:space="preserve">Operational risk </w:t>
      </w:r>
      <w:r w:rsidRPr="002263EB">
        <w:rPr>
          <w:rFonts w:ascii="Arial" w:eastAsia="Times New Roman" w:hAnsi="Arial" w:cs="Arial"/>
          <w:sz w:val="21"/>
          <w:szCs w:val="21"/>
          <w:lang w:eastAsia="en-GB"/>
        </w:rPr>
        <w:t xml:space="preserve">threaten the </w:t>
      </w:r>
      <w:r w:rsidRPr="002263EB">
        <w:rPr>
          <w:rFonts w:ascii="Arial" w:eastAsia="Times New Roman" w:hAnsi="Arial" w:cs="Arial"/>
          <w:sz w:val="21"/>
          <w:szCs w:val="21"/>
          <w:lang w:eastAsia="en-GB"/>
        </w:rPr>
        <w:t>day-to-day</w:t>
      </w:r>
      <w:r w:rsidRPr="002263EB">
        <w:rPr>
          <w:rFonts w:ascii="Arial" w:eastAsia="Times New Roman" w:hAnsi="Arial" w:cs="Arial"/>
          <w:sz w:val="21"/>
          <w:szCs w:val="21"/>
          <w:lang w:eastAsia="en-GB"/>
        </w:rPr>
        <w:t xml:space="preserve"> delivery of clinical care and services.</w:t>
      </w:r>
    </w:p>
    <w:p w:rsidR="002263EB" w:rsidRPr="002263EB" w:rsidRDefault="002263EB" w:rsidP="002263EB">
      <w:pPr>
        <w:snapToGrid w:val="0"/>
        <w:spacing w:after="0" w:line="240" w:lineRule="auto"/>
        <w:ind w:left="720" w:right="13"/>
        <w:jc w:val="both"/>
        <w:rPr>
          <w:rFonts w:ascii="Arial" w:eastAsia="Times New Roman" w:hAnsi="Arial" w:cs="Arial"/>
          <w:sz w:val="21"/>
          <w:szCs w:val="21"/>
          <w:lang w:eastAsia="en-GB"/>
        </w:rPr>
      </w:pPr>
    </w:p>
    <w:p w:rsidR="002263EB" w:rsidRPr="002263EB" w:rsidRDefault="002263EB" w:rsidP="002263EB">
      <w:pPr>
        <w:numPr>
          <w:ilvl w:val="0"/>
          <w:numId w:val="1"/>
        </w:numPr>
        <w:spacing w:after="0" w:line="276" w:lineRule="auto"/>
        <w:contextualSpacing/>
        <w:jc w:val="both"/>
        <w:rPr>
          <w:rFonts w:ascii="Arial" w:eastAsia="Times New Roman" w:hAnsi="Arial" w:cs="Arial"/>
          <w:sz w:val="21"/>
          <w:szCs w:val="21"/>
        </w:rPr>
      </w:pPr>
      <w:r w:rsidRPr="002263EB">
        <w:rPr>
          <w:rFonts w:ascii="Arial" w:eastAsia="Times New Roman" w:hAnsi="Arial" w:cs="Arial"/>
          <w:b/>
          <w:bCs/>
          <w:iCs/>
          <w:sz w:val="21"/>
          <w:szCs w:val="21"/>
        </w:rPr>
        <w:t xml:space="preserve">Clinical risks </w:t>
      </w:r>
      <w:r w:rsidRPr="002263EB">
        <w:rPr>
          <w:rFonts w:ascii="Arial" w:eastAsia="Times New Roman" w:hAnsi="Arial" w:cs="Arial"/>
          <w:sz w:val="21"/>
          <w:szCs w:val="21"/>
        </w:rPr>
        <w:t xml:space="preserve">are risks whose causes or effects </w:t>
      </w:r>
      <w:proofErr w:type="gramStart"/>
      <w:r w:rsidRPr="002263EB">
        <w:rPr>
          <w:rFonts w:ascii="Arial" w:eastAsia="Times New Roman" w:hAnsi="Arial" w:cs="Arial"/>
          <w:sz w:val="21"/>
          <w:szCs w:val="21"/>
        </w:rPr>
        <w:t>are primarily related</w:t>
      </w:r>
      <w:proofErr w:type="gramEnd"/>
      <w:r w:rsidRPr="002263EB">
        <w:rPr>
          <w:rFonts w:ascii="Arial" w:eastAsia="Times New Roman" w:hAnsi="Arial" w:cs="Arial"/>
          <w:sz w:val="21"/>
          <w:szCs w:val="21"/>
        </w:rPr>
        <w:t xml:space="preserve"> to the health and wellbeing of service users or the provision of care to them. A key risk is that of clinical risk assessment and management of individual service </w:t>
      </w:r>
      <w:r w:rsidRPr="002263EB">
        <w:rPr>
          <w:rFonts w:ascii="Arial" w:eastAsia="Times New Roman" w:hAnsi="Arial" w:cs="Arial"/>
          <w:sz w:val="21"/>
          <w:szCs w:val="21"/>
        </w:rPr>
        <w:t>users, which</w:t>
      </w:r>
      <w:r w:rsidRPr="002263EB">
        <w:rPr>
          <w:rFonts w:ascii="Arial" w:eastAsia="Times New Roman" w:hAnsi="Arial" w:cs="Arial"/>
          <w:sz w:val="21"/>
          <w:szCs w:val="21"/>
        </w:rPr>
        <w:t xml:space="preserve"> feeds into the Care Programme Approach (CPA) arrangements, the outcome of which is a tailored plan of care for the service user.</w:t>
      </w:r>
    </w:p>
    <w:p w:rsidR="002263EB" w:rsidRPr="002263EB" w:rsidRDefault="002263EB" w:rsidP="002263EB">
      <w:pPr>
        <w:spacing w:after="0" w:line="276" w:lineRule="auto"/>
        <w:jc w:val="both"/>
        <w:rPr>
          <w:rFonts w:ascii="Arial" w:eastAsia="Times New Roman" w:hAnsi="Arial" w:cs="Arial"/>
          <w:sz w:val="21"/>
          <w:szCs w:val="21"/>
        </w:rPr>
      </w:pPr>
    </w:p>
    <w:p w:rsidR="002263EB" w:rsidRPr="002263EB" w:rsidRDefault="002263EB" w:rsidP="002263EB">
      <w:pPr>
        <w:numPr>
          <w:ilvl w:val="0"/>
          <w:numId w:val="1"/>
        </w:numPr>
        <w:spacing w:after="0" w:line="276" w:lineRule="auto"/>
        <w:contextualSpacing/>
        <w:jc w:val="both"/>
        <w:rPr>
          <w:rFonts w:ascii="Arial" w:eastAsia="Times New Roman" w:hAnsi="Arial" w:cs="Arial"/>
          <w:sz w:val="21"/>
          <w:szCs w:val="21"/>
        </w:rPr>
      </w:pPr>
      <w:r w:rsidRPr="002263EB">
        <w:rPr>
          <w:rFonts w:ascii="Arial" w:eastAsia="Times New Roman" w:hAnsi="Arial" w:cs="Arial"/>
          <w:b/>
          <w:bCs/>
          <w:iCs/>
          <w:sz w:val="21"/>
          <w:szCs w:val="21"/>
        </w:rPr>
        <w:t xml:space="preserve">Health and Safety Risks </w:t>
      </w:r>
      <w:r w:rsidRPr="002263EB">
        <w:rPr>
          <w:rFonts w:ascii="Arial" w:eastAsia="Times New Roman" w:hAnsi="Arial" w:cs="Arial"/>
          <w:sz w:val="21"/>
          <w:szCs w:val="21"/>
        </w:rPr>
        <w:t xml:space="preserve">are </w:t>
      </w:r>
      <w:proofErr w:type="gramStart"/>
      <w:r w:rsidRPr="002263EB">
        <w:rPr>
          <w:rFonts w:ascii="Arial" w:eastAsia="Times New Roman" w:hAnsi="Arial" w:cs="Arial"/>
          <w:sz w:val="21"/>
          <w:szCs w:val="21"/>
        </w:rPr>
        <w:t>risks which</w:t>
      </w:r>
      <w:proofErr w:type="gramEnd"/>
      <w:r w:rsidRPr="002263EB">
        <w:rPr>
          <w:rFonts w:ascii="Arial" w:eastAsia="Times New Roman" w:hAnsi="Arial" w:cs="Arial"/>
          <w:sz w:val="21"/>
          <w:szCs w:val="21"/>
        </w:rPr>
        <w:t xml:space="preserve"> potentially affect the health or safety of any person as a result of environmental or corporate factors.</w:t>
      </w:r>
    </w:p>
    <w:p w:rsidR="002263EB" w:rsidRPr="002263EB" w:rsidRDefault="002263EB" w:rsidP="002263EB">
      <w:pPr>
        <w:spacing w:after="0" w:line="276" w:lineRule="auto"/>
        <w:jc w:val="both"/>
        <w:rPr>
          <w:rFonts w:ascii="Arial" w:eastAsia="Times New Roman" w:hAnsi="Arial" w:cs="Arial"/>
          <w:sz w:val="21"/>
          <w:szCs w:val="21"/>
        </w:rPr>
      </w:pPr>
      <w:r w:rsidRPr="002263EB">
        <w:rPr>
          <w:rFonts w:ascii="Arial" w:eastAsia="Times New Roman" w:hAnsi="Arial" w:cs="Arial"/>
          <w:sz w:val="21"/>
          <w:szCs w:val="21"/>
        </w:rPr>
        <w:t xml:space="preserve"> </w:t>
      </w:r>
    </w:p>
    <w:p w:rsidR="002263EB" w:rsidRPr="002263EB" w:rsidRDefault="002263EB" w:rsidP="002263EB">
      <w:pPr>
        <w:numPr>
          <w:ilvl w:val="0"/>
          <w:numId w:val="1"/>
        </w:numPr>
        <w:spacing w:after="0" w:line="276" w:lineRule="auto"/>
        <w:contextualSpacing/>
        <w:jc w:val="both"/>
        <w:rPr>
          <w:rFonts w:ascii="Arial" w:eastAsia="Times New Roman" w:hAnsi="Arial" w:cs="Arial"/>
          <w:b/>
          <w:bCs/>
          <w:i/>
          <w:iCs/>
          <w:sz w:val="21"/>
          <w:szCs w:val="21"/>
        </w:rPr>
      </w:pPr>
      <w:r w:rsidRPr="002263EB">
        <w:rPr>
          <w:rFonts w:ascii="Arial" w:eastAsia="Times New Roman" w:hAnsi="Arial" w:cs="Arial"/>
          <w:b/>
          <w:bCs/>
          <w:iCs/>
          <w:sz w:val="21"/>
          <w:szCs w:val="21"/>
        </w:rPr>
        <w:t xml:space="preserve">Organisational Risks </w:t>
      </w:r>
      <w:r w:rsidRPr="002263EB">
        <w:rPr>
          <w:rFonts w:ascii="Arial" w:eastAsia="Times New Roman" w:hAnsi="Arial" w:cs="Arial"/>
          <w:sz w:val="21"/>
          <w:szCs w:val="21"/>
        </w:rPr>
        <w:t xml:space="preserve">are defined as those </w:t>
      </w:r>
      <w:proofErr w:type="gramStart"/>
      <w:r w:rsidRPr="002263EB">
        <w:rPr>
          <w:rFonts w:ascii="Arial" w:eastAsia="Times New Roman" w:hAnsi="Arial" w:cs="Arial"/>
          <w:sz w:val="21"/>
          <w:szCs w:val="21"/>
        </w:rPr>
        <w:t>risks which</w:t>
      </w:r>
      <w:proofErr w:type="gramEnd"/>
      <w:r w:rsidRPr="002263EB">
        <w:rPr>
          <w:rFonts w:ascii="Arial" w:eastAsia="Times New Roman" w:hAnsi="Arial" w:cs="Arial"/>
          <w:sz w:val="21"/>
          <w:szCs w:val="21"/>
        </w:rPr>
        <w:t xml:space="preserve"> relate to the way in which the Trust is organised, managed and governed. </w:t>
      </w:r>
    </w:p>
    <w:p w:rsidR="002263EB" w:rsidRPr="002263EB" w:rsidRDefault="002263EB" w:rsidP="002263EB">
      <w:pPr>
        <w:spacing w:after="0" w:line="276" w:lineRule="auto"/>
        <w:jc w:val="both"/>
        <w:rPr>
          <w:rFonts w:ascii="Arial" w:eastAsia="Times New Roman" w:hAnsi="Arial" w:cs="Arial"/>
          <w:b/>
          <w:bCs/>
          <w:i/>
          <w:iCs/>
          <w:sz w:val="21"/>
          <w:szCs w:val="21"/>
        </w:rPr>
      </w:pPr>
    </w:p>
    <w:p w:rsidR="002263EB" w:rsidRPr="002263EB" w:rsidRDefault="002263EB" w:rsidP="002263EB">
      <w:pPr>
        <w:numPr>
          <w:ilvl w:val="0"/>
          <w:numId w:val="1"/>
        </w:numPr>
        <w:spacing w:after="0" w:line="276" w:lineRule="auto"/>
        <w:contextualSpacing/>
        <w:jc w:val="both"/>
        <w:rPr>
          <w:rFonts w:ascii="Arial" w:eastAsia="Times New Roman" w:hAnsi="Arial" w:cs="Arial"/>
          <w:sz w:val="21"/>
          <w:szCs w:val="21"/>
        </w:rPr>
      </w:pPr>
      <w:r w:rsidRPr="002263EB">
        <w:rPr>
          <w:rFonts w:ascii="Arial" w:eastAsia="Times New Roman" w:hAnsi="Arial" w:cs="Arial"/>
          <w:b/>
          <w:bCs/>
          <w:iCs/>
          <w:sz w:val="21"/>
          <w:szCs w:val="21"/>
        </w:rPr>
        <w:t>Information Security Risks</w:t>
      </w:r>
      <w:r w:rsidRPr="002263EB">
        <w:rPr>
          <w:rFonts w:ascii="Arial" w:eastAsia="Times New Roman" w:hAnsi="Arial" w:cs="Arial"/>
          <w:b/>
          <w:bCs/>
          <w:i/>
          <w:iCs/>
          <w:sz w:val="21"/>
          <w:szCs w:val="21"/>
        </w:rPr>
        <w:t xml:space="preserve"> </w:t>
      </w:r>
      <w:r w:rsidRPr="002263EB">
        <w:rPr>
          <w:rFonts w:ascii="Arial" w:eastAsia="Times New Roman" w:hAnsi="Arial" w:cs="Arial"/>
          <w:sz w:val="21"/>
          <w:szCs w:val="21"/>
        </w:rPr>
        <w:t>Any breach of confidentiality/deliberate or inadvertent disclosure of person identifiable /sensitive information to those outside the ‘’need to know’’ requirements. Loss of data – loss, theft or destruction of records held by the Trust in whatever form (paper/electronic) including cyber-crime / security.</w:t>
      </w:r>
    </w:p>
    <w:p w:rsidR="002263EB" w:rsidRPr="002263EB" w:rsidRDefault="002263EB" w:rsidP="002263EB">
      <w:pPr>
        <w:spacing w:after="0" w:line="276" w:lineRule="auto"/>
        <w:jc w:val="both"/>
        <w:rPr>
          <w:rFonts w:ascii="Arial" w:eastAsia="Times New Roman" w:hAnsi="Arial" w:cs="Arial"/>
          <w:sz w:val="21"/>
          <w:szCs w:val="21"/>
        </w:rPr>
      </w:pPr>
    </w:p>
    <w:p w:rsidR="002263EB" w:rsidRPr="002263EB" w:rsidRDefault="002263EB" w:rsidP="002263EB">
      <w:pPr>
        <w:numPr>
          <w:ilvl w:val="0"/>
          <w:numId w:val="1"/>
        </w:numPr>
        <w:spacing w:after="0" w:line="276" w:lineRule="auto"/>
        <w:contextualSpacing/>
        <w:jc w:val="both"/>
        <w:rPr>
          <w:rFonts w:ascii="Arial" w:eastAsia="Times New Roman" w:hAnsi="Arial" w:cs="Arial"/>
          <w:sz w:val="21"/>
          <w:szCs w:val="21"/>
        </w:rPr>
      </w:pPr>
      <w:r w:rsidRPr="002263EB">
        <w:rPr>
          <w:rFonts w:ascii="Arial" w:eastAsia="Times New Roman" w:hAnsi="Arial" w:cs="Arial"/>
          <w:b/>
          <w:bCs/>
          <w:iCs/>
          <w:sz w:val="21"/>
          <w:szCs w:val="21"/>
        </w:rPr>
        <w:t xml:space="preserve">Third Party Risks </w:t>
      </w:r>
      <w:r w:rsidRPr="002263EB">
        <w:rPr>
          <w:rFonts w:ascii="Arial" w:eastAsia="Times New Roman" w:hAnsi="Arial" w:cs="Arial"/>
          <w:sz w:val="21"/>
          <w:szCs w:val="21"/>
        </w:rPr>
        <w:t xml:space="preserve">to public stakeholders </w:t>
      </w:r>
      <w:proofErr w:type="gramStart"/>
      <w:r w:rsidRPr="002263EB">
        <w:rPr>
          <w:rFonts w:ascii="Arial" w:eastAsia="Times New Roman" w:hAnsi="Arial" w:cs="Arial"/>
          <w:sz w:val="21"/>
          <w:szCs w:val="21"/>
        </w:rPr>
        <w:t>are managed</w:t>
      </w:r>
      <w:proofErr w:type="gramEnd"/>
      <w:r w:rsidRPr="002263EB">
        <w:rPr>
          <w:rFonts w:ascii="Arial" w:eastAsia="Times New Roman" w:hAnsi="Arial" w:cs="Arial"/>
          <w:sz w:val="21"/>
          <w:szCs w:val="21"/>
        </w:rPr>
        <w:t xml:space="preserve"> through a formal review process with the Clinical Commissioning Group through joint actions on specific issues such as emergency planning, and through scrutiny meetings with Local Authorities.</w:t>
      </w:r>
    </w:p>
    <w:p w:rsidR="002263EB" w:rsidRPr="002263EB" w:rsidRDefault="002263EB" w:rsidP="002263EB">
      <w:pPr>
        <w:spacing w:after="0" w:line="276" w:lineRule="auto"/>
        <w:jc w:val="both"/>
        <w:rPr>
          <w:rFonts w:ascii="Arial" w:eastAsia="Times New Roman" w:hAnsi="Arial" w:cs="Arial"/>
          <w:color w:val="FF0000"/>
          <w:sz w:val="21"/>
          <w:szCs w:val="21"/>
        </w:rPr>
      </w:pPr>
    </w:p>
    <w:p w:rsidR="002263EB" w:rsidRPr="002263EB" w:rsidRDefault="002263EB" w:rsidP="002263EB">
      <w:pPr>
        <w:numPr>
          <w:ilvl w:val="0"/>
          <w:numId w:val="1"/>
        </w:numPr>
        <w:spacing w:after="0" w:line="276" w:lineRule="auto"/>
        <w:contextualSpacing/>
        <w:jc w:val="both"/>
        <w:rPr>
          <w:rFonts w:ascii="Arial" w:eastAsia="Times New Roman" w:hAnsi="Arial" w:cs="Arial"/>
          <w:sz w:val="21"/>
          <w:szCs w:val="21"/>
        </w:rPr>
      </w:pPr>
      <w:r w:rsidRPr="002263EB">
        <w:rPr>
          <w:rFonts w:ascii="Arial" w:eastAsia="Times New Roman" w:hAnsi="Arial" w:cs="Arial"/>
          <w:b/>
          <w:bCs/>
          <w:iCs/>
          <w:sz w:val="21"/>
          <w:szCs w:val="21"/>
        </w:rPr>
        <w:t xml:space="preserve">Event Risks </w:t>
      </w:r>
      <w:r w:rsidRPr="002263EB">
        <w:rPr>
          <w:rFonts w:ascii="Arial" w:eastAsia="Times New Roman" w:hAnsi="Arial" w:cs="Arial"/>
          <w:sz w:val="21"/>
          <w:szCs w:val="21"/>
        </w:rPr>
        <w:t>relate to happenings outside of the control of the Trust for example environmental disasters such as floods, acts of terrorism and major epidemics.</w:t>
      </w:r>
    </w:p>
    <w:p w:rsidR="002263EB" w:rsidRPr="002263EB" w:rsidRDefault="002263EB" w:rsidP="002263EB">
      <w:pPr>
        <w:spacing w:after="0" w:line="240" w:lineRule="auto"/>
        <w:ind w:left="720"/>
        <w:contextualSpacing/>
        <w:rPr>
          <w:rFonts w:ascii="Arial" w:eastAsia="Times New Roman" w:hAnsi="Arial" w:cs="Arial"/>
          <w:sz w:val="21"/>
          <w:szCs w:val="21"/>
        </w:rPr>
      </w:pPr>
    </w:p>
    <w:p w:rsidR="002263EB" w:rsidRPr="002263EB" w:rsidRDefault="002263EB" w:rsidP="002263EB">
      <w:pPr>
        <w:numPr>
          <w:ilvl w:val="0"/>
          <w:numId w:val="1"/>
        </w:numPr>
        <w:spacing w:after="0" w:line="276" w:lineRule="auto"/>
        <w:contextualSpacing/>
        <w:jc w:val="both"/>
        <w:rPr>
          <w:rFonts w:ascii="Arial" w:eastAsia="Times New Roman" w:hAnsi="Arial" w:cs="Arial"/>
          <w:sz w:val="21"/>
          <w:szCs w:val="21"/>
        </w:rPr>
      </w:pPr>
      <w:r w:rsidRPr="002263EB">
        <w:rPr>
          <w:rFonts w:ascii="Arial" w:eastAsia="Times New Roman" w:hAnsi="Arial" w:cs="Arial"/>
          <w:b/>
          <w:sz w:val="21"/>
          <w:szCs w:val="21"/>
        </w:rPr>
        <w:t>Fraud and bribery risks</w:t>
      </w:r>
      <w:r w:rsidRPr="002263EB">
        <w:rPr>
          <w:rFonts w:ascii="Arial" w:eastAsia="Times New Roman" w:hAnsi="Arial" w:cs="Arial"/>
          <w:sz w:val="21"/>
          <w:szCs w:val="21"/>
        </w:rPr>
        <w:t xml:space="preserve"> </w:t>
      </w:r>
      <w:proofErr w:type="gramStart"/>
      <w:r w:rsidRPr="002263EB">
        <w:rPr>
          <w:rFonts w:ascii="Arial" w:eastAsia="Times New Roman" w:hAnsi="Arial" w:cs="Arial"/>
          <w:sz w:val="21"/>
          <w:szCs w:val="21"/>
        </w:rPr>
        <w:t>will be managed</w:t>
      </w:r>
      <w:proofErr w:type="gramEnd"/>
      <w:r w:rsidRPr="002263EB">
        <w:rPr>
          <w:rFonts w:ascii="Arial" w:eastAsia="Times New Roman" w:hAnsi="Arial" w:cs="Arial"/>
          <w:sz w:val="21"/>
          <w:szCs w:val="21"/>
        </w:rPr>
        <w:t xml:space="preserve"> in line with the Government Counter Fraud Profession (GCFP) fraud risk assessment methodology, but the Trust’s risk scoring matrix will be used to assess risks. An appropriate </w:t>
      </w:r>
      <w:proofErr w:type="gramStart"/>
      <w:r w:rsidRPr="002263EB">
        <w:rPr>
          <w:rFonts w:ascii="Arial" w:eastAsia="Times New Roman" w:hAnsi="Arial" w:cs="Arial"/>
          <w:sz w:val="21"/>
          <w:szCs w:val="21"/>
        </w:rPr>
        <w:t>fraud risk assessment template</w:t>
      </w:r>
      <w:proofErr w:type="gramEnd"/>
      <w:r w:rsidRPr="002263EB">
        <w:rPr>
          <w:rFonts w:ascii="Arial" w:eastAsia="Times New Roman" w:hAnsi="Arial" w:cs="Arial"/>
          <w:sz w:val="21"/>
          <w:szCs w:val="21"/>
        </w:rPr>
        <w:t xml:space="preserve"> will be used.  Fraud and bribery risks will be recorded on one central Fraud Risk Assessment maintained by the Counter Fraud Team’</w:t>
      </w:r>
    </w:p>
    <w:p w:rsidR="00647026" w:rsidRPr="002263EB" w:rsidRDefault="002263EB">
      <w:pPr>
        <w:rPr>
          <w:sz w:val="21"/>
          <w:szCs w:val="21"/>
        </w:rPr>
      </w:pPr>
    </w:p>
    <w:sectPr w:rsidR="00647026" w:rsidRPr="00226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03E2"/>
    <w:multiLevelType w:val="hybridMultilevel"/>
    <w:tmpl w:val="DF624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95025B6"/>
    <w:multiLevelType w:val="hybridMultilevel"/>
    <w:tmpl w:val="62C47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EB"/>
    <w:rsid w:val="002263EB"/>
    <w:rsid w:val="006B65C9"/>
    <w:rsid w:val="00E64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2F07"/>
  <w15:chartTrackingRefBased/>
  <w15:docId w15:val="{2BBCFE68-6397-4DC7-8CB9-3FA677AF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dc:creator>
  <cp:keywords/>
  <dc:description/>
  <cp:lastModifiedBy>Khatun Rashida</cp:lastModifiedBy>
  <cp:revision>1</cp:revision>
  <dcterms:created xsi:type="dcterms:W3CDTF">2024-03-18T11:23:00Z</dcterms:created>
  <dcterms:modified xsi:type="dcterms:W3CDTF">2024-03-18T11:25:00Z</dcterms:modified>
</cp:coreProperties>
</file>