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F3C" w:rsidRPr="00666B16" w:rsidRDefault="008F67E4" w:rsidP="008F67E4">
      <w:pPr>
        <w:jc w:val="right"/>
      </w:pPr>
      <w:r w:rsidRPr="008F67E4">
        <w:rPr>
          <w:rFonts w:eastAsia="Times New Roman" w:cs="Times New Roman"/>
          <w:noProof/>
          <w:color w:val="auto"/>
          <w:szCs w:val="24"/>
        </w:rPr>
        <w:drawing>
          <wp:anchor distT="0" distB="0" distL="114300" distR="114300" simplePos="0" relativeHeight="251659264" behindDoc="0" locked="0" layoutInCell="1" allowOverlap="1" wp14:anchorId="34E40557" wp14:editId="2AADA490">
            <wp:simplePos x="0" y="0"/>
            <wp:positionH relativeFrom="column">
              <wp:posOffset>4546600</wp:posOffset>
            </wp:positionH>
            <wp:positionV relativeFrom="paragraph">
              <wp:posOffset>0</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AC0" w:rsidRPr="00666B16">
        <w:t xml:space="preserve"> </w:t>
      </w:r>
      <w:r w:rsidR="00410AC0" w:rsidRPr="00666B16">
        <w:tab/>
        <w:t xml:space="preserve"> </w:t>
      </w:r>
      <w:r w:rsidR="00410AC0" w:rsidRPr="00666B16">
        <w:tab/>
        <w:t xml:space="preserve"> </w:t>
      </w:r>
      <w:r w:rsidR="00410AC0" w:rsidRPr="00666B16">
        <w:tab/>
        <w:t xml:space="preserve"> </w:t>
      </w:r>
      <w:r w:rsidR="00410AC0" w:rsidRPr="00666B16">
        <w:tab/>
        <w:t xml:space="preserve"> </w:t>
      </w:r>
      <w:r w:rsidR="00410AC0" w:rsidRPr="00666B16">
        <w:tab/>
        <w:t xml:space="preserve"> </w:t>
      </w:r>
      <w:r w:rsidR="00410AC0" w:rsidRPr="00666B16">
        <w:tab/>
        <w:t xml:space="preserve"> </w:t>
      </w:r>
      <w:r w:rsidR="00410AC0" w:rsidRPr="00666B16">
        <w:tab/>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EE4F3C">
      <w:pPr>
        <w:spacing w:after="0" w:line="259" w:lineRule="auto"/>
        <w:ind w:left="0" w:firstLine="0"/>
      </w:pPr>
    </w:p>
    <w:p w:rsidR="00EE4F3C" w:rsidRPr="00666B16" w:rsidRDefault="00410AC0">
      <w:pPr>
        <w:spacing w:after="16" w:line="259" w:lineRule="auto"/>
        <w:ind w:left="0" w:firstLine="0"/>
      </w:pPr>
      <w:r w:rsidRPr="00666B16">
        <w:rPr>
          <w:rFonts w:eastAsia="Times New Roman"/>
        </w:rPr>
        <w:t xml:space="preserve"> </w:t>
      </w:r>
    </w:p>
    <w:p w:rsidR="007E2E66" w:rsidRDefault="007E2E66" w:rsidP="007E2E66">
      <w:pPr>
        <w:spacing w:after="0" w:line="259" w:lineRule="auto"/>
        <w:jc w:val="center"/>
        <w:rPr>
          <w:sz w:val="40"/>
          <w:szCs w:val="40"/>
        </w:rPr>
      </w:pPr>
    </w:p>
    <w:p w:rsidR="00EE4F3C" w:rsidRPr="00C25CB2" w:rsidRDefault="00410AC0" w:rsidP="007E2E66">
      <w:pPr>
        <w:spacing w:after="0" w:line="259" w:lineRule="auto"/>
        <w:jc w:val="center"/>
        <w:rPr>
          <w:sz w:val="40"/>
          <w:szCs w:val="40"/>
        </w:rPr>
      </w:pPr>
      <w:r w:rsidRPr="00C25CB2">
        <w:rPr>
          <w:sz w:val="40"/>
          <w:szCs w:val="40"/>
        </w:rPr>
        <w:t>Clinical Risk Assessment and Management Policy</w:t>
      </w:r>
    </w:p>
    <w:p w:rsidR="00EE4F3C" w:rsidRPr="00C25CB2" w:rsidRDefault="00EE4F3C" w:rsidP="00C25CB2">
      <w:pPr>
        <w:spacing w:after="0" w:line="259" w:lineRule="auto"/>
        <w:ind w:left="0" w:firstLine="0"/>
        <w:jc w:val="center"/>
      </w:pP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666B16" w:rsidRDefault="00410AC0" w:rsidP="00666B16">
      <w:r w:rsidRPr="00666B16">
        <w:rPr>
          <w:rFonts w:eastAsia="Times New Roman"/>
        </w:rPr>
        <w:t xml:space="preserve"> </w:t>
      </w:r>
    </w:p>
    <w:p w:rsidR="00666B16" w:rsidRDefault="00666B16" w:rsidP="00666B16"/>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66B16" w:rsidTr="00FA057B">
        <w:tc>
          <w:tcPr>
            <w:tcW w:w="4513" w:type="dxa"/>
          </w:tcPr>
          <w:p w:rsidR="00666B16" w:rsidRDefault="00666B16" w:rsidP="00FA057B">
            <w:pPr>
              <w:spacing w:before="40" w:after="40"/>
            </w:pPr>
            <w:r>
              <w:t>Version number :</w:t>
            </w:r>
          </w:p>
        </w:tc>
        <w:tc>
          <w:tcPr>
            <w:tcW w:w="4487" w:type="dxa"/>
          </w:tcPr>
          <w:p w:rsidR="00666B16" w:rsidRDefault="007C4770" w:rsidP="00FA057B">
            <w:pPr>
              <w:spacing w:before="40" w:after="40"/>
            </w:pPr>
            <w:r>
              <w:t>5.2</w:t>
            </w:r>
          </w:p>
        </w:tc>
      </w:tr>
      <w:tr w:rsidR="00666B16" w:rsidTr="00FA057B">
        <w:tc>
          <w:tcPr>
            <w:tcW w:w="4513" w:type="dxa"/>
          </w:tcPr>
          <w:p w:rsidR="00666B16" w:rsidRDefault="00666B16" w:rsidP="00FA057B">
            <w:pPr>
              <w:spacing w:before="40" w:after="40"/>
            </w:pPr>
            <w:r>
              <w:t xml:space="preserve">Consultation Groups </w:t>
            </w:r>
          </w:p>
        </w:tc>
        <w:tc>
          <w:tcPr>
            <w:tcW w:w="4487" w:type="dxa"/>
          </w:tcPr>
          <w:p w:rsidR="00666B16" w:rsidRDefault="00666B16" w:rsidP="00FA057B">
            <w:pPr>
              <w:spacing w:before="40" w:after="40"/>
            </w:pPr>
            <w:r w:rsidRPr="00666B16">
              <w:t>The Quality Committee membership and staff involved in complaint investigation and handling</w:t>
            </w:r>
          </w:p>
        </w:tc>
      </w:tr>
      <w:tr w:rsidR="00666B16" w:rsidTr="00FA057B">
        <w:tc>
          <w:tcPr>
            <w:tcW w:w="4513" w:type="dxa"/>
          </w:tcPr>
          <w:p w:rsidR="00666B16" w:rsidRDefault="00666B16" w:rsidP="00FA057B">
            <w:pPr>
              <w:spacing w:before="40" w:after="40"/>
            </w:pPr>
            <w:r>
              <w:t>Approved by (Sponsor Group)</w:t>
            </w:r>
          </w:p>
        </w:tc>
        <w:tc>
          <w:tcPr>
            <w:tcW w:w="4487" w:type="dxa"/>
          </w:tcPr>
          <w:p w:rsidR="00666B16" w:rsidRDefault="00666B16" w:rsidP="00FA057B">
            <w:pPr>
              <w:spacing w:before="40" w:after="40"/>
            </w:pPr>
            <w:r w:rsidRPr="00666B16">
              <w:t>The Quality Committee</w:t>
            </w:r>
          </w:p>
        </w:tc>
      </w:tr>
      <w:tr w:rsidR="00666B16" w:rsidTr="00FA057B">
        <w:tc>
          <w:tcPr>
            <w:tcW w:w="4513" w:type="dxa"/>
          </w:tcPr>
          <w:p w:rsidR="00666B16" w:rsidRDefault="00666B16" w:rsidP="00FA057B">
            <w:pPr>
              <w:spacing w:before="40" w:after="40"/>
            </w:pPr>
            <w:r>
              <w:t>Ratified by:</w:t>
            </w:r>
          </w:p>
        </w:tc>
        <w:tc>
          <w:tcPr>
            <w:tcW w:w="4487" w:type="dxa"/>
          </w:tcPr>
          <w:p w:rsidR="00666B16" w:rsidRPr="00666B16" w:rsidRDefault="00666B16" w:rsidP="00FA057B">
            <w:pPr>
              <w:spacing w:after="0" w:line="259" w:lineRule="auto"/>
              <w:ind w:left="0" w:firstLine="0"/>
            </w:pPr>
            <w:r w:rsidRPr="00666B16">
              <w:t xml:space="preserve">The Quality Committee </w:t>
            </w:r>
          </w:p>
        </w:tc>
      </w:tr>
      <w:tr w:rsidR="00666B16" w:rsidTr="00FA057B">
        <w:tc>
          <w:tcPr>
            <w:tcW w:w="4513" w:type="dxa"/>
          </w:tcPr>
          <w:p w:rsidR="00666B16" w:rsidRDefault="00666B16" w:rsidP="00FA057B">
            <w:pPr>
              <w:spacing w:before="40" w:after="40"/>
            </w:pPr>
            <w:r>
              <w:t>Date ratified:</w:t>
            </w:r>
          </w:p>
        </w:tc>
        <w:tc>
          <w:tcPr>
            <w:tcW w:w="4487" w:type="dxa"/>
          </w:tcPr>
          <w:p w:rsidR="00666B16" w:rsidRDefault="008B49E7" w:rsidP="00FA057B">
            <w:pPr>
              <w:spacing w:before="40" w:after="40"/>
            </w:pPr>
            <w:r>
              <w:t>24</w:t>
            </w:r>
            <w:r w:rsidRPr="008B49E7">
              <w:rPr>
                <w:vertAlign w:val="superscript"/>
              </w:rPr>
              <w:t>th</w:t>
            </w:r>
            <w:r>
              <w:t xml:space="preserve"> April 2024</w:t>
            </w:r>
          </w:p>
        </w:tc>
      </w:tr>
      <w:tr w:rsidR="00666B16" w:rsidTr="00FA057B">
        <w:tc>
          <w:tcPr>
            <w:tcW w:w="4513" w:type="dxa"/>
          </w:tcPr>
          <w:p w:rsidR="00666B16" w:rsidRDefault="00666B16" w:rsidP="00FA057B">
            <w:pPr>
              <w:spacing w:before="40" w:after="40"/>
            </w:pPr>
            <w:r>
              <w:t>Name of originator/author:</w:t>
            </w:r>
          </w:p>
        </w:tc>
        <w:tc>
          <w:tcPr>
            <w:tcW w:w="4487" w:type="dxa"/>
          </w:tcPr>
          <w:p w:rsidR="00666B16" w:rsidRDefault="00C25CB2" w:rsidP="00FA057B">
            <w:pPr>
              <w:spacing w:before="40" w:after="40"/>
            </w:pPr>
            <w:r w:rsidRPr="00C25CB2">
              <w:t>Director of Nursing</w:t>
            </w:r>
          </w:p>
        </w:tc>
      </w:tr>
      <w:tr w:rsidR="00666B16" w:rsidTr="00FA057B">
        <w:tc>
          <w:tcPr>
            <w:tcW w:w="4513" w:type="dxa"/>
          </w:tcPr>
          <w:p w:rsidR="00666B16" w:rsidRDefault="00666B16" w:rsidP="00FA057B">
            <w:pPr>
              <w:spacing w:before="40" w:after="40"/>
            </w:pPr>
            <w:r>
              <w:t>Executive Director lead :</w:t>
            </w:r>
          </w:p>
        </w:tc>
        <w:tc>
          <w:tcPr>
            <w:tcW w:w="4487" w:type="dxa"/>
          </w:tcPr>
          <w:p w:rsidR="00666B16" w:rsidRDefault="00C25CB2" w:rsidP="00FA057B">
            <w:pPr>
              <w:spacing w:before="40" w:after="40"/>
            </w:pPr>
            <w:r w:rsidRPr="00C25CB2">
              <w:t>Chief Nurse</w:t>
            </w:r>
          </w:p>
        </w:tc>
      </w:tr>
      <w:tr w:rsidR="00666B16" w:rsidTr="00FA057B">
        <w:tc>
          <w:tcPr>
            <w:tcW w:w="4513" w:type="dxa"/>
          </w:tcPr>
          <w:p w:rsidR="00666B16" w:rsidRDefault="00666B16" w:rsidP="00FA057B">
            <w:pPr>
              <w:spacing w:before="40" w:after="40"/>
            </w:pPr>
            <w:r>
              <w:t>Implementation Date :</w:t>
            </w:r>
          </w:p>
        </w:tc>
        <w:tc>
          <w:tcPr>
            <w:tcW w:w="4487" w:type="dxa"/>
          </w:tcPr>
          <w:p w:rsidR="00666B16" w:rsidRDefault="008B49E7" w:rsidP="00FA057B">
            <w:pPr>
              <w:spacing w:before="40" w:after="40"/>
            </w:pPr>
            <w:r w:rsidRPr="008B49E7">
              <w:t>April 2024</w:t>
            </w:r>
          </w:p>
        </w:tc>
      </w:tr>
      <w:tr w:rsidR="00666B16" w:rsidTr="00FA057B">
        <w:tc>
          <w:tcPr>
            <w:tcW w:w="4513" w:type="dxa"/>
          </w:tcPr>
          <w:p w:rsidR="00666B16" w:rsidRDefault="00666B16" w:rsidP="00FA057B">
            <w:pPr>
              <w:spacing w:before="40" w:after="40"/>
            </w:pPr>
            <w:r>
              <w:t xml:space="preserve">Last Review Date </w:t>
            </w:r>
          </w:p>
        </w:tc>
        <w:tc>
          <w:tcPr>
            <w:tcW w:w="4487" w:type="dxa"/>
          </w:tcPr>
          <w:p w:rsidR="00666B16" w:rsidRDefault="008B49E7" w:rsidP="00FA057B">
            <w:pPr>
              <w:spacing w:before="40" w:after="40"/>
            </w:pPr>
            <w:r w:rsidRPr="008B49E7">
              <w:t>April 2024</w:t>
            </w:r>
          </w:p>
        </w:tc>
      </w:tr>
      <w:tr w:rsidR="00666B16" w:rsidTr="00FA057B">
        <w:tc>
          <w:tcPr>
            <w:tcW w:w="4513" w:type="dxa"/>
          </w:tcPr>
          <w:p w:rsidR="00666B16" w:rsidRDefault="00666B16" w:rsidP="00FA057B">
            <w:pPr>
              <w:spacing w:before="40" w:after="40"/>
            </w:pPr>
            <w:r>
              <w:t>Next Review date:</w:t>
            </w:r>
          </w:p>
        </w:tc>
        <w:tc>
          <w:tcPr>
            <w:tcW w:w="4487" w:type="dxa"/>
          </w:tcPr>
          <w:p w:rsidR="00666B16" w:rsidRDefault="008B49E7" w:rsidP="00FA057B">
            <w:pPr>
              <w:spacing w:before="40" w:after="40"/>
            </w:pPr>
            <w:r w:rsidRPr="008B49E7">
              <w:t>April</w:t>
            </w:r>
            <w:r>
              <w:t xml:space="preserve"> 2027</w:t>
            </w:r>
          </w:p>
        </w:tc>
      </w:tr>
    </w:tbl>
    <w:p w:rsidR="00EE4F3C" w:rsidRPr="00666B16" w:rsidRDefault="00EE4F3C">
      <w:pPr>
        <w:spacing w:after="0" w:line="259" w:lineRule="auto"/>
        <w:ind w:left="0" w:firstLine="0"/>
      </w:pP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Pr="00666B16" w:rsidRDefault="00410AC0">
      <w:pPr>
        <w:spacing w:after="0" w:line="259" w:lineRule="auto"/>
        <w:ind w:left="0" w:firstLine="0"/>
      </w:pPr>
      <w:r w:rsidRPr="00666B16">
        <w:rPr>
          <w:rFonts w:eastAsia="Times New Roman"/>
        </w:rPr>
        <w:t xml:space="preserve"> </w:t>
      </w:r>
    </w:p>
    <w:p w:rsidR="00EE4F3C" w:rsidRDefault="00410AC0">
      <w:pPr>
        <w:spacing w:after="0" w:line="259" w:lineRule="auto"/>
        <w:ind w:left="0" w:firstLine="0"/>
        <w:rPr>
          <w:rFonts w:eastAsia="Times New Roman"/>
        </w:rPr>
      </w:pPr>
      <w:r w:rsidRPr="00666B16">
        <w:rPr>
          <w:rFonts w:eastAsia="Times New Roman"/>
        </w:rPr>
        <w:t xml:space="preserve"> </w:t>
      </w: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Pr="00666B16" w:rsidRDefault="00666B16">
      <w:pPr>
        <w:spacing w:after="0" w:line="259" w:lineRule="auto"/>
        <w:ind w:left="0" w:firstLine="0"/>
      </w:pPr>
    </w:p>
    <w:p w:rsidR="00666B16" w:rsidRDefault="00666B16">
      <w:pPr>
        <w:spacing w:after="0" w:line="259" w:lineRule="auto"/>
        <w:ind w:left="0" w:firstLine="0"/>
        <w:rPr>
          <w:rFonts w:eastAsia="Times New Roman"/>
        </w:rPr>
      </w:pPr>
    </w:p>
    <w:tbl>
      <w:tblPr>
        <w:tblStyle w:val="TableGrid0"/>
        <w:tblW w:w="0" w:type="auto"/>
        <w:tblLook w:val="04A0" w:firstRow="1" w:lastRow="0" w:firstColumn="1" w:lastColumn="0" w:noHBand="0" w:noVBand="1"/>
      </w:tblPr>
      <w:tblGrid>
        <w:gridCol w:w="4621"/>
        <w:gridCol w:w="4621"/>
      </w:tblGrid>
      <w:tr w:rsidR="00666B16" w:rsidRPr="00666B16" w:rsidTr="00FA057B">
        <w:tc>
          <w:tcPr>
            <w:tcW w:w="4621" w:type="dxa"/>
          </w:tcPr>
          <w:p w:rsidR="00666B16" w:rsidRPr="00666B16" w:rsidRDefault="00666B16" w:rsidP="00666B16">
            <w:pPr>
              <w:spacing w:before="200" w:after="0" w:line="240" w:lineRule="auto"/>
              <w:ind w:left="0" w:firstLine="0"/>
              <w:jc w:val="both"/>
              <w:rPr>
                <w:rFonts w:eastAsia="Times New Roman" w:cs="Times New Roman"/>
                <w:color w:val="auto"/>
                <w:szCs w:val="24"/>
              </w:rPr>
            </w:pPr>
            <w:r w:rsidRPr="00666B16">
              <w:rPr>
                <w:rFonts w:eastAsia="Times New Roman" w:cs="Times New Roman"/>
                <w:color w:val="auto"/>
                <w:szCs w:val="24"/>
              </w:rPr>
              <w:t xml:space="preserve">Services </w:t>
            </w:r>
          </w:p>
        </w:tc>
        <w:tc>
          <w:tcPr>
            <w:tcW w:w="4621" w:type="dxa"/>
          </w:tcPr>
          <w:p w:rsidR="00666B16" w:rsidRPr="00666B16" w:rsidRDefault="00666B16" w:rsidP="00666B16">
            <w:pPr>
              <w:spacing w:before="200" w:after="0" w:line="240" w:lineRule="auto"/>
              <w:ind w:left="0" w:firstLine="0"/>
              <w:jc w:val="both"/>
              <w:rPr>
                <w:rFonts w:eastAsia="Times New Roman" w:cs="Times New Roman"/>
                <w:color w:val="auto"/>
                <w:szCs w:val="24"/>
              </w:rPr>
            </w:pPr>
            <w:r w:rsidRPr="00666B16">
              <w:rPr>
                <w:rFonts w:eastAsia="Times New Roman" w:cs="Times New Roman"/>
                <w:color w:val="auto"/>
                <w:szCs w:val="24"/>
              </w:rPr>
              <w:t xml:space="preserve">Applicable </w:t>
            </w:r>
          </w:p>
        </w:tc>
      </w:tr>
      <w:tr w:rsidR="00666B16" w:rsidRPr="00666B16" w:rsidTr="00FA057B">
        <w:tc>
          <w:tcPr>
            <w:tcW w:w="4621" w:type="dxa"/>
          </w:tcPr>
          <w:p w:rsidR="00666B16" w:rsidRPr="00666B16" w:rsidRDefault="00072BC1" w:rsidP="00666B16">
            <w:pPr>
              <w:spacing w:before="200" w:after="0" w:line="240" w:lineRule="auto"/>
              <w:ind w:left="0" w:firstLine="0"/>
              <w:jc w:val="both"/>
              <w:rPr>
                <w:rFonts w:eastAsia="Times New Roman" w:cs="Times New Roman"/>
                <w:color w:val="auto"/>
                <w:szCs w:val="24"/>
              </w:rPr>
            </w:pPr>
            <w:r w:rsidRPr="00666B16">
              <w:rPr>
                <w:rFonts w:eastAsia="Times New Roman" w:cs="Times New Roman"/>
                <w:color w:val="auto"/>
                <w:szCs w:val="24"/>
              </w:rPr>
              <w:t>Trust wide</w:t>
            </w:r>
          </w:p>
        </w:tc>
        <w:tc>
          <w:tcPr>
            <w:tcW w:w="4621" w:type="dxa"/>
          </w:tcPr>
          <w:p w:rsidR="00666B16" w:rsidRPr="00666B16" w:rsidRDefault="001334CC" w:rsidP="00666B16">
            <w:pPr>
              <w:spacing w:before="200" w:after="0" w:line="240" w:lineRule="auto"/>
              <w:ind w:left="0" w:firstLine="0"/>
              <w:jc w:val="both"/>
              <w:rPr>
                <w:rFonts w:eastAsia="Times New Roman" w:cs="Times New Roman"/>
                <w:color w:val="auto"/>
                <w:szCs w:val="24"/>
              </w:rPr>
            </w:pPr>
            <w:r>
              <w:rPr>
                <w:rFonts w:eastAsia="Times New Roman" w:cs="Times New Roman"/>
                <w:color w:val="auto"/>
                <w:szCs w:val="24"/>
              </w:rPr>
              <w:t>x</w:t>
            </w:r>
          </w:p>
        </w:tc>
      </w:tr>
      <w:tr w:rsidR="00666B16" w:rsidRPr="00666B16" w:rsidTr="00FA057B">
        <w:tc>
          <w:tcPr>
            <w:tcW w:w="4621" w:type="dxa"/>
          </w:tcPr>
          <w:p w:rsidR="00666B16" w:rsidRPr="00666B16" w:rsidRDefault="00666B16" w:rsidP="00666B16">
            <w:pPr>
              <w:spacing w:before="200" w:after="0" w:line="240" w:lineRule="auto"/>
              <w:ind w:left="0" w:firstLine="0"/>
              <w:jc w:val="both"/>
              <w:rPr>
                <w:rFonts w:eastAsia="Times New Roman" w:cs="Times New Roman"/>
                <w:color w:val="auto"/>
                <w:szCs w:val="24"/>
              </w:rPr>
            </w:pPr>
            <w:r w:rsidRPr="00666B16">
              <w:rPr>
                <w:rFonts w:eastAsia="Times New Roman" w:cs="Times New Roman"/>
                <w:color w:val="auto"/>
                <w:szCs w:val="24"/>
              </w:rPr>
              <w:t xml:space="preserve">Mental Health and LD </w:t>
            </w:r>
          </w:p>
        </w:tc>
        <w:tc>
          <w:tcPr>
            <w:tcW w:w="4621" w:type="dxa"/>
          </w:tcPr>
          <w:p w:rsidR="00666B16" w:rsidRPr="00666B16" w:rsidRDefault="00666B16" w:rsidP="00666B16">
            <w:pPr>
              <w:spacing w:before="200" w:after="0" w:line="240" w:lineRule="auto"/>
              <w:ind w:left="0" w:firstLine="0"/>
              <w:jc w:val="both"/>
              <w:rPr>
                <w:rFonts w:eastAsia="Times New Roman" w:cs="Times New Roman"/>
                <w:color w:val="auto"/>
                <w:szCs w:val="24"/>
              </w:rPr>
            </w:pPr>
          </w:p>
        </w:tc>
      </w:tr>
      <w:tr w:rsidR="00666B16" w:rsidRPr="00666B16" w:rsidTr="00FA057B">
        <w:tc>
          <w:tcPr>
            <w:tcW w:w="4621" w:type="dxa"/>
          </w:tcPr>
          <w:p w:rsidR="00666B16" w:rsidRPr="00666B16" w:rsidRDefault="00666B16" w:rsidP="00666B16">
            <w:pPr>
              <w:spacing w:before="200" w:after="0" w:line="240" w:lineRule="auto"/>
              <w:ind w:left="0" w:firstLine="0"/>
              <w:jc w:val="both"/>
              <w:rPr>
                <w:rFonts w:eastAsia="Times New Roman" w:cs="Times New Roman"/>
                <w:color w:val="auto"/>
                <w:szCs w:val="24"/>
              </w:rPr>
            </w:pPr>
            <w:r w:rsidRPr="00666B16">
              <w:rPr>
                <w:rFonts w:eastAsia="Times New Roman" w:cs="Times New Roman"/>
                <w:color w:val="auto"/>
                <w:szCs w:val="24"/>
              </w:rPr>
              <w:t xml:space="preserve">Community Health Services </w:t>
            </w:r>
          </w:p>
        </w:tc>
        <w:tc>
          <w:tcPr>
            <w:tcW w:w="4621" w:type="dxa"/>
          </w:tcPr>
          <w:p w:rsidR="00666B16" w:rsidRPr="00666B16" w:rsidRDefault="00666B16" w:rsidP="00666B16">
            <w:pPr>
              <w:spacing w:before="200" w:after="0" w:line="240" w:lineRule="auto"/>
              <w:ind w:left="0" w:firstLine="0"/>
              <w:jc w:val="both"/>
              <w:rPr>
                <w:rFonts w:eastAsia="Times New Roman" w:cs="Times New Roman"/>
                <w:color w:val="auto"/>
                <w:szCs w:val="24"/>
              </w:rPr>
            </w:pPr>
          </w:p>
        </w:tc>
      </w:tr>
    </w:tbl>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8F67E4" w:rsidRDefault="008F67E4">
      <w:pPr>
        <w:spacing w:after="0" w:line="259" w:lineRule="auto"/>
        <w:ind w:left="0" w:firstLine="0"/>
        <w:rPr>
          <w:rFonts w:eastAsia="Times New Roman"/>
        </w:rPr>
      </w:pPr>
    </w:p>
    <w:p w:rsidR="00666B16" w:rsidRDefault="00666B16">
      <w:pPr>
        <w:spacing w:after="0" w:line="259" w:lineRule="auto"/>
        <w:ind w:left="0" w:firstLine="0"/>
        <w:rPr>
          <w:rFonts w:eastAsia="Times New Roman"/>
        </w:rPr>
      </w:pPr>
    </w:p>
    <w:p w:rsidR="00666B16" w:rsidRPr="001334CC" w:rsidRDefault="001334CC" w:rsidP="001334CC">
      <w:pPr>
        <w:spacing w:after="0" w:line="259" w:lineRule="auto"/>
        <w:ind w:left="0" w:firstLine="0"/>
        <w:jc w:val="center"/>
        <w:rPr>
          <w:rFonts w:eastAsia="Times New Roman"/>
          <w:b/>
        </w:rPr>
      </w:pPr>
      <w:r w:rsidRPr="001334CC">
        <w:rPr>
          <w:rFonts w:eastAsia="Times New Roman"/>
          <w:b/>
        </w:rPr>
        <w:lastRenderedPageBreak/>
        <w:t>Version Control Summary</w:t>
      </w:r>
    </w:p>
    <w:p w:rsidR="00666B16" w:rsidRPr="00666B16" w:rsidRDefault="00666B16">
      <w:pPr>
        <w:spacing w:after="0" w:line="259" w:lineRule="auto"/>
        <w:ind w:left="0" w:firstLine="0"/>
        <w:rPr>
          <w:rFonts w:eastAsia="Times New Roman"/>
        </w:rPr>
      </w:pPr>
    </w:p>
    <w:p w:rsidR="002469C4" w:rsidRPr="00666B16" w:rsidRDefault="002469C4">
      <w:pPr>
        <w:spacing w:after="0" w:line="259" w:lineRule="auto"/>
        <w:ind w:left="0" w:firstLine="0"/>
      </w:pPr>
    </w:p>
    <w:tbl>
      <w:tblPr>
        <w:tblStyle w:val="TableGrid"/>
        <w:tblW w:w="9286" w:type="dxa"/>
        <w:tblInd w:w="-108" w:type="dxa"/>
        <w:tblCellMar>
          <w:top w:w="8" w:type="dxa"/>
          <w:left w:w="106" w:type="dxa"/>
          <w:right w:w="62" w:type="dxa"/>
        </w:tblCellMar>
        <w:tblLook w:val="04A0" w:firstRow="1" w:lastRow="0" w:firstColumn="1" w:lastColumn="0" w:noHBand="0" w:noVBand="1"/>
      </w:tblPr>
      <w:tblGrid>
        <w:gridCol w:w="1094"/>
        <w:gridCol w:w="1411"/>
        <w:gridCol w:w="1685"/>
        <w:gridCol w:w="1098"/>
        <w:gridCol w:w="3998"/>
      </w:tblGrid>
      <w:tr w:rsidR="00EE4F3C" w:rsidRPr="00666B16" w:rsidTr="002469C4">
        <w:trPr>
          <w:trHeight w:val="263"/>
        </w:trPr>
        <w:tc>
          <w:tcPr>
            <w:tcW w:w="1096"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rPr>
                <w:b/>
              </w:rPr>
              <w:t xml:space="preserve">Version </w:t>
            </w:r>
          </w:p>
        </w:tc>
        <w:tc>
          <w:tcPr>
            <w:tcW w:w="1417"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rPr>
                <w:b/>
              </w:rPr>
              <w:t xml:space="preserve">Date </w:t>
            </w:r>
          </w:p>
        </w:tc>
        <w:tc>
          <w:tcPr>
            <w:tcW w:w="1701"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rPr>
                <w:b/>
              </w:rPr>
              <w:t xml:space="preserve">Author </w:t>
            </w:r>
          </w:p>
        </w:tc>
        <w:tc>
          <w:tcPr>
            <w:tcW w:w="992"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rPr>
                <w:b/>
              </w:rPr>
              <w:t xml:space="preserve">Status </w:t>
            </w:r>
          </w:p>
        </w:tc>
        <w:tc>
          <w:tcPr>
            <w:tcW w:w="4080"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rPr>
                <w:b/>
              </w:rPr>
              <w:t xml:space="preserve">Comment </w:t>
            </w:r>
          </w:p>
        </w:tc>
      </w:tr>
      <w:tr w:rsidR="00EE4F3C" w:rsidRPr="00666B16" w:rsidTr="002469C4">
        <w:trPr>
          <w:trHeight w:val="286"/>
        </w:trPr>
        <w:tc>
          <w:tcPr>
            <w:tcW w:w="1096"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Final  </w:t>
            </w:r>
          </w:p>
        </w:tc>
        <w:tc>
          <w:tcPr>
            <w:tcW w:w="1417"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 xml:space="preserve">January 06 </w:t>
            </w:r>
          </w:p>
        </w:tc>
        <w:tc>
          <w:tcPr>
            <w:tcW w:w="1701"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 </w:t>
            </w:r>
          </w:p>
        </w:tc>
        <w:tc>
          <w:tcPr>
            <w:tcW w:w="992"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Final</w:t>
            </w:r>
          </w:p>
        </w:tc>
        <w:tc>
          <w:tcPr>
            <w:tcW w:w="4080"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 </w:t>
            </w:r>
          </w:p>
        </w:tc>
      </w:tr>
      <w:tr w:rsidR="00EE4F3C" w:rsidRPr="00666B16" w:rsidTr="002469C4">
        <w:trPr>
          <w:trHeight w:val="287"/>
        </w:trPr>
        <w:tc>
          <w:tcPr>
            <w:tcW w:w="1096"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Final   </w:t>
            </w:r>
          </w:p>
        </w:tc>
        <w:tc>
          <w:tcPr>
            <w:tcW w:w="1417"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 xml:space="preserve">March 07 </w:t>
            </w:r>
          </w:p>
        </w:tc>
        <w:tc>
          <w:tcPr>
            <w:tcW w:w="1701"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 </w:t>
            </w:r>
          </w:p>
        </w:tc>
        <w:tc>
          <w:tcPr>
            <w:tcW w:w="992"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Final</w:t>
            </w:r>
          </w:p>
        </w:tc>
        <w:tc>
          <w:tcPr>
            <w:tcW w:w="4080"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 </w:t>
            </w:r>
          </w:p>
        </w:tc>
      </w:tr>
      <w:tr w:rsidR="00EE4F3C" w:rsidRPr="00666B16" w:rsidTr="002469C4">
        <w:trPr>
          <w:trHeight w:val="929"/>
        </w:trPr>
        <w:tc>
          <w:tcPr>
            <w:tcW w:w="1096"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Revision Draft 1 </w:t>
            </w:r>
          </w:p>
        </w:tc>
        <w:tc>
          <w:tcPr>
            <w:tcW w:w="1417"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 xml:space="preserve">June 08 </w:t>
            </w:r>
          </w:p>
        </w:tc>
        <w:tc>
          <w:tcPr>
            <w:tcW w:w="1701"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 </w:t>
            </w:r>
          </w:p>
        </w:tc>
        <w:tc>
          <w:tcPr>
            <w:tcW w:w="992"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Draft</w:t>
            </w:r>
          </w:p>
        </w:tc>
        <w:tc>
          <w:tcPr>
            <w:tcW w:w="4080"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Policy to reflect “Best practice in managing risk” DH guidelines from June 2007</w:t>
            </w:r>
          </w:p>
        </w:tc>
      </w:tr>
      <w:tr w:rsidR="00EE4F3C" w:rsidRPr="00666B16" w:rsidTr="002469C4">
        <w:trPr>
          <w:trHeight w:val="2530"/>
        </w:trPr>
        <w:tc>
          <w:tcPr>
            <w:tcW w:w="1096"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Revision Draft 2 </w:t>
            </w:r>
          </w:p>
        </w:tc>
        <w:tc>
          <w:tcPr>
            <w:tcW w:w="1417"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 xml:space="preserve">Sept 08 </w:t>
            </w:r>
          </w:p>
        </w:tc>
        <w:tc>
          <w:tcPr>
            <w:tcW w:w="1701"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 </w:t>
            </w:r>
          </w:p>
        </w:tc>
        <w:tc>
          <w:tcPr>
            <w:tcW w:w="992"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Draft</w:t>
            </w:r>
          </w:p>
        </w:tc>
        <w:tc>
          <w:tcPr>
            <w:tcW w:w="4080"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All risk </w:t>
            </w:r>
          </w:p>
          <w:p w:rsidR="00EE4F3C" w:rsidRPr="00666B16" w:rsidRDefault="00410AC0">
            <w:pPr>
              <w:spacing w:after="0" w:line="259" w:lineRule="auto"/>
              <w:ind w:left="2" w:firstLine="0"/>
            </w:pPr>
            <w:r w:rsidRPr="00666B16">
              <w:t xml:space="preserve">assessments </w:t>
            </w:r>
          </w:p>
          <w:p w:rsidR="00EE4F3C" w:rsidRPr="00666B16" w:rsidRDefault="00410AC0">
            <w:pPr>
              <w:spacing w:after="0" w:line="259" w:lineRule="auto"/>
              <w:ind w:left="2" w:firstLine="0"/>
            </w:pPr>
            <w:r w:rsidRPr="00666B16">
              <w:t xml:space="preserve">are recorded in </w:t>
            </w:r>
          </w:p>
          <w:p w:rsidR="00EE4F3C" w:rsidRPr="00666B16" w:rsidRDefault="00410AC0">
            <w:pPr>
              <w:spacing w:after="0" w:line="259" w:lineRule="auto"/>
              <w:ind w:left="2" w:firstLine="0"/>
            </w:pPr>
            <w:r w:rsidRPr="00666B16">
              <w:t xml:space="preserve">CPA documentation set only. Risk checklist appended to this document for guidance in completion of CPA risk assessment documentation only. Policy revised to be compliant with NHSLA risk management standards </w:t>
            </w:r>
          </w:p>
        </w:tc>
      </w:tr>
      <w:tr w:rsidR="00EE4F3C" w:rsidRPr="00666B16" w:rsidTr="002469C4">
        <w:trPr>
          <w:trHeight w:val="1643"/>
        </w:trPr>
        <w:tc>
          <w:tcPr>
            <w:tcW w:w="1096"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4.0  </w:t>
            </w:r>
          </w:p>
        </w:tc>
        <w:tc>
          <w:tcPr>
            <w:tcW w:w="1417"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jc w:val="both"/>
            </w:pPr>
            <w:r w:rsidRPr="00666B16">
              <w:t xml:space="preserve">September 2011 </w:t>
            </w:r>
          </w:p>
        </w:tc>
        <w:tc>
          <w:tcPr>
            <w:tcW w:w="1701"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t xml:space="preserve">Peter </w:t>
            </w:r>
            <w:proofErr w:type="spellStart"/>
            <w:r w:rsidRPr="00666B16">
              <w:t>Sheils</w:t>
            </w:r>
            <w:proofErr w:type="spellEnd"/>
            <w:r w:rsidRPr="00666B16">
              <w:t xml:space="preserve">, </w:t>
            </w:r>
          </w:p>
          <w:p w:rsidR="00EE4F3C" w:rsidRPr="00666B16" w:rsidRDefault="00410AC0">
            <w:pPr>
              <w:spacing w:after="0" w:line="259" w:lineRule="auto"/>
              <w:ind w:left="2" w:firstLine="0"/>
            </w:pPr>
            <w:r w:rsidRPr="00666B16">
              <w:t xml:space="preserve">NHSLA </w:t>
            </w:r>
          </w:p>
          <w:p w:rsidR="00EE4F3C" w:rsidRPr="00666B16" w:rsidRDefault="00410AC0">
            <w:pPr>
              <w:spacing w:after="0" w:line="259" w:lineRule="auto"/>
              <w:ind w:left="2" w:firstLine="0"/>
            </w:pPr>
            <w:r w:rsidRPr="00666B16">
              <w:t xml:space="preserve">Consultant </w:t>
            </w:r>
          </w:p>
        </w:tc>
        <w:tc>
          <w:tcPr>
            <w:tcW w:w="992"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 xml:space="preserve">Draft  </w:t>
            </w:r>
          </w:p>
        </w:tc>
        <w:tc>
          <w:tcPr>
            <w:tcW w:w="4080"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41" w:lineRule="auto"/>
              <w:ind w:left="2" w:firstLine="0"/>
            </w:pPr>
            <w:r w:rsidRPr="00666B16">
              <w:t xml:space="preserve">Revised to incorporate the </w:t>
            </w:r>
          </w:p>
          <w:p w:rsidR="00EE4F3C" w:rsidRPr="00666B16" w:rsidRDefault="00410AC0">
            <w:pPr>
              <w:spacing w:after="0" w:line="259" w:lineRule="auto"/>
              <w:ind w:left="2" w:firstLine="0"/>
            </w:pPr>
            <w:r w:rsidRPr="00666B16">
              <w:t xml:space="preserve">Principles of </w:t>
            </w:r>
          </w:p>
          <w:p w:rsidR="00EE4F3C" w:rsidRPr="00666B16" w:rsidRDefault="00410AC0">
            <w:pPr>
              <w:spacing w:after="0" w:line="259" w:lineRule="auto"/>
              <w:ind w:left="2" w:firstLine="0"/>
            </w:pPr>
            <w:r w:rsidRPr="00666B16">
              <w:t xml:space="preserve">Risk </w:t>
            </w:r>
          </w:p>
          <w:p w:rsidR="00EE4F3C" w:rsidRPr="00666B16" w:rsidRDefault="00410AC0">
            <w:pPr>
              <w:spacing w:after="0" w:line="241" w:lineRule="auto"/>
              <w:ind w:left="2" w:firstLine="0"/>
            </w:pPr>
            <w:r w:rsidRPr="00666B16">
              <w:t xml:space="preserve">Assessment and Management and the Risk Management </w:t>
            </w:r>
          </w:p>
          <w:p w:rsidR="00EE4F3C" w:rsidRPr="00666B16" w:rsidRDefault="00410AC0">
            <w:pPr>
              <w:spacing w:after="0" w:line="259" w:lineRule="auto"/>
              <w:ind w:left="2" w:firstLine="0"/>
            </w:pPr>
            <w:r w:rsidRPr="00666B16">
              <w:t xml:space="preserve">Process.  </w:t>
            </w:r>
          </w:p>
        </w:tc>
      </w:tr>
      <w:tr w:rsidR="000E659E" w:rsidRPr="00666B16" w:rsidTr="002469C4">
        <w:trPr>
          <w:trHeight w:val="874"/>
        </w:trPr>
        <w:tc>
          <w:tcPr>
            <w:tcW w:w="1096" w:type="dxa"/>
            <w:tcBorders>
              <w:top w:val="single" w:sz="4" w:space="0" w:color="000000"/>
              <w:left w:val="single" w:sz="4" w:space="0" w:color="000000"/>
              <w:bottom w:val="single" w:sz="4" w:space="0" w:color="000000"/>
              <w:right w:val="single" w:sz="4" w:space="0" w:color="000000"/>
            </w:tcBorders>
          </w:tcPr>
          <w:p w:rsidR="000E659E" w:rsidRPr="00666B16" w:rsidRDefault="000E659E">
            <w:pPr>
              <w:spacing w:after="0" w:line="259" w:lineRule="auto"/>
              <w:ind w:left="2" w:firstLine="0"/>
            </w:pPr>
            <w:r w:rsidRPr="00666B16">
              <w:t>5.0</w:t>
            </w:r>
          </w:p>
        </w:tc>
        <w:tc>
          <w:tcPr>
            <w:tcW w:w="1417" w:type="dxa"/>
            <w:tcBorders>
              <w:top w:val="single" w:sz="4" w:space="0" w:color="000000"/>
              <w:left w:val="single" w:sz="4" w:space="0" w:color="000000"/>
              <w:bottom w:val="single" w:sz="4" w:space="0" w:color="000000"/>
              <w:right w:val="single" w:sz="4" w:space="0" w:color="000000"/>
            </w:tcBorders>
          </w:tcPr>
          <w:p w:rsidR="000E659E" w:rsidRPr="00666B16" w:rsidRDefault="000E659E">
            <w:pPr>
              <w:spacing w:after="0" w:line="259" w:lineRule="auto"/>
              <w:ind w:left="0" w:firstLine="0"/>
              <w:jc w:val="both"/>
            </w:pPr>
            <w:r w:rsidRPr="00666B16">
              <w:t>November 2019</w:t>
            </w:r>
          </w:p>
        </w:tc>
        <w:tc>
          <w:tcPr>
            <w:tcW w:w="1701" w:type="dxa"/>
            <w:tcBorders>
              <w:top w:val="single" w:sz="4" w:space="0" w:color="000000"/>
              <w:left w:val="single" w:sz="4" w:space="0" w:color="000000"/>
              <w:bottom w:val="single" w:sz="4" w:space="0" w:color="000000"/>
              <w:right w:val="single" w:sz="4" w:space="0" w:color="000000"/>
            </w:tcBorders>
          </w:tcPr>
          <w:p w:rsidR="000E659E" w:rsidRPr="00666B16" w:rsidRDefault="000E659E">
            <w:pPr>
              <w:spacing w:after="0" w:line="259" w:lineRule="auto"/>
              <w:ind w:left="1" w:firstLine="0"/>
            </w:pPr>
            <w:r w:rsidRPr="00666B16">
              <w:t xml:space="preserve">Claire </w:t>
            </w:r>
            <w:proofErr w:type="spellStart"/>
            <w:r w:rsidRPr="00666B16">
              <w:t>Mckenna</w:t>
            </w:r>
            <w:proofErr w:type="spellEnd"/>
          </w:p>
          <w:p w:rsidR="000E659E" w:rsidRPr="00666B16" w:rsidRDefault="000E659E">
            <w:pPr>
              <w:spacing w:after="0" w:line="259" w:lineRule="auto"/>
              <w:ind w:left="1" w:firstLine="0"/>
            </w:pPr>
            <w:r w:rsidRPr="00666B16">
              <w:t>Director of Nursing</w:t>
            </w:r>
          </w:p>
        </w:tc>
        <w:tc>
          <w:tcPr>
            <w:tcW w:w="992" w:type="dxa"/>
            <w:tcBorders>
              <w:top w:val="single" w:sz="4" w:space="0" w:color="000000"/>
              <w:left w:val="single" w:sz="4" w:space="0" w:color="000000"/>
              <w:bottom w:val="single" w:sz="4" w:space="0" w:color="000000"/>
              <w:right w:val="single" w:sz="4" w:space="0" w:color="000000"/>
            </w:tcBorders>
          </w:tcPr>
          <w:p w:rsidR="000E659E" w:rsidRPr="00666B16" w:rsidRDefault="000E659E">
            <w:pPr>
              <w:spacing w:after="0" w:line="259" w:lineRule="auto"/>
              <w:ind w:left="0" w:firstLine="0"/>
            </w:pPr>
            <w:r w:rsidRPr="00666B16">
              <w:t>Draft</w:t>
            </w:r>
          </w:p>
        </w:tc>
        <w:tc>
          <w:tcPr>
            <w:tcW w:w="4080" w:type="dxa"/>
            <w:tcBorders>
              <w:top w:val="single" w:sz="4" w:space="0" w:color="000000"/>
              <w:left w:val="single" w:sz="4" w:space="0" w:color="000000"/>
              <w:bottom w:val="single" w:sz="4" w:space="0" w:color="000000"/>
              <w:right w:val="single" w:sz="4" w:space="0" w:color="000000"/>
            </w:tcBorders>
          </w:tcPr>
          <w:p w:rsidR="000E659E" w:rsidRPr="00666B16" w:rsidRDefault="000E659E">
            <w:pPr>
              <w:spacing w:after="0" w:line="241" w:lineRule="auto"/>
              <w:ind w:left="2" w:firstLine="0"/>
            </w:pPr>
            <w:r w:rsidRPr="00666B16">
              <w:t>Due review</w:t>
            </w:r>
          </w:p>
          <w:p w:rsidR="000E659E" w:rsidRPr="00666B16" w:rsidRDefault="000E659E">
            <w:pPr>
              <w:spacing w:after="0" w:line="241" w:lineRule="auto"/>
              <w:ind w:left="2" w:firstLine="0"/>
            </w:pPr>
            <w:r w:rsidRPr="00666B16">
              <w:t>Includes changes to CPA documentation</w:t>
            </w:r>
          </w:p>
        </w:tc>
      </w:tr>
      <w:tr w:rsidR="008F67E4" w:rsidRPr="00666B16" w:rsidTr="002469C4">
        <w:trPr>
          <w:trHeight w:val="874"/>
        </w:trPr>
        <w:tc>
          <w:tcPr>
            <w:tcW w:w="1096" w:type="dxa"/>
            <w:tcBorders>
              <w:top w:val="single" w:sz="4" w:space="0" w:color="000000"/>
              <w:left w:val="single" w:sz="4" w:space="0" w:color="000000"/>
              <w:bottom w:val="single" w:sz="4" w:space="0" w:color="000000"/>
              <w:right w:val="single" w:sz="4" w:space="0" w:color="000000"/>
            </w:tcBorders>
          </w:tcPr>
          <w:p w:rsidR="008F67E4" w:rsidRPr="00666B16" w:rsidRDefault="008F67E4">
            <w:pPr>
              <w:spacing w:after="0" w:line="259" w:lineRule="auto"/>
              <w:ind w:left="2" w:firstLine="0"/>
            </w:pPr>
            <w:r>
              <w:t>5.1</w:t>
            </w:r>
          </w:p>
        </w:tc>
        <w:tc>
          <w:tcPr>
            <w:tcW w:w="1417" w:type="dxa"/>
            <w:tcBorders>
              <w:top w:val="single" w:sz="4" w:space="0" w:color="000000"/>
              <w:left w:val="single" w:sz="4" w:space="0" w:color="000000"/>
              <w:bottom w:val="single" w:sz="4" w:space="0" w:color="000000"/>
              <w:right w:val="single" w:sz="4" w:space="0" w:color="000000"/>
            </w:tcBorders>
          </w:tcPr>
          <w:p w:rsidR="008F67E4" w:rsidRPr="00666B16" w:rsidRDefault="008F67E4">
            <w:pPr>
              <w:spacing w:after="0" w:line="259" w:lineRule="auto"/>
              <w:ind w:left="0" w:firstLine="0"/>
              <w:jc w:val="both"/>
            </w:pPr>
            <w:r>
              <w:t>October 2023</w:t>
            </w:r>
          </w:p>
        </w:tc>
        <w:tc>
          <w:tcPr>
            <w:tcW w:w="1701" w:type="dxa"/>
            <w:tcBorders>
              <w:top w:val="single" w:sz="4" w:space="0" w:color="000000"/>
              <w:left w:val="single" w:sz="4" w:space="0" w:color="000000"/>
              <w:bottom w:val="single" w:sz="4" w:space="0" w:color="000000"/>
              <w:right w:val="single" w:sz="4" w:space="0" w:color="000000"/>
            </w:tcBorders>
          </w:tcPr>
          <w:p w:rsidR="008F67E4" w:rsidRPr="00666B16" w:rsidRDefault="008F67E4">
            <w:pPr>
              <w:spacing w:after="0" w:line="259" w:lineRule="auto"/>
              <w:ind w:left="1" w:firstLine="0"/>
            </w:pPr>
          </w:p>
        </w:tc>
        <w:tc>
          <w:tcPr>
            <w:tcW w:w="992" w:type="dxa"/>
            <w:tcBorders>
              <w:top w:val="single" w:sz="4" w:space="0" w:color="000000"/>
              <w:left w:val="single" w:sz="4" w:space="0" w:color="000000"/>
              <w:bottom w:val="single" w:sz="4" w:space="0" w:color="000000"/>
              <w:right w:val="single" w:sz="4" w:space="0" w:color="000000"/>
            </w:tcBorders>
          </w:tcPr>
          <w:p w:rsidR="008F67E4" w:rsidRPr="00666B16" w:rsidRDefault="008F67E4">
            <w:pPr>
              <w:spacing w:after="0" w:line="259" w:lineRule="auto"/>
              <w:ind w:left="0" w:firstLine="0"/>
            </w:pPr>
            <w:r>
              <w:t>Extended</w:t>
            </w:r>
          </w:p>
        </w:tc>
        <w:tc>
          <w:tcPr>
            <w:tcW w:w="4080" w:type="dxa"/>
            <w:tcBorders>
              <w:top w:val="single" w:sz="4" w:space="0" w:color="000000"/>
              <w:left w:val="single" w:sz="4" w:space="0" w:color="000000"/>
              <w:bottom w:val="single" w:sz="4" w:space="0" w:color="000000"/>
              <w:right w:val="single" w:sz="4" w:space="0" w:color="000000"/>
            </w:tcBorders>
          </w:tcPr>
          <w:p w:rsidR="008F67E4" w:rsidRPr="00666B16" w:rsidRDefault="008F67E4">
            <w:pPr>
              <w:spacing w:after="0" w:line="241" w:lineRule="auto"/>
              <w:ind w:left="2" w:firstLine="0"/>
            </w:pPr>
            <w:r w:rsidRPr="008F67E4">
              <w:t>Extension agreed by the Quality Committee 18 October</w:t>
            </w:r>
          </w:p>
        </w:tc>
      </w:tr>
      <w:tr w:rsidR="00E75EBA" w:rsidRPr="00666B16" w:rsidTr="002469C4">
        <w:trPr>
          <w:trHeight w:val="874"/>
        </w:trPr>
        <w:tc>
          <w:tcPr>
            <w:tcW w:w="1096" w:type="dxa"/>
            <w:tcBorders>
              <w:top w:val="single" w:sz="4" w:space="0" w:color="000000"/>
              <w:left w:val="single" w:sz="4" w:space="0" w:color="000000"/>
              <w:bottom w:val="single" w:sz="4" w:space="0" w:color="000000"/>
              <w:right w:val="single" w:sz="4" w:space="0" w:color="000000"/>
            </w:tcBorders>
          </w:tcPr>
          <w:p w:rsidR="00E75EBA" w:rsidRDefault="00E75EBA">
            <w:pPr>
              <w:spacing w:after="0" w:line="259" w:lineRule="auto"/>
              <w:ind w:left="2" w:firstLine="0"/>
            </w:pPr>
            <w:r>
              <w:t>5.2</w:t>
            </w:r>
          </w:p>
        </w:tc>
        <w:tc>
          <w:tcPr>
            <w:tcW w:w="1417" w:type="dxa"/>
            <w:tcBorders>
              <w:top w:val="single" w:sz="4" w:space="0" w:color="000000"/>
              <w:left w:val="single" w:sz="4" w:space="0" w:color="000000"/>
              <w:bottom w:val="single" w:sz="4" w:space="0" w:color="000000"/>
              <w:right w:val="single" w:sz="4" w:space="0" w:color="000000"/>
            </w:tcBorders>
          </w:tcPr>
          <w:p w:rsidR="00E75EBA" w:rsidRDefault="00E75EBA">
            <w:pPr>
              <w:spacing w:after="0" w:line="259" w:lineRule="auto"/>
              <w:ind w:left="0" w:firstLine="0"/>
              <w:jc w:val="both"/>
            </w:pPr>
            <w:r>
              <w:t>February 2024</w:t>
            </w:r>
          </w:p>
        </w:tc>
        <w:tc>
          <w:tcPr>
            <w:tcW w:w="1701" w:type="dxa"/>
            <w:tcBorders>
              <w:top w:val="single" w:sz="4" w:space="0" w:color="000000"/>
              <w:left w:val="single" w:sz="4" w:space="0" w:color="000000"/>
              <w:bottom w:val="single" w:sz="4" w:space="0" w:color="000000"/>
              <w:right w:val="single" w:sz="4" w:space="0" w:color="000000"/>
            </w:tcBorders>
          </w:tcPr>
          <w:p w:rsidR="00E75EBA" w:rsidRDefault="00E75EBA">
            <w:pPr>
              <w:spacing w:after="0" w:line="259" w:lineRule="auto"/>
              <w:ind w:left="1" w:firstLine="0"/>
            </w:pPr>
            <w:r>
              <w:t>Sasha Singh</w:t>
            </w:r>
          </w:p>
          <w:p w:rsidR="00E75EBA" w:rsidRPr="00666B16" w:rsidRDefault="00E75EBA">
            <w:pPr>
              <w:spacing w:after="0" w:line="259" w:lineRule="auto"/>
              <w:ind w:left="1" w:firstLine="0"/>
            </w:pPr>
            <w:r>
              <w:t>Director of Nursing</w:t>
            </w:r>
          </w:p>
        </w:tc>
        <w:tc>
          <w:tcPr>
            <w:tcW w:w="992" w:type="dxa"/>
            <w:tcBorders>
              <w:top w:val="single" w:sz="4" w:space="0" w:color="000000"/>
              <w:left w:val="single" w:sz="4" w:space="0" w:color="000000"/>
              <w:bottom w:val="single" w:sz="4" w:space="0" w:color="000000"/>
              <w:right w:val="single" w:sz="4" w:space="0" w:color="000000"/>
            </w:tcBorders>
          </w:tcPr>
          <w:p w:rsidR="00E75EBA" w:rsidRDefault="00E75EBA">
            <w:pPr>
              <w:spacing w:after="0" w:line="259" w:lineRule="auto"/>
              <w:ind w:left="0" w:firstLine="0"/>
            </w:pPr>
          </w:p>
        </w:tc>
        <w:tc>
          <w:tcPr>
            <w:tcW w:w="4080" w:type="dxa"/>
            <w:tcBorders>
              <w:top w:val="single" w:sz="4" w:space="0" w:color="000000"/>
              <w:left w:val="single" w:sz="4" w:space="0" w:color="000000"/>
              <w:bottom w:val="single" w:sz="4" w:space="0" w:color="000000"/>
              <w:right w:val="single" w:sz="4" w:space="0" w:color="000000"/>
            </w:tcBorders>
          </w:tcPr>
          <w:p w:rsidR="00E75EBA" w:rsidRDefault="00E75EBA">
            <w:pPr>
              <w:spacing w:after="0" w:line="241" w:lineRule="auto"/>
              <w:ind w:left="2" w:firstLine="0"/>
            </w:pPr>
            <w:r>
              <w:t>Includes NICE Guidelines</w:t>
            </w:r>
            <w:r w:rsidR="009C53E0">
              <w:t xml:space="preserve"> on self- harm 2022</w:t>
            </w:r>
          </w:p>
          <w:p w:rsidR="00E75EBA" w:rsidRPr="008F67E4" w:rsidRDefault="009C53E0" w:rsidP="009C53E0">
            <w:pPr>
              <w:spacing w:after="0" w:line="241" w:lineRule="auto"/>
              <w:ind w:left="2" w:firstLine="0"/>
            </w:pPr>
            <w:r>
              <w:t xml:space="preserve">Inclusion of risk formulation and </w:t>
            </w:r>
            <w:r w:rsidR="00E75EBA">
              <w:t xml:space="preserve">risk mitigation field now on inline </w:t>
            </w:r>
            <w:proofErr w:type="spellStart"/>
            <w:r w:rsidR="00E75EBA">
              <w:t>RiO</w:t>
            </w:r>
            <w:proofErr w:type="spellEnd"/>
            <w:r w:rsidR="00E75EBA">
              <w:t xml:space="preserve"> Risk Assessment Form</w:t>
            </w:r>
          </w:p>
        </w:tc>
      </w:tr>
    </w:tbl>
    <w:p w:rsidR="00EE4F3C" w:rsidRPr="00666B16" w:rsidRDefault="00410AC0">
      <w:pPr>
        <w:spacing w:after="0" w:line="259" w:lineRule="auto"/>
        <w:ind w:left="0" w:firstLine="0"/>
        <w:jc w:val="both"/>
      </w:pPr>
      <w:r w:rsidRPr="00666B16">
        <w:rPr>
          <w:rFonts w:eastAsia="Times New Roman"/>
        </w:rPr>
        <w:t xml:space="preserve"> </w:t>
      </w:r>
    </w:p>
    <w:p w:rsidR="00EE4F3C" w:rsidRPr="00666B16" w:rsidRDefault="00410AC0">
      <w:pPr>
        <w:spacing w:after="0" w:line="259" w:lineRule="auto"/>
        <w:ind w:left="0" w:firstLine="0"/>
        <w:jc w:val="both"/>
      </w:pPr>
      <w:r w:rsidRPr="00666B16">
        <w:rPr>
          <w:rFonts w:eastAsia="Times New Roman"/>
        </w:rPr>
        <w:t xml:space="preserve"> </w:t>
      </w:r>
    </w:p>
    <w:p w:rsidR="00EE4F3C" w:rsidRPr="00666B16" w:rsidRDefault="00410AC0">
      <w:pPr>
        <w:spacing w:after="0" w:line="259" w:lineRule="auto"/>
        <w:ind w:left="0" w:firstLine="0"/>
        <w:jc w:val="both"/>
      </w:pPr>
      <w:r w:rsidRPr="00666B16">
        <w:rPr>
          <w:rFonts w:eastAsia="Times New Roman"/>
        </w:rPr>
        <w:t xml:space="preserve"> </w:t>
      </w:r>
    </w:p>
    <w:p w:rsidR="00EE4F3C" w:rsidRPr="00666B16" w:rsidRDefault="00410AC0">
      <w:pPr>
        <w:spacing w:after="0" w:line="259" w:lineRule="auto"/>
        <w:ind w:left="0" w:firstLine="0"/>
        <w:jc w:val="both"/>
      </w:pPr>
      <w:r w:rsidRPr="00666B16">
        <w:rPr>
          <w:rFonts w:eastAsia="Times New Roman"/>
        </w:rPr>
        <w:t xml:space="preserve"> </w:t>
      </w:r>
    </w:p>
    <w:p w:rsidR="00EE4F3C" w:rsidRPr="00666B16" w:rsidRDefault="00410AC0">
      <w:pPr>
        <w:spacing w:after="0" w:line="259" w:lineRule="auto"/>
        <w:ind w:left="0" w:firstLine="0"/>
        <w:jc w:val="both"/>
      </w:pPr>
      <w:r w:rsidRPr="00666B16">
        <w:rPr>
          <w:rFonts w:eastAsia="Times New Roman"/>
        </w:rPr>
        <w:t xml:space="preserve"> </w:t>
      </w:r>
    </w:p>
    <w:p w:rsidR="00EE4F3C" w:rsidRPr="00666B16" w:rsidRDefault="00410AC0">
      <w:pPr>
        <w:spacing w:after="0" w:line="259" w:lineRule="auto"/>
        <w:ind w:left="0" w:firstLine="0"/>
        <w:jc w:val="both"/>
      </w:pPr>
      <w:r w:rsidRPr="00666B16">
        <w:rPr>
          <w:rFonts w:eastAsia="Times New Roman"/>
        </w:rPr>
        <w:t xml:space="preserve"> </w:t>
      </w:r>
    </w:p>
    <w:p w:rsidR="00EE4F3C" w:rsidRPr="00666B16" w:rsidRDefault="00410AC0">
      <w:pPr>
        <w:spacing w:after="0" w:line="259" w:lineRule="auto"/>
        <w:ind w:left="0" w:firstLine="0"/>
        <w:jc w:val="both"/>
        <w:rPr>
          <w:rFonts w:eastAsia="Times New Roman"/>
        </w:rPr>
      </w:pPr>
      <w:r w:rsidRPr="00666B16">
        <w:rPr>
          <w:rFonts w:eastAsia="Times New Roman"/>
        </w:rPr>
        <w:t xml:space="preserve"> </w:t>
      </w: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rPr>
          <w:rFonts w:eastAsia="Times New Roman"/>
        </w:rPr>
      </w:pPr>
    </w:p>
    <w:p w:rsidR="002469C4" w:rsidRPr="00666B16" w:rsidRDefault="002469C4">
      <w:pPr>
        <w:spacing w:after="0" w:line="259" w:lineRule="auto"/>
        <w:ind w:left="0" w:firstLine="0"/>
        <w:jc w:val="both"/>
      </w:pPr>
    </w:p>
    <w:sdt>
      <w:sdtPr>
        <w:id w:val="1026142976"/>
        <w:docPartObj>
          <w:docPartGallery w:val="Table of Contents"/>
        </w:docPartObj>
      </w:sdtPr>
      <w:sdtEndPr/>
      <w:sdtContent>
        <w:p w:rsidR="00EE4F3C" w:rsidRPr="00666B16" w:rsidRDefault="00410AC0">
          <w:pPr>
            <w:spacing w:after="0" w:line="259" w:lineRule="auto"/>
            <w:ind w:left="1" w:firstLine="0"/>
            <w:jc w:val="center"/>
          </w:pPr>
          <w:r w:rsidRPr="00666B16">
            <w:rPr>
              <w:b/>
            </w:rPr>
            <w:t xml:space="preserve">Contents </w:t>
          </w:r>
        </w:p>
        <w:p w:rsidR="00EE4F3C" w:rsidRPr="00666B16" w:rsidRDefault="00410AC0">
          <w:pPr>
            <w:spacing w:after="0" w:line="259" w:lineRule="auto"/>
            <w:ind w:left="0" w:firstLine="0"/>
          </w:pPr>
          <w:r w:rsidRPr="00666B16">
            <w:t xml:space="preserve"> </w:t>
          </w:r>
        </w:p>
        <w:p w:rsidR="00EE4F3C" w:rsidRPr="00666B16" w:rsidRDefault="00410AC0">
          <w:pPr>
            <w:spacing w:after="0" w:line="259" w:lineRule="auto"/>
            <w:ind w:left="0" w:firstLine="0"/>
          </w:pPr>
          <w:r w:rsidRPr="00666B16">
            <w:t xml:space="preserve"> </w:t>
          </w:r>
        </w:p>
        <w:p w:rsidR="00EE4F3C" w:rsidRPr="00666B16" w:rsidRDefault="00410AC0" w:rsidP="002469C4">
          <w:pPr>
            <w:pStyle w:val="Heading2"/>
            <w:tabs>
              <w:tab w:val="center" w:pos="2656"/>
              <w:tab w:val="center" w:pos="3600"/>
              <w:tab w:val="center" w:pos="4320"/>
              <w:tab w:val="center" w:pos="5040"/>
              <w:tab w:val="center" w:pos="5760"/>
              <w:tab w:val="center" w:pos="6480"/>
              <w:tab w:val="center" w:pos="7463"/>
            </w:tabs>
            <w:ind w:left="15" w:firstLine="0"/>
          </w:pPr>
          <w:r w:rsidRPr="00666B16">
            <w:t xml:space="preserve">Section </w:t>
          </w:r>
          <w:r w:rsidRPr="00666B16">
            <w:rPr>
              <w:b w:val="0"/>
            </w:rPr>
            <w:t xml:space="preserve"> </w:t>
          </w:r>
          <w:r w:rsidR="002469C4" w:rsidRPr="00666B16">
            <w:rPr>
              <w:b w:val="0"/>
            </w:rPr>
            <w:t xml:space="preserve">     </w:t>
          </w:r>
          <w:r w:rsidRPr="00666B16">
            <w:rPr>
              <w:b w:val="0"/>
            </w:rPr>
            <w:t xml:space="preserve">  </w:t>
          </w:r>
          <w:r w:rsidRPr="00666B16">
            <w:rPr>
              <w:b w:val="0"/>
            </w:rPr>
            <w:tab/>
            <w:t xml:space="preserve"> </w:t>
          </w:r>
          <w:r w:rsidRPr="00666B16">
            <w:rPr>
              <w:b w:val="0"/>
            </w:rPr>
            <w:tab/>
            <w:t xml:space="preserve"> </w:t>
          </w:r>
          <w:r w:rsidRPr="00666B16">
            <w:rPr>
              <w:b w:val="0"/>
            </w:rPr>
            <w:tab/>
            <w:t xml:space="preserve"> </w:t>
          </w:r>
          <w:r w:rsidRPr="00666B16">
            <w:rPr>
              <w:b w:val="0"/>
            </w:rPr>
            <w:tab/>
            <w:t xml:space="preserve"> </w:t>
          </w:r>
          <w:r w:rsidRPr="00666B16">
            <w:rPr>
              <w:b w:val="0"/>
            </w:rPr>
            <w:tab/>
            <w:t xml:space="preserve"> </w:t>
          </w:r>
          <w:r w:rsidRPr="00666B16">
            <w:rPr>
              <w:b w:val="0"/>
            </w:rPr>
            <w:tab/>
          </w:r>
          <w:r w:rsidR="002469C4" w:rsidRPr="00666B16">
            <w:rPr>
              <w:b w:val="0"/>
            </w:rPr>
            <w:t xml:space="preserve">                                                     </w:t>
          </w:r>
          <w:r w:rsidRPr="00666B16">
            <w:t>Page</w:t>
          </w:r>
          <w:r w:rsidRPr="00666B16">
            <w:rPr>
              <w:b w:val="0"/>
            </w:rPr>
            <w:t xml:space="preserve"> </w:t>
          </w:r>
        </w:p>
        <w:p w:rsidR="00EE4F3C" w:rsidRPr="00666B16" w:rsidRDefault="00410AC0">
          <w:pPr>
            <w:spacing w:after="0" w:line="259" w:lineRule="auto"/>
            <w:ind w:left="0" w:firstLine="0"/>
          </w:pPr>
          <w:r w:rsidRPr="00666B16">
            <w:t xml:space="preserve"> </w:t>
          </w:r>
        </w:p>
        <w:p w:rsidR="002469C4" w:rsidRPr="00666B16" w:rsidRDefault="00410AC0">
          <w:pPr>
            <w:pStyle w:val="TOC1"/>
            <w:tabs>
              <w:tab w:val="left" w:pos="440"/>
              <w:tab w:val="right" w:pos="9627"/>
            </w:tabs>
            <w:rPr>
              <w:rFonts w:eastAsiaTheme="minorEastAsia"/>
              <w:noProof/>
              <w:color w:val="auto"/>
            </w:rPr>
          </w:pPr>
          <w:r w:rsidRPr="00666B16">
            <w:fldChar w:fldCharType="begin"/>
          </w:r>
          <w:r w:rsidRPr="00666B16">
            <w:instrText xml:space="preserve"> TOC \o "1-1" \h \z \u </w:instrText>
          </w:r>
          <w:r w:rsidRPr="00666B16">
            <w:fldChar w:fldCharType="separate"/>
          </w:r>
          <w:hyperlink w:anchor="_Toc52784344" w:history="1">
            <w:r w:rsidR="002469C4" w:rsidRPr="00666B16">
              <w:rPr>
                <w:rStyle w:val="Hyperlink"/>
                <w:bCs/>
                <w:noProof/>
                <w:u w:color="000000"/>
              </w:rPr>
              <w:t>1</w:t>
            </w:r>
            <w:r w:rsidR="002469C4" w:rsidRPr="00666B16">
              <w:rPr>
                <w:rFonts w:eastAsiaTheme="minorEastAsia"/>
                <w:noProof/>
                <w:color w:val="auto"/>
              </w:rPr>
              <w:tab/>
            </w:r>
            <w:r w:rsidR="002469C4" w:rsidRPr="00666B16">
              <w:rPr>
                <w:rStyle w:val="Hyperlink"/>
                <w:noProof/>
              </w:rPr>
              <w:t>Introduction</w:t>
            </w:r>
            <w:r w:rsidR="002469C4" w:rsidRPr="00666B16">
              <w:rPr>
                <w:noProof/>
                <w:webHidden/>
              </w:rPr>
              <w:tab/>
            </w:r>
            <w:r w:rsidR="001334CC">
              <w:rPr>
                <w:noProof/>
                <w:webHidden/>
              </w:rPr>
              <w:t>5</w:t>
            </w:r>
          </w:hyperlink>
        </w:p>
        <w:p w:rsidR="002469C4" w:rsidRPr="00666B16" w:rsidRDefault="00603B7D">
          <w:pPr>
            <w:pStyle w:val="TOC1"/>
            <w:tabs>
              <w:tab w:val="left" w:pos="440"/>
              <w:tab w:val="right" w:pos="9627"/>
            </w:tabs>
            <w:rPr>
              <w:rFonts w:eastAsiaTheme="minorEastAsia"/>
              <w:noProof/>
              <w:color w:val="auto"/>
            </w:rPr>
          </w:pPr>
          <w:hyperlink w:anchor="_Toc52784345" w:history="1">
            <w:r w:rsidR="002469C4" w:rsidRPr="00666B16">
              <w:rPr>
                <w:rStyle w:val="Hyperlink"/>
                <w:bCs/>
                <w:noProof/>
                <w:u w:color="000000"/>
              </w:rPr>
              <w:t>2</w:t>
            </w:r>
            <w:r w:rsidR="002469C4" w:rsidRPr="00666B16">
              <w:rPr>
                <w:rFonts w:eastAsiaTheme="minorEastAsia"/>
                <w:noProof/>
                <w:color w:val="auto"/>
              </w:rPr>
              <w:tab/>
            </w:r>
            <w:r w:rsidR="002469C4" w:rsidRPr="00666B16">
              <w:rPr>
                <w:rStyle w:val="Hyperlink"/>
                <w:noProof/>
              </w:rPr>
              <w:t>Purpose</w:t>
            </w:r>
            <w:r w:rsidR="002469C4" w:rsidRPr="00666B16">
              <w:rPr>
                <w:noProof/>
                <w:webHidden/>
              </w:rPr>
              <w:tab/>
            </w:r>
            <w:r w:rsidR="001334CC">
              <w:rPr>
                <w:noProof/>
                <w:webHidden/>
              </w:rPr>
              <w:t>5</w:t>
            </w:r>
          </w:hyperlink>
        </w:p>
        <w:p w:rsidR="002469C4" w:rsidRPr="00666B16" w:rsidRDefault="00603B7D">
          <w:pPr>
            <w:pStyle w:val="TOC1"/>
            <w:tabs>
              <w:tab w:val="left" w:pos="440"/>
              <w:tab w:val="right" w:pos="9627"/>
            </w:tabs>
            <w:rPr>
              <w:rFonts w:eastAsiaTheme="minorEastAsia"/>
              <w:noProof/>
              <w:color w:val="auto"/>
            </w:rPr>
          </w:pPr>
          <w:hyperlink w:anchor="_Toc52784346" w:history="1">
            <w:r w:rsidR="002469C4" w:rsidRPr="00666B16">
              <w:rPr>
                <w:rStyle w:val="Hyperlink"/>
                <w:bCs/>
                <w:noProof/>
                <w:u w:color="000000"/>
              </w:rPr>
              <w:t>3</w:t>
            </w:r>
            <w:r w:rsidR="002469C4" w:rsidRPr="00666B16">
              <w:rPr>
                <w:rFonts w:eastAsiaTheme="minorEastAsia"/>
                <w:noProof/>
                <w:color w:val="auto"/>
              </w:rPr>
              <w:tab/>
            </w:r>
            <w:r w:rsidR="002469C4" w:rsidRPr="00666B16">
              <w:rPr>
                <w:rStyle w:val="Hyperlink"/>
                <w:noProof/>
              </w:rPr>
              <w:t>Scope</w:t>
            </w:r>
            <w:r w:rsidR="002469C4" w:rsidRPr="00666B16">
              <w:rPr>
                <w:noProof/>
                <w:webHidden/>
              </w:rPr>
              <w:tab/>
            </w:r>
            <w:r w:rsidR="001334CC">
              <w:rPr>
                <w:noProof/>
                <w:webHidden/>
              </w:rPr>
              <w:t>5</w:t>
            </w:r>
          </w:hyperlink>
        </w:p>
        <w:p w:rsidR="002469C4" w:rsidRPr="00666B16" w:rsidRDefault="00603B7D">
          <w:pPr>
            <w:pStyle w:val="TOC1"/>
            <w:tabs>
              <w:tab w:val="left" w:pos="440"/>
              <w:tab w:val="right" w:pos="9627"/>
            </w:tabs>
            <w:rPr>
              <w:rFonts w:eastAsiaTheme="minorEastAsia"/>
              <w:noProof/>
              <w:color w:val="auto"/>
            </w:rPr>
          </w:pPr>
          <w:hyperlink w:anchor="_Toc52784347" w:history="1">
            <w:r w:rsidR="002469C4" w:rsidRPr="00666B16">
              <w:rPr>
                <w:rStyle w:val="Hyperlink"/>
                <w:bCs/>
                <w:noProof/>
                <w:u w:color="000000"/>
              </w:rPr>
              <w:t>4</w:t>
            </w:r>
            <w:r w:rsidR="002469C4" w:rsidRPr="00666B16">
              <w:rPr>
                <w:rFonts w:eastAsiaTheme="minorEastAsia"/>
                <w:noProof/>
                <w:color w:val="auto"/>
              </w:rPr>
              <w:tab/>
            </w:r>
            <w:r w:rsidR="002469C4" w:rsidRPr="00666B16">
              <w:rPr>
                <w:rStyle w:val="Hyperlink"/>
                <w:noProof/>
              </w:rPr>
              <w:t>Duties</w:t>
            </w:r>
            <w:r w:rsidR="002469C4" w:rsidRPr="00666B16">
              <w:rPr>
                <w:noProof/>
                <w:webHidden/>
              </w:rPr>
              <w:tab/>
            </w:r>
            <w:r w:rsidR="001334CC">
              <w:rPr>
                <w:noProof/>
                <w:webHidden/>
              </w:rPr>
              <w:t>5</w:t>
            </w:r>
          </w:hyperlink>
        </w:p>
        <w:p w:rsidR="002469C4" w:rsidRPr="00666B16" w:rsidRDefault="00603B7D">
          <w:pPr>
            <w:pStyle w:val="TOC1"/>
            <w:tabs>
              <w:tab w:val="left" w:pos="440"/>
              <w:tab w:val="right" w:pos="9627"/>
            </w:tabs>
            <w:rPr>
              <w:rFonts w:eastAsiaTheme="minorEastAsia"/>
              <w:noProof/>
              <w:color w:val="auto"/>
            </w:rPr>
          </w:pPr>
          <w:hyperlink w:anchor="_Toc52784348" w:history="1">
            <w:r w:rsidR="002469C4" w:rsidRPr="00666B16">
              <w:rPr>
                <w:rStyle w:val="Hyperlink"/>
                <w:bCs/>
                <w:noProof/>
                <w:u w:color="000000"/>
              </w:rPr>
              <w:t>5</w:t>
            </w:r>
            <w:r w:rsidR="002469C4" w:rsidRPr="00666B16">
              <w:rPr>
                <w:rFonts w:eastAsiaTheme="minorEastAsia"/>
                <w:noProof/>
                <w:color w:val="auto"/>
              </w:rPr>
              <w:tab/>
            </w:r>
            <w:r w:rsidR="002469C4" w:rsidRPr="00666B16">
              <w:rPr>
                <w:rStyle w:val="Hyperlink"/>
                <w:noProof/>
              </w:rPr>
              <w:t>Definitions</w:t>
            </w:r>
            <w:r w:rsidR="002469C4" w:rsidRPr="00666B16">
              <w:rPr>
                <w:noProof/>
                <w:webHidden/>
              </w:rPr>
              <w:tab/>
            </w:r>
            <w:r w:rsidR="002469C4" w:rsidRPr="00666B16">
              <w:rPr>
                <w:noProof/>
                <w:webHidden/>
              </w:rPr>
              <w:fldChar w:fldCharType="begin"/>
            </w:r>
            <w:r w:rsidR="002469C4" w:rsidRPr="00666B16">
              <w:rPr>
                <w:noProof/>
                <w:webHidden/>
              </w:rPr>
              <w:instrText xml:space="preserve"> PAGEREF _Toc52784348 \h </w:instrText>
            </w:r>
            <w:r w:rsidR="002469C4" w:rsidRPr="00666B16">
              <w:rPr>
                <w:noProof/>
                <w:webHidden/>
              </w:rPr>
            </w:r>
            <w:r w:rsidR="002469C4" w:rsidRPr="00666B16">
              <w:rPr>
                <w:noProof/>
                <w:webHidden/>
              </w:rPr>
              <w:fldChar w:fldCharType="separate"/>
            </w:r>
            <w:r w:rsidR="002A5906">
              <w:rPr>
                <w:noProof/>
                <w:webHidden/>
              </w:rPr>
              <w:t>6</w:t>
            </w:r>
            <w:r w:rsidR="002469C4" w:rsidRPr="00666B16">
              <w:rPr>
                <w:noProof/>
                <w:webHidden/>
              </w:rPr>
              <w:fldChar w:fldCharType="end"/>
            </w:r>
          </w:hyperlink>
        </w:p>
        <w:p w:rsidR="002469C4" w:rsidRPr="00666B16" w:rsidRDefault="00603B7D">
          <w:pPr>
            <w:pStyle w:val="TOC1"/>
            <w:tabs>
              <w:tab w:val="left" w:pos="440"/>
              <w:tab w:val="right" w:pos="9627"/>
            </w:tabs>
            <w:rPr>
              <w:rFonts w:eastAsiaTheme="minorEastAsia"/>
              <w:noProof/>
              <w:color w:val="auto"/>
            </w:rPr>
          </w:pPr>
          <w:hyperlink w:anchor="_Toc52784349" w:history="1">
            <w:r w:rsidR="002469C4" w:rsidRPr="00666B16">
              <w:rPr>
                <w:rStyle w:val="Hyperlink"/>
                <w:bCs/>
                <w:noProof/>
                <w:u w:color="000000"/>
              </w:rPr>
              <w:t>6</w:t>
            </w:r>
            <w:r w:rsidR="002469C4" w:rsidRPr="00666B16">
              <w:rPr>
                <w:rFonts w:eastAsiaTheme="minorEastAsia"/>
                <w:noProof/>
                <w:color w:val="auto"/>
              </w:rPr>
              <w:tab/>
            </w:r>
            <w:r w:rsidR="002469C4" w:rsidRPr="00666B16">
              <w:rPr>
                <w:rStyle w:val="Hyperlink"/>
                <w:noProof/>
              </w:rPr>
              <w:t>Principles of Risk Assessment and Management</w:t>
            </w:r>
            <w:r w:rsidR="002469C4" w:rsidRPr="00666B16">
              <w:rPr>
                <w:noProof/>
                <w:webHidden/>
              </w:rPr>
              <w:tab/>
            </w:r>
            <w:r w:rsidR="002469C4" w:rsidRPr="00666B16">
              <w:rPr>
                <w:noProof/>
                <w:webHidden/>
              </w:rPr>
              <w:fldChar w:fldCharType="begin"/>
            </w:r>
            <w:r w:rsidR="002469C4" w:rsidRPr="00666B16">
              <w:rPr>
                <w:noProof/>
                <w:webHidden/>
              </w:rPr>
              <w:instrText xml:space="preserve"> PAGEREF _Toc52784349 \h </w:instrText>
            </w:r>
            <w:r w:rsidR="002469C4" w:rsidRPr="00666B16">
              <w:rPr>
                <w:noProof/>
                <w:webHidden/>
              </w:rPr>
            </w:r>
            <w:r w:rsidR="002469C4" w:rsidRPr="00666B16">
              <w:rPr>
                <w:noProof/>
                <w:webHidden/>
              </w:rPr>
              <w:fldChar w:fldCharType="separate"/>
            </w:r>
            <w:r w:rsidR="002A5906">
              <w:rPr>
                <w:noProof/>
                <w:webHidden/>
              </w:rPr>
              <w:t>7</w:t>
            </w:r>
            <w:r w:rsidR="002469C4" w:rsidRPr="00666B16">
              <w:rPr>
                <w:noProof/>
                <w:webHidden/>
              </w:rPr>
              <w:fldChar w:fldCharType="end"/>
            </w:r>
          </w:hyperlink>
        </w:p>
        <w:p w:rsidR="002469C4" w:rsidRPr="00666B16" w:rsidRDefault="00603B7D">
          <w:pPr>
            <w:pStyle w:val="TOC1"/>
            <w:tabs>
              <w:tab w:val="left" w:pos="440"/>
              <w:tab w:val="right" w:pos="9627"/>
            </w:tabs>
            <w:rPr>
              <w:rFonts w:eastAsiaTheme="minorEastAsia"/>
              <w:noProof/>
              <w:color w:val="auto"/>
            </w:rPr>
          </w:pPr>
          <w:hyperlink w:anchor="_Toc52784350" w:history="1">
            <w:r w:rsidR="002469C4" w:rsidRPr="00666B16">
              <w:rPr>
                <w:rStyle w:val="Hyperlink"/>
                <w:noProof/>
              </w:rPr>
              <w:t>9</w:t>
            </w:r>
            <w:r w:rsidR="002469C4" w:rsidRPr="00666B16">
              <w:rPr>
                <w:rFonts w:eastAsiaTheme="minorEastAsia"/>
                <w:noProof/>
                <w:color w:val="auto"/>
              </w:rPr>
              <w:tab/>
            </w:r>
            <w:r w:rsidR="002469C4" w:rsidRPr="00666B16">
              <w:rPr>
                <w:rStyle w:val="Hyperlink"/>
                <w:noProof/>
              </w:rPr>
              <w:t>Monitoring, Compliance and Review</w:t>
            </w:r>
            <w:r w:rsidR="002469C4" w:rsidRPr="00666B16">
              <w:rPr>
                <w:noProof/>
                <w:webHidden/>
              </w:rPr>
              <w:tab/>
            </w:r>
            <w:r w:rsidR="002469C4" w:rsidRPr="00666B16">
              <w:rPr>
                <w:noProof/>
                <w:webHidden/>
              </w:rPr>
              <w:fldChar w:fldCharType="begin"/>
            </w:r>
            <w:r w:rsidR="002469C4" w:rsidRPr="00666B16">
              <w:rPr>
                <w:noProof/>
                <w:webHidden/>
              </w:rPr>
              <w:instrText xml:space="preserve"> PAGEREF _Toc52784350 \h </w:instrText>
            </w:r>
            <w:r w:rsidR="002469C4" w:rsidRPr="00666B16">
              <w:rPr>
                <w:noProof/>
                <w:webHidden/>
              </w:rPr>
            </w:r>
            <w:r w:rsidR="002469C4" w:rsidRPr="00666B16">
              <w:rPr>
                <w:noProof/>
                <w:webHidden/>
              </w:rPr>
              <w:fldChar w:fldCharType="separate"/>
            </w:r>
            <w:r w:rsidR="002A5906">
              <w:rPr>
                <w:noProof/>
                <w:webHidden/>
              </w:rPr>
              <w:t>11</w:t>
            </w:r>
            <w:r w:rsidR="002469C4" w:rsidRPr="00666B16">
              <w:rPr>
                <w:noProof/>
                <w:webHidden/>
              </w:rPr>
              <w:fldChar w:fldCharType="end"/>
            </w:r>
          </w:hyperlink>
        </w:p>
        <w:p w:rsidR="002469C4" w:rsidRPr="00666B16" w:rsidRDefault="00603B7D">
          <w:pPr>
            <w:pStyle w:val="TOC1"/>
            <w:tabs>
              <w:tab w:val="left" w:pos="660"/>
              <w:tab w:val="right" w:pos="9627"/>
            </w:tabs>
            <w:rPr>
              <w:rFonts w:eastAsiaTheme="minorEastAsia"/>
              <w:noProof/>
              <w:color w:val="auto"/>
            </w:rPr>
          </w:pPr>
          <w:hyperlink w:anchor="_Toc52784351" w:history="1">
            <w:r w:rsidR="002469C4" w:rsidRPr="00666B16">
              <w:rPr>
                <w:rStyle w:val="Hyperlink"/>
                <w:noProof/>
              </w:rPr>
              <w:t>10</w:t>
            </w:r>
            <w:r w:rsidR="002469C4" w:rsidRPr="00666B16">
              <w:rPr>
                <w:rFonts w:eastAsiaTheme="minorEastAsia"/>
                <w:noProof/>
                <w:color w:val="auto"/>
              </w:rPr>
              <w:t xml:space="preserve">    </w:t>
            </w:r>
            <w:r w:rsidR="002469C4" w:rsidRPr="00666B16">
              <w:rPr>
                <w:rStyle w:val="Hyperlink"/>
                <w:noProof/>
              </w:rPr>
              <w:t>References</w:t>
            </w:r>
            <w:r w:rsidR="002469C4" w:rsidRPr="00666B16">
              <w:rPr>
                <w:noProof/>
                <w:webHidden/>
              </w:rPr>
              <w:tab/>
            </w:r>
            <w:r w:rsidR="002469C4" w:rsidRPr="00666B16">
              <w:rPr>
                <w:noProof/>
                <w:webHidden/>
              </w:rPr>
              <w:fldChar w:fldCharType="begin"/>
            </w:r>
            <w:r w:rsidR="002469C4" w:rsidRPr="00666B16">
              <w:rPr>
                <w:noProof/>
                <w:webHidden/>
              </w:rPr>
              <w:instrText xml:space="preserve"> PAGEREF _Toc52784351 \h </w:instrText>
            </w:r>
            <w:r w:rsidR="002469C4" w:rsidRPr="00666B16">
              <w:rPr>
                <w:noProof/>
                <w:webHidden/>
              </w:rPr>
            </w:r>
            <w:r w:rsidR="002469C4" w:rsidRPr="00666B16">
              <w:rPr>
                <w:noProof/>
                <w:webHidden/>
              </w:rPr>
              <w:fldChar w:fldCharType="separate"/>
            </w:r>
            <w:r w:rsidR="002A5906">
              <w:rPr>
                <w:noProof/>
                <w:webHidden/>
              </w:rPr>
              <w:t>13</w:t>
            </w:r>
            <w:r w:rsidR="002469C4" w:rsidRPr="00666B16">
              <w:rPr>
                <w:noProof/>
                <w:webHidden/>
              </w:rPr>
              <w:fldChar w:fldCharType="end"/>
            </w:r>
          </w:hyperlink>
        </w:p>
        <w:p w:rsidR="00EE4F3C" w:rsidRPr="00666B16" w:rsidRDefault="00410AC0">
          <w:r w:rsidRPr="00666B16">
            <w:fldChar w:fldCharType="end"/>
          </w:r>
        </w:p>
      </w:sdtContent>
    </w:sdt>
    <w:p w:rsidR="00EE4F3C" w:rsidRPr="00666B16" w:rsidRDefault="00410AC0">
      <w:pPr>
        <w:spacing w:after="0" w:line="259" w:lineRule="auto"/>
        <w:ind w:left="0" w:firstLine="0"/>
      </w:pPr>
      <w:r w:rsidRPr="00666B16">
        <w:t xml:space="preserve"> </w:t>
      </w:r>
    </w:p>
    <w:p w:rsidR="00EE4F3C" w:rsidRPr="00666B16" w:rsidRDefault="00410AC0">
      <w:pPr>
        <w:spacing w:after="0" w:line="259" w:lineRule="auto"/>
        <w:ind w:left="0" w:firstLine="0"/>
      </w:pPr>
      <w:r w:rsidRPr="00666B16">
        <w:rPr>
          <w:rFonts w:eastAsia="Times New Roman"/>
        </w:rPr>
        <w:t xml:space="preserve"> </w:t>
      </w:r>
    </w:p>
    <w:p w:rsidR="00676802" w:rsidRPr="00666B16" w:rsidRDefault="00676802">
      <w:pPr>
        <w:spacing w:after="0" w:line="259" w:lineRule="auto"/>
        <w:ind w:left="0" w:firstLine="0"/>
      </w:pPr>
    </w:p>
    <w:p w:rsidR="00676802" w:rsidRPr="00666B16" w:rsidRDefault="00676802">
      <w:pPr>
        <w:spacing w:after="0" w:line="259" w:lineRule="auto"/>
        <w:ind w:left="0" w:firstLine="0"/>
      </w:pPr>
    </w:p>
    <w:p w:rsidR="00676802" w:rsidRPr="00666B16" w:rsidRDefault="00676802">
      <w:pPr>
        <w:spacing w:after="0" w:line="259" w:lineRule="auto"/>
        <w:ind w:left="0" w:firstLine="0"/>
      </w:pPr>
    </w:p>
    <w:p w:rsidR="00676802" w:rsidRPr="00666B16" w:rsidRDefault="00676802">
      <w:pPr>
        <w:spacing w:after="0" w:line="259" w:lineRule="auto"/>
        <w:ind w:left="0" w:firstLine="0"/>
      </w:pPr>
    </w:p>
    <w:p w:rsidR="00676802" w:rsidRPr="00666B16" w:rsidRDefault="00676802">
      <w:pPr>
        <w:spacing w:after="0" w:line="259" w:lineRule="auto"/>
        <w:ind w:left="0" w:firstLine="0"/>
      </w:pPr>
    </w:p>
    <w:p w:rsidR="00676802" w:rsidRPr="00666B16" w:rsidRDefault="00676802">
      <w:pPr>
        <w:spacing w:after="0" w:line="259" w:lineRule="auto"/>
        <w:ind w:left="0" w:firstLine="0"/>
      </w:pPr>
    </w:p>
    <w:p w:rsidR="00EE4F3C" w:rsidRPr="00666B16" w:rsidRDefault="00410AC0">
      <w:pPr>
        <w:spacing w:after="0" w:line="259" w:lineRule="auto"/>
        <w:ind w:left="0" w:firstLine="0"/>
      </w:pPr>
      <w:r w:rsidRPr="00666B16">
        <w:t xml:space="preserve"> </w:t>
      </w:r>
    </w:p>
    <w:p w:rsidR="00EE4F3C" w:rsidRPr="00666B16" w:rsidRDefault="00410AC0">
      <w:pPr>
        <w:spacing w:after="0" w:line="259" w:lineRule="auto"/>
        <w:ind w:left="0" w:firstLine="0"/>
      </w:pPr>
      <w:r w:rsidRPr="00666B16">
        <w:t xml:space="preserve"> </w:t>
      </w:r>
    </w:p>
    <w:p w:rsidR="00EE4F3C" w:rsidRPr="00666B16" w:rsidRDefault="00410AC0">
      <w:pPr>
        <w:spacing w:after="0" w:line="259" w:lineRule="auto"/>
        <w:ind w:left="0" w:firstLine="0"/>
      </w:pPr>
      <w:r w:rsidRPr="00666B16">
        <w:t xml:space="preserve"> </w:t>
      </w:r>
    </w:p>
    <w:p w:rsidR="00EE4F3C" w:rsidRPr="00666B16" w:rsidRDefault="00410AC0">
      <w:pPr>
        <w:spacing w:after="0" w:line="259" w:lineRule="auto"/>
        <w:ind w:left="0" w:firstLine="0"/>
      </w:pPr>
      <w:r w:rsidRPr="00666B16">
        <w:t xml:space="preserve"> </w:t>
      </w:r>
    </w:p>
    <w:p w:rsidR="00EE4F3C" w:rsidRPr="00666B16" w:rsidRDefault="00410AC0">
      <w:pPr>
        <w:spacing w:after="0" w:line="259" w:lineRule="auto"/>
        <w:ind w:left="0" w:firstLine="0"/>
      </w:pPr>
      <w:r w:rsidRPr="00666B16">
        <w:t xml:space="preserve"> </w:t>
      </w:r>
    </w:p>
    <w:p w:rsidR="00EE4F3C" w:rsidRPr="00666B16" w:rsidRDefault="00410AC0">
      <w:pPr>
        <w:spacing w:after="0" w:line="259" w:lineRule="auto"/>
        <w:ind w:left="0" w:firstLine="0"/>
      </w:pPr>
      <w:r w:rsidRPr="00666B16">
        <w:t xml:space="preserve"> </w:t>
      </w: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2469C4" w:rsidRPr="00666B16" w:rsidRDefault="002469C4">
      <w:pPr>
        <w:ind w:left="-5" w:right="10"/>
        <w:rPr>
          <w:b/>
        </w:rPr>
      </w:pPr>
    </w:p>
    <w:p w:rsidR="002469C4" w:rsidRPr="00666B16" w:rsidRDefault="002469C4">
      <w:pPr>
        <w:ind w:left="-5" w:right="10"/>
        <w:rPr>
          <w:b/>
        </w:rPr>
      </w:pPr>
    </w:p>
    <w:p w:rsidR="002469C4" w:rsidRPr="00666B16" w:rsidRDefault="002469C4">
      <w:pPr>
        <w:ind w:left="-5" w:right="10"/>
        <w:rPr>
          <w:b/>
        </w:rPr>
      </w:pPr>
    </w:p>
    <w:p w:rsidR="002469C4" w:rsidRPr="00666B16" w:rsidRDefault="002469C4">
      <w:pPr>
        <w:ind w:left="-5" w:right="10"/>
        <w:rPr>
          <w:b/>
        </w:rPr>
      </w:pPr>
    </w:p>
    <w:p w:rsidR="002469C4" w:rsidRPr="00666B16" w:rsidRDefault="002469C4">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676802" w:rsidRPr="00666B16" w:rsidRDefault="00676802">
      <w:pPr>
        <w:ind w:left="-5" w:right="10"/>
        <w:rPr>
          <w:b/>
        </w:rPr>
      </w:pPr>
    </w:p>
    <w:p w:rsidR="00EE4F3C" w:rsidRPr="00666B16" w:rsidRDefault="00410AC0">
      <w:pPr>
        <w:ind w:left="-5" w:right="10"/>
      </w:pPr>
      <w:r w:rsidRPr="00666B16">
        <w:rPr>
          <w:b/>
        </w:rPr>
        <w:t xml:space="preserve">Executive Summary </w:t>
      </w:r>
    </w:p>
    <w:p w:rsidR="00EE4F3C" w:rsidRPr="00666B16" w:rsidRDefault="00410AC0">
      <w:pPr>
        <w:spacing w:after="0" w:line="259" w:lineRule="auto"/>
        <w:ind w:left="0" w:firstLine="0"/>
      </w:pPr>
      <w:r w:rsidRPr="00666B16">
        <w:rPr>
          <w:b/>
        </w:rPr>
        <w:t xml:space="preserve"> </w:t>
      </w:r>
      <w:r w:rsidRPr="00666B16">
        <w:rPr>
          <w:b/>
        </w:rPr>
        <w:tab/>
        <w:t xml:space="preserve"> </w:t>
      </w:r>
    </w:p>
    <w:p w:rsidR="00EE4F3C" w:rsidRPr="00666B16" w:rsidRDefault="00410AC0">
      <w:pPr>
        <w:ind w:left="-5" w:right="10"/>
      </w:pPr>
      <w:r w:rsidRPr="00666B16">
        <w:t xml:space="preserve">The focus of this policy is on the principles of clinical risk assessment and management in the </w:t>
      </w:r>
      <w:r w:rsidRPr="00666B16">
        <w:tab/>
        <w:t xml:space="preserve">secondary mental health care provided by East London Foundation Trust.  </w:t>
      </w:r>
    </w:p>
    <w:p w:rsidR="00EE4F3C" w:rsidRPr="00666B16" w:rsidRDefault="00410AC0">
      <w:pPr>
        <w:spacing w:after="0" w:line="259" w:lineRule="auto"/>
        <w:ind w:left="0" w:firstLine="0"/>
      </w:pPr>
      <w:r w:rsidRPr="00666B16">
        <w:t xml:space="preserve"> </w:t>
      </w:r>
    </w:p>
    <w:p w:rsidR="00EE4F3C" w:rsidRPr="00666B16" w:rsidRDefault="00410AC0">
      <w:pPr>
        <w:ind w:left="-5" w:right="10"/>
      </w:pPr>
      <w:r w:rsidRPr="00666B16">
        <w:t xml:space="preserve">All staff involved in direct clinical care should have a good </w:t>
      </w:r>
      <w:r w:rsidR="004E4191" w:rsidRPr="00666B16">
        <w:t xml:space="preserve">understanding of the </w:t>
      </w:r>
      <w:proofErr w:type="spellStart"/>
      <w:r w:rsidR="004E4191" w:rsidRPr="00666B16">
        <w:t>principles</w:t>
      </w:r>
      <w:proofErr w:type="spellEnd"/>
      <w:r w:rsidRPr="00666B16">
        <w:tab/>
        <w:t>involved in clinical risk assessment, the requirements of their rol</w:t>
      </w:r>
      <w:r w:rsidR="004E4191" w:rsidRPr="00666B16">
        <w:t xml:space="preserve">e in relation to these and the </w:t>
      </w:r>
      <w:r w:rsidRPr="00666B16">
        <w:tab/>
        <w:t xml:space="preserve">availability of guidance and tools with which to enable them to fulfil their responsibility in  </w:t>
      </w:r>
      <w:r w:rsidRPr="00666B16">
        <w:tab/>
        <w:t xml:space="preserve">relation to this aspect of their work.  </w:t>
      </w:r>
    </w:p>
    <w:p w:rsidR="00EE4F3C" w:rsidRPr="00666B16" w:rsidRDefault="00410AC0">
      <w:pPr>
        <w:spacing w:after="0" w:line="259" w:lineRule="auto"/>
        <w:ind w:left="0" w:firstLine="0"/>
      </w:pPr>
      <w:r w:rsidRPr="00666B16">
        <w:rPr>
          <w:b/>
        </w:rPr>
        <w:t xml:space="preserve"> </w:t>
      </w:r>
    </w:p>
    <w:p w:rsidR="00EE4F3C" w:rsidRPr="00666B16" w:rsidRDefault="00410AC0">
      <w:pPr>
        <w:ind w:left="-5" w:right="10"/>
      </w:pPr>
      <w:r w:rsidRPr="00666B16">
        <w:rPr>
          <w:b/>
        </w:rPr>
        <w:tab/>
      </w:r>
      <w:r w:rsidRPr="00666B16">
        <w:t xml:space="preserve">Good risk management is underpinned by widely </w:t>
      </w:r>
      <w:r w:rsidR="004E4191" w:rsidRPr="00666B16">
        <w:t xml:space="preserve">acknowledged principles for the </w:t>
      </w:r>
      <w:r w:rsidRPr="00666B16">
        <w:tab/>
        <w:t xml:space="preserve">assessment and management of risk that are evidence-based.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spacing w:after="0" w:line="259" w:lineRule="auto"/>
        <w:ind w:left="0" w:firstLine="0"/>
        <w:rPr>
          <w:b/>
        </w:rPr>
      </w:pPr>
      <w:r w:rsidRPr="00666B16">
        <w:rPr>
          <w:b/>
        </w:rPr>
        <w:t xml:space="preserve"> </w:t>
      </w: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4E4191" w:rsidRPr="00666B16" w:rsidRDefault="004E4191">
      <w:pPr>
        <w:spacing w:after="0" w:line="259" w:lineRule="auto"/>
        <w:ind w:left="0" w:firstLine="0"/>
        <w:rPr>
          <w:b/>
        </w:rPr>
      </w:pPr>
    </w:p>
    <w:p w:rsidR="00EE4F3C" w:rsidRPr="009C53E0" w:rsidRDefault="00410AC0" w:rsidP="009C53E0">
      <w:pPr>
        <w:pStyle w:val="Heading1"/>
        <w:ind w:left="567" w:hanging="582"/>
        <w:jc w:val="both"/>
      </w:pPr>
      <w:bookmarkStart w:id="0" w:name="_Toc52784344"/>
      <w:r w:rsidRPr="009C53E0">
        <w:t>Introduction</w:t>
      </w:r>
      <w:bookmarkEnd w:id="0"/>
      <w:r w:rsidRPr="009C53E0">
        <w:t xml:space="preserve"> </w:t>
      </w:r>
    </w:p>
    <w:p w:rsidR="00EE4F3C" w:rsidRPr="009C53E0" w:rsidRDefault="00410AC0" w:rsidP="009C53E0">
      <w:pPr>
        <w:spacing w:after="0" w:line="259" w:lineRule="auto"/>
        <w:ind w:left="0" w:firstLine="0"/>
        <w:jc w:val="both"/>
      </w:pPr>
      <w:r w:rsidRPr="009C53E0">
        <w:rPr>
          <w:b/>
        </w:rPr>
        <w:t xml:space="preserve"> </w:t>
      </w:r>
      <w:r w:rsidRPr="009C53E0">
        <w:rPr>
          <w:b/>
        </w:rPr>
        <w:tab/>
        <w:t xml:space="preserve"> </w:t>
      </w:r>
    </w:p>
    <w:p w:rsidR="00EE4F3C" w:rsidRPr="009C53E0" w:rsidRDefault="00410AC0" w:rsidP="009C53E0">
      <w:pPr>
        <w:ind w:left="567" w:right="10" w:hanging="582"/>
        <w:jc w:val="both"/>
      </w:pPr>
      <w:r w:rsidRPr="009C53E0">
        <w:rPr>
          <w:b/>
        </w:rPr>
        <w:t xml:space="preserve"> </w:t>
      </w:r>
      <w:r w:rsidRPr="009C53E0">
        <w:rPr>
          <w:b/>
        </w:rPr>
        <w:tab/>
      </w:r>
      <w:r w:rsidRPr="009C53E0">
        <w:t>Dealing with clinical risk is an essential and unavoidable aspect</w:t>
      </w:r>
      <w:r w:rsidR="004E4191" w:rsidRPr="009C53E0">
        <w:t xml:space="preserve"> of the work of mental health </w:t>
      </w:r>
      <w:r w:rsidRPr="009C53E0">
        <w:t xml:space="preserve">practitioners and risk management is a core component of </w:t>
      </w:r>
      <w:r w:rsidR="004E4191" w:rsidRPr="009C53E0">
        <w:t xml:space="preserve">mental healthcare and the Care </w:t>
      </w:r>
      <w:r w:rsidRPr="009C53E0">
        <w:t>Programme Approach. It is important that all clinical staff are familiar with the principles of good practice which underpin effective risk management. Clinical risk in mental health covers a broad spectrum of risk which includes risk of suicide, sel</w:t>
      </w:r>
      <w:r w:rsidR="002469C4" w:rsidRPr="009C53E0">
        <w:t xml:space="preserve">f-neglect, harm to self and/or </w:t>
      </w:r>
      <w:r w:rsidRPr="009C53E0">
        <w:t xml:space="preserve">others and requires practitioners to help patients manage their </w:t>
      </w:r>
      <w:r w:rsidR="002469C4" w:rsidRPr="009C53E0">
        <w:t xml:space="preserve">behaviour in relation to these </w:t>
      </w:r>
      <w:r w:rsidRPr="009C53E0">
        <w:t xml:space="preserve">sorts of risks.  </w:t>
      </w:r>
    </w:p>
    <w:p w:rsidR="00EE4F3C" w:rsidRPr="009C53E0" w:rsidRDefault="00410AC0" w:rsidP="009C53E0">
      <w:pPr>
        <w:spacing w:after="0" w:line="259" w:lineRule="auto"/>
        <w:ind w:left="0" w:firstLine="0"/>
        <w:jc w:val="both"/>
      </w:pPr>
      <w:r w:rsidRPr="009C53E0">
        <w:rPr>
          <w:b/>
        </w:rPr>
        <w:t xml:space="preserve"> </w:t>
      </w:r>
      <w:r w:rsidRPr="009C53E0">
        <w:rPr>
          <w:b/>
        </w:rPr>
        <w:tab/>
        <w:t xml:space="preserve"> </w:t>
      </w:r>
    </w:p>
    <w:p w:rsidR="00EE4F3C" w:rsidRPr="009C53E0" w:rsidRDefault="00410AC0" w:rsidP="009C53E0">
      <w:pPr>
        <w:pStyle w:val="Heading1"/>
        <w:ind w:left="525" w:hanging="540"/>
        <w:jc w:val="both"/>
      </w:pPr>
      <w:bookmarkStart w:id="1" w:name="_Toc52784345"/>
      <w:r w:rsidRPr="009C53E0">
        <w:t>Purpose</w:t>
      </w:r>
      <w:bookmarkEnd w:id="1"/>
      <w:r w:rsidRPr="009C53E0">
        <w:t xml:space="preserve"> </w:t>
      </w:r>
    </w:p>
    <w:p w:rsidR="00EE4F3C" w:rsidRPr="009C53E0" w:rsidRDefault="00410AC0" w:rsidP="009C53E0">
      <w:pPr>
        <w:spacing w:after="0" w:line="259" w:lineRule="auto"/>
        <w:ind w:left="0" w:firstLine="0"/>
        <w:jc w:val="both"/>
      </w:pPr>
      <w:r w:rsidRPr="009C53E0">
        <w:rPr>
          <w:b/>
        </w:rPr>
        <w:t xml:space="preserve"> </w:t>
      </w:r>
      <w:r w:rsidRPr="009C53E0">
        <w:rPr>
          <w:b/>
        </w:rPr>
        <w:tab/>
        <w:t xml:space="preserve"> </w:t>
      </w:r>
    </w:p>
    <w:p w:rsidR="00EE4F3C" w:rsidRPr="009C53E0" w:rsidRDefault="00410AC0" w:rsidP="009C53E0">
      <w:pPr>
        <w:ind w:left="567" w:right="10" w:hanging="582"/>
        <w:jc w:val="both"/>
      </w:pPr>
      <w:r w:rsidRPr="009C53E0">
        <w:rPr>
          <w:b/>
        </w:rPr>
        <w:tab/>
      </w:r>
      <w:r w:rsidRPr="009C53E0">
        <w:t>The purpose of this policy is to promote a thorough, consistent and high standard of practic</w:t>
      </w:r>
      <w:r w:rsidR="004E4191" w:rsidRPr="009C53E0">
        <w:t xml:space="preserve">e </w:t>
      </w:r>
      <w:r w:rsidRPr="009C53E0">
        <w:t>with</w:t>
      </w:r>
      <w:r w:rsidR="004E4191" w:rsidRPr="009C53E0">
        <w:t xml:space="preserve"> </w:t>
      </w:r>
      <w:r w:rsidRPr="009C53E0">
        <w:t>regards to clinical risk assessment and manageme</w:t>
      </w:r>
      <w:r w:rsidR="004E4191" w:rsidRPr="009C53E0">
        <w:t xml:space="preserve">nt in order that staff and the </w:t>
      </w:r>
      <w:r w:rsidRPr="009C53E0">
        <w:t>organisation can effectively manage clinical risk thereby incre</w:t>
      </w:r>
      <w:r w:rsidR="004E4191" w:rsidRPr="009C53E0">
        <w:t xml:space="preserve">asing safety to patients, their </w:t>
      </w:r>
      <w:r w:rsidRPr="009C53E0">
        <w:t>family and carers, staff and members of the public. The policy also aim</w:t>
      </w:r>
      <w:r w:rsidR="004E4191" w:rsidRPr="009C53E0">
        <w:t xml:space="preserve">s to clarify the roles </w:t>
      </w:r>
      <w:r w:rsidRPr="009C53E0">
        <w:t xml:space="preserve">and responsibilities of different staff groups in relation to risk assessment and management.  </w:t>
      </w:r>
    </w:p>
    <w:p w:rsidR="00EE4F3C" w:rsidRPr="009C53E0" w:rsidRDefault="00410AC0" w:rsidP="009C53E0">
      <w:pPr>
        <w:spacing w:after="0" w:line="259" w:lineRule="auto"/>
        <w:ind w:left="567" w:hanging="582"/>
        <w:jc w:val="both"/>
      </w:pPr>
      <w:r w:rsidRPr="009C53E0">
        <w:t xml:space="preserve"> </w:t>
      </w:r>
      <w:r w:rsidRPr="009C53E0">
        <w:tab/>
        <w:t xml:space="preserve"> </w:t>
      </w:r>
    </w:p>
    <w:p w:rsidR="00EE4F3C" w:rsidRPr="009C53E0" w:rsidRDefault="00410AC0" w:rsidP="009C53E0">
      <w:pPr>
        <w:ind w:left="567" w:right="10" w:hanging="582"/>
        <w:jc w:val="both"/>
      </w:pPr>
      <w:r w:rsidRPr="009C53E0">
        <w:t xml:space="preserve"> </w:t>
      </w:r>
      <w:r w:rsidR="004E4191" w:rsidRPr="009C53E0">
        <w:tab/>
      </w:r>
      <w:r w:rsidRPr="009C53E0">
        <w:t>Patients under the care of the Trust should be reassured that cl</w:t>
      </w:r>
      <w:r w:rsidR="004E4191" w:rsidRPr="009C53E0">
        <w:t xml:space="preserve">inical risks presented by them </w:t>
      </w:r>
      <w:r w:rsidRPr="009C53E0">
        <w:t xml:space="preserve">will be assessed and reviewed as often as is necessary </w:t>
      </w:r>
      <w:r w:rsidR="004E4191" w:rsidRPr="009C53E0">
        <w:t xml:space="preserve">to ensure that those risks are </w:t>
      </w:r>
      <w:r w:rsidRPr="009C53E0">
        <w:t xml:space="preserve">managed safely and effectively throughout their care spell, regardless of the care setting. </w:t>
      </w:r>
      <w:r w:rsidRPr="009C53E0">
        <w:rPr>
          <w:b/>
        </w:rPr>
        <w:t xml:space="preserve"> </w:t>
      </w:r>
    </w:p>
    <w:p w:rsidR="00EE4F3C" w:rsidRPr="009C53E0" w:rsidRDefault="00410AC0" w:rsidP="009C53E0">
      <w:pPr>
        <w:spacing w:after="0" w:line="259" w:lineRule="auto"/>
        <w:ind w:left="567" w:hanging="582"/>
        <w:jc w:val="both"/>
      </w:pPr>
      <w:r w:rsidRPr="009C53E0">
        <w:rPr>
          <w:b/>
        </w:rPr>
        <w:t xml:space="preserve"> </w:t>
      </w:r>
      <w:r w:rsidRPr="009C53E0">
        <w:rPr>
          <w:b/>
        </w:rPr>
        <w:tab/>
        <w:t xml:space="preserve"> </w:t>
      </w:r>
    </w:p>
    <w:p w:rsidR="00EE4F3C" w:rsidRPr="009C53E0" w:rsidRDefault="00410AC0" w:rsidP="009C53E0">
      <w:pPr>
        <w:pStyle w:val="Heading1"/>
        <w:ind w:left="567" w:hanging="582"/>
        <w:jc w:val="both"/>
      </w:pPr>
      <w:bookmarkStart w:id="2" w:name="_Toc52784346"/>
      <w:r w:rsidRPr="009C53E0">
        <w:t>Scope</w:t>
      </w:r>
      <w:bookmarkEnd w:id="2"/>
      <w:r w:rsidRPr="009C53E0">
        <w:t xml:space="preserve"> </w:t>
      </w:r>
    </w:p>
    <w:p w:rsidR="00EE4F3C" w:rsidRPr="009C53E0" w:rsidRDefault="00410AC0" w:rsidP="009C53E0">
      <w:pPr>
        <w:spacing w:after="0" w:line="259" w:lineRule="auto"/>
        <w:ind w:left="567" w:hanging="582"/>
        <w:jc w:val="both"/>
      </w:pPr>
      <w:r w:rsidRPr="009C53E0">
        <w:rPr>
          <w:b/>
        </w:rPr>
        <w:t xml:space="preserve"> </w:t>
      </w:r>
    </w:p>
    <w:p w:rsidR="00EE4F3C" w:rsidRPr="009C53E0" w:rsidRDefault="00410AC0" w:rsidP="009C53E0">
      <w:pPr>
        <w:ind w:left="567" w:right="10" w:firstLine="0"/>
        <w:jc w:val="both"/>
      </w:pPr>
      <w:r w:rsidRPr="009C53E0">
        <w:t>This policy and procedure applies to mental health staff</w:t>
      </w:r>
      <w:r w:rsidRPr="009C53E0">
        <w:rPr>
          <w:i/>
        </w:rPr>
        <w:t xml:space="preserve"> </w:t>
      </w:r>
      <w:r w:rsidRPr="009C53E0">
        <w:t xml:space="preserve">practitioners in East London NHS Foundation Trust, regardless of qualifications and experience, who are required to assess and manage clinical risks as a part of their duties, whether on Trust premises or not. </w:t>
      </w:r>
    </w:p>
    <w:p w:rsidR="00EE4F3C" w:rsidRPr="009C53E0" w:rsidRDefault="00410AC0" w:rsidP="009C53E0">
      <w:pPr>
        <w:spacing w:after="0" w:line="259" w:lineRule="auto"/>
        <w:ind w:left="567" w:hanging="582"/>
        <w:jc w:val="both"/>
      </w:pPr>
      <w:r w:rsidRPr="009C53E0">
        <w:rPr>
          <w:b/>
        </w:rPr>
        <w:t xml:space="preserve"> </w:t>
      </w:r>
    </w:p>
    <w:p w:rsidR="00EE4F3C" w:rsidRPr="009C53E0" w:rsidRDefault="00410AC0" w:rsidP="009C53E0">
      <w:pPr>
        <w:pStyle w:val="Heading1"/>
        <w:ind w:left="567" w:hanging="582"/>
        <w:jc w:val="both"/>
      </w:pPr>
      <w:bookmarkStart w:id="3" w:name="_Toc52784347"/>
      <w:r w:rsidRPr="009C53E0">
        <w:t>Duties</w:t>
      </w:r>
      <w:bookmarkEnd w:id="3"/>
      <w:r w:rsidRPr="009C53E0">
        <w:t xml:space="preserve"> </w:t>
      </w:r>
    </w:p>
    <w:p w:rsidR="00EE4F3C" w:rsidRPr="009C53E0" w:rsidRDefault="00410AC0" w:rsidP="009C53E0">
      <w:pPr>
        <w:spacing w:after="0" w:line="259" w:lineRule="auto"/>
        <w:ind w:left="0" w:firstLine="0"/>
        <w:jc w:val="both"/>
      </w:pPr>
      <w:r w:rsidRPr="009C53E0">
        <w:rPr>
          <w:b/>
        </w:rPr>
        <w:t xml:space="preserve"> </w:t>
      </w:r>
    </w:p>
    <w:p w:rsidR="00EE4F3C" w:rsidRPr="009C53E0" w:rsidRDefault="00410AC0" w:rsidP="009C53E0">
      <w:pPr>
        <w:spacing w:after="0" w:line="259" w:lineRule="auto"/>
        <w:ind w:left="1134" w:hanging="567"/>
        <w:jc w:val="both"/>
      </w:pPr>
      <w:r w:rsidRPr="009C53E0">
        <w:t>4.1</w:t>
      </w:r>
      <w:r w:rsidRPr="009C53E0">
        <w:rPr>
          <w:b/>
        </w:rPr>
        <w:t xml:space="preserve"> </w:t>
      </w:r>
      <w:r w:rsidR="004E4191" w:rsidRPr="009C53E0">
        <w:rPr>
          <w:b/>
        </w:rPr>
        <w:tab/>
      </w:r>
      <w:r w:rsidRPr="009C53E0">
        <w:rPr>
          <w:u w:val="single" w:color="000000"/>
        </w:rPr>
        <w:t>The Trust Board</w:t>
      </w:r>
      <w:r w:rsidRPr="009C53E0">
        <w:t xml:space="preserve"> </w:t>
      </w:r>
    </w:p>
    <w:p w:rsidR="00FC5D7D" w:rsidRPr="009C53E0" w:rsidRDefault="00410AC0" w:rsidP="009C53E0">
      <w:pPr>
        <w:ind w:left="1134" w:right="10" w:hanging="1149"/>
        <w:jc w:val="both"/>
      </w:pPr>
      <w:r w:rsidRPr="009C53E0">
        <w:t xml:space="preserve"> </w:t>
      </w:r>
      <w:r w:rsidRPr="009C53E0">
        <w:tab/>
      </w:r>
    </w:p>
    <w:p w:rsidR="00EE4F3C" w:rsidRPr="009C53E0" w:rsidRDefault="00410AC0" w:rsidP="009C53E0">
      <w:pPr>
        <w:ind w:left="1134" w:right="10" w:firstLine="0"/>
        <w:jc w:val="both"/>
      </w:pPr>
      <w:r w:rsidRPr="009C53E0">
        <w:t xml:space="preserve">Has responsibility for ensuring that there is an effective framework in place to assist </w:t>
      </w:r>
      <w:r w:rsidR="00FC5D7D" w:rsidRPr="009C53E0">
        <w:t>s</w:t>
      </w:r>
      <w:r w:rsidRPr="009C53E0">
        <w:t>taff in</w:t>
      </w:r>
      <w:r w:rsidR="00FC5D7D" w:rsidRPr="009C53E0">
        <w:t xml:space="preserve"> </w:t>
      </w:r>
      <w:r w:rsidRPr="009C53E0">
        <w:t xml:space="preserve">the effective management of clinical risk. </w:t>
      </w:r>
    </w:p>
    <w:p w:rsidR="00EE4F3C" w:rsidRPr="009C53E0" w:rsidRDefault="00410AC0" w:rsidP="009C53E0">
      <w:pPr>
        <w:spacing w:after="0" w:line="259" w:lineRule="auto"/>
        <w:ind w:left="0" w:firstLine="0"/>
        <w:jc w:val="both"/>
      </w:pPr>
      <w:r w:rsidRPr="009C53E0">
        <w:t xml:space="preserve"> </w:t>
      </w:r>
    </w:p>
    <w:p w:rsidR="00EE4F3C" w:rsidRPr="009C53E0" w:rsidRDefault="00410AC0" w:rsidP="009C53E0">
      <w:pPr>
        <w:spacing w:after="0" w:line="259" w:lineRule="auto"/>
        <w:ind w:left="1134" w:hanging="567"/>
        <w:jc w:val="both"/>
      </w:pPr>
      <w:r w:rsidRPr="009C53E0">
        <w:t xml:space="preserve">4.2 </w:t>
      </w:r>
      <w:r w:rsidR="00FC5D7D" w:rsidRPr="009C53E0">
        <w:tab/>
      </w:r>
      <w:r w:rsidRPr="009C53E0">
        <w:rPr>
          <w:u w:val="single" w:color="000000"/>
        </w:rPr>
        <w:t>The Chief Executive</w:t>
      </w:r>
      <w:r w:rsidRPr="009C53E0">
        <w:t xml:space="preserve"> </w:t>
      </w:r>
    </w:p>
    <w:p w:rsidR="00FC5D7D" w:rsidRPr="009C53E0" w:rsidRDefault="00410AC0" w:rsidP="009C53E0">
      <w:pPr>
        <w:tabs>
          <w:tab w:val="center" w:pos="3982"/>
        </w:tabs>
        <w:ind w:left="-15" w:firstLine="0"/>
        <w:jc w:val="both"/>
      </w:pPr>
      <w:r w:rsidRPr="009C53E0">
        <w:t xml:space="preserve"> </w:t>
      </w:r>
      <w:r w:rsidRPr="009C53E0">
        <w:tab/>
      </w:r>
      <w:r w:rsidR="00FC5D7D" w:rsidRPr="009C53E0">
        <w:tab/>
      </w:r>
    </w:p>
    <w:p w:rsidR="00EE4F3C" w:rsidRPr="009C53E0" w:rsidRDefault="00FC5D7D" w:rsidP="009C53E0">
      <w:pPr>
        <w:tabs>
          <w:tab w:val="center" w:pos="3982"/>
        </w:tabs>
        <w:ind w:left="1134" w:hanging="1149"/>
        <w:jc w:val="both"/>
      </w:pPr>
      <w:r w:rsidRPr="009C53E0">
        <w:tab/>
      </w:r>
      <w:r w:rsidR="00410AC0" w:rsidRPr="009C53E0">
        <w:t xml:space="preserve">Has overall responsibility for the effective implementation of this policy. </w:t>
      </w:r>
    </w:p>
    <w:p w:rsidR="00EE4F3C" w:rsidRPr="009C53E0" w:rsidRDefault="00410AC0" w:rsidP="009C53E0">
      <w:pPr>
        <w:spacing w:after="0" w:line="259" w:lineRule="auto"/>
        <w:ind w:left="0" w:firstLine="0"/>
        <w:jc w:val="both"/>
      </w:pPr>
      <w:r w:rsidRPr="009C53E0">
        <w:t xml:space="preserve"> </w:t>
      </w:r>
    </w:p>
    <w:p w:rsidR="00EE4F3C" w:rsidRPr="009C53E0" w:rsidRDefault="00410AC0" w:rsidP="009C53E0">
      <w:pPr>
        <w:spacing w:after="0" w:line="259" w:lineRule="auto"/>
        <w:ind w:left="1134" w:hanging="567"/>
        <w:jc w:val="both"/>
      </w:pPr>
      <w:r w:rsidRPr="009C53E0">
        <w:t xml:space="preserve">4.3 </w:t>
      </w:r>
      <w:r w:rsidR="00FC5D7D" w:rsidRPr="009C53E0">
        <w:tab/>
      </w:r>
      <w:r w:rsidRPr="009C53E0">
        <w:rPr>
          <w:u w:val="single" w:color="000000"/>
        </w:rPr>
        <w:t>Clinical and Service Directors</w:t>
      </w:r>
      <w:r w:rsidRPr="009C53E0">
        <w:t xml:space="preserve"> </w:t>
      </w:r>
    </w:p>
    <w:p w:rsidR="00FC5D7D" w:rsidRPr="009C53E0" w:rsidRDefault="00410AC0" w:rsidP="009C53E0">
      <w:pPr>
        <w:ind w:left="1134" w:right="10" w:hanging="567"/>
        <w:jc w:val="both"/>
      </w:pPr>
      <w:r w:rsidRPr="009C53E0">
        <w:t xml:space="preserve"> </w:t>
      </w:r>
      <w:r w:rsidRPr="009C53E0">
        <w:tab/>
      </w:r>
    </w:p>
    <w:p w:rsidR="00EE4F3C" w:rsidRPr="009C53E0" w:rsidRDefault="00410AC0" w:rsidP="009C53E0">
      <w:pPr>
        <w:ind w:left="1134" w:right="10" w:firstLine="0"/>
        <w:jc w:val="both"/>
      </w:pPr>
      <w:r w:rsidRPr="009C53E0">
        <w:t>Have a responsibility for ensuring that all their clinical practitioners are adequately trained and skilled in clinical risk assessment and management planning and have fulfilled their</w:t>
      </w:r>
      <w:r w:rsidR="00FC5D7D" w:rsidRPr="009C53E0">
        <w:t xml:space="preserve"> </w:t>
      </w:r>
      <w:r w:rsidRPr="009C53E0">
        <w:t>minimum training requirements as specified in the Training Needs Analysis. In addition to this, service directors are responsible for ensuring that clinical staff are receiving regular</w:t>
      </w:r>
      <w:r w:rsidR="00FC5D7D" w:rsidRPr="009C53E0">
        <w:t xml:space="preserve"> </w:t>
      </w:r>
      <w:r w:rsidRPr="009C53E0">
        <w:t xml:space="preserve">supervision and oversight of their clinical work and that this includes monitoring of compliance with the principles and requirements of this policy and any associated </w:t>
      </w:r>
      <w:r w:rsidR="00FC5D7D" w:rsidRPr="009C53E0">
        <w:t>d</w:t>
      </w:r>
      <w:r w:rsidRPr="009C53E0">
        <w:t xml:space="preserve">ocumentation.  </w:t>
      </w:r>
    </w:p>
    <w:p w:rsidR="00EE4F3C" w:rsidRPr="009C53E0" w:rsidRDefault="00410AC0" w:rsidP="009C53E0">
      <w:pPr>
        <w:spacing w:after="0" w:line="259" w:lineRule="auto"/>
        <w:ind w:left="1134" w:hanging="567"/>
        <w:jc w:val="both"/>
        <w:rPr>
          <w:b/>
        </w:rPr>
      </w:pPr>
      <w:r w:rsidRPr="009C53E0">
        <w:rPr>
          <w:b/>
        </w:rPr>
        <w:t xml:space="preserve"> </w:t>
      </w:r>
      <w:r w:rsidRPr="009C53E0">
        <w:rPr>
          <w:b/>
        </w:rPr>
        <w:tab/>
        <w:t xml:space="preserve"> </w:t>
      </w:r>
    </w:p>
    <w:p w:rsidR="001334CC" w:rsidRPr="009C53E0" w:rsidRDefault="001334CC" w:rsidP="009C53E0">
      <w:pPr>
        <w:spacing w:after="0" w:line="259" w:lineRule="auto"/>
        <w:ind w:left="1134" w:hanging="567"/>
        <w:jc w:val="both"/>
      </w:pPr>
    </w:p>
    <w:p w:rsidR="00EE4F3C" w:rsidRPr="009C53E0" w:rsidRDefault="00410AC0" w:rsidP="009C53E0">
      <w:pPr>
        <w:spacing w:after="0" w:line="259" w:lineRule="auto"/>
        <w:ind w:left="1134" w:hanging="567"/>
        <w:jc w:val="both"/>
      </w:pPr>
      <w:r w:rsidRPr="009C53E0">
        <w:t>4.4</w:t>
      </w:r>
      <w:r w:rsidRPr="009C53E0">
        <w:rPr>
          <w:b/>
        </w:rPr>
        <w:t xml:space="preserve"> </w:t>
      </w:r>
      <w:r w:rsidR="00FC5D7D" w:rsidRPr="009C53E0">
        <w:rPr>
          <w:b/>
        </w:rPr>
        <w:tab/>
      </w:r>
      <w:r w:rsidRPr="009C53E0">
        <w:rPr>
          <w:u w:val="single" w:color="000000"/>
        </w:rPr>
        <w:t>Clinical Practitioners</w:t>
      </w:r>
      <w:r w:rsidRPr="009C53E0">
        <w:t xml:space="preserve"> </w:t>
      </w:r>
    </w:p>
    <w:p w:rsidR="00FC5D7D" w:rsidRPr="009C53E0" w:rsidRDefault="00410AC0" w:rsidP="009C53E0">
      <w:pPr>
        <w:ind w:left="1134" w:right="10" w:hanging="567"/>
        <w:jc w:val="both"/>
        <w:rPr>
          <w:b/>
        </w:rPr>
      </w:pPr>
      <w:r w:rsidRPr="009C53E0">
        <w:rPr>
          <w:b/>
        </w:rPr>
        <w:t xml:space="preserve"> </w:t>
      </w:r>
      <w:r w:rsidRPr="009C53E0">
        <w:rPr>
          <w:b/>
        </w:rPr>
        <w:tab/>
      </w:r>
    </w:p>
    <w:p w:rsidR="00EE4F3C" w:rsidRPr="009C53E0" w:rsidRDefault="00410AC0" w:rsidP="009C53E0">
      <w:pPr>
        <w:ind w:left="1134" w:right="10" w:firstLine="0"/>
        <w:jc w:val="both"/>
      </w:pPr>
      <w:r w:rsidRPr="009C53E0">
        <w:t>All practitioners are responsible for ensuring that they are adequately trained and skilled to carry out clinical risk assessments and management planning and have fulfilled their training</w:t>
      </w:r>
      <w:r w:rsidR="00FC5D7D" w:rsidRPr="009C53E0">
        <w:t xml:space="preserve"> </w:t>
      </w:r>
      <w:r w:rsidRPr="009C53E0">
        <w:t>requirements as specified in the Training Needs Analysis. Practitioners also have a duty to ensure they carry out clinical risk assessments and management planning as part of their</w:t>
      </w:r>
      <w:r w:rsidR="00FC5D7D" w:rsidRPr="009C53E0">
        <w:t xml:space="preserve"> </w:t>
      </w:r>
      <w:r w:rsidRPr="009C53E0">
        <w:t>clinical work, in line with the principles contained within this policy and using the Trust’s most</w:t>
      </w:r>
      <w:r w:rsidR="00FC5D7D" w:rsidRPr="009C53E0">
        <w:t xml:space="preserve"> </w:t>
      </w:r>
      <w:r w:rsidRPr="009C53E0">
        <w:t xml:space="preserve">up-to-date tools and templates available on the intranet.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pStyle w:val="Heading1"/>
        <w:ind w:left="567" w:hanging="582"/>
        <w:jc w:val="both"/>
      </w:pPr>
      <w:bookmarkStart w:id="4" w:name="_Toc52784348"/>
      <w:r w:rsidRPr="009C53E0">
        <w:t>Definitions</w:t>
      </w:r>
      <w:bookmarkEnd w:id="4"/>
      <w:r w:rsidRPr="009C53E0">
        <w:t xml:space="preserve">  </w:t>
      </w:r>
    </w:p>
    <w:p w:rsidR="00EE4F3C" w:rsidRPr="009C53E0" w:rsidRDefault="00410AC0" w:rsidP="009C53E0">
      <w:pPr>
        <w:spacing w:after="0" w:line="259" w:lineRule="auto"/>
        <w:ind w:left="0" w:firstLine="0"/>
        <w:jc w:val="both"/>
      </w:pPr>
      <w:r w:rsidRPr="009C53E0">
        <w:rPr>
          <w:b/>
        </w:rPr>
        <w:t xml:space="preserve"> </w:t>
      </w:r>
    </w:p>
    <w:p w:rsidR="00EE4F3C" w:rsidRPr="009C53E0" w:rsidRDefault="00410AC0" w:rsidP="009C53E0">
      <w:pPr>
        <w:spacing w:after="0" w:line="259" w:lineRule="auto"/>
        <w:ind w:left="1134" w:hanging="567"/>
        <w:jc w:val="both"/>
      </w:pPr>
      <w:r w:rsidRPr="009C53E0">
        <w:t xml:space="preserve">5.1 </w:t>
      </w:r>
      <w:r w:rsidR="00FC5D7D" w:rsidRPr="009C53E0">
        <w:tab/>
      </w:r>
      <w:r w:rsidRPr="009C53E0">
        <w:rPr>
          <w:u w:val="single" w:color="000000"/>
        </w:rPr>
        <w:t>Aggression</w:t>
      </w:r>
      <w:r w:rsidRPr="009C53E0">
        <w:t xml:space="preserve"> </w:t>
      </w:r>
    </w:p>
    <w:p w:rsidR="00FC5D7D" w:rsidRPr="009C53E0" w:rsidRDefault="00FC5D7D" w:rsidP="009C53E0">
      <w:pPr>
        <w:ind w:left="1134" w:right="10" w:firstLine="0"/>
        <w:jc w:val="both"/>
      </w:pPr>
    </w:p>
    <w:p w:rsidR="00EE4F3C" w:rsidRPr="009C53E0" w:rsidRDefault="00410AC0" w:rsidP="009C53E0">
      <w:pPr>
        <w:ind w:left="1134" w:right="10" w:firstLine="0"/>
        <w:jc w:val="both"/>
      </w:pPr>
      <w:r w:rsidRPr="009C53E0">
        <w:t xml:space="preserve">A disposition, a willingness to inflict harm, regardless of whether or this is behaviourally or verbally expressed and regardless of whether physical harm is sustained. </w:t>
      </w:r>
    </w:p>
    <w:p w:rsidR="00EE4F3C" w:rsidRPr="009C53E0" w:rsidRDefault="00410AC0" w:rsidP="009C53E0">
      <w:pPr>
        <w:spacing w:after="0" w:line="259" w:lineRule="auto"/>
        <w:ind w:left="1134" w:hanging="567"/>
        <w:jc w:val="both"/>
      </w:pPr>
      <w:r w:rsidRPr="009C53E0">
        <w:rPr>
          <w:b/>
        </w:rPr>
        <w:t xml:space="preserve"> </w:t>
      </w:r>
    </w:p>
    <w:p w:rsidR="00EE4F3C" w:rsidRPr="009C53E0" w:rsidRDefault="00410AC0" w:rsidP="009C53E0">
      <w:pPr>
        <w:spacing w:after="0" w:line="259" w:lineRule="auto"/>
        <w:ind w:left="1134" w:hanging="567"/>
        <w:jc w:val="both"/>
      </w:pPr>
      <w:r w:rsidRPr="009C53E0">
        <w:t xml:space="preserve">5.2 </w:t>
      </w:r>
      <w:r w:rsidR="00FC5D7D" w:rsidRPr="009C53E0">
        <w:tab/>
      </w:r>
      <w:r w:rsidRPr="009C53E0">
        <w:rPr>
          <w:u w:val="single" w:color="000000"/>
        </w:rPr>
        <w:t>Protective Factor</w:t>
      </w:r>
      <w:r w:rsidRPr="009C53E0">
        <w:t xml:space="preserve"> </w:t>
      </w:r>
    </w:p>
    <w:p w:rsidR="00FC5D7D" w:rsidRPr="009C53E0" w:rsidRDefault="00FC5D7D" w:rsidP="009C53E0">
      <w:pPr>
        <w:ind w:left="1134" w:right="10" w:hanging="567"/>
        <w:jc w:val="both"/>
      </w:pPr>
    </w:p>
    <w:p w:rsidR="00EE4F3C" w:rsidRPr="009C53E0" w:rsidRDefault="00410AC0" w:rsidP="009C53E0">
      <w:pPr>
        <w:ind w:left="1134" w:right="10" w:firstLine="0"/>
        <w:jc w:val="both"/>
      </w:pPr>
      <w:r w:rsidRPr="009C53E0">
        <w:t xml:space="preserve">Any circumstance, event, factor with the capacity to prevent or reduce the severity or likelihood of harm to self or others.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spacing w:after="0" w:line="259" w:lineRule="auto"/>
        <w:ind w:left="1134" w:hanging="567"/>
        <w:jc w:val="both"/>
      </w:pPr>
      <w:r w:rsidRPr="009C53E0">
        <w:t xml:space="preserve">5.3 </w:t>
      </w:r>
      <w:r w:rsidR="00FC5D7D" w:rsidRPr="009C53E0">
        <w:tab/>
      </w:r>
      <w:r w:rsidRPr="009C53E0">
        <w:rPr>
          <w:u w:val="single" w:color="000000"/>
        </w:rPr>
        <w:t>Risk</w:t>
      </w:r>
      <w:r w:rsidRPr="009C53E0">
        <w:t xml:space="preserve">  </w:t>
      </w:r>
    </w:p>
    <w:p w:rsidR="00FC5D7D" w:rsidRPr="009C53E0" w:rsidRDefault="00FC5D7D" w:rsidP="009C53E0">
      <w:pPr>
        <w:ind w:left="1134" w:right="10" w:hanging="567"/>
        <w:jc w:val="both"/>
      </w:pPr>
    </w:p>
    <w:p w:rsidR="00EE4F3C" w:rsidRPr="009C53E0" w:rsidRDefault="00410AC0" w:rsidP="009C53E0">
      <w:pPr>
        <w:ind w:left="1134" w:right="10" w:firstLine="0"/>
        <w:jc w:val="both"/>
      </w:pPr>
      <w:r w:rsidRPr="009C53E0">
        <w:t xml:space="preserve">The nature, severity, imminence, frequency/duration and likelihood of harm to self or others. A hazard that is to be identified, measured and ultimately prevented.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spacing w:after="0" w:line="259" w:lineRule="auto"/>
        <w:ind w:left="1134" w:hanging="567"/>
        <w:jc w:val="both"/>
      </w:pPr>
      <w:r w:rsidRPr="009C53E0">
        <w:t xml:space="preserve">5.4 </w:t>
      </w:r>
      <w:r w:rsidR="00FC5D7D" w:rsidRPr="009C53E0">
        <w:tab/>
      </w:r>
      <w:r w:rsidRPr="009C53E0">
        <w:rPr>
          <w:u w:val="single" w:color="000000"/>
        </w:rPr>
        <w:t>Risk Assessment</w:t>
      </w:r>
      <w:r w:rsidRPr="009C53E0">
        <w:t xml:space="preserve">  </w:t>
      </w:r>
    </w:p>
    <w:p w:rsidR="00FC5D7D" w:rsidRPr="009C53E0" w:rsidRDefault="00410AC0" w:rsidP="009C53E0">
      <w:pPr>
        <w:ind w:left="1134" w:right="10" w:hanging="567"/>
        <w:jc w:val="both"/>
      </w:pPr>
      <w:r w:rsidRPr="009C53E0">
        <w:t xml:space="preserve"> </w:t>
      </w:r>
      <w:r w:rsidRPr="009C53E0">
        <w:tab/>
      </w:r>
    </w:p>
    <w:p w:rsidR="00694A0E" w:rsidRPr="009C53E0" w:rsidRDefault="00410AC0" w:rsidP="009C53E0">
      <w:pPr>
        <w:shd w:val="clear" w:color="auto" w:fill="FFFFFF"/>
        <w:spacing w:after="0" w:line="240" w:lineRule="auto"/>
        <w:ind w:left="1134" w:firstLine="0"/>
        <w:jc w:val="both"/>
        <w:textAlignment w:val="baseline"/>
        <w:rPr>
          <w:rFonts w:eastAsia="Times New Roman"/>
          <w:bdr w:val="none" w:sz="0" w:space="0" w:color="auto" w:frame="1"/>
        </w:rPr>
      </w:pPr>
      <w:r w:rsidRPr="009C53E0">
        <w:t>The purpose of gathering information via personal interviews, psychological/medical testing,</w:t>
      </w:r>
      <w:r w:rsidR="00FC5D7D" w:rsidRPr="009C53E0">
        <w:t xml:space="preserve"> </w:t>
      </w:r>
      <w:r w:rsidRPr="009C53E0">
        <w:t xml:space="preserve">review of case records and contact with collateral informants for use in making decisions. </w:t>
      </w:r>
      <w:r w:rsidR="00694A0E" w:rsidRPr="008B49E7">
        <w:rPr>
          <w:rFonts w:eastAsia="Times New Roman"/>
          <w:bdr w:val="none" w:sz="0" w:space="0" w:color="auto" w:frame="1"/>
        </w:rPr>
        <w:t>The assessment should be focussed on the person's needs and how to support their immediate and long-term psychological and physical safety.</w:t>
      </w:r>
    </w:p>
    <w:p w:rsidR="00EE4F3C" w:rsidRPr="009C53E0" w:rsidRDefault="00410AC0" w:rsidP="009C53E0">
      <w:pPr>
        <w:spacing w:after="0" w:line="259" w:lineRule="auto"/>
        <w:ind w:left="0" w:firstLine="0"/>
        <w:jc w:val="both"/>
      </w:pPr>
      <w:r w:rsidRPr="009C53E0">
        <w:t xml:space="preserve"> </w:t>
      </w:r>
    </w:p>
    <w:p w:rsidR="00EE4F3C" w:rsidRPr="009C53E0" w:rsidRDefault="00410AC0" w:rsidP="009C53E0">
      <w:pPr>
        <w:spacing w:after="0" w:line="259" w:lineRule="auto"/>
        <w:ind w:left="1134" w:hanging="567"/>
        <w:jc w:val="both"/>
      </w:pPr>
      <w:r w:rsidRPr="009C53E0">
        <w:t xml:space="preserve">5.5 </w:t>
      </w:r>
      <w:r w:rsidR="00FC5D7D" w:rsidRPr="009C53E0">
        <w:tab/>
      </w:r>
      <w:r w:rsidRPr="009C53E0">
        <w:rPr>
          <w:u w:val="single" w:color="000000"/>
        </w:rPr>
        <w:t>Risk Factor</w:t>
      </w:r>
      <w:r w:rsidRPr="009C53E0">
        <w:t xml:space="preserve">  </w:t>
      </w:r>
    </w:p>
    <w:p w:rsidR="00FC5D7D" w:rsidRPr="009C53E0" w:rsidRDefault="00FC5D7D" w:rsidP="009C53E0">
      <w:pPr>
        <w:ind w:left="1134" w:right="10" w:firstLine="0"/>
        <w:jc w:val="both"/>
      </w:pPr>
    </w:p>
    <w:p w:rsidR="00EE4F3C" w:rsidRPr="009C53E0" w:rsidRDefault="00410AC0" w:rsidP="009C53E0">
      <w:pPr>
        <w:ind w:left="1134" w:right="10" w:firstLine="0"/>
        <w:jc w:val="both"/>
      </w:pPr>
      <w:r w:rsidRPr="009C53E0">
        <w:t xml:space="preserve">A condition or characteristic assumed to have a relationship to the potential to harm another person or self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spacing w:after="0" w:line="259" w:lineRule="auto"/>
        <w:ind w:left="1134" w:hanging="567"/>
        <w:jc w:val="both"/>
      </w:pPr>
      <w:r w:rsidRPr="009C53E0">
        <w:t xml:space="preserve">5.6 </w:t>
      </w:r>
      <w:r w:rsidR="00FC5D7D" w:rsidRPr="009C53E0">
        <w:tab/>
      </w:r>
      <w:r w:rsidRPr="009C53E0">
        <w:rPr>
          <w:u w:val="single" w:color="000000"/>
        </w:rPr>
        <w:t>Risk Formulation</w:t>
      </w:r>
      <w:r w:rsidRPr="009C53E0">
        <w:t xml:space="preserve"> </w:t>
      </w:r>
    </w:p>
    <w:p w:rsidR="00FC5D7D" w:rsidRPr="009C53E0" w:rsidRDefault="00FC5D7D" w:rsidP="009C53E0">
      <w:pPr>
        <w:ind w:left="1134" w:right="10" w:hanging="567"/>
        <w:jc w:val="both"/>
      </w:pPr>
    </w:p>
    <w:p w:rsidR="00D35EC7" w:rsidRPr="008B49E7" w:rsidRDefault="00D35EC7" w:rsidP="009C53E0">
      <w:pPr>
        <w:shd w:val="clear" w:color="auto" w:fill="FFFFFF"/>
        <w:spacing w:after="0" w:line="240" w:lineRule="auto"/>
        <w:ind w:left="1134" w:firstLine="0"/>
        <w:jc w:val="both"/>
        <w:rPr>
          <w:rFonts w:eastAsia="Times New Roman"/>
          <w:i/>
          <w:iCs/>
          <w:color w:val="242424"/>
          <w:bdr w:val="none" w:sz="0" w:space="0" w:color="auto" w:frame="1"/>
        </w:rPr>
      </w:pPr>
      <w:r w:rsidRPr="008B49E7">
        <w:rPr>
          <w:rFonts w:eastAsia="Times New Roman"/>
          <w:color w:val="242424"/>
          <w:bdr w:val="none" w:sz="0" w:space="0" w:color="auto" w:frame="1"/>
        </w:rPr>
        <w:t>NICE define risk formulation as: </w:t>
      </w:r>
      <w:r w:rsidRPr="008B49E7">
        <w:rPr>
          <w:rFonts w:eastAsia="Times New Roman"/>
          <w:i/>
          <w:iCs/>
          <w:color w:val="242424"/>
          <w:bdr w:val="none" w:sz="0" w:space="0" w:color="auto" w:frame="1"/>
        </w:rPr>
        <w:t>'A collaborative process between the person who has self-harmed and a mental health professional that aims to summarise the person's current risks and difficulties and understand why they are happening in order to inform a treatment plan. Formulation typically includes taking into consideration historical factors and experiences, more recent problems, and existing strengths and resources.'</w:t>
      </w:r>
    </w:p>
    <w:p w:rsidR="00694A0E" w:rsidRPr="00D35EC7" w:rsidRDefault="00694A0E" w:rsidP="009C53E0">
      <w:pPr>
        <w:shd w:val="clear" w:color="auto" w:fill="FFFFFF"/>
        <w:spacing w:after="0" w:line="240" w:lineRule="auto"/>
        <w:ind w:left="1134" w:firstLine="0"/>
        <w:jc w:val="both"/>
        <w:textAlignment w:val="baseline"/>
        <w:rPr>
          <w:rFonts w:eastAsia="Times New Roman"/>
          <w:color w:val="242424"/>
        </w:rPr>
      </w:pPr>
      <w:r w:rsidRPr="00D35EC7">
        <w:rPr>
          <w:rFonts w:eastAsia="Times New Roman"/>
          <w:bdr w:val="none" w:sz="0" w:space="0" w:color="auto" w:frame="1"/>
        </w:rPr>
        <w:t>Mental health professionals should undertake a risk formulation as part of every psychosocial assessment.</w:t>
      </w:r>
    </w:p>
    <w:p w:rsidR="00694A0E" w:rsidRPr="006E54E3" w:rsidRDefault="00694A0E" w:rsidP="009C53E0">
      <w:pPr>
        <w:shd w:val="clear" w:color="auto" w:fill="FFFFFF"/>
        <w:spacing w:after="0" w:line="240" w:lineRule="auto"/>
        <w:ind w:left="1134" w:firstLine="0"/>
        <w:jc w:val="both"/>
        <w:rPr>
          <w:rFonts w:eastAsia="Times New Roman"/>
          <w:color w:val="242424"/>
          <w:highlight w:val="yellow"/>
        </w:rPr>
      </w:pP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spacing w:after="0" w:line="259" w:lineRule="auto"/>
        <w:ind w:left="1134" w:hanging="567"/>
        <w:jc w:val="both"/>
      </w:pPr>
      <w:r w:rsidRPr="009C53E0">
        <w:t xml:space="preserve">5.7 </w:t>
      </w:r>
      <w:r w:rsidR="00FC5D7D" w:rsidRPr="009C53E0">
        <w:tab/>
      </w:r>
      <w:r w:rsidRPr="009C53E0">
        <w:rPr>
          <w:u w:val="single" w:color="000000"/>
        </w:rPr>
        <w:t xml:space="preserve">Risk </w:t>
      </w:r>
      <w:r w:rsidR="00FC5D7D" w:rsidRPr="009C53E0">
        <w:rPr>
          <w:u w:val="single" w:color="000000"/>
        </w:rPr>
        <w:t>M</w:t>
      </w:r>
      <w:r w:rsidRPr="009C53E0">
        <w:rPr>
          <w:u w:val="single" w:color="000000"/>
        </w:rPr>
        <w:t>anagement</w:t>
      </w:r>
      <w:r w:rsidRPr="009C53E0">
        <w:t xml:space="preserve">  </w:t>
      </w:r>
    </w:p>
    <w:p w:rsidR="00FC5D7D" w:rsidRPr="009C53E0" w:rsidRDefault="00410AC0" w:rsidP="009C53E0">
      <w:pPr>
        <w:ind w:left="1134" w:right="10" w:hanging="567"/>
        <w:jc w:val="both"/>
      </w:pPr>
      <w:r w:rsidRPr="009C53E0">
        <w:t xml:space="preserve"> </w:t>
      </w:r>
      <w:r w:rsidRPr="009C53E0">
        <w:tab/>
      </w:r>
    </w:p>
    <w:p w:rsidR="00EE4F3C" w:rsidRPr="009C53E0" w:rsidRDefault="00410AC0" w:rsidP="009C53E0">
      <w:pPr>
        <w:ind w:left="1134" w:right="10" w:firstLine="0"/>
        <w:jc w:val="both"/>
      </w:pPr>
      <w:r w:rsidRPr="009C53E0">
        <w:t xml:space="preserve">The actions taken, on the basis of a risk assessment, that are designed to prevent or limit undesirable outcomes. Key risk management activities are treatment (e.g. psychological care, medication), supervision (e.g. help with planning daily activities, setting restrictions on alcohol use or contact with unhelpful others, and so on), monitoring (i.e. identifying and looking out for early warning signs of an increase in risk, which would trigger treatment or supervision actions), and, if relevant, victim safety planning (e.g. helping a victim of domestic violence to make herself safe in the future and know better what to do in the event of perceived threat). </w:t>
      </w:r>
    </w:p>
    <w:p w:rsidR="002469C4" w:rsidRPr="009C53E0" w:rsidRDefault="002469C4" w:rsidP="009C53E0">
      <w:pPr>
        <w:spacing w:after="0" w:line="259" w:lineRule="auto"/>
        <w:ind w:left="1134" w:hanging="567"/>
        <w:jc w:val="both"/>
      </w:pP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spacing w:after="0" w:line="259" w:lineRule="auto"/>
        <w:ind w:left="1134" w:hanging="567"/>
        <w:jc w:val="both"/>
      </w:pPr>
      <w:r w:rsidRPr="009C53E0">
        <w:t xml:space="preserve">5.8 </w:t>
      </w:r>
      <w:r w:rsidR="00FC5D7D" w:rsidRPr="009C53E0">
        <w:tab/>
      </w:r>
      <w:r w:rsidRPr="009C53E0">
        <w:rPr>
          <w:u w:val="single" w:color="000000"/>
        </w:rPr>
        <w:t>Sexual Violence</w:t>
      </w:r>
      <w:r w:rsidRPr="009C53E0">
        <w:t xml:space="preserve"> </w:t>
      </w:r>
    </w:p>
    <w:p w:rsidR="00FC5D7D" w:rsidRPr="009C53E0" w:rsidRDefault="00FC5D7D" w:rsidP="009C53E0">
      <w:pPr>
        <w:ind w:left="1134" w:right="10" w:hanging="567"/>
        <w:jc w:val="both"/>
      </w:pPr>
    </w:p>
    <w:p w:rsidR="00EE4F3C" w:rsidRPr="009C53E0" w:rsidRDefault="00410AC0" w:rsidP="009C53E0">
      <w:pPr>
        <w:ind w:left="1134" w:right="10" w:firstLine="0"/>
        <w:jc w:val="both"/>
      </w:pPr>
      <w:r w:rsidRPr="009C53E0">
        <w:t xml:space="preserve">Actual, attempted or threatened harm to another person that is deliberate and nonconsenting and is sexually motivated.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spacing w:after="0" w:line="259" w:lineRule="auto"/>
        <w:ind w:left="1134" w:hanging="567"/>
        <w:jc w:val="both"/>
      </w:pPr>
      <w:r w:rsidRPr="009C53E0">
        <w:t xml:space="preserve">5.9 </w:t>
      </w:r>
      <w:r w:rsidR="00FC5D7D" w:rsidRPr="009C53E0">
        <w:tab/>
      </w:r>
      <w:r w:rsidRPr="009C53E0">
        <w:rPr>
          <w:u w:val="single" w:color="000000"/>
        </w:rPr>
        <w:t>Violence</w:t>
      </w:r>
      <w:r w:rsidRPr="009C53E0">
        <w:t xml:space="preserve"> </w:t>
      </w:r>
    </w:p>
    <w:p w:rsidR="002469C4" w:rsidRPr="009C53E0" w:rsidRDefault="002469C4" w:rsidP="009C53E0">
      <w:pPr>
        <w:ind w:left="1134" w:right="10" w:hanging="567"/>
        <w:jc w:val="both"/>
      </w:pPr>
    </w:p>
    <w:p w:rsidR="00EE4F3C" w:rsidRPr="009C53E0" w:rsidRDefault="00410AC0" w:rsidP="009C53E0">
      <w:pPr>
        <w:ind w:left="1134" w:right="10" w:hanging="567"/>
        <w:jc w:val="both"/>
      </w:pPr>
      <w:r w:rsidRPr="009C53E0">
        <w:t xml:space="preserve"> </w:t>
      </w:r>
      <w:r w:rsidRPr="009C53E0">
        <w:tab/>
        <w:t>Actual, attempted or threatened harm to another pe</w:t>
      </w:r>
      <w:r w:rsidR="00FC5D7D" w:rsidRPr="009C53E0">
        <w:t>rson that is deliberate and non-</w:t>
      </w:r>
      <w:r w:rsidRPr="009C53E0">
        <w:t xml:space="preserve">consenting. </w:t>
      </w:r>
    </w:p>
    <w:p w:rsidR="00EE4F3C" w:rsidRPr="009C53E0" w:rsidRDefault="00410AC0" w:rsidP="009C53E0">
      <w:pPr>
        <w:spacing w:after="0" w:line="259" w:lineRule="auto"/>
        <w:ind w:left="1134" w:hanging="567"/>
        <w:jc w:val="both"/>
      </w:pPr>
      <w:r w:rsidRPr="009C53E0">
        <w:rPr>
          <w:b/>
        </w:rPr>
        <w:t xml:space="preserve"> </w:t>
      </w:r>
    </w:p>
    <w:p w:rsidR="00EE4F3C" w:rsidRPr="009C53E0" w:rsidRDefault="00410AC0" w:rsidP="009C53E0">
      <w:pPr>
        <w:spacing w:after="0" w:line="259" w:lineRule="auto"/>
        <w:ind w:left="1134" w:hanging="567"/>
        <w:jc w:val="both"/>
      </w:pPr>
      <w:r w:rsidRPr="009C53E0">
        <w:t xml:space="preserve">5.10 </w:t>
      </w:r>
      <w:r w:rsidR="00FC5D7D" w:rsidRPr="009C53E0">
        <w:tab/>
      </w:r>
      <w:r w:rsidRPr="009C53E0">
        <w:rPr>
          <w:u w:val="single" w:color="000000"/>
        </w:rPr>
        <w:t>Vulnerability</w:t>
      </w:r>
      <w:r w:rsidRPr="009C53E0">
        <w:t xml:space="preserve"> </w:t>
      </w:r>
    </w:p>
    <w:p w:rsidR="002469C4" w:rsidRPr="009C53E0" w:rsidRDefault="002469C4" w:rsidP="009C53E0">
      <w:pPr>
        <w:ind w:left="1134" w:right="10" w:hanging="567"/>
        <w:jc w:val="both"/>
      </w:pPr>
    </w:p>
    <w:p w:rsidR="00FC5D7D" w:rsidRPr="009C53E0" w:rsidRDefault="00410AC0" w:rsidP="009C53E0">
      <w:pPr>
        <w:ind w:left="1134" w:right="10" w:hanging="567"/>
        <w:jc w:val="both"/>
      </w:pPr>
      <w:r w:rsidRPr="009C53E0">
        <w:t xml:space="preserve"> </w:t>
      </w:r>
      <w:r w:rsidRPr="009C53E0">
        <w:tab/>
        <w:t>Specific factors that relate to the likelihood of an individual being victimised, taken advantage</w:t>
      </w:r>
      <w:r w:rsidR="00FC5D7D" w:rsidRPr="009C53E0">
        <w:t xml:space="preserve"> </w:t>
      </w:r>
      <w:r w:rsidRPr="009C53E0">
        <w:t xml:space="preserve">of, or exploited by others. Vulnerable individuals may be subject to verbal abuse or harassment, physical or sexual abuse or intimidation, coercion into unwanted acts and bullying. Assessment of vulnerability may include </w:t>
      </w:r>
      <w:r w:rsidR="00FC5D7D" w:rsidRPr="009C53E0">
        <w:t>consideration of mental state, p</w:t>
      </w:r>
      <w:r w:rsidRPr="009C53E0">
        <w:t>hysical/physiological conditions, psychological or social problems, cultural or gender issues.</w:t>
      </w:r>
    </w:p>
    <w:p w:rsidR="00EE4F3C" w:rsidRPr="009C53E0" w:rsidRDefault="00410AC0" w:rsidP="009C53E0">
      <w:pPr>
        <w:ind w:left="1134" w:right="10" w:hanging="567"/>
        <w:jc w:val="both"/>
      </w:pPr>
      <w:r w:rsidRPr="009C53E0">
        <w:t xml:space="preserve"> </w:t>
      </w:r>
    </w:p>
    <w:p w:rsidR="00EE4F3C" w:rsidRPr="009C53E0" w:rsidRDefault="00410AC0" w:rsidP="009C53E0">
      <w:pPr>
        <w:pStyle w:val="Heading1"/>
        <w:spacing w:after="5" w:line="249" w:lineRule="auto"/>
        <w:ind w:left="525" w:right="10" w:hanging="540"/>
        <w:jc w:val="both"/>
      </w:pPr>
      <w:bookmarkStart w:id="5" w:name="_Toc52784349"/>
      <w:r w:rsidRPr="009C53E0">
        <w:t>Principles of Risk Assessment and Management</w:t>
      </w:r>
      <w:bookmarkEnd w:id="5"/>
      <w:r w:rsidRPr="009C53E0">
        <w:t xml:space="preserve">   </w:t>
      </w:r>
    </w:p>
    <w:p w:rsidR="00EE4F3C" w:rsidRPr="009C53E0" w:rsidRDefault="00410AC0" w:rsidP="009C53E0">
      <w:pPr>
        <w:spacing w:after="0" w:line="259" w:lineRule="auto"/>
        <w:ind w:left="0" w:firstLine="0"/>
        <w:jc w:val="both"/>
      </w:pPr>
      <w:r w:rsidRPr="009C53E0">
        <w:rPr>
          <w:b/>
        </w:rPr>
        <w:t xml:space="preserve"> </w:t>
      </w:r>
    </w:p>
    <w:p w:rsidR="00EE4F3C" w:rsidRPr="009C53E0" w:rsidRDefault="00410AC0" w:rsidP="009C53E0">
      <w:pPr>
        <w:ind w:left="1134" w:right="10" w:hanging="567"/>
        <w:jc w:val="both"/>
      </w:pPr>
      <w:r w:rsidRPr="009C53E0">
        <w:t>6.1</w:t>
      </w:r>
      <w:r w:rsidRPr="009C53E0">
        <w:rPr>
          <w:b/>
        </w:rPr>
        <w:t xml:space="preserve"> </w:t>
      </w:r>
      <w:r w:rsidR="00FC5D7D" w:rsidRPr="009C53E0">
        <w:rPr>
          <w:b/>
        </w:rPr>
        <w:tab/>
      </w:r>
      <w:r w:rsidRPr="009C53E0">
        <w:t xml:space="preserve">Some, but not all, negative outcomes associated with clinical risk can be avoided or reduced by employing risk management procedures but clinical risk itself cannot be eliminated.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ind w:left="1134" w:right="10" w:hanging="567"/>
        <w:jc w:val="both"/>
      </w:pPr>
      <w:r w:rsidRPr="009C53E0">
        <w:t xml:space="preserve">6.2 </w:t>
      </w:r>
      <w:r w:rsidR="00FC5D7D" w:rsidRPr="009C53E0">
        <w:tab/>
      </w:r>
      <w:r w:rsidRPr="009C53E0">
        <w:t>Decisions involving clinical risk always involve balancing the health and safety of service</w:t>
      </w:r>
      <w:r w:rsidR="00FC5D7D" w:rsidRPr="009C53E0">
        <w:t xml:space="preserve"> </w:t>
      </w:r>
      <w:r w:rsidRPr="009C53E0">
        <w:t>users and others with service users’ quality of life, their personal growth and their right to exercise choice and autonomy in the care they receive. It is acknowledged that receiving this</w:t>
      </w:r>
      <w:r w:rsidR="00FC5D7D" w:rsidRPr="009C53E0">
        <w:t xml:space="preserve"> </w:t>
      </w:r>
      <w:r w:rsidRPr="009C53E0">
        <w:t xml:space="preserve">balance is often complex and absolute safety can never be guaranteed.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ind w:left="1134" w:right="10" w:hanging="567"/>
        <w:jc w:val="both"/>
      </w:pPr>
      <w:r w:rsidRPr="009C53E0">
        <w:t xml:space="preserve">6.3 </w:t>
      </w:r>
      <w:r w:rsidR="00FC5D7D" w:rsidRPr="009C53E0">
        <w:tab/>
      </w:r>
      <w:r w:rsidRPr="009C53E0">
        <w:t>Risk assessment and management is an integral part of routine clinical care and therefore</w:t>
      </w:r>
      <w:r w:rsidR="00FC5D7D" w:rsidRPr="009C53E0">
        <w:t xml:space="preserve"> </w:t>
      </w:r>
      <w:r w:rsidRPr="009C53E0">
        <w:t xml:space="preserve">relies upon a good therapeutic relationship with the patient. </w:t>
      </w:r>
    </w:p>
    <w:p w:rsidR="00EE4F3C" w:rsidRPr="009C53E0" w:rsidRDefault="00410AC0" w:rsidP="009C53E0">
      <w:pPr>
        <w:spacing w:after="0" w:line="259" w:lineRule="auto"/>
        <w:ind w:left="1134" w:hanging="567"/>
        <w:jc w:val="both"/>
      </w:pPr>
      <w:r w:rsidRPr="009C53E0">
        <w:t xml:space="preserve"> </w:t>
      </w:r>
    </w:p>
    <w:p w:rsidR="00EE4F3C" w:rsidRPr="009C53E0" w:rsidRDefault="00FC5D7D" w:rsidP="009C53E0">
      <w:pPr>
        <w:shd w:val="clear" w:color="auto" w:fill="FFFFFF" w:themeFill="background1"/>
        <w:ind w:left="1134" w:right="10" w:hanging="567"/>
        <w:jc w:val="both"/>
      </w:pPr>
      <w:r w:rsidRPr="009C53E0">
        <w:t xml:space="preserve">6.4 </w:t>
      </w:r>
      <w:r w:rsidRPr="009C53E0">
        <w:tab/>
      </w:r>
      <w:r w:rsidR="00410AC0" w:rsidRPr="009C53E0">
        <w:t>Collaboration with the patient and those involved in the patient’s care should be intrinsic to</w:t>
      </w:r>
      <w:r w:rsidRPr="009C53E0">
        <w:t xml:space="preserve"> </w:t>
      </w:r>
      <w:r w:rsidR="00410AC0" w:rsidRPr="009C53E0">
        <w:t>the risk management process.</w:t>
      </w:r>
      <w:r w:rsidR="004A4BB1" w:rsidRPr="009C53E0">
        <w:t xml:space="preserve"> </w:t>
      </w:r>
      <w:r w:rsidR="004A4BB1" w:rsidRPr="009C53E0">
        <w:rPr>
          <w:shd w:val="clear" w:color="auto" w:fill="FFFFFF" w:themeFill="background1"/>
        </w:rPr>
        <w:t>Service users and carers should, where possible, be actively involved in the assessment of risk and creation of risk management plans. Materials to support safety planning should be made available to the service user.</w:t>
      </w:r>
      <w:r w:rsidR="00410AC0" w:rsidRPr="009C53E0">
        <w:rPr>
          <w:b/>
        </w:rPr>
        <w:t xml:space="preserve"> </w:t>
      </w:r>
    </w:p>
    <w:p w:rsidR="00EE4F3C" w:rsidRPr="009C53E0" w:rsidRDefault="00410AC0" w:rsidP="009C53E0">
      <w:pPr>
        <w:spacing w:after="0" w:line="259" w:lineRule="auto"/>
        <w:ind w:left="1134" w:hanging="567"/>
        <w:jc w:val="both"/>
      </w:pPr>
      <w:r w:rsidRPr="009C53E0">
        <w:rPr>
          <w:b/>
        </w:rPr>
        <w:t xml:space="preserve"> </w:t>
      </w:r>
    </w:p>
    <w:p w:rsidR="00EE4F3C" w:rsidRPr="009C53E0" w:rsidRDefault="00410AC0" w:rsidP="009C53E0">
      <w:pPr>
        <w:ind w:left="1134" w:right="10" w:hanging="567"/>
        <w:jc w:val="both"/>
      </w:pPr>
      <w:r w:rsidRPr="009C53E0">
        <w:t xml:space="preserve">6.5 </w:t>
      </w:r>
      <w:r w:rsidR="00FC5D7D" w:rsidRPr="009C53E0">
        <w:tab/>
      </w:r>
      <w:r w:rsidRPr="009C53E0">
        <w:t>Risk assessment should always inform risk management and contribute to clinical care</w:t>
      </w:r>
      <w:r w:rsidR="00FC5D7D" w:rsidRPr="009C53E0">
        <w:t xml:space="preserve"> </w:t>
      </w:r>
      <w:r w:rsidRPr="009C53E0">
        <w:t xml:space="preserve">and the wider assessment and planning of care needs.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ind w:left="1134" w:right="10" w:hanging="567"/>
        <w:jc w:val="both"/>
      </w:pPr>
      <w:r w:rsidRPr="009C53E0">
        <w:t xml:space="preserve">6.6 </w:t>
      </w:r>
      <w:r w:rsidR="00FC5D7D" w:rsidRPr="009C53E0">
        <w:tab/>
      </w:r>
      <w:r w:rsidRPr="009C53E0">
        <w:t>All forms of risk should be considered and assessed together, bearing in mind that patients</w:t>
      </w:r>
      <w:r w:rsidR="00FC5D7D" w:rsidRPr="009C53E0">
        <w:t xml:space="preserve"> </w:t>
      </w:r>
      <w:r w:rsidRPr="009C53E0">
        <w:t>who present a risk to others are likely to be vulnerable to other forms of risk such as s</w:t>
      </w:r>
      <w:r w:rsidR="00FC5D7D" w:rsidRPr="009C53E0">
        <w:t>elf-</w:t>
      </w:r>
      <w:r w:rsidRPr="009C53E0">
        <w:t xml:space="preserve">harm, self-neglect or exploitation by others.  </w:t>
      </w:r>
    </w:p>
    <w:p w:rsidR="00EE4F3C" w:rsidRPr="009C53E0" w:rsidRDefault="00410AC0" w:rsidP="009C53E0">
      <w:pPr>
        <w:spacing w:after="0" w:line="259" w:lineRule="auto"/>
        <w:ind w:left="1134" w:hanging="567"/>
        <w:jc w:val="both"/>
      </w:pPr>
      <w:r w:rsidRPr="009C53E0">
        <w:t xml:space="preserve"> </w:t>
      </w:r>
    </w:p>
    <w:p w:rsidR="00EE4F3C" w:rsidRPr="009C53E0" w:rsidRDefault="00FC5D7D" w:rsidP="009C53E0">
      <w:pPr>
        <w:ind w:left="1134" w:right="10" w:hanging="567"/>
        <w:jc w:val="both"/>
      </w:pPr>
      <w:r w:rsidRPr="009C53E0">
        <w:t>6.7</w:t>
      </w:r>
      <w:r w:rsidRPr="009C53E0">
        <w:tab/>
      </w:r>
      <w:r w:rsidR="00410AC0" w:rsidRPr="009C53E0">
        <w:t>Risks are not static and therefore require regular review and assessment in response to the</w:t>
      </w:r>
      <w:r w:rsidRPr="009C53E0">
        <w:t xml:space="preserve"> </w:t>
      </w:r>
      <w:r w:rsidR="00410AC0" w:rsidRPr="009C53E0">
        <w:t>patient’s changing presentation and circumstances.</w:t>
      </w:r>
    </w:p>
    <w:p w:rsidR="00D35EC7" w:rsidRPr="009C53E0" w:rsidRDefault="00D35EC7" w:rsidP="009C53E0">
      <w:pPr>
        <w:ind w:left="1134" w:right="10" w:hanging="567"/>
        <w:jc w:val="both"/>
      </w:pPr>
    </w:p>
    <w:p w:rsidR="00694A0E" w:rsidRPr="008B49E7" w:rsidRDefault="00694A0E" w:rsidP="009C53E0">
      <w:pPr>
        <w:shd w:val="clear" w:color="auto" w:fill="FFFFFF"/>
        <w:spacing w:after="0" w:line="240" w:lineRule="auto"/>
        <w:ind w:left="720" w:firstLine="0"/>
        <w:jc w:val="both"/>
        <w:textAlignment w:val="baseline"/>
        <w:rPr>
          <w:rFonts w:eastAsia="Times New Roman"/>
          <w:bdr w:val="none" w:sz="0" w:space="0" w:color="auto" w:frame="1"/>
        </w:rPr>
      </w:pPr>
      <w:r w:rsidRPr="008B49E7">
        <w:rPr>
          <w:rFonts w:eastAsia="Times New Roman"/>
          <w:bdr w:val="none" w:sz="0" w:space="0" w:color="auto" w:frame="1"/>
        </w:rPr>
        <w:t xml:space="preserve">NICE Guidelines on Self- harm: assessment, management and preventing recurrence further </w:t>
      </w:r>
      <w:proofErr w:type="gramStart"/>
      <w:r w:rsidRPr="008B49E7">
        <w:rPr>
          <w:rFonts w:eastAsia="Times New Roman"/>
          <w:bdr w:val="none" w:sz="0" w:space="0" w:color="auto" w:frame="1"/>
        </w:rPr>
        <w:t>advise</w:t>
      </w:r>
      <w:proofErr w:type="gramEnd"/>
      <w:r w:rsidRPr="008B49E7">
        <w:rPr>
          <w:rFonts w:eastAsia="Times New Roman"/>
          <w:bdr w:val="none" w:sz="0" w:space="0" w:color="auto" w:frame="1"/>
        </w:rPr>
        <w:t xml:space="preserve"> that staff should not:</w:t>
      </w:r>
    </w:p>
    <w:p w:rsidR="00694A0E" w:rsidRPr="008B49E7" w:rsidRDefault="00694A0E" w:rsidP="009C53E0">
      <w:pPr>
        <w:shd w:val="clear" w:color="auto" w:fill="FFFFFF"/>
        <w:spacing w:after="0" w:line="240" w:lineRule="auto"/>
        <w:ind w:left="720" w:firstLine="0"/>
        <w:jc w:val="both"/>
        <w:textAlignment w:val="baseline"/>
        <w:rPr>
          <w:rFonts w:eastAsia="Times New Roman"/>
          <w:bdr w:val="none" w:sz="0" w:space="0" w:color="auto" w:frame="1"/>
        </w:rPr>
      </w:pPr>
    </w:p>
    <w:p w:rsidR="00D35EC7" w:rsidRPr="008B49E7" w:rsidRDefault="00694A0E" w:rsidP="009C53E0">
      <w:pPr>
        <w:shd w:val="clear" w:color="auto" w:fill="FFFFFF"/>
        <w:spacing w:after="0" w:line="240" w:lineRule="auto"/>
        <w:ind w:left="720" w:firstLine="0"/>
        <w:jc w:val="both"/>
        <w:textAlignment w:val="baseline"/>
        <w:rPr>
          <w:rFonts w:eastAsia="Times New Roman"/>
          <w:color w:val="242424"/>
        </w:rPr>
      </w:pPr>
      <w:r w:rsidRPr="008B49E7">
        <w:rPr>
          <w:rFonts w:eastAsia="Times New Roman"/>
          <w:bCs/>
          <w:bdr w:val="none" w:sz="0" w:space="0" w:color="auto" w:frame="1"/>
        </w:rPr>
        <w:t xml:space="preserve">- </w:t>
      </w:r>
      <w:r w:rsidR="00D35EC7" w:rsidRPr="008B49E7">
        <w:rPr>
          <w:rFonts w:eastAsia="Times New Roman"/>
          <w:bCs/>
          <w:bdr w:val="none" w:sz="0" w:space="0" w:color="auto" w:frame="1"/>
        </w:rPr>
        <w:t>use risk assessment tools and scales to predict future suicide or repetition of self-harm.</w:t>
      </w:r>
    </w:p>
    <w:p w:rsidR="00D35EC7" w:rsidRPr="008B49E7" w:rsidRDefault="00694A0E" w:rsidP="009C53E0">
      <w:pPr>
        <w:shd w:val="clear" w:color="auto" w:fill="FFFFFF"/>
        <w:spacing w:after="0" w:line="240" w:lineRule="auto"/>
        <w:ind w:left="720" w:firstLine="0"/>
        <w:jc w:val="both"/>
        <w:textAlignment w:val="baseline"/>
        <w:rPr>
          <w:rFonts w:eastAsia="Times New Roman"/>
          <w:color w:val="242424"/>
        </w:rPr>
      </w:pPr>
      <w:r w:rsidRPr="008B49E7">
        <w:rPr>
          <w:rFonts w:eastAsia="Times New Roman"/>
          <w:bCs/>
          <w:bdr w:val="none" w:sz="0" w:space="0" w:color="auto" w:frame="1"/>
        </w:rPr>
        <w:t xml:space="preserve">- </w:t>
      </w:r>
      <w:r w:rsidR="00D35EC7" w:rsidRPr="008B49E7">
        <w:rPr>
          <w:rFonts w:eastAsia="Times New Roman"/>
          <w:bCs/>
          <w:bdr w:val="none" w:sz="0" w:space="0" w:color="auto" w:frame="1"/>
        </w:rPr>
        <w:t>use risk assessment tools and scales to determine who should and should not be offered treatment or who should be discharged.</w:t>
      </w:r>
    </w:p>
    <w:p w:rsidR="00D35EC7" w:rsidRPr="008B49E7" w:rsidRDefault="00694A0E" w:rsidP="009C53E0">
      <w:pPr>
        <w:shd w:val="clear" w:color="auto" w:fill="FFFFFF"/>
        <w:spacing w:after="0" w:line="240" w:lineRule="auto"/>
        <w:ind w:left="720" w:firstLine="0"/>
        <w:jc w:val="both"/>
        <w:textAlignment w:val="baseline"/>
        <w:rPr>
          <w:rFonts w:eastAsia="Times New Roman"/>
          <w:color w:val="242424"/>
        </w:rPr>
      </w:pPr>
      <w:r w:rsidRPr="008B49E7">
        <w:rPr>
          <w:rFonts w:eastAsia="Times New Roman"/>
          <w:bCs/>
          <w:bdr w:val="none" w:sz="0" w:space="0" w:color="auto" w:frame="1"/>
        </w:rPr>
        <w:t xml:space="preserve">- </w:t>
      </w:r>
      <w:r w:rsidR="00D35EC7" w:rsidRPr="008B49E7">
        <w:rPr>
          <w:rFonts w:eastAsia="Times New Roman"/>
          <w:bCs/>
          <w:bdr w:val="none" w:sz="0" w:space="0" w:color="auto" w:frame="1"/>
        </w:rPr>
        <w:t>use global risk stratification into low, medium or high risk to predict future suicide or repetition of self-harm.</w:t>
      </w:r>
    </w:p>
    <w:p w:rsidR="00D35EC7" w:rsidRPr="009C53E0" w:rsidRDefault="00694A0E" w:rsidP="009C53E0">
      <w:pPr>
        <w:shd w:val="clear" w:color="auto" w:fill="FFFFFF"/>
        <w:spacing w:after="0" w:line="240" w:lineRule="auto"/>
        <w:ind w:left="720" w:firstLine="0"/>
        <w:jc w:val="both"/>
        <w:textAlignment w:val="baseline"/>
        <w:rPr>
          <w:rFonts w:eastAsia="Times New Roman"/>
          <w:bCs/>
          <w:bdr w:val="none" w:sz="0" w:space="0" w:color="auto" w:frame="1"/>
        </w:rPr>
      </w:pPr>
      <w:r w:rsidRPr="008B49E7">
        <w:rPr>
          <w:rFonts w:eastAsia="Times New Roman"/>
          <w:bCs/>
          <w:bdr w:val="none" w:sz="0" w:space="0" w:color="auto" w:frame="1"/>
        </w:rPr>
        <w:t xml:space="preserve">- </w:t>
      </w:r>
      <w:r w:rsidR="00D35EC7" w:rsidRPr="008B49E7">
        <w:rPr>
          <w:rFonts w:eastAsia="Times New Roman"/>
          <w:bCs/>
          <w:bdr w:val="none" w:sz="0" w:space="0" w:color="auto" w:frame="1"/>
        </w:rPr>
        <w:t>use global risk stratification into low, medium or high risk to determine who should be offered treatment or who should be discharged.</w:t>
      </w:r>
    </w:p>
    <w:p w:rsidR="00694A0E" w:rsidRPr="00D35EC7" w:rsidRDefault="00694A0E" w:rsidP="009C53E0">
      <w:pPr>
        <w:shd w:val="clear" w:color="auto" w:fill="FFFFFF"/>
        <w:spacing w:after="0" w:line="240" w:lineRule="auto"/>
        <w:ind w:left="720" w:firstLine="0"/>
        <w:jc w:val="both"/>
        <w:textAlignment w:val="baseline"/>
        <w:rPr>
          <w:rFonts w:eastAsia="Times New Roman"/>
          <w:color w:val="242424"/>
        </w:rPr>
      </w:pPr>
    </w:p>
    <w:p w:rsidR="00EE4F3C" w:rsidRPr="009C53E0" w:rsidRDefault="00410AC0" w:rsidP="009C53E0">
      <w:pPr>
        <w:ind w:left="1134" w:right="10" w:hanging="567"/>
        <w:jc w:val="both"/>
      </w:pPr>
      <w:r w:rsidRPr="009C53E0">
        <w:t xml:space="preserve">6.8 </w:t>
      </w:r>
      <w:r w:rsidR="00FC5D7D" w:rsidRPr="009C53E0">
        <w:tab/>
      </w:r>
      <w:r w:rsidRPr="009C53E0">
        <w:t xml:space="preserve">Risk assessment and planning should be carried out within the multi-disciplinary team to increase the sharing of information and promote a multi-perspective approach.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ind w:left="1134" w:right="10" w:hanging="567"/>
        <w:jc w:val="both"/>
      </w:pPr>
      <w:r w:rsidRPr="009C53E0">
        <w:t xml:space="preserve">6.9 </w:t>
      </w:r>
      <w:r w:rsidR="00FC5D7D" w:rsidRPr="009C53E0">
        <w:tab/>
      </w:r>
      <w:r w:rsidRPr="009C53E0">
        <w:t>Completion of risk assessment and management documentation for the purpose of CPA should always be done using the Trust’s most up-to-date risk assessment and management</w:t>
      </w:r>
      <w:r w:rsidR="00FC5D7D" w:rsidRPr="009C53E0">
        <w:t xml:space="preserve"> </w:t>
      </w:r>
      <w:r w:rsidRPr="009C53E0">
        <w:t xml:space="preserve">tools/templates located on the intranet.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ind w:left="1134" w:right="10" w:hanging="567"/>
        <w:jc w:val="both"/>
      </w:pPr>
      <w:r w:rsidRPr="009C53E0">
        <w:t xml:space="preserve">6.10 </w:t>
      </w:r>
      <w:r w:rsidR="00FC5D7D" w:rsidRPr="009C53E0">
        <w:tab/>
      </w:r>
      <w:r w:rsidRPr="009C53E0">
        <w:t xml:space="preserve">The sharing of risk information between team members, mental health teams and agencies is key to effective risk management and should be done within the confines of secure and confidential sharing of personal information between personnel on a Need to Know </w:t>
      </w:r>
      <w:r w:rsidR="004A4BB1" w:rsidRPr="009C53E0">
        <w:t>b</w:t>
      </w:r>
      <w:r w:rsidRPr="009C53E0">
        <w:t xml:space="preserve">asis, with reference to The NHS Code of Practice on Confidentiality, The </w:t>
      </w:r>
      <w:proofErr w:type="spellStart"/>
      <w:r w:rsidRPr="009C53E0">
        <w:t>Caldicott</w:t>
      </w:r>
      <w:proofErr w:type="spellEnd"/>
      <w:r w:rsidRPr="009C53E0">
        <w:t xml:space="preserve"> Principles, the Data Protection Act and the London Health &amp; Social Care Inter Organisation General Protocol for Sharing Information.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ind w:left="1134" w:right="10" w:hanging="567"/>
        <w:jc w:val="both"/>
      </w:pPr>
      <w:r w:rsidRPr="009C53E0">
        <w:t xml:space="preserve">6.11 </w:t>
      </w:r>
      <w:r w:rsidR="00FC5D7D" w:rsidRPr="009C53E0">
        <w:tab/>
      </w:r>
      <w:r w:rsidRPr="009C53E0">
        <w:t xml:space="preserve">Each clinical team should be clear as to who is responsible for the routine risk assessment and management planning for patients who are newly admitted to their care and also who is responsible for ensuring that routine reviews of risk and management plans happen. </w:t>
      </w:r>
    </w:p>
    <w:p w:rsidR="00EE4F3C" w:rsidRPr="009C53E0" w:rsidRDefault="00410AC0" w:rsidP="009C53E0">
      <w:pPr>
        <w:spacing w:after="0" w:line="259" w:lineRule="auto"/>
        <w:ind w:left="1134" w:hanging="567"/>
        <w:jc w:val="both"/>
      </w:pPr>
      <w:r w:rsidRPr="009C53E0">
        <w:t xml:space="preserve"> </w:t>
      </w:r>
    </w:p>
    <w:p w:rsidR="0020108F" w:rsidRPr="009C53E0" w:rsidRDefault="00FC5D7D" w:rsidP="009C53E0">
      <w:pPr>
        <w:ind w:left="1134" w:right="10" w:hanging="567"/>
        <w:jc w:val="both"/>
      </w:pPr>
      <w:r w:rsidRPr="009C53E0">
        <w:t xml:space="preserve">6.12 </w:t>
      </w:r>
      <w:r w:rsidRPr="009C53E0">
        <w:tab/>
      </w:r>
      <w:r w:rsidR="00410AC0" w:rsidRPr="009C53E0">
        <w:t>All practitioners should be clear about their role and responsibility for responding to,</w:t>
      </w:r>
      <w:r w:rsidRPr="009C53E0">
        <w:t xml:space="preserve"> </w:t>
      </w:r>
      <w:r w:rsidR="00410AC0" w:rsidRPr="009C53E0">
        <w:t>documenting and communicating any changes to a patient’s risk, regardless of their direct</w:t>
      </w:r>
      <w:r w:rsidRPr="009C53E0">
        <w:t xml:space="preserve"> </w:t>
      </w:r>
      <w:r w:rsidR="00410AC0" w:rsidRPr="009C53E0">
        <w:t>involvement in that patient’s care. Where there are a number of people involved in risk assessment, it should be clear as to who is responsib</w:t>
      </w:r>
      <w:r w:rsidRPr="009C53E0">
        <w:t>le for ensuring completion and d</w:t>
      </w:r>
      <w:r w:rsidR="00410AC0" w:rsidRPr="009C53E0">
        <w:t xml:space="preserve">ocumentation of the assessment and subsequent management plan.  </w:t>
      </w:r>
    </w:p>
    <w:p w:rsidR="0020108F" w:rsidRPr="009C53E0" w:rsidRDefault="0020108F" w:rsidP="009C53E0">
      <w:pPr>
        <w:ind w:left="1134" w:right="10" w:hanging="567"/>
        <w:jc w:val="both"/>
      </w:pPr>
    </w:p>
    <w:p w:rsidR="0020108F" w:rsidRPr="008B49E7" w:rsidRDefault="0020108F" w:rsidP="009C53E0">
      <w:pPr>
        <w:ind w:left="1134" w:right="10" w:hanging="567"/>
        <w:jc w:val="both"/>
      </w:pPr>
      <w:r w:rsidRPr="008B49E7">
        <w:t>6.13 Mental health professionals should focus on the person’s individual circumstances, strengths and needs and develop a risk formulation. This drawing together of the clinical narrative will directly inform care and treatment rather than relying on risk assessment alone.</w:t>
      </w:r>
    </w:p>
    <w:p w:rsidR="0020108F" w:rsidRPr="009C53E0" w:rsidRDefault="0020108F" w:rsidP="009C53E0">
      <w:pPr>
        <w:ind w:left="1134" w:right="10" w:hanging="567"/>
        <w:jc w:val="both"/>
        <w:rPr>
          <w:highlight w:val="yellow"/>
        </w:rPr>
      </w:pPr>
    </w:p>
    <w:p w:rsidR="006E54E3" w:rsidRPr="009C53E0" w:rsidRDefault="006E54E3" w:rsidP="009C53E0">
      <w:pPr>
        <w:ind w:left="1134" w:right="10" w:hanging="567"/>
        <w:jc w:val="both"/>
      </w:pPr>
    </w:p>
    <w:p w:rsidR="00537132" w:rsidRPr="009C53E0" w:rsidRDefault="004A4BB1" w:rsidP="009C53E0">
      <w:pPr>
        <w:pStyle w:val="NormalWeb"/>
        <w:ind w:left="567" w:hanging="567"/>
        <w:jc w:val="both"/>
        <w:rPr>
          <w:rFonts w:ascii="Arial" w:hAnsi="Arial" w:cs="Arial"/>
          <w:b/>
          <w:color w:val="000000"/>
          <w:sz w:val="22"/>
          <w:szCs w:val="22"/>
        </w:rPr>
      </w:pPr>
      <w:r w:rsidRPr="009C53E0">
        <w:rPr>
          <w:rFonts w:ascii="Arial" w:hAnsi="Arial" w:cs="Arial"/>
          <w:b/>
          <w:sz w:val="22"/>
          <w:szCs w:val="22"/>
        </w:rPr>
        <w:t xml:space="preserve">7 </w:t>
      </w:r>
      <w:r w:rsidR="00FC5D7D" w:rsidRPr="009C53E0">
        <w:rPr>
          <w:rFonts w:ascii="Arial" w:hAnsi="Arial" w:cs="Arial"/>
          <w:b/>
          <w:sz w:val="22"/>
          <w:szCs w:val="22"/>
        </w:rPr>
        <w:tab/>
      </w:r>
      <w:r w:rsidR="00410AC0" w:rsidRPr="009C53E0">
        <w:rPr>
          <w:rFonts w:ascii="Arial" w:hAnsi="Arial" w:cs="Arial"/>
          <w:b/>
          <w:sz w:val="22"/>
          <w:szCs w:val="22"/>
        </w:rPr>
        <w:t xml:space="preserve">The Risk Management Process </w:t>
      </w:r>
    </w:p>
    <w:p w:rsidR="00537132" w:rsidRPr="009C53E0" w:rsidRDefault="00537132" w:rsidP="009C53E0">
      <w:pPr>
        <w:pStyle w:val="NormalWeb"/>
        <w:ind w:firstLine="567"/>
        <w:jc w:val="both"/>
        <w:rPr>
          <w:rFonts w:ascii="Arial" w:hAnsi="Arial" w:cs="Arial"/>
          <w:color w:val="000000"/>
          <w:sz w:val="22"/>
          <w:szCs w:val="22"/>
        </w:rPr>
      </w:pPr>
      <w:r w:rsidRPr="009C53E0">
        <w:rPr>
          <w:rFonts w:ascii="Arial" w:hAnsi="Arial" w:cs="Arial"/>
          <w:color w:val="000000"/>
          <w:sz w:val="22"/>
          <w:szCs w:val="22"/>
        </w:rPr>
        <w:t xml:space="preserve">Please refer to the attached crib sheet for further adult risk assessment form information. </w:t>
      </w:r>
    </w:p>
    <w:p w:rsidR="00537132" w:rsidRPr="009C53E0" w:rsidRDefault="00410AC0" w:rsidP="009C53E0">
      <w:pPr>
        <w:pStyle w:val="NormalWeb"/>
        <w:ind w:left="1134" w:hanging="567"/>
        <w:jc w:val="both"/>
        <w:rPr>
          <w:rFonts w:ascii="Arial" w:hAnsi="Arial" w:cs="Arial"/>
          <w:color w:val="000000"/>
          <w:sz w:val="22"/>
          <w:szCs w:val="22"/>
        </w:rPr>
      </w:pPr>
      <w:r w:rsidRPr="009C53E0">
        <w:rPr>
          <w:rFonts w:ascii="Arial" w:hAnsi="Arial" w:cs="Arial"/>
          <w:sz w:val="22"/>
          <w:szCs w:val="22"/>
        </w:rPr>
        <w:t xml:space="preserve">7.1 </w:t>
      </w:r>
      <w:r w:rsidR="00FC5D7D" w:rsidRPr="009C53E0">
        <w:rPr>
          <w:rFonts w:ascii="Arial" w:hAnsi="Arial" w:cs="Arial"/>
          <w:sz w:val="22"/>
          <w:szCs w:val="22"/>
        </w:rPr>
        <w:tab/>
      </w:r>
      <w:r w:rsidR="00537132" w:rsidRPr="009C53E0">
        <w:rPr>
          <w:rFonts w:ascii="Arial" w:hAnsi="Arial" w:cs="Arial"/>
          <w:sz w:val="22"/>
          <w:szCs w:val="22"/>
        </w:rPr>
        <w:t>When an individual is not subject to CPA and person is being seen in all but crisis or inpatient services t</w:t>
      </w:r>
      <w:r w:rsidRPr="009C53E0">
        <w:rPr>
          <w:rFonts w:ascii="Arial" w:hAnsi="Arial" w:cs="Arial"/>
          <w:sz w:val="22"/>
          <w:szCs w:val="22"/>
        </w:rPr>
        <w:t>he risk assessment and management process should be initiated as part of routine assessment and care planning</w:t>
      </w:r>
      <w:r w:rsidR="006E54E3" w:rsidRPr="009C53E0">
        <w:rPr>
          <w:rFonts w:ascii="Arial" w:hAnsi="Arial" w:cs="Arial"/>
          <w:sz w:val="22"/>
          <w:szCs w:val="22"/>
        </w:rPr>
        <w:t>.</w:t>
      </w:r>
      <w:r w:rsidR="00537132" w:rsidRPr="009C53E0">
        <w:rPr>
          <w:rFonts w:ascii="Arial" w:hAnsi="Arial" w:cs="Arial"/>
          <w:sz w:val="22"/>
          <w:szCs w:val="22"/>
        </w:rPr>
        <w:t xml:space="preserve"> I</w:t>
      </w:r>
      <w:r w:rsidR="00537132" w:rsidRPr="009C53E0">
        <w:rPr>
          <w:rFonts w:ascii="Arial" w:hAnsi="Arial" w:cs="Arial"/>
          <w:color w:val="000000"/>
          <w:sz w:val="22"/>
          <w:szCs w:val="22"/>
        </w:rPr>
        <w:t xml:space="preserve">nformation on risk assessment, formulation and management must be considered in progress notes and reflected in correspondence to GPs. The adult risk assessment form may be used where significant risk has been identified and </w:t>
      </w:r>
      <w:r w:rsidR="001D73E7" w:rsidRPr="009C53E0">
        <w:rPr>
          <w:rFonts w:ascii="Arial" w:hAnsi="Arial" w:cs="Arial"/>
          <w:color w:val="000000"/>
          <w:sz w:val="22"/>
          <w:szCs w:val="22"/>
        </w:rPr>
        <w:t>referral onwards to crisis services or inpatient services are required to manage risk</w:t>
      </w:r>
      <w:r w:rsidR="00537132" w:rsidRPr="009C53E0">
        <w:rPr>
          <w:rFonts w:ascii="Arial" w:hAnsi="Arial" w:cs="Arial"/>
          <w:color w:val="000000"/>
          <w:sz w:val="22"/>
          <w:szCs w:val="22"/>
        </w:rPr>
        <w:t>.</w:t>
      </w:r>
      <w:r w:rsidR="001D73E7" w:rsidRPr="009C53E0">
        <w:rPr>
          <w:rFonts w:ascii="Arial" w:hAnsi="Arial" w:cs="Arial"/>
          <w:color w:val="000000"/>
          <w:sz w:val="22"/>
          <w:szCs w:val="22"/>
        </w:rPr>
        <w:t xml:space="preserve"> The person directly involved in assessment of risk will complete the inline risk assessment tool,</w:t>
      </w:r>
      <w:r w:rsidR="004A4BB1" w:rsidRPr="009C53E0">
        <w:rPr>
          <w:rFonts w:ascii="Arial" w:hAnsi="Arial" w:cs="Arial"/>
          <w:color w:val="000000"/>
          <w:sz w:val="22"/>
          <w:szCs w:val="22"/>
        </w:rPr>
        <w:t xml:space="preserve"> </w:t>
      </w:r>
      <w:r w:rsidR="001D73E7" w:rsidRPr="009C53E0">
        <w:rPr>
          <w:rFonts w:ascii="Arial" w:hAnsi="Arial" w:cs="Arial"/>
          <w:color w:val="000000"/>
          <w:sz w:val="22"/>
          <w:szCs w:val="22"/>
        </w:rPr>
        <w:t xml:space="preserve">and communicate identified risks to onward team.   </w:t>
      </w:r>
    </w:p>
    <w:p w:rsidR="00EE4F3C" w:rsidRPr="009C53E0" w:rsidRDefault="00410AC0" w:rsidP="009C53E0">
      <w:pPr>
        <w:ind w:left="1134" w:right="10" w:hanging="567"/>
        <w:jc w:val="both"/>
        <w:rPr>
          <w:b/>
        </w:rPr>
      </w:pPr>
      <w:r w:rsidRPr="009C53E0">
        <w:t xml:space="preserve">7.2 </w:t>
      </w:r>
      <w:r w:rsidR="00FC5D7D" w:rsidRPr="009C53E0">
        <w:tab/>
      </w:r>
      <w:r w:rsidRPr="009C53E0">
        <w:t>The staff member/s receiving and responding to a referral for a patient should ensure that the</w:t>
      </w:r>
      <w:r w:rsidR="00FC5D7D" w:rsidRPr="009C53E0">
        <w:t xml:space="preserve"> </w:t>
      </w:r>
      <w:r w:rsidRPr="009C53E0">
        <w:t xml:space="preserve">agreed minimum of risk information is obtained prior to commencing assessment or providing care to the patient. In some circumstances, more detailed information may be sought prior to the patient being seen for assessment and treatment but this may be influenced by the urgency and immediacy with which care is required. </w:t>
      </w:r>
      <w:r w:rsidRPr="009C53E0">
        <w:rPr>
          <w:b/>
        </w:rPr>
        <w:t xml:space="preserve"> </w:t>
      </w:r>
    </w:p>
    <w:p w:rsidR="00F70740" w:rsidRPr="009C53E0" w:rsidRDefault="00F70740" w:rsidP="009C53E0">
      <w:pPr>
        <w:pStyle w:val="NormalWeb"/>
        <w:ind w:left="1134" w:hanging="567"/>
        <w:jc w:val="both"/>
        <w:rPr>
          <w:rFonts w:ascii="Arial" w:hAnsi="Arial" w:cs="Arial"/>
          <w:color w:val="000000"/>
          <w:sz w:val="22"/>
          <w:szCs w:val="22"/>
        </w:rPr>
      </w:pPr>
      <w:r w:rsidRPr="009C53E0">
        <w:rPr>
          <w:rFonts w:ascii="Arial" w:hAnsi="Arial" w:cs="Arial"/>
          <w:sz w:val="22"/>
          <w:szCs w:val="22"/>
        </w:rPr>
        <w:t>7.3</w:t>
      </w:r>
      <w:r w:rsidRPr="009C53E0">
        <w:rPr>
          <w:rFonts w:ascii="Arial" w:hAnsi="Arial" w:cs="Arial"/>
          <w:b/>
          <w:sz w:val="22"/>
          <w:szCs w:val="22"/>
        </w:rPr>
        <w:t xml:space="preserve"> </w:t>
      </w:r>
      <w:r w:rsidR="00FC5D7D" w:rsidRPr="009C53E0">
        <w:rPr>
          <w:rFonts w:ascii="Arial" w:hAnsi="Arial" w:cs="Arial"/>
          <w:b/>
          <w:sz w:val="22"/>
          <w:szCs w:val="22"/>
        </w:rPr>
        <w:tab/>
      </w:r>
      <w:r w:rsidRPr="009C53E0">
        <w:rPr>
          <w:rFonts w:ascii="Arial" w:hAnsi="Arial" w:cs="Arial"/>
          <w:bCs/>
          <w:sz w:val="22"/>
          <w:szCs w:val="22"/>
        </w:rPr>
        <w:t>When a service user i</w:t>
      </w:r>
      <w:r w:rsidR="007D3468" w:rsidRPr="009C53E0">
        <w:rPr>
          <w:rFonts w:ascii="Arial" w:hAnsi="Arial" w:cs="Arial"/>
          <w:bCs/>
          <w:sz w:val="22"/>
          <w:szCs w:val="22"/>
        </w:rPr>
        <w:t>s subject to CPA</w:t>
      </w:r>
      <w:r w:rsidR="004A4BB1" w:rsidRPr="009C53E0">
        <w:rPr>
          <w:rFonts w:ascii="Arial" w:hAnsi="Arial" w:cs="Arial"/>
          <w:bCs/>
          <w:sz w:val="22"/>
          <w:szCs w:val="22"/>
        </w:rPr>
        <w:t xml:space="preserve">, </w:t>
      </w:r>
      <w:r w:rsidR="004A4BB1" w:rsidRPr="009C53E0">
        <w:rPr>
          <w:rFonts w:ascii="Arial" w:hAnsi="Arial" w:cs="Arial"/>
          <w:color w:val="000000"/>
          <w:sz w:val="22"/>
          <w:szCs w:val="22"/>
          <w:shd w:val="clear" w:color="auto" w:fill="FFFFFF" w:themeFill="background1"/>
        </w:rPr>
        <w:t>accessing inpatient care or where substantial risk concerns have been identified, the inline assessment form must be completed.</w:t>
      </w:r>
    </w:p>
    <w:p w:rsidR="00EE4F3C" w:rsidRPr="009C53E0" w:rsidRDefault="00410AC0" w:rsidP="009C53E0">
      <w:pPr>
        <w:ind w:left="1134" w:right="10" w:hanging="567"/>
        <w:jc w:val="both"/>
      </w:pPr>
      <w:r w:rsidRPr="009C53E0">
        <w:t xml:space="preserve">7.3 </w:t>
      </w:r>
      <w:r w:rsidR="007D3468" w:rsidRPr="009C53E0">
        <w:tab/>
      </w:r>
      <w:r w:rsidRPr="009C53E0">
        <w:t>Where possible and considered necessary, risk information should be sought from a wide</w:t>
      </w:r>
      <w:r w:rsidR="007D3468" w:rsidRPr="009C53E0">
        <w:t xml:space="preserve"> </w:t>
      </w:r>
      <w:r w:rsidRPr="009C53E0">
        <w:t xml:space="preserve">variety of sources some of which are listed below for consideration: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numPr>
          <w:ilvl w:val="0"/>
          <w:numId w:val="1"/>
        </w:numPr>
        <w:ind w:left="1701" w:right="10" w:hanging="567"/>
        <w:jc w:val="both"/>
      </w:pPr>
      <w:r w:rsidRPr="009C53E0">
        <w:t xml:space="preserve">Family/Carer/Partner/Significant Other/Friend </w:t>
      </w:r>
    </w:p>
    <w:p w:rsidR="00EE4F3C" w:rsidRPr="009C53E0" w:rsidRDefault="00410AC0" w:rsidP="009C53E0">
      <w:pPr>
        <w:numPr>
          <w:ilvl w:val="0"/>
          <w:numId w:val="1"/>
        </w:numPr>
        <w:ind w:left="1701" w:right="10" w:hanging="567"/>
        <w:jc w:val="both"/>
      </w:pPr>
      <w:r w:rsidRPr="009C53E0">
        <w:t xml:space="preserve">General Practitioner </w:t>
      </w:r>
    </w:p>
    <w:p w:rsidR="00EE4F3C" w:rsidRPr="009C53E0" w:rsidRDefault="00410AC0" w:rsidP="009C53E0">
      <w:pPr>
        <w:numPr>
          <w:ilvl w:val="0"/>
          <w:numId w:val="1"/>
        </w:numPr>
        <w:ind w:left="1701" w:right="10" w:hanging="567"/>
        <w:jc w:val="both"/>
      </w:pPr>
      <w:r w:rsidRPr="009C53E0">
        <w:t xml:space="preserve">Accommodation Provider </w:t>
      </w:r>
    </w:p>
    <w:p w:rsidR="00EE4F3C" w:rsidRPr="009C53E0" w:rsidRDefault="00410AC0" w:rsidP="009C53E0">
      <w:pPr>
        <w:numPr>
          <w:ilvl w:val="0"/>
          <w:numId w:val="1"/>
        </w:numPr>
        <w:ind w:left="1701" w:right="10" w:hanging="567"/>
        <w:jc w:val="both"/>
      </w:pPr>
      <w:r w:rsidRPr="009C53E0">
        <w:t xml:space="preserve">Other NHS Trusts/Hospitals and Teams </w:t>
      </w:r>
    </w:p>
    <w:p w:rsidR="00EE4F3C" w:rsidRPr="009C53E0" w:rsidRDefault="00410AC0" w:rsidP="009C53E0">
      <w:pPr>
        <w:numPr>
          <w:ilvl w:val="0"/>
          <w:numId w:val="1"/>
        </w:numPr>
        <w:ind w:left="1701" w:right="10" w:hanging="567"/>
        <w:jc w:val="both"/>
      </w:pPr>
      <w:r w:rsidRPr="009C53E0">
        <w:t xml:space="preserve">Probation Services </w:t>
      </w:r>
    </w:p>
    <w:p w:rsidR="00EE4F3C" w:rsidRPr="009C53E0" w:rsidRDefault="00410AC0" w:rsidP="009C53E0">
      <w:pPr>
        <w:numPr>
          <w:ilvl w:val="0"/>
          <w:numId w:val="1"/>
        </w:numPr>
        <w:ind w:left="1701" w:right="10" w:hanging="567"/>
        <w:jc w:val="both"/>
      </w:pPr>
      <w:r w:rsidRPr="009C53E0">
        <w:t xml:space="preserve">Local Police - Local Intelligence Units often have additional information which they will disclose when there a public protection issues at stake and information can be sought by contacting the intelligence officer at the local police station </w:t>
      </w:r>
    </w:p>
    <w:p w:rsidR="00EE4F3C" w:rsidRPr="009C53E0" w:rsidRDefault="00410AC0" w:rsidP="009C53E0">
      <w:pPr>
        <w:numPr>
          <w:ilvl w:val="0"/>
          <w:numId w:val="1"/>
        </w:numPr>
        <w:ind w:left="1701" w:right="10" w:hanging="567"/>
        <w:jc w:val="both"/>
      </w:pPr>
      <w:r w:rsidRPr="009C53E0">
        <w:t xml:space="preserve">Prisons – following remand in custody, prison establishments may have a significant amount of risk information about an individual which can be accessed via contact with hospital/medical wings, psychology and probation departments or difficulties in obtaining information can be the Duty Governor.  </w:t>
      </w:r>
    </w:p>
    <w:p w:rsidR="00EE4F3C" w:rsidRPr="009C53E0" w:rsidRDefault="00410AC0" w:rsidP="009C53E0">
      <w:pPr>
        <w:numPr>
          <w:ilvl w:val="0"/>
          <w:numId w:val="1"/>
        </w:numPr>
        <w:ind w:left="1701" w:right="10" w:hanging="567"/>
        <w:jc w:val="both"/>
      </w:pPr>
      <w:r w:rsidRPr="009C53E0">
        <w:t xml:space="preserve">Children’s Social Care section of the local authority  </w:t>
      </w:r>
    </w:p>
    <w:p w:rsidR="00EE4F3C" w:rsidRPr="009C53E0" w:rsidRDefault="00410AC0" w:rsidP="009C53E0">
      <w:pPr>
        <w:numPr>
          <w:ilvl w:val="0"/>
          <w:numId w:val="1"/>
        </w:numPr>
        <w:ind w:left="1701" w:right="10" w:hanging="567"/>
        <w:jc w:val="both"/>
      </w:pPr>
      <w:r w:rsidRPr="009C53E0">
        <w:t xml:space="preserve">Voluntary and third section agencies providing support and care to the patient </w:t>
      </w:r>
    </w:p>
    <w:p w:rsidR="00EE4F3C" w:rsidRPr="009C53E0" w:rsidRDefault="00410AC0" w:rsidP="009C53E0">
      <w:pPr>
        <w:numPr>
          <w:ilvl w:val="0"/>
          <w:numId w:val="1"/>
        </w:numPr>
        <w:ind w:left="1701" w:right="10" w:hanging="567"/>
        <w:jc w:val="both"/>
      </w:pPr>
      <w:r w:rsidRPr="009C53E0">
        <w:t xml:space="preserve">Multi Agency Public Protection Panels (MAPPAs) – convened by local probation services to help manage the risks associated with a small number of individuals with the potential to cause serious harm and requiring management on an inter-agency basis. Any agency can refer a case to the MAPPA and the main purpose of the panel is to share information, jointly assess risk, and devise strategic plans to manage the dangerousness of individuals by agreeing and documenting the role of each agency and individual in the risk management of the case.  </w:t>
      </w:r>
    </w:p>
    <w:p w:rsidR="00EE4F3C" w:rsidRPr="009C53E0" w:rsidRDefault="00410AC0" w:rsidP="009C53E0">
      <w:pPr>
        <w:spacing w:after="0" w:line="259" w:lineRule="auto"/>
        <w:ind w:left="1134" w:hanging="567"/>
        <w:jc w:val="both"/>
      </w:pPr>
      <w:r w:rsidRPr="009C53E0">
        <w:t xml:space="preserve"> </w:t>
      </w:r>
    </w:p>
    <w:p w:rsidR="00D35EC7" w:rsidRPr="009C53E0" w:rsidRDefault="00410AC0" w:rsidP="008B49E7">
      <w:pPr>
        <w:numPr>
          <w:ilvl w:val="1"/>
          <w:numId w:val="2"/>
        </w:numPr>
        <w:ind w:left="1134" w:right="10" w:hanging="567"/>
        <w:jc w:val="both"/>
      </w:pPr>
      <w:r w:rsidRPr="009C53E0">
        <w:t>Risk information gathered should be evaluated for its qu</w:t>
      </w:r>
      <w:r w:rsidR="007D3468" w:rsidRPr="009C53E0">
        <w:t>ality and relevance to the risk</w:t>
      </w:r>
      <w:r w:rsidRPr="009C53E0">
        <w:t xml:space="preserve"> management process and streamlined to ensure that key risk in</w:t>
      </w:r>
      <w:r w:rsidR="007D3468" w:rsidRPr="009C53E0">
        <w:t xml:space="preserve">formation is clear and readily </w:t>
      </w:r>
      <w:r w:rsidRPr="009C53E0">
        <w:t>accessible to staff who may be required to make quick decisions relating to a patient’s safety</w:t>
      </w:r>
      <w:r w:rsidR="007D3468" w:rsidRPr="009C53E0">
        <w:t xml:space="preserve"> </w:t>
      </w:r>
      <w:r w:rsidR="00D35EC7" w:rsidRPr="009C53E0">
        <w:t>and care.</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numPr>
          <w:ilvl w:val="1"/>
          <w:numId w:val="2"/>
        </w:numPr>
        <w:ind w:left="1134" w:right="10" w:hanging="567"/>
        <w:jc w:val="both"/>
      </w:pPr>
      <w:r w:rsidRPr="009C53E0">
        <w:t>Information relating to a patient’s clinical risk should be cons</w:t>
      </w:r>
      <w:r w:rsidR="007D3468" w:rsidRPr="009C53E0">
        <w:t xml:space="preserve">idered in terms of the recent </w:t>
      </w:r>
      <w:r w:rsidRPr="009C53E0">
        <w:t>risk, the severity, the frequency and the pattern. Th</w:t>
      </w:r>
      <w:r w:rsidR="007D3468" w:rsidRPr="009C53E0">
        <w:t xml:space="preserve">is should inform the need for </w:t>
      </w:r>
      <w:r w:rsidRPr="009C53E0">
        <w:t xml:space="preserve">immediate and longer-term risk management planning.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numPr>
          <w:ilvl w:val="1"/>
          <w:numId w:val="2"/>
        </w:numPr>
        <w:ind w:left="1134" w:right="10" w:hanging="567"/>
        <w:jc w:val="both"/>
      </w:pPr>
      <w:r w:rsidRPr="009C53E0">
        <w:t xml:space="preserve">Accurate history taking is a key part of clinical risk assessment and management planning.  </w:t>
      </w:r>
      <w:r w:rsidRPr="009C53E0">
        <w:tab/>
        <w:t>Gaps in information due to poor reporting by the patient and/or other informants should be identified, recorded and communicated to colleagues in order that it can be sought at a later</w:t>
      </w:r>
      <w:r w:rsidR="007D3468" w:rsidRPr="009C53E0">
        <w:t xml:space="preserve"> </w:t>
      </w:r>
      <w:r w:rsidRPr="009C53E0">
        <w:t xml:space="preserve">stage.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spacing w:after="0" w:line="259" w:lineRule="auto"/>
        <w:ind w:left="1134" w:hanging="567"/>
        <w:jc w:val="both"/>
      </w:pPr>
      <w:r w:rsidRPr="009C53E0">
        <w:t xml:space="preserve"> 7.8 </w:t>
      </w:r>
      <w:r w:rsidR="007D3468" w:rsidRPr="009C53E0">
        <w:tab/>
      </w:r>
      <w:r w:rsidRPr="009C53E0">
        <w:t xml:space="preserve">Assessment of the key areas of risk should aim to answer the following questions: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numPr>
          <w:ilvl w:val="0"/>
          <w:numId w:val="1"/>
        </w:numPr>
        <w:ind w:left="1701" w:right="10" w:hanging="567"/>
        <w:jc w:val="both"/>
      </w:pPr>
      <w:r w:rsidRPr="009C53E0">
        <w:t xml:space="preserve">Is there a risk of harm? </w:t>
      </w:r>
    </w:p>
    <w:p w:rsidR="00EE4F3C" w:rsidRPr="009C53E0" w:rsidRDefault="00410AC0" w:rsidP="009C53E0">
      <w:pPr>
        <w:numPr>
          <w:ilvl w:val="0"/>
          <w:numId w:val="1"/>
        </w:numPr>
        <w:ind w:left="1701" w:right="10" w:hanging="567"/>
        <w:jc w:val="both"/>
      </w:pPr>
      <w:r w:rsidRPr="009C53E0">
        <w:t xml:space="preserve">What sort of harm and of what likely degree? </w:t>
      </w:r>
    </w:p>
    <w:p w:rsidR="00EE4F3C" w:rsidRPr="009C53E0" w:rsidRDefault="00410AC0" w:rsidP="009C53E0">
      <w:pPr>
        <w:numPr>
          <w:ilvl w:val="0"/>
          <w:numId w:val="1"/>
        </w:numPr>
        <w:ind w:left="1701" w:right="10" w:hanging="567"/>
        <w:jc w:val="both"/>
      </w:pPr>
      <w:r w:rsidRPr="009C53E0">
        <w:t xml:space="preserve">What is the immediacy or imminence? </w:t>
      </w:r>
    </w:p>
    <w:p w:rsidR="00EE4F3C" w:rsidRPr="009C53E0" w:rsidRDefault="00410AC0" w:rsidP="009C53E0">
      <w:pPr>
        <w:numPr>
          <w:ilvl w:val="0"/>
          <w:numId w:val="1"/>
        </w:numPr>
        <w:ind w:left="1701" w:right="10" w:hanging="567"/>
        <w:jc w:val="both"/>
      </w:pPr>
      <w:r w:rsidRPr="009C53E0">
        <w:t xml:space="preserve">How long may the risk last? </w:t>
      </w:r>
    </w:p>
    <w:p w:rsidR="00EE4F3C" w:rsidRPr="009C53E0" w:rsidRDefault="00410AC0" w:rsidP="009C53E0">
      <w:pPr>
        <w:numPr>
          <w:ilvl w:val="0"/>
          <w:numId w:val="1"/>
        </w:numPr>
        <w:ind w:left="1701" w:right="10" w:hanging="567"/>
        <w:jc w:val="both"/>
      </w:pPr>
      <w:r w:rsidRPr="009C53E0">
        <w:t xml:space="preserve">What contributory factors relate to the level of risk? </w:t>
      </w:r>
    </w:p>
    <w:p w:rsidR="00EE4F3C" w:rsidRPr="009C53E0" w:rsidRDefault="00410AC0" w:rsidP="009C53E0">
      <w:pPr>
        <w:numPr>
          <w:ilvl w:val="0"/>
          <w:numId w:val="1"/>
        </w:numPr>
        <w:ind w:left="1701" w:right="10" w:hanging="567"/>
        <w:jc w:val="both"/>
      </w:pPr>
      <w:r w:rsidRPr="009C53E0">
        <w:t xml:space="preserve">How can the contributory factors be modified or managed? </w:t>
      </w:r>
    </w:p>
    <w:p w:rsidR="00EE4F3C" w:rsidRPr="009C53E0" w:rsidRDefault="00410AC0" w:rsidP="009C53E0">
      <w:pPr>
        <w:numPr>
          <w:ilvl w:val="0"/>
          <w:numId w:val="1"/>
        </w:numPr>
        <w:ind w:left="1701" w:right="10" w:hanging="567"/>
        <w:jc w:val="both"/>
      </w:pPr>
      <w:r w:rsidRPr="009C53E0">
        <w:t xml:space="preserve">Are there any protective or mitigating factors? </w:t>
      </w:r>
    </w:p>
    <w:p w:rsidR="00EE4F3C" w:rsidRPr="009C53E0" w:rsidRDefault="00410AC0" w:rsidP="009C53E0">
      <w:pPr>
        <w:spacing w:after="0" w:line="259" w:lineRule="auto"/>
        <w:ind w:left="1701" w:hanging="567"/>
        <w:jc w:val="both"/>
      </w:pPr>
      <w:r w:rsidRPr="009C53E0">
        <w:t xml:space="preserve"> </w:t>
      </w:r>
    </w:p>
    <w:p w:rsidR="00EE4F3C" w:rsidRPr="009C53E0" w:rsidRDefault="007D3468" w:rsidP="009C53E0">
      <w:pPr>
        <w:ind w:left="1134" w:right="10" w:hanging="567"/>
        <w:jc w:val="both"/>
      </w:pPr>
      <w:r w:rsidRPr="009C53E0">
        <w:t>7.9</w:t>
      </w:r>
      <w:r w:rsidRPr="009C53E0">
        <w:tab/>
      </w:r>
      <w:r w:rsidR="00410AC0" w:rsidRPr="009C53E0">
        <w:t xml:space="preserve">The risk assessment findings and management planning should be documented using the agreed format for each clinical team. The relevant tools are as follows: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numPr>
          <w:ilvl w:val="0"/>
          <w:numId w:val="1"/>
        </w:numPr>
        <w:ind w:left="1701" w:right="10" w:hanging="567"/>
        <w:jc w:val="both"/>
      </w:pPr>
      <w:r w:rsidRPr="009C53E0">
        <w:t xml:space="preserve">Adult Mental Health Services CPA Template and CPA Care Plan  </w:t>
      </w:r>
    </w:p>
    <w:p w:rsidR="00EE4F3C" w:rsidRPr="009C53E0" w:rsidRDefault="00410AC0" w:rsidP="009C53E0">
      <w:pPr>
        <w:numPr>
          <w:ilvl w:val="0"/>
          <w:numId w:val="1"/>
        </w:numPr>
        <w:ind w:left="1701" w:right="10" w:hanging="567"/>
        <w:jc w:val="both"/>
      </w:pPr>
      <w:r w:rsidRPr="009C53E0">
        <w:t xml:space="preserve">CAMHS Risk Assessment and CAMHS Care Programme Approach Care Plan </w:t>
      </w:r>
    </w:p>
    <w:p w:rsidR="00D81D18" w:rsidRPr="009C53E0" w:rsidRDefault="00410AC0" w:rsidP="009C53E0">
      <w:pPr>
        <w:numPr>
          <w:ilvl w:val="0"/>
          <w:numId w:val="1"/>
        </w:numPr>
        <w:ind w:left="1701" w:right="10" w:hanging="567"/>
        <w:jc w:val="both"/>
      </w:pPr>
      <w:r w:rsidRPr="009C53E0">
        <w:t xml:space="preserve">Specialist Addiction Services Risk Assessment Form  </w:t>
      </w:r>
    </w:p>
    <w:p w:rsidR="00D81D18" w:rsidRPr="009C53E0" w:rsidRDefault="00410AC0" w:rsidP="009C53E0">
      <w:pPr>
        <w:numPr>
          <w:ilvl w:val="0"/>
          <w:numId w:val="1"/>
        </w:numPr>
        <w:ind w:left="1701" w:right="10" w:hanging="567"/>
        <w:jc w:val="both"/>
      </w:pPr>
      <w:r w:rsidRPr="009C53E0">
        <w:t xml:space="preserve">HCR-20 Document  </w:t>
      </w:r>
    </w:p>
    <w:p w:rsidR="00D81D18" w:rsidRPr="009C53E0" w:rsidRDefault="00D81D18" w:rsidP="009C53E0">
      <w:pPr>
        <w:ind w:left="1134" w:right="10" w:hanging="567"/>
        <w:jc w:val="both"/>
      </w:pPr>
    </w:p>
    <w:p w:rsidR="00D81D18" w:rsidRPr="009C53E0" w:rsidRDefault="00D81D18" w:rsidP="009C53E0">
      <w:pPr>
        <w:shd w:val="clear" w:color="auto" w:fill="FFFFFF" w:themeFill="background1"/>
        <w:ind w:left="1134" w:right="10" w:firstLine="0"/>
        <w:jc w:val="both"/>
      </w:pPr>
      <w:r w:rsidRPr="009C53E0">
        <w:t>When a</w:t>
      </w:r>
      <w:r w:rsidR="006829F6" w:rsidRPr="009C53E0">
        <w:t>n</w:t>
      </w:r>
      <w:r w:rsidRPr="009C53E0">
        <w:t xml:space="preserve"> inline risk assessment form is created a Rio entry should be made indicating a risk assessment document has been created, and note that the full risk assessment is now contained in the in-line form. </w:t>
      </w:r>
    </w:p>
    <w:p w:rsidR="00D81D18" w:rsidRPr="008B49E7" w:rsidRDefault="00D81D18" w:rsidP="009C53E0">
      <w:pPr>
        <w:pStyle w:val="NormalWeb"/>
        <w:shd w:val="clear" w:color="auto" w:fill="FFFFFF" w:themeFill="background1"/>
        <w:ind w:left="1134"/>
        <w:jc w:val="both"/>
        <w:rPr>
          <w:rFonts w:ascii="Arial" w:hAnsi="Arial" w:cs="Arial"/>
          <w:color w:val="000000"/>
          <w:sz w:val="22"/>
          <w:szCs w:val="22"/>
        </w:rPr>
      </w:pPr>
      <w:r w:rsidRPr="009C53E0">
        <w:rPr>
          <w:rFonts w:ascii="Arial" w:hAnsi="Arial" w:cs="Arial"/>
          <w:color w:val="000000"/>
          <w:sz w:val="22"/>
          <w:szCs w:val="22"/>
        </w:rPr>
        <w:t>Risk information should be entered in real time through use of the risk tab on progress notes, which allows for entries containing risk information to be saved in the risk chronology. If required risk chronology can be printed</w:t>
      </w:r>
      <w:r w:rsidRPr="008B49E7">
        <w:rPr>
          <w:rFonts w:ascii="Arial" w:hAnsi="Arial" w:cs="Arial"/>
          <w:color w:val="000000"/>
          <w:sz w:val="22"/>
          <w:szCs w:val="22"/>
        </w:rPr>
        <w:t xml:space="preserve">. </w:t>
      </w:r>
      <w:r w:rsidR="00D35EC7" w:rsidRPr="008B49E7">
        <w:rPr>
          <w:rFonts w:ascii="Arial" w:hAnsi="Arial" w:cs="Arial"/>
          <w:color w:val="000000"/>
          <w:sz w:val="22"/>
          <w:szCs w:val="22"/>
        </w:rPr>
        <w:t xml:space="preserve">Staff should complete the ‘Steps or actions to address/ mitigate risks that have been identified’ field on the inline Adult Risk Assessment form. </w:t>
      </w:r>
    </w:p>
    <w:p w:rsidR="006829F6" w:rsidRPr="009C53E0" w:rsidRDefault="006829F6" w:rsidP="009C53E0">
      <w:pPr>
        <w:shd w:val="clear" w:color="auto" w:fill="FFFFFF" w:themeFill="background1"/>
        <w:ind w:left="1134" w:right="10" w:hanging="567"/>
        <w:jc w:val="both"/>
      </w:pPr>
      <w:r w:rsidRPr="008B49E7">
        <w:t xml:space="preserve"> </w:t>
      </w:r>
      <w:r w:rsidR="007D3468" w:rsidRPr="008B49E7">
        <w:tab/>
      </w:r>
      <w:r w:rsidRPr="008B49E7">
        <w:t>“My safety plan” forms part of the risk assessment process. Where at all possible this should be devised in collaboration with the service user and any other party they would like to involve in the plan to mitigate risks.</w:t>
      </w:r>
      <w:r w:rsidR="00694A0E" w:rsidRPr="008B49E7">
        <w:t xml:space="preserve"> A comprehensive risk formulation should identify factors that might exacerbate and alleviate risk and the safety plan should incorporate these.</w:t>
      </w:r>
      <w:r w:rsidRPr="008B49E7">
        <w:t xml:space="preserve"> Where collaboration is not possible the document should be revisited at frequent intervals to gain collaboration.</w:t>
      </w:r>
    </w:p>
    <w:p w:rsidR="006829F6" w:rsidRPr="009C53E0" w:rsidRDefault="006829F6" w:rsidP="009C53E0">
      <w:pPr>
        <w:shd w:val="clear" w:color="auto" w:fill="FFFFFF" w:themeFill="background1"/>
        <w:ind w:left="1134" w:right="10" w:hanging="567"/>
        <w:jc w:val="both"/>
      </w:pPr>
    </w:p>
    <w:p w:rsidR="00D81D18" w:rsidRPr="009C53E0" w:rsidRDefault="006829F6" w:rsidP="009C53E0">
      <w:pPr>
        <w:shd w:val="clear" w:color="auto" w:fill="FFFFFF" w:themeFill="background1"/>
        <w:ind w:left="1134" w:right="10" w:firstLine="0"/>
        <w:jc w:val="both"/>
      </w:pPr>
      <w:r w:rsidRPr="009C53E0">
        <w:t>“My safety plan should outline a plan of action to mitigate any identified risks. Plans should include consideration of protective factors and strategies that are known to reduce risk, these may include links to family</w:t>
      </w:r>
      <w:r w:rsidR="001826C8" w:rsidRPr="009C53E0">
        <w:t>,</w:t>
      </w:r>
      <w:r w:rsidRPr="009C53E0">
        <w:t xml:space="preserve"> friends and support networks within the community</w:t>
      </w:r>
      <w:r w:rsidR="001826C8" w:rsidRPr="009C53E0">
        <w:t xml:space="preserve">. “My safety plan” should outline a plan of action should a crisis occur. This is required to be tailored to </w:t>
      </w:r>
      <w:proofErr w:type="gramStart"/>
      <w:r w:rsidR="001826C8" w:rsidRPr="009C53E0">
        <w:t>individuals</w:t>
      </w:r>
      <w:proofErr w:type="gramEnd"/>
      <w:r w:rsidR="001826C8" w:rsidRPr="009C53E0">
        <w:t xml:space="preserve"> needs and wishes, and should contain more detail that just to present to A and E or mental health crisis services.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numPr>
          <w:ilvl w:val="1"/>
          <w:numId w:val="3"/>
        </w:numPr>
        <w:ind w:left="1134" w:right="10" w:hanging="567"/>
        <w:jc w:val="both"/>
      </w:pPr>
      <w:r w:rsidRPr="009C53E0">
        <w:t>Risk assessment and subsequent management planning should be communicated to all</w:t>
      </w:r>
      <w:r w:rsidR="007D3468" w:rsidRPr="009C53E0">
        <w:t xml:space="preserve"> </w:t>
      </w:r>
      <w:r w:rsidRPr="009C53E0">
        <w:tab/>
        <w:t xml:space="preserve">relevant clinical and management staff. This will depend upon the clinical setting and the level to which any individual patient’s risk is managed on a day to day basis, be it by a whole   </w:t>
      </w:r>
      <w:r w:rsidRPr="009C53E0">
        <w:tab/>
        <w:t>team such as a ward or mainly by key individuals such as a care co-ordinator and outpatient doctor. Risk information should be readily accessible to any staff member who may be</w:t>
      </w:r>
      <w:r w:rsidR="007D3468" w:rsidRPr="009C53E0">
        <w:t xml:space="preserve"> </w:t>
      </w:r>
      <w:r w:rsidRPr="009C53E0">
        <w:t>required to provide some form of clinical intervention to a patient regardless of their prior involvement with the patient. Consideration should be given by each clinical team about how risk information can be easily accessed when needed by staff outside of their team, who may</w:t>
      </w:r>
      <w:r w:rsidR="007D3468" w:rsidRPr="009C53E0">
        <w:t xml:space="preserve"> </w:t>
      </w:r>
      <w:r w:rsidRPr="009C53E0">
        <w:tab/>
        <w:t xml:space="preserve">be required to provide assessment or urgent care to patients presenting to their services.  </w:t>
      </w:r>
    </w:p>
    <w:p w:rsidR="00EE4F3C" w:rsidRPr="009C53E0" w:rsidRDefault="00410AC0" w:rsidP="009C53E0">
      <w:pPr>
        <w:spacing w:after="0" w:line="259" w:lineRule="auto"/>
        <w:ind w:left="1134" w:hanging="567"/>
        <w:jc w:val="both"/>
      </w:pPr>
      <w:r w:rsidRPr="009C53E0">
        <w:t xml:space="preserve"> </w:t>
      </w:r>
    </w:p>
    <w:p w:rsidR="00EE4F3C" w:rsidRPr="009C53E0" w:rsidRDefault="00410AC0" w:rsidP="009C53E0">
      <w:pPr>
        <w:numPr>
          <w:ilvl w:val="1"/>
          <w:numId w:val="3"/>
        </w:numPr>
        <w:ind w:left="1134" w:right="10" w:hanging="567"/>
        <w:jc w:val="both"/>
      </w:pPr>
      <w:r w:rsidRPr="009C53E0">
        <w:t>Risk assessment and management documents should be reviewed routinely at key intervals in the patient’s care spell such as ward round reviews, discharge planning meetings and CPA reviews. Risks should be escalated and de-escalated in response to any changing factors which alter the overall profile of the risk. This will ensure that the process remains dynamic</w:t>
      </w:r>
      <w:r w:rsidR="007D3468" w:rsidRPr="009C53E0">
        <w:t xml:space="preserve"> </w:t>
      </w:r>
      <w:r w:rsidRPr="009C53E0">
        <w:t>and is therapeutic in responding to the patient’s changing p</w:t>
      </w:r>
      <w:r w:rsidR="007D3468" w:rsidRPr="009C53E0">
        <w:t>resentation and ability to self-</w:t>
      </w:r>
      <w:r w:rsidRPr="009C53E0">
        <w:t xml:space="preserve">care. </w:t>
      </w:r>
    </w:p>
    <w:p w:rsidR="00C179A6" w:rsidRPr="009C53E0" w:rsidRDefault="00C179A6" w:rsidP="009C53E0">
      <w:pPr>
        <w:pStyle w:val="ListParagraph"/>
        <w:ind w:left="1134" w:hanging="567"/>
        <w:jc w:val="both"/>
      </w:pPr>
    </w:p>
    <w:p w:rsidR="00C179A6" w:rsidRPr="009C53E0" w:rsidRDefault="00C179A6" w:rsidP="009C53E0">
      <w:pPr>
        <w:shd w:val="clear" w:color="auto" w:fill="FFFFFF" w:themeFill="background1"/>
        <w:ind w:left="1134" w:right="10" w:firstLine="0"/>
        <w:jc w:val="both"/>
      </w:pPr>
      <w:r w:rsidRPr="009C53E0">
        <w:t>At a minimum review should occur;</w:t>
      </w:r>
    </w:p>
    <w:p w:rsidR="002469C4" w:rsidRPr="009C53E0" w:rsidRDefault="002469C4" w:rsidP="009C53E0">
      <w:pPr>
        <w:shd w:val="clear" w:color="auto" w:fill="FFFFFF" w:themeFill="background1"/>
        <w:ind w:left="1134" w:right="10" w:firstLine="0"/>
        <w:jc w:val="both"/>
      </w:pPr>
    </w:p>
    <w:p w:rsidR="00C179A6" w:rsidRPr="009C53E0" w:rsidRDefault="00C179A6" w:rsidP="009C53E0">
      <w:pPr>
        <w:pStyle w:val="ListParagraph"/>
        <w:numPr>
          <w:ilvl w:val="0"/>
          <w:numId w:val="9"/>
        </w:numPr>
        <w:shd w:val="clear" w:color="auto" w:fill="FFFFFF" w:themeFill="background1"/>
        <w:ind w:left="1701" w:right="10" w:hanging="567"/>
        <w:jc w:val="both"/>
      </w:pPr>
      <w:r w:rsidRPr="009C53E0">
        <w:t>Every 4 weeks when in an inpatient setting or community enhanced inpu</w:t>
      </w:r>
      <w:r w:rsidR="002469C4" w:rsidRPr="009C53E0">
        <w:t>t setting such as crisis or HTT</w:t>
      </w:r>
      <w:r w:rsidRPr="009C53E0">
        <w:t>, more frequently as risk and mental state fluctuates.</w:t>
      </w:r>
    </w:p>
    <w:p w:rsidR="007D3468" w:rsidRPr="009C53E0" w:rsidRDefault="00C179A6" w:rsidP="009C53E0">
      <w:pPr>
        <w:pStyle w:val="ListParagraph"/>
        <w:numPr>
          <w:ilvl w:val="0"/>
          <w:numId w:val="9"/>
        </w:numPr>
        <w:shd w:val="clear" w:color="auto" w:fill="FFFFFF" w:themeFill="background1"/>
        <w:ind w:left="1701" w:right="10" w:hanging="567"/>
        <w:jc w:val="both"/>
      </w:pPr>
      <w:r w:rsidRPr="009C53E0">
        <w:t xml:space="preserve">For service users under CPA risk assessment and plan should be reviewed ahead of a CPA review meeting. </w:t>
      </w:r>
    </w:p>
    <w:p w:rsidR="00C179A6" w:rsidRPr="009C53E0" w:rsidRDefault="00C179A6" w:rsidP="009C53E0">
      <w:pPr>
        <w:pStyle w:val="ListParagraph"/>
        <w:shd w:val="clear" w:color="auto" w:fill="FFFFFF" w:themeFill="background1"/>
        <w:ind w:left="1701" w:right="10" w:firstLine="0"/>
        <w:jc w:val="both"/>
        <w:rPr>
          <w:b/>
        </w:rPr>
      </w:pPr>
      <w:r w:rsidRPr="009C53E0">
        <w:rPr>
          <w:b/>
        </w:rPr>
        <w:t xml:space="preserve">  </w:t>
      </w:r>
    </w:p>
    <w:p w:rsidR="00EE4F3C" w:rsidRPr="009C53E0" w:rsidRDefault="00410AC0" w:rsidP="009C53E0">
      <w:pPr>
        <w:spacing w:after="0" w:line="259" w:lineRule="auto"/>
        <w:ind w:left="567" w:hanging="567"/>
        <w:jc w:val="both"/>
        <w:rPr>
          <w:b/>
        </w:rPr>
      </w:pPr>
      <w:r w:rsidRPr="009C53E0">
        <w:rPr>
          <w:b/>
        </w:rPr>
        <w:t xml:space="preserve"> </w:t>
      </w:r>
      <w:r w:rsidR="007D3468" w:rsidRPr="009C53E0">
        <w:rPr>
          <w:b/>
        </w:rPr>
        <w:t>8</w:t>
      </w:r>
      <w:r w:rsidR="007D3468" w:rsidRPr="009C53E0">
        <w:rPr>
          <w:b/>
        </w:rPr>
        <w:tab/>
      </w:r>
      <w:r w:rsidRPr="009C53E0">
        <w:rPr>
          <w:b/>
        </w:rPr>
        <w:t xml:space="preserve">Training  </w:t>
      </w:r>
    </w:p>
    <w:p w:rsidR="00EE4F3C" w:rsidRPr="009C53E0" w:rsidRDefault="00410AC0" w:rsidP="009C53E0">
      <w:pPr>
        <w:spacing w:after="0" w:line="259" w:lineRule="auto"/>
        <w:ind w:left="567" w:hanging="567"/>
        <w:jc w:val="both"/>
        <w:rPr>
          <w:b/>
        </w:rPr>
      </w:pPr>
      <w:r w:rsidRPr="009C53E0">
        <w:rPr>
          <w:b/>
        </w:rPr>
        <w:t xml:space="preserve"> </w:t>
      </w:r>
    </w:p>
    <w:p w:rsidR="00EE4F3C" w:rsidRPr="009C53E0" w:rsidRDefault="00410AC0" w:rsidP="009C53E0">
      <w:pPr>
        <w:ind w:left="567" w:right="10" w:hanging="567"/>
        <w:jc w:val="both"/>
      </w:pPr>
      <w:r w:rsidRPr="009C53E0">
        <w:t xml:space="preserve"> </w:t>
      </w:r>
      <w:r w:rsidRPr="009C53E0">
        <w:tab/>
        <w:t>All professionally qualified staff with care co-ordination and CPA responsibilities are required to complete the Trust’s clinical risk assessment training a</w:t>
      </w:r>
      <w:r w:rsidR="007D3468" w:rsidRPr="009C53E0">
        <w:t xml:space="preserve">nd to attend regular refresher </w:t>
      </w:r>
      <w:r w:rsidRPr="009C53E0">
        <w:t>training</w:t>
      </w:r>
      <w:r w:rsidR="007D3468" w:rsidRPr="009C53E0">
        <w:t xml:space="preserve"> </w:t>
      </w:r>
      <w:r w:rsidRPr="009C53E0">
        <w:t xml:space="preserve">as detailed in the Training Needs Analysis. The Training Department keeps records of attendance at clinical risk training and compliance with training requirements is closely monitored by the Service Delivery Board. </w:t>
      </w:r>
    </w:p>
    <w:p w:rsidR="00EE4F3C" w:rsidRPr="009C53E0" w:rsidRDefault="00410AC0" w:rsidP="009C53E0">
      <w:pPr>
        <w:spacing w:after="0" w:line="259" w:lineRule="auto"/>
        <w:ind w:left="567" w:hanging="567"/>
        <w:jc w:val="both"/>
      </w:pPr>
      <w:r w:rsidRPr="009C53E0">
        <w:rPr>
          <w:b/>
        </w:rPr>
        <w:t xml:space="preserve"> </w:t>
      </w:r>
    </w:p>
    <w:p w:rsidR="00EE4F3C" w:rsidRPr="009C53E0" w:rsidRDefault="007D3468" w:rsidP="009C53E0">
      <w:pPr>
        <w:pStyle w:val="Heading1"/>
        <w:numPr>
          <w:ilvl w:val="0"/>
          <w:numId w:val="0"/>
        </w:numPr>
        <w:ind w:left="567" w:hanging="567"/>
        <w:jc w:val="both"/>
      </w:pPr>
      <w:bookmarkStart w:id="6" w:name="_Toc52784350"/>
      <w:r w:rsidRPr="009C53E0">
        <w:t>9</w:t>
      </w:r>
      <w:r w:rsidRPr="009C53E0">
        <w:tab/>
        <w:t>M</w:t>
      </w:r>
      <w:r w:rsidR="00410AC0" w:rsidRPr="009C53E0">
        <w:t>onitoring, Compliance and Review</w:t>
      </w:r>
      <w:bookmarkEnd w:id="6"/>
      <w:r w:rsidR="00410AC0" w:rsidRPr="009C53E0">
        <w:t xml:space="preserve">  </w:t>
      </w:r>
    </w:p>
    <w:p w:rsidR="00EE4F3C" w:rsidRPr="009C53E0" w:rsidRDefault="00410AC0" w:rsidP="009C53E0">
      <w:pPr>
        <w:spacing w:after="0" w:line="259" w:lineRule="auto"/>
        <w:ind w:left="1134" w:hanging="567"/>
        <w:jc w:val="both"/>
      </w:pPr>
      <w:r w:rsidRPr="009C53E0">
        <w:rPr>
          <w:b/>
        </w:rPr>
        <w:t xml:space="preserve"> </w:t>
      </w:r>
    </w:p>
    <w:p w:rsidR="007D3468" w:rsidRPr="009C53E0" w:rsidRDefault="00410AC0" w:rsidP="009C53E0">
      <w:pPr>
        <w:spacing w:after="7" w:line="241" w:lineRule="auto"/>
        <w:ind w:left="1134" w:hanging="567"/>
        <w:jc w:val="both"/>
      </w:pPr>
      <w:r w:rsidRPr="009C53E0">
        <w:t xml:space="preserve">9.1 </w:t>
      </w:r>
      <w:r w:rsidR="007D3468" w:rsidRPr="009C53E0">
        <w:tab/>
        <w:t>C</w:t>
      </w:r>
      <w:r w:rsidRPr="009C53E0">
        <w:t xml:space="preserve">ompletion of the Risk Assessment section of the CPA documentation set as part of </w:t>
      </w:r>
    </w:p>
    <w:p w:rsidR="00EE4F3C" w:rsidRPr="009C53E0" w:rsidRDefault="00410AC0" w:rsidP="009C53E0">
      <w:pPr>
        <w:spacing w:after="7" w:line="241" w:lineRule="auto"/>
        <w:ind w:left="1134" w:firstLine="0"/>
        <w:jc w:val="both"/>
      </w:pPr>
      <w:proofErr w:type="gramStart"/>
      <w:r w:rsidRPr="009C53E0">
        <w:t>the</w:t>
      </w:r>
      <w:proofErr w:type="gramEnd"/>
      <w:r w:rsidRPr="009C53E0">
        <w:t xml:space="preserve"> CPA process is audited annually using the Trust’s electronic CPA and Risk Assessment Audit Tool.  </w:t>
      </w:r>
    </w:p>
    <w:p w:rsidR="00EE4F3C" w:rsidRPr="009C53E0" w:rsidRDefault="00410AC0" w:rsidP="009C53E0">
      <w:pPr>
        <w:spacing w:after="0" w:line="259" w:lineRule="auto"/>
        <w:ind w:left="1134" w:hanging="567"/>
        <w:jc w:val="both"/>
      </w:pPr>
      <w:r w:rsidRPr="009C53E0">
        <w:t xml:space="preserve"> </w:t>
      </w:r>
    </w:p>
    <w:p w:rsidR="00EE4F3C" w:rsidRPr="00666B16" w:rsidRDefault="00EE4F3C">
      <w:pPr>
        <w:sectPr w:rsidR="00EE4F3C" w:rsidRPr="00666B16">
          <w:footerReference w:type="even" r:id="rId8"/>
          <w:footerReference w:type="default" r:id="rId9"/>
          <w:footerReference w:type="first" r:id="rId10"/>
          <w:pgSz w:w="11904" w:h="16840"/>
          <w:pgMar w:top="1134" w:right="1133" w:bottom="1141" w:left="1134" w:header="720" w:footer="713" w:gutter="0"/>
          <w:cols w:space="720"/>
        </w:sectPr>
      </w:pPr>
    </w:p>
    <w:p w:rsidR="00EE4F3C" w:rsidRPr="00666B16" w:rsidRDefault="00410AC0">
      <w:pPr>
        <w:ind w:left="-5" w:right="10"/>
      </w:pPr>
      <w:r w:rsidRPr="00666B16">
        <w:t xml:space="preserve">Monitoring </w:t>
      </w:r>
    </w:p>
    <w:p w:rsidR="00EE4F3C" w:rsidRPr="00666B16" w:rsidRDefault="00410AC0">
      <w:pPr>
        <w:spacing w:after="0" w:line="259" w:lineRule="auto"/>
        <w:ind w:left="0" w:firstLine="0"/>
      </w:pPr>
      <w:r w:rsidRPr="00666B16">
        <w:t xml:space="preserve"> </w:t>
      </w:r>
    </w:p>
    <w:tbl>
      <w:tblPr>
        <w:tblStyle w:val="TableGrid"/>
        <w:tblW w:w="14784" w:type="dxa"/>
        <w:tblInd w:w="-107" w:type="dxa"/>
        <w:tblCellMar>
          <w:top w:w="6" w:type="dxa"/>
          <w:left w:w="107" w:type="dxa"/>
          <w:right w:w="51" w:type="dxa"/>
        </w:tblCellMar>
        <w:tblLook w:val="04A0" w:firstRow="1" w:lastRow="0" w:firstColumn="1" w:lastColumn="0" w:noHBand="0" w:noVBand="1"/>
      </w:tblPr>
      <w:tblGrid>
        <w:gridCol w:w="1112"/>
        <w:gridCol w:w="1472"/>
        <w:gridCol w:w="2754"/>
        <w:gridCol w:w="1320"/>
        <w:gridCol w:w="1156"/>
        <w:gridCol w:w="1272"/>
        <w:gridCol w:w="1652"/>
        <w:gridCol w:w="2054"/>
        <w:gridCol w:w="1992"/>
      </w:tblGrid>
      <w:tr w:rsidR="00EE4F3C" w:rsidRPr="00666B16">
        <w:trPr>
          <w:trHeight w:val="698"/>
        </w:trPr>
        <w:tc>
          <w:tcPr>
            <w:tcW w:w="996"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0" w:firstLine="0"/>
            </w:pPr>
            <w:r w:rsidRPr="00666B16">
              <w:rPr>
                <w:b/>
              </w:rPr>
              <w:t xml:space="preserve">NHSLA Standard </w:t>
            </w:r>
          </w:p>
        </w:tc>
        <w:tc>
          <w:tcPr>
            <w:tcW w:w="1492"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1" w:firstLine="0"/>
            </w:pPr>
            <w:r w:rsidRPr="00666B16">
              <w:rPr>
                <w:b/>
              </w:rPr>
              <w:t xml:space="preserve">Name </w:t>
            </w:r>
          </w:p>
        </w:tc>
        <w:tc>
          <w:tcPr>
            <w:tcW w:w="2964"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1" w:firstLine="0"/>
            </w:pPr>
            <w:r w:rsidRPr="00666B16">
              <w:rPr>
                <w:b/>
              </w:rPr>
              <w:t xml:space="preserve">Element to be monitored </w:t>
            </w:r>
          </w:p>
        </w:tc>
        <w:tc>
          <w:tcPr>
            <w:tcW w:w="1388"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1" w:firstLine="0"/>
            </w:pPr>
            <w:r w:rsidRPr="00666B16">
              <w:rPr>
                <w:b/>
              </w:rPr>
              <w:t xml:space="preserve">Lead </w:t>
            </w:r>
          </w:p>
        </w:tc>
        <w:tc>
          <w:tcPr>
            <w:tcW w:w="1246"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1" w:firstLine="0"/>
            </w:pPr>
            <w:r w:rsidRPr="00666B16">
              <w:rPr>
                <w:b/>
              </w:rPr>
              <w:t xml:space="preserve">Tool </w:t>
            </w:r>
          </w:p>
        </w:tc>
        <w:tc>
          <w:tcPr>
            <w:tcW w:w="1101"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1" w:firstLine="0"/>
            </w:pPr>
            <w:r w:rsidRPr="00666B16">
              <w:rPr>
                <w:b/>
              </w:rPr>
              <w:t xml:space="preserve"> </w:t>
            </w:r>
          </w:p>
          <w:p w:rsidR="00EE4F3C" w:rsidRPr="00666B16" w:rsidRDefault="00410AC0">
            <w:pPr>
              <w:spacing w:after="0" w:line="259" w:lineRule="auto"/>
              <w:ind w:left="1" w:firstLine="0"/>
            </w:pPr>
            <w:r w:rsidRPr="00666B16">
              <w:rPr>
                <w:b/>
              </w:rPr>
              <w:t xml:space="preserve">Frequency </w:t>
            </w:r>
          </w:p>
        </w:tc>
        <w:tc>
          <w:tcPr>
            <w:tcW w:w="1573"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2" w:firstLine="0"/>
            </w:pPr>
            <w:r w:rsidRPr="00666B16">
              <w:rPr>
                <w:b/>
              </w:rPr>
              <w:t xml:space="preserve">Reporting </w:t>
            </w:r>
          </w:p>
          <w:p w:rsidR="00EE4F3C" w:rsidRPr="00666B16" w:rsidRDefault="00410AC0">
            <w:pPr>
              <w:spacing w:after="0" w:line="259" w:lineRule="auto"/>
              <w:ind w:left="2" w:firstLine="0"/>
              <w:jc w:val="both"/>
            </w:pPr>
            <w:r w:rsidRPr="00666B16">
              <w:rPr>
                <w:b/>
              </w:rPr>
              <w:t>Arrangements</w:t>
            </w:r>
          </w:p>
        </w:tc>
        <w:tc>
          <w:tcPr>
            <w:tcW w:w="1942"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1" w:firstLine="0"/>
            </w:pPr>
            <w:r w:rsidRPr="00666B16">
              <w:rPr>
                <w:b/>
              </w:rPr>
              <w:t xml:space="preserve">Actions on recommendations and leads </w:t>
            </w:r>
          </w:p>
        </w:tc>
        <w:tc>
          <w:tcPr>
            <w:tcW w:w="2083" w:type="dxa"/>
            <w:tcBorders>
              <w:top w:val="single" w:sz="4" w:space="0" w:color="000000"/>
              <w:left w:val="single" w:sz="4" w:space="0" w:color="000000"/>
              <w:bottom w:val="single" w:sz="4" w:space="0" w:color="000000"/>
              <w:right w:val="single" w:sz="4" w:space="0" w:color="000000"/>
            </w:tcBorders>
            <w:shd w:val="clear" w:color="auto" w:fill="99FF65"/>
          </w:tcPr>
          <w:p w:rsidR="00EE4F3C" w:rsidRPr="00666B16" w:rsidRDefault="00410AC0">
            <w:pPr>
              <w:spacing w:after="0" w:line="259" w:lineRule="auto"/>
              <w:ind w:left="1" w:firstLine="0"/>
            </w:pPr>
            <w:r w:rsidRPr="00666B16">
              <w:rPr>
                <w:b/>
              </w:rPr>
              <w:t xml:space="preserve">Change in practice and lessons to be shared </w:t>
            </w:r>
          </w:p>
        </w:tc>
      </w:tr>
      <w:tr w:rsidR="00EE4F3C" w:rsidRPr="00666B16">
        <w:trPr>
          <w:trHeight w:val="239"/>
        </w:trPr>
        <w:tc>
          <w:tcPr>
            <w:tcW w:w="5452" w:type="dxa"/>
            <w:gridSpan w:val="3"/>
            <w:tcBorders>
              <w:top w:val="single" w:sz="4" w:space="0" w:color="000000"/>
              <w:left w:val="single" w:sz="4" w:space="0" w:color="000000"/>
              <w:bottom w:val="single" w:sz="4" w:space="0" w:color="000000"/>
              <w:right w:val="nil"/>
            </w:tcBorders>
            <w:shd w:val="clear" w:color="auto" w:fill="FFFF00"/>
          </w:tcPr>
          <w:p w:rsidR="00EE4F3C" w:rsidRPr="00666B16" w:rsidRDefault="00410AC0">
            <w:pPr>
              <w:spacing w:after="0" w:line="259" w:lineRule="auto"/>
              <w:ind w:left="0" w:firstLine="0"/>
            </w:pPr>
            <w:r w:rsidRPr="00666B16">
              <w:t xml:space="preserve">CPA and Clinical Risk Assessment Policies </w:t>
            </w:r>
          </w:p>
        </w:tc>
        <w:tc>
          <w:tcPr>
            <w:tcW w:w="1388" w:type="dxa"/>
            <w:tcBorders>
              <w:top w:val="single" w:sz="4" w:space="0" w:color="000000"/>
              <w:left w:val="nil"/>
              <w:bottom w:val="single" w:sz="4" w:space="0" w:color="000000"/>
              <w:right w:val="nil"/>
            </w:tcBorders>
            <w:shd w:val="clear" w:color="auto" w:fill="FFFF00"/>
            <w:vAlign w:val="center"/>
          </w:tcPr>
          <w:p w:rsidR="00EE4F3C" w:rsidRPr="00666B16" w:rsidRDefault="00EE4F3C">
            <w:pPr>
              <w:spacing w:after="160" w:line="259" w:lineRule="auto"/>
              <w:ind w:left="0" w:firstLine="0"/>
            </w:pPr>
          </w:p>
        </w:tc>
        <w:tc>
          <w:tcPr>
            <w:tcW w:w="1246" w:type="dxa"/>
            <w:tcBorders>
              <w:top w:val="single" w:sz="4" w:space="0" w:color="000000"/>
              <w:left w:val="nil"/>
              <w:bottom w:val="single" w:sz="4" w:space="0" w:color="000000"/>
              <w:right w:val="nil"/>
            </w:tcBorders>
            <w:shd w:val="clear" w:color="auto" w:fill="FFFF00"/>
          </w:tcPr>
          <w:p w:rsidR="00EE4F3C" w:rsidRPr="00666B16" w:rsidRDefault="00EE4F3C">
            <w:pPr>
              <w:spacing w:after="160" w:line="259" w:lineRule="auto"/>
              <w:ind w:left="0" w:firstLine="0"/>
            </w:pPr>
          </w:p>
        </w:tc>
        <w:tc>
          <w:tcPr>
            <w:tcW w:w="1101" w:type="dxa"/>
            <w:tcBorders>
              <w:top w:val="single" w:sz="4" w:space="0" w:color="000000"/>
              <w:left w:val="nil"/>
              <w:bottom w:val="single" w:sz="4" w:space="0" w:color="000000"/>
              <w:right w:val="nil"/>
            </w:tcBorders>
            <w:shd w:val="clear" w:color="auto" w:fill="FFFF00"/>
          </w:tcPr>
          <w:p w:rsidR="00EE4F3C" w:rsidRPr="00666B16" w:rsidRDefault="00EE4F3C">
            <w:pPr>
              <w:spacing w:after="160" w:line="259" w:lineRule="auto"/>
              <w:ind w:left="0" w:firstLine="0"/>
            </w:pPr>
          </w:p>
        </w:tc>
        <w:tc>
          <w:tcPr>
            <w:tcW w:w="1573" w:type="dxa"/>
            <w:tcBorders>
              <w:top w:val="single" w:sz="4" w:space="0" w:color="000000"/>
              <w:left w:val="nil"/>
              <w:bottom w:val="single" w:sz="4" w:space="0" w:color="000000"/>
              <w:right w:val="nil"/>
            </w:tcBorders>
            <w:shd w:val="clear" w:color="auto" w:fill="FFFF00"/>
          </w:tcPr>
          <w:p w:rsidR="00EE4F3C" w:rsidRPr="00666B16" w:rsidRDefault="00EE4F3C">
            <w:pPr>
              <w:spacing w:after="160" w:line="259" w:lineRule="auto"/>
              <w:ind w:left="0" w:firstLine="0"/>
            </w:pPr>
          </w:p>
        </w:tc>
        <w:tc>
          <w:tcPr>
            <w:tcW w:w="1942" w:type="dxa"/>
            <w:tcBorders>
              <w:top w:val="single" w:sz="4" w:space="0" w:color="000000"/>
              <w:left w:val="nil"/>
              <w:bottom w:val="single" w:sz="4" w:space="0" w:color="000000"/>
              <w:right w:val="nil"/>
            </w:tcBorders>
            <w:shd w:val="clear" w:color="auto" w:fill="FFFF00"/>
          </w:tcPr>
          <w:p w:rsidR="00EE4F3C" w:rsidRPr="00666B16" w:rsidRDefault="00EE4F3C">
            <w:pPr>
              <w:spacing w:after="160" w:line="259" w:lineRule="auto"/>
              <w:ind w:left="0" w:firstLine="0"/>
            </w:pPr>
          </w:p>
        </w:tc>
        <w:tc>
          <w:tcPr>
            <w:tcW w:w="2083" w:type="dxa"/>
            <w:tcBorders>
              <w:top w:val="single" w:sz="4" w:space="0" w:color="000000"/>
              <w:left w:val="nil"/>
              <w:bottom w:val="single" w:sz="4" w:space="0" w:color="000000"/>
              <w:right w:val="single" w:sz="4" w:space="0" w:color="000000"/>
            </w:tcBorders>
            <w:shd w:val="clear" w:color="auto" w:fill="FFFF00"/>
          </w:tcPr>
          <w:p w:rsidR="00EE4F3C" w:rsidRPr="00666B16" w:rsidRDefault="00EE4F3C">
            <w:pPr>
              <w:spacing w:after="160" w:line="259" w:lineRule="auto"/>
              <w:ind w:left="0" w:firstLine="0"/>
            </w:pPr>
          </w:p>
        </w:tc>
      </w:tr>
      <w:tr w:rsidR="00EE4F3C" w:rsidRPr="00666B16">
        <w:trPr>
          <w:trHeight w:val="241"/>
        </w:trPr>
        <w:tc>
          <w:tcPr>
            <w:tcW w:w="996" w:type="dxa"/>
            <w:vMerge w:val="restart"/>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0" w:firstLine="0"/>
            </w:pPr>
            <w:r w:rsidRPr="00666B16">
              <w:t xml:space="preserve">6.3 </w:t>
            </w:r>
          </w:p>
        </w:tc>
        <w:tc>
          <w:tcPr>
            <w:tcW w:w="1492" w:type="dxa"/>
            <w:vMerge w:val="restart"/>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2" w:firstLine="0"/>
            </w:pPr>
            <w:r w:rsidRPr="00666B16">
              <w:t xml:space="preserve">Clinical Risk </w:t>
            </w:r>
          </w:p>
          <w:p w:rsidR="00EE4F3C" w:rsidRPr="00666B16" w:rsidRDefault="00410AC0">
            <w:pPr>
              <w:spacing w:after="0" w:line="259" w:lineRule="auto"/>
              <w:ind w:left="1" w:firstLine="0"/>
            </w:pPr>
            <w:r w:rsidRPr="00666B16">
              <w:t xml:space="preserve">Assessment  </w:t>
            </w:r>
          </w:p>
        </w:tc>
        <w:tc>
          <w:tcPr>
            <w:tcW w:w="2964"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t xml:space="preserve">Duties </w:t>
            </w:r>
          </w:p>
        </w:tc>
        <w:tc>
          <w:tcPr>
            <w:tcW w:w="1388" w:type="dxa"/>
            <w:vMerge w:val="restart"/>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t xml:space="preserve"> </w:t>
            </w:r>
          </w:p>
          <w:p w:rsidR="00EE4F3C" w:rsidRPr="00666B16" w:rsidRDefault="00410AC0">
            <w:pPr>
              <w:spacing w:after="0" w:line="259" w:lineRule="auto"/>
              <w:ind w:left="1" w:firstLine="0"/>
            </w:pPr>
            <w:r w:rsidRPr="00666B16">
              <w:t xml:space="preserve"> </w:t>
            </w:r>
          </w:p>
          <w:p w:rsidR="00EE4F3C" w:rsidRPr="00666B16" w:rsidRDefault="00410AC0">
            <w:pPr>
              <w:spacing w:after="0" w:line="259" w:lineRule="auto"/>
              <w:ind w:left="1" w:firstLine="0"/>
            </w:pPr>
            <w:r w:rsidRPr="00666B16">
              <w:t xml:space="preserve"> </w:t>
            </w:r>
          </w:p>
          <w:p w:rsidR="00EE4F3C" w:rsidRPr="00666B16" w:rsidRDefault="00410AC0">
            <w:pPr>
              <w:spacing w:after="0" w:line="259" w:lineRule="auto"/>
              <w:ind w:left="1" w:firstLine="0"/>
            </w:pPr>
            <w:r w:rsidRPr="00666B16">
              <w:t xml:space="preserve">Deputy </w:t>
            </w:r>
          </w:p>
          <w:p w:rsidR="00EE4F3C" w:rsidRPr="00666B16" w:rsidRDefault="00410AC0">
            <w:pPr>
              <w:spacing w:after="0" w:line="259" w:lineRule="auto"/>
              <w:ind w:left="1" w:firstLine="0"/>
            </w:pPr>
            <w:r w:rsidRPr="00666B16">
              <w:t xml:space="preserve">Director of </w:t>
            </w:r>
          </w:p>
          <w:p w:rsidR="00EE4F3C" w:rsidRPr="00666B16" w:rsidRDefault="00410AC0">
            <w:pPr>
              <w:spacing w:after="0" w:line="259" w:lineRule="auto"/>
              <w:ind w:left="1" w:firstLine="0"/>
            </w:pPr>
            <w:r w:rsidRPr="00666B16">
              <w:t xml:space="preserve">Nursing </w:t>
            </w:r>
          </w:p>
        </w:tc>
        <w:tc>
          <w:tcPr>
            <w:tcW w:w="1246" w:type="dxa"/>
            <w:vMerge w:val="restart"/>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t xml:space="preserve"> </w:t>
            </w:r>
          </w:p>
          <w:p w:rsidR="00EE4F3C" w:rsidRPr="00666B16" w:rsidRDefault="00410AC0">
            <w:pPr>
              <w:spacing w:after="0" w:line="259" w:lineRule="auto"/>
              <w:ind w:left="1" w:firstLine="0"/>
            </w:pPr>
            <w:r w:rsidRPr="00666B16">
              <w:t xml:space="preserve">CPA audit </w:t>
            </w:r>
          </w:p>
        </w:tc>
        <w:tc>
          <w:tcPr>
            <w:tcW w:w="1101" w:type="dxa"/>
            <w:vMerge w:val="restart"/>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t xml:space="preserve"> </w:t>
            </w:r>
          </w:p>
          <w:p w:rsidR="00EE4F3C" w:rsidRPr="00666B16" w:rsidRDefault="00410AC0">
            <w:pPr>
              <w:spacing w:after="0" w:line="259" w:lineRule="auto"/>
              <w:ind w:left="1" w:firstLine="0"/>
            </w:pPr>
            <w:r w:rsidRPr="00666B16">
              <w:t xml:space="preserve">annual </w:t>
            </w:r>
          </w:p>
        </w:tc>
        <w:tc>
          <w:tcPr>
            <w:tcW w:w="1573" w:type="dxa"/>
            <w:vMerge w:val="restart"/>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40" w:lineRule="auto"/>
              <w:ind w:left="2" w:right="55" w:firstLine="0"/>
            </w:pPr>
            <w:r w:rsidRPr="00666B16">
              <w:t xml:space="preserve">The audit report will be received by the Deputy Director of </w:t>
            </w:r>
          </w:p>
          <w:p w:rsidR="00EE4F3C" w:rsidRPr="00666B16" w:rsidRDefault="00410AC0">
            <w:pPr>
              <w:spacing w:after="0" w:line="259" w:lineRule="auto"/>
              <w:ind w:left="2" w:firstLine="0"/>
            </w:pPr>
            <w:r w:rsidRPr="00666B16">
              <w:t xml:space="preserve">Nursing  </w:t>
            </w:r>
          </w:p>
        </w:tc>
        <w:tc>
          <w:tcPr>
            <w:tcW w:w="1942" w:type="dxa"/>
            <w:vMerge w:val="restart"/>
            <w:tcBorders>
              <w:top w:val="single" w:sz="4" w:space="0" w:color="000000"/>
              <w:left w:val="single" w:sz="4" w:space="0" w:color="000000"/>
              <w:bottom w:val="single" w:sz="4" w:space="0" w:color="000000"/>
              <w:right w:val="single" w:sz="4" w:space="0" w:color="000000"/>
            </w:tcBorders>
          </w:tcPr>
          <w:p w:rsidR="00EE4F3C" w:rsidRPr="00666B16" w:rsidRDefault="00410AC0" w:rsidP="004A4BB1">
            <w:pPr>
              <w:spacing w:after="0" w:line="259" w:lineRule="auto"/>
              <w:ind w:left="1" w:firstLine="0"/>
            </w:pPr>
            <w:r w:rsidRPr="00666B16">
              <w:t xml:space="preserve">Required actions, including timescales for achievement will be identified by the  Director of Nursing within two weeks of the end of  CPA audit period </w:t>
            </w:r>
          </w:p>
        </w:tc>
        <w:tc>
          <w:tcPr>
            <w:tcW w:w="2083" w:type="dxa"/>
            <w:vMerge w:val="restart"/>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t xml:space="preserve">The Clinical </w:t>
            </w:r>
          </w:p>
          <w:p w:rsidR="00EE4F3C" w:rsidRPr="00666B16" w:rsidRDefault="00410AC0">
            <w:pPr>
              <w:spacing w:after="0" w:line="240" w:lineRule="auto"/>
              <w:ind w:left="1" w:firstLine="0"/>
            </w:pPr>
            <w:r w:rsidRPr="00666B16">
              <w:t xml:space="preserve">Effectiveness Sub Committee will receive and discuss the report and monitor the action plan within six weeks of the close of the </w:t>
            </w:r>
          </w:p>
          <w:p w:rsidR="00EE4F3C" w:rsidRPr="00666B16" w:rsidRDefault="00410AC0">
            <w:pPr>
              <w:spacing w:after="0" w:line="259" w:lineRule="auto"/>
              <w:ind w:left="1" w:firstLine="0"/>
            </w:pPr>
            <w:r w:rsidRPr="00666B16">
              <w:t xml:space="preserve">CPA audit period </w:t>
            </w:r>
          </w:p>
          <w:p w:rsidR="00EE4F3C" w:rsidRPr="00666B16" w:rsidRDefault="00410AC0">
            <w:pPr>
              <w:spacing w:after="0" w:line="259" w:lineRule="auto"/>
              <w:ind w:left="1" w:firstLine="0"/>
            </w:pPr>
            <w:r w:rsidRPr="00666B16">
              <w:t xml:space="preserve"> </w:t>
            </w:r>
          </w:p>
        </w:tc>
      </w:tr>
      <w:tr w:rsidR="00EE4F3C" w:rsidRPr="00666B16">
        <w:trPr>
          <w:trHeight w:val="1170"/>
        </w:trPr>
        <w:tc>
          <w:tcPr>
            <w:tcW w:w="0" w:type="auto"/>
            <w:vMerge/>
            <w:tcBorders>
              <w:top w:val="nil"/>
              <w:left w:val="single" w:sz="4" w:space="0" w:color="000000"/>
              <w:bottom w:val="nil"/>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nil"/>
              <w:right w:val="single" w:sz="4" w:space="0" w:color="000000"/>
            </w:tcBorders>
          </w:tcPr>
          <w:p w:rsidR="00EE4F3C" w:rsidRPr="00666B16" w:rsidRDefault="00EE4F3C">
            <w:pPr>
              <w:spacing w:after="160" w:line="259" w:lineRule="auto"/>
              <w:ind w:left="0" w:firstLine="0"/>
            </w:pPr>
          </w:p>
        </w:tc>
        <w:tc>
          <w:tcPr>
            <w:tcW w:w="2964"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rPr>
                <w:b/>
              </w:rPr>
              <w:t xml:space="preserve">Tools and processes authorised for use within the organisation, including timescales for use </w:t>
            </w:r>
          </w:p>
        </w:tc>
        <w:tc>
          <w:tcPr>
            <w:tcW w:w="0" w:type="auto"/>
            <w:vMerge/>
            <w:tcBorders>
              <w:top w:val="nil"/>
              <w:left w:val="single" w:sz="4" w:space="0" w:color="000000"/>
              <w:bottom w:val="nil"/>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nil"/>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nil"/>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nil"/>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nil"/>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nil"/>
              <w:right w:val="single" w:sz="4" w:space="0" w:color="000000"/>
            </w:tcBorders>
          </w:tcPr>
          <w:p w:rsidR="00EE4F3C" w:rsidRPr="00666B16" w:rsidRDefault="00EE4F3C">
            <w:pPr>
              <w:spacing w:after="160" w:line="259" w:lineRule="auto"/>
              <w:ind w:left="0" w:firstLine="0"/>
            </w:pPr>
          </w:p>
        </w:tc>
      </w:tr>
      <w:tr w:rsidR="00EE4F3C" w:rsidRPr="00666B16">
        <w:trPr>
          <w:trHeight w:val="900"/>
        </w:trPr>
        <w:tc>
          <w:tcPr>
            <w:tcW w:w="0" w:type="auto"/>
            <w:vMerge/>
            <w:tcBorders>
              <w:top w:val="nil"/>
              <w:left w:val="single" w:sz="4" w:space="0" w:color="000000"/>
              <w:bottom w:val="single" w:sz="4" w:space="0" w:color="000000"/>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E4F3C" w:rsidRPr="00666B16" w:rsidRDefault="00EE4F3C">
            <w:pPr>
              <w:spacing w:after="160" w:line="259" w:lineRule="auto"/>
              <w:ind w:left="0" w:firstLine="0"/>
            </w:pPr>
          </w:p>
        </w:tc>
        <w:tc>
          <w:tcPr>
            <w:tcW w:w="2964" w:type="dxa"/>
            <w:tcBorders>
              <w:top w:val="single" w:sz="4" w:space="0" w:color="000000"/>
              <w:left w:val="single" w:sz="4" w:space="0" w:color="000000"/>
              <w:bottom w:val="single" w:sz="4" w:space="0" w:color="000000"/>
              <w:right w:val="single" w:sz="4" w:space="0" w:color="000000"/>
            </w:tcBorders>
          </w:tcPr>
          <w:p w:rsidR="00EE4F3C" w:rsidRPr="00666B16" w:rsidRDefault="00410AC0">
            <w:pPr>
              <w:spacing w:after="0" w:line="259" w:lineRule="auto"/>
              <w:ind w:left="1" w:firstLine="0"/>
            </w:pPr>
            <w:r w:rsidRPr="00666B16">
              <w:t xml:space="preserve">How clinical risk assessments are reviewed, including timescales </w:t>
            </w:r>
          </w:p>
        </w:tc>
        <w:tc>
          <w:tcPr>
            <w:tcW w:w="0" w:type="auto"/>
            <w:vMerge/>
            <w:tcBorders>
              <w:top w:val="nil"/>
              <w:left w:val="single" w:sz="4" w:space="0" w:color="000000"/>
              <w:bottom w:val="single" w:sz="4" w:space="0" w:color="000000"/>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E4F3C" w:rsidRPr="00666B16" w:rsidRDefault="00EE4F3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E4F3C" w:rsidRPr="00666B16" w:rsidRDefault="00EE4F3C">
            <w:pPr>
              <w:spacing w:after="160" w:line="259" w:lineRule="auto"/>
              <w:ind w:left="0" w:firstLine="0"/>
            </w:pPr>
          </w:p>
        </w:tc>
      </w:tr>
    </w:tbl>
    <w:p w:rsidR="00C179A6" w:rsidRPr="00666B16" w:rsidRDefault="00410AC0">
      <w:pPr>
        <w:pStyle w:val="Heading2"/>
        <w:tabs>
          <w:tab w:val="right" w:pos="14569"/>
        </w:tabs>
        <w:spacing w:after="3"/>
        <w:ind w:left="-15" w:right="-15" w:firstLine="0"/>
        <w:rPr>
          <w:rFonts w:eastAsia="Times New Roman"/>
          <w:b w:val="0"/>
        </w:rPr>
      </w:pPr>
      <w:r w:rsidRPr="00666B16">
        <w:rPr>
          <w:rFonts w:eastAsia="Times New Roman"/>
          <w:b w:val="0"/>
        </w:rPr>
        <w:t xml:space="preserve"> </w:t>
      </w:r>
    </w:p>
    <w:p w:rsidR="00EE4F3C" w:rsidRPr="00666B16" w:rsidRDefault="00410AC0">
      <w:pPr>
        <w:pStyle w:val="Heading2"/>
        <w:tabs>
          <w:tab w:val="right" w:pos="14569"/>
        </w:tabs>
        <w:spacing w:after="3"/>
        <w:ind w:left="-15" w:right="-15" w:firstLine="0"/>
      </w:pPr>
      <w:r w:rsidRPr="00666B16">
        <w:rPr>
          <w:rFonts w:eastAsia="Times New Roman"/>
          <w:b w:val="0"/>
        </w:rPr>
        <w:tab/>
        <w:t xml:space="preserve"> </w:t>
      </w:r>
    </w:p>
    <w:p w:rsidR="00EE4F3C" w:rsidRPr="00666B16" w:rsidRDefault="00EE4F3C">
      <w:pPr>
        <w:sectPr w:rsidR="00EE4F3C" w:rsidRPr="00666B16">
          <w:footerReference w:type="even" r:id="rId11"/>
          <w:footerReference w:type="first" r:id="rId12"/>
          <w:pgSz w:w="16840" w:h="11904" w:orient="landscape"/>
          <w:pgMar w:top="1440" w:right="1137" w:bottom="1440" w:left="1134" w:header="720" w:footer="720" w:gutter="0"/>
          <w:cols w:space="720"/>
        </w:sectPr>
      </w:pPr>
    </w:p>
    <w:p w:rsidR="00EE4F3C" w:rsidRPr="00666B16" w:rsidRDefault="00410AC0" w:rsidP="002469C4">
      <w:pPr>
        <w:spacing w:after="0" w:line="259" w:lineRule="auto"/>
        <w:ind w:left="1134" w:hanging="567"/>
      </w:pPr>
      <w:r w:rsidRPr="00666B16">
        <w:t xml:space="preserve">9.2 </w:t>
      </w:r>
      <w:r w:rsidR="007D3468" w:rsidRPr="00666B16">
        <w:tab/>
      </w:r>
      <w:r w:rsidRPr="00666B16">
        <w:t>Compliance with training is closely monitored by the Service Delivery Board via the quarterly</w:t>
      </w:r>
      <w:r w:rsidR="007D3468" w:rsidRPr="00666B16">
        <w:t xml:space="preserve"> </w:t>
      </w:r>
      <w:r w:rsidRPr="00666B16">
        <w:t xml:space="preserve">Quality and Performance Report. </w:t>
      </w:r>
    </w:p>
    <w:p w:rsidR="00EE4F3C" w:rsidRPr="00666B16" w:rsidRDefault="00410AC0" w:rsidP="007D3468">
      <w:pPr>
        <w:spacing w:after="0" w:line="259" w:lineRule="auto"/>
        <w:ind w:left="1134" w:hanging="567"/>
      </w:pPr>
      <w:r w:rsidRPr="00666B16">
        <w:t xml:space="preserve"> </w:t>
      </w:r>
    </w:p>
    <w:p w:rsidR="00EE4F3C" w:rsidRPr="00666B16" w:rsidRDefault="00410AC0" w:rsidP="007D3468">
      <w:pPr>
        <w:ind w:left="1134" w:right="10" w:hanging="567"/>
      </w:pPr>
      <w:r w:rsidRPr="00666B16">
        <w:t xml:space="preserve">9.3 </w:t>
      </w:r>
      <w:r w:rsidR="007D3468" w:rsidRPr="00666B16">
        <w:tab/>
      </w:r>
      <w:r w:rsidRPr="00666B16">
        <w:t xml:space="preserve">Individual practice issues in relation to risk assessment and management should be </w:t>
      </w:r>
      <w:r w:rsidR="007D3468" w:rsidRPr="00666B16">
        <w:t xml:space="preserve">addressed </w:t>
      </w:r>
      <w:r w:rsidRPr="00666B16">
        <w:t>in supervision using the Trust’s perfor</w:t>
      </w:r>
      <w:r w:rsidR="007D3468" w:rsidRPr="00666B16">
        <w:t xml:space="preserve">mance management processes for </w:t>
      </w:r>
      <w:r w:rsidRPr="00666B16">
        <w:t xml:space="preserve">persistently poor performance.  </w:t>
      </w:r>
    </w:p>
    <w:p w:rsidR="00EE4F3C" w:rsidRPr="00666B16" w:rsidRDefault="00410AC0" w:rsidP="007D3468">
      <w:pPr>
        <w:spacing w:after="0" w:line="259" w:lineRule="auto"/>
        <w:ind w:left="1134" w:hanging="567"/>
      </w:pPr>
      <w:r w:rsidRPr="00666B16">
        <w:t xml:space="preserve"> </w:t>
      </w:r>
    </w:p>
    <w:p w:rsidR="00EE4F3C" w:rsidRPr="00666B16" w:rsidRDefault="00410AC0" w:rsidP="007D3468">
      <w:pPr>
        <w:ind w:left="1134" w:right="10" w:hanging="567"/>
      </w:pPr>
      <w:r w:rsidRPr="00666B16">
        <w:t xml:space="preserve">9.4 </w:t>
      </w:r>
      <w:r w:rsidR="007D3468" w:rsidRPr="00666B16">
        <w:tab/>
      </w:r>
      <w:r w:rsidRPr="00666B16">
        <w:t>Issues relating to poor risk assessment and management identified by incident reporting,</w:t>
      </w:r>
      <w:r w:rsidR="007D3468" w:rsidRPr="00666B16">
        <w:t xml:space="preserve"> </w:t>
      </w:r>
      <w:r w:rsidRPr="00666B16">
        <w:t>complaints and internal investigation should be addressed by the development and</w:t>
      </w:r>
      <w:r w:rsidR="007D3468" w:rsidRPr="00666B16">
        <w:t xml:space="preserve"> </w:t>
      </w:r>
      <w:r w:rsidRPr="00666B16">
        <w:t xml:space="preserve">implementation of action plans to remedy deficiencies of practice.  </w:t>
      </w:r>
    </w:p>
    <w:p w:rsidR="00EE4F3C" w:rsidRPr="00666B16" w:rsidRDefault="00410AC0" w:rsidP="007D3468">
      <w:pPr>
        <w:spacing w:after="0" w:line="259" w:lineRule="auto"/>
        <w:ind w:left="1134" w:hanging="567"/>
      </w:pPr>
      <w:r w:rsidRPr="00666B16">
        <w:rPr>
          <w:b/>
        </w:rPr>
        <w:t xml:space="preserve"> </w:t>
      </w:r>
    </w:p>
    <w:p w:rsidR="00EE4F3C" w:rsidRPr="00666B16" w:rsidRDefault="00410AC0" w:rsidP="007D3468">
      <w:pPr>
        <w:ind w:left="1134" w:right="10" w:hanging="567"/>
      </w:pPr>
      <w:r w:rsidRPr="00666B16">
        <w:t>9.5</w:t>
      </w:r>
      <w:r w:rsidRPr="00666B16">
        <w:rPr>
          <w:b/>
        </w:rPr>
        <w:t xml:space="preserve"> </w:t>
      </w:r>
      <w:r w:rsidR="007D3468" w:rsidRPr="00666B16">
        <w:rPr>
          <w:b/>
        </w:rPr>
        <w:tab/>
      </w:r>
      <w:r w:rsidRPr="00666B16">
        <w:t>Review of this policy should happen within the same time frame during which the CPA policy</w:t>
      </w:r>
      <w:r w:rsidR="007D3468" w:rsidRPr="00666B16">
        <w:t xml:space="preserve"> </w:t>
      </w:r>
      <w:r w:rsidRPr="00666B16">
        <w:t xml:space="preserve">is also reviewed as both policies are closely interlinked in terms of the framework by which mental health care is planned and delivered.  </w:t>
      </w:r>
    </w:p>
    <w:p w:rsidR="00EE4F3C" w:rsidRPr="00666B16" w:rsidRDefault="00410AC0">
      <w:pPr>
        <w:spacing w:after="0" w:line="259" w:lineRule="auto"/>
        <w:ind w:left="0" w:firstLine="0"/>
      </w:pPr>
      <w:r w:rsidRPr="00666B16">
        <w:rPr>
          <w:b/>
        </w:rPr>
        <w:t xml:space="preserve"> </w:t>
      </w:r>
    </w:p>
    <w:p w:rsidR="00EE4F3C" w:rsidRPr="00666B16" w:rsidRDefault="00410AC0" w:rsidP="007D3468">
      <w:pPr>
        <w:pStyle w:val="Heading1"/>
        <w:numPr>
          <w:ilvl w:val="0"/>
          <w:numId w:val="10"/>
        </w:numPr>
        <w:ind w:left="567" w:hanging="567"/>
      </w:pPr>
      <w:bookmarkStart w:id="7" w:name="_Toc52784351"/>
      <w:r w:rsidRPr="00666B16">
        <w:t>References</w:t>
      </w:r>
      <w:bookmarkEnd w:id="7"/>
      <w:r w:rsidRPr="00666B16">
        <w:t xml:space="preserve"> </w:t>
      </w:r>
    </w:p>
    <w:p w:rsidR="00EE4F3C" w:rsidRPr="00666B16" w:rsidRDefault="00410AC0">
      <w:pPr>
        <w:spacing w:after="0" w:line="259" w:lineRule="auto"/>
        <w:ind w:left="0" w:firstLine="0"/>
      </w:pPr>
      <w:r w:rsidRPr="00666B16">
        <w:rPr>
          <w:b/>
        </w:rPr>
        <w:t xml:space="preserve"> </w:t>
      </w:r>
    </w:p>
    <w:p w:rsidR="00EE4F3C" w:rsidRPr="00666B16" w:rsidRDefault="00410AC0">
      <w:pPr>
        <w:numPr>
          <w:ilvl w:val="0"/>
          <w:numId w:val="4"/>
        </w:numPr>
        <w:ind w:right="10" w:hanging="360"/>
      </w:pPr>
      <w:r w:rsidRPr="00666B16">
        <w:t xml:space="preserve">Department of Health (1997) - Report on the Review of Patient-Identifiable Information </w:t>
      </w:r>
    </w:p>
    <w:p w:rsidR="00EE4F3C" w:rsidRPr="00666B16" w:rsidRDefault="00410AC0">
      <w:pPr>
        <w:numPr>
          <w:ilvl w:val="0"/>
          <w:numId w:val="4"/>
        </w:numPr>
        <w:ind w:right="10" w:hanging="360"/>
      </w:pPr>
      <w:r w:rsidRPr="00666B16">
        <w:t xml:space="preserve">Department of Health (2003) - Confidentiality: NHS Code of Practice  </w:t>
      </w:r>
    </w:p>
    <w:p w:rsidR="00EE4F3C" w:rsidRPr="00666B16" w:rsidRDefault="00410AC0">
      <w:pPr>
        <w:numPr>
          <w:ilvl w:val="0"/>
          <w:numId w:val="4"/>
        </w:numPr>
        <w:ind w:right="10" w:hanging="360"/>
      </w:pPr>
      <w:r w:rsidRPr="00666B16">
        <w:t xml:space="preserve">Department of Health (2007) - Best Practice in Managing Risk  </w:t>
      </w:r>
    </w:p>
    <w:p w:rsidR="00EE4F3C" w:rsidRPr="00666B16" w:rsidRDefault="00410AC0">
      <w:pPr>
        <w:numPr>
          <w:ilvl w:val="0"/>
          <w:numId w:val="4"/>
        </w:numPr>
        <w:ind w:right="10" w:hanging="360"/>
      </w:pPr>
      <w:r w:rsidRPr="00666B16">
        <w:t xml:space="preserve">The Data Protection Act (1998) </w:t>
      </w:r>
    </w:p>
    <w:p w:rsidR="00EE4F3C" w:rsidRPr="00666B16" w:rsidRDefault="00410AC0">
      <w:pPr>
        <w:numPr>
          <w:ilvl w:val="0"/>
          <w:numId w:val="4"/>
        </w:numPr>
        <w:ind w:right="10" w:hanging="360"/>
      </w:pPr>
      <w:r w:rsidRPr="00666B16">
        <w:t xml:space="preserve">Royal College of Psychiatrists (2008) – Rethinking Risk to Others in Mental Health Services  </w:t>
      </w:r>
    </w:p>
    <w:p w:rsidR="00EE4F3C" w:rsidRDefault="00410AC0">
      <w:pPr>
        <w:numPr>
          <w:ilvl w:val="0"/>
          <w:numId w:val="4"/>
        </w:numPr>
        <w:ind w:right="10" w:hanging="360"/>
      </w:pPr>
      <w:r w:rsidRPr="00666B16">
        <w:t>London Health &amp; Social Care Inter Organisation General Protocol For</w:t>
      </w:r>
      <w:r w:rsidR="00680B9A" w:rsidRPr="00666B16">
        <w:t xml:space="preserve"> </w:t>
      </w:r>
      <w:r w:rsidRPr="00666B16">
        <w:t xml:space="preserve">Sharing Information (2008) </w:t>
      </w:r>
    </w:p>
    <w:p w:rsidR="00694A0E" w:rsidRPr="008B49E7" w:rsidRDefault="00694A0E">
      <w:pPr>
        <w:numPr>
          <w:ilvl w:val="0"/>
          <w:numId w:val="4"/>
        </w:numPr>
        <w:ind w:right="10" w:hanging="360"/>
      </w:pPr>
      <w:r w:rsidRPr="008B49E7">
        <w:t>National Institute for Health and Care Excellence. Self-Harm: Assessment, Management and Preventing Recurrence (NICE Guideline NG225). NICE, 2022 (https://www.nice.org.uk/guidance/ng225).</w:t>
      </w:r>
    </w:p>
    <w:p w:rsidR="00EE4F3C" w:rsidRPr="00666B16" w:rsidRDefault="00410AC0">
      <w:pPr>
        <w:spacing w:after="0" w:line="259" w:lineRule="auto"/>
        <w:ind w:left="0" w:firstLine="0"/>
      </w:pPr>
      <w:bookmarkStart w:id="8" w:name="_GoBack"/>
      <w:bookmarkEnd w:id="8"/>
      <w:r w:rsidRPr="00666B16">
        <w:rPr>
          <w:b/>
        </w:rPr>
        <w:t xml:space="preserve"> </w:t>
      </w:r>
    </w:p>
    <w:p w:rsidR="00EE4F3C" w:rsidRPr="00666B16" w:rsidRDefault="004A4BB1" w:rsidP="00680B9A">
      <w:pPr>
        <w:spacing w:after="0" w:line="259" w:lineRule="auto"/>
        <w:ind w:left="567" w:firstLine="0"/>
      </w:pPr>
      <w:r w:rsidRPr="00666B16">
        <w:t>Also wonder if we should mention that there are number of smart-phone apps available, for example Calm Harm (</w:t>
      </w:r>
      <w:proofErr w:type="spellStart"/>
      <w:r w:rsidRPr="00666B16">
        <w:t>NHSx</w:t>
      </w:r>
      <w:proofErr w:type="spellEnd"/>
      <w:r w:rsidRPr="00666B16">
        <w:t xml:space="preserve"> approved) and Stay Alive (not currently approved) which may be of use, depending on the setting of care. The full range of </w:t>
      </w:r>
      <w:proofErr w:type="spellStart"/>
      <w:r w:rsidRPr="00666B16">
        <w:t>NHSx</w:t>
      </w:r>
      <w:proofErr w:type="spellEnd"/>
      <w:r w:rsidRPr="00666B16">
        <w:t xml:space="preserve"> approved apps can be reached here: </w:t>
      </w:r>
      <w:hyperlink r:id="rId13" w:tgtFrame="_blank" w:history="1">
        <w:r w:rsidRPr="00666B16">
          <w:rPr>
            <w:rStyle w:val="Hyperlink"/>
          </w:rPr>
          <w:t>https://www.nhs.uk/apps-library/filter/?categories=Mental%20health</w:t>
        </w:r>
      </w:hyperlink>
    </w:p>
    <w:p w:rsidR="00EE4F3C" w:rsidRPr="00666B16" w:rsidRDefault="00410AC0" w:rsidP="00680B9A">
      <w:pPr>
        <w:spacing w:after="0" w:line="259" w:lineRule="auto"/>
        <w:ind w:left="567" w:firstLine="0"/>
      </w:pPr>
      <w:r w:rsidRPr="00666B16">
        <w:rPr>
          <w:b/>
        </w:rPr>
        <w:t xml:space="preserve"> </w:t>
      </w:r>
    </w:p>
    <w:p w:rsidR="00EE4F3C" w:rsidRPr="00666B16" w:rsidRDefault="00410AC0" w:rsidP="00680B9A">
      <w:pPr>
        <w:spacing w:after="0" w:line="259" w:lineRule="auto"/>
        <w:ind w:left="567" w:firstLine="0"/>
      </w:pPr>
      <w:r w:rsidRPr="00666B16">
        <w:rPr>
          <w:b/>
        </w:rPr>
        <w:t xml:space="preserve"> </w:t>
      </w:r>
    </w:p>
    <w:sectPr w:rsidR="00EE4F3C" w:rsidRPr="00666B16">
      <w:footerReference w:type="even" r:id="rId14"/>
      <w:footerReference w:type="first" r:id="rId15"/>
      <w:pgSz w:w="11904" w:h="16840"/>
      <w:pgMar w:top="1440" w:right="1133" w:bottom="1440" w:left="1134" w:header="720" w:footer="4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AC9" w:rsidRDefault="00E63AC9">
      <w:pPr>
        <w:spacing w:after="0" w:line="240" w:lineRule="auto"/>
      </w:pPr>
      <w:r>
        <w:separator/>
      </w:r>
    </w:p>
  </w:endnote>
  <w:endnote w:type="continuationSeparator" w:id="0">
    <w:p w:rsidR="00E63AC9" w:rsidRDefault="00E6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91" w:rsidRDefault="004E4191">
    <w:pPr>
      <w:tabs>
        <w:tab w:val="right" w:pos="9638"/>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91" w:rsidRPr="00241CD6" w:rsidRDefault="004E4191" w:rsidP="00241CD6">
    <w:pPr>
      <w:tabs>
        <w:tab w:val="right" w:pos="9638"/>
      </w:tabs>
      <w:spacing w:after="0" w:line="259" w:lineRule="auto"/>
      <w:ind w:left="2160" w:firstLine="0"/>
      <w:rPr>
        <w:sz w:val="16"/>
        <w:szCs w:val="16"/>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Pr="00241CD6">
      <w:rPr>
        <w:sz w:val="16"/>
        <w:szCs w:val="16"/>
      </w:rPr>
      <w:fldChar w:fldCharType="begin"/>
    </w:r>
    <w:r w:rsidRPr="00241CD6">
      <w:rPr>
        <w:sz w:val="16"/>
        <w:szCs w:val="16"/>
      </w:rPr>
      <w:instrText xml:space="preserve"> PAGE   \* MERGEFORMAT </w:instrText>
    </w:r>
    <w:r w:rsidRPr="00241CD6">
      <w:rPr>
        <w:sz w:val="16"/>
        <w:szCs w:val="16"/>
      </w:rPr>
      <w:fldChar w:fldCharType="separate"/>
    </w:r>
    <w:r w:rsidR="00603B7D" w:rsidRPr="00603B7D">
      <w:rPr>
        <w:rFonts w:eastAsia="Times New Roman"/>
        <w:noProof/>
        <w:sz w:val="16"/>
        <w:szCs w:val="16"/>
      </w:rPr>
      <w:t>13</w:t>
    </w:r>
    <w:r w:rsidRPr="00241CD6">
      <w:rPr>
        <w:rFonts w:eastAsia="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91" w:rsidRDefault="004E4191">
    <w:pPr>
      <w:tabs>
        <w:tab w:val="right" w:pos="9638"/>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91" w:rsidRDefault="004E419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91" w:rsidRDefault="004E419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91" w:rsidRDefault="004E4191">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91" w:rsidRDefault="004E419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AC9" w:rsidRDefault="00E63AC9">
      <w:pPr>
        <w:spacing w:after="0" w:line="240" w:lineRule="auto"/>
      </w:pPr>
      <w:r>
        <w:separator/>
      </w:r>
    </w:p>
  </w:footnote>
  <w:footnote w:type="continuationSeparator" w:id="0">
    <w:p w:rsidR="00E63AC9" w:rsidRDefault="00E63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5298"/>
    <w:multiLevelType w:val="hybridMultilevel"/>
    <w:tmpl w:val="D0503B7A"/>
    <w:lvl w:ilvl="0" w:tplc="2A92B21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CEEE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B38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C0E7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98F49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32CD7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10316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EA510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3859F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6D27E0"/>
    <w:multiLevelType w:val="hybridMultilevel"/>
    <w:tmpl w:val="CD26A4D2"/>
    <w:lvl w:ilvl="0" w:tplc="2A92B21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71EA5"/>
    <w:multiLevelType w:val="hybridMultilevel"/>
    <w:tmpl w:val="98E0701A"/>
    <w:lvl w:ilvl="0" w:tplc="1AE2C018">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E5896D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C1C13A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1F6B90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21CF37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DB04B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E3049F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6967FE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D1203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91D1E"/>
    <w:multiLevelType w:val="hybridMultilevel"/>
    <w:tmpl w:val="8CF66312"/>
    <w:lvl w:ilvl="0" w:tplc="0E5A0CA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585552">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6E6BDE">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640F2">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14A5A6">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A0CCE0">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324F9A">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A47A76">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A44264">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733434"/>
    <w:multiLevelType w:val="multilevel"/>
    <w:tmpl w:val="FEDAA624"/>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53580E"/>
    <w:multiLevelType w:val="multilevel"/>
    <w:tmpl w:val="B6DE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8607AB"/>
    <w:multiLevelType w:val="multilevel"/>
    <w:tmpl w:val="9590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AB25A4"/>
    <w:multiLevelType w:val="hybridMultilevel"/>
    <w:tmpl w:val="000AF39A"/>
    <w:lvl w:ilvl="0" w:tplc="5624113E">
      <w:numFmt w:val="bullet"/>
      <w:lvlText w:val="·"/>
      <w:lvlJc w:val="left"/>
      <w:pPr>
        <w:ind w:left="1440" w:hanging="360"/>
      </w:pPr>
      <w:rPr>
        <w:rFonts w:ascii="Times New Roman" w:eastAsia="Times New Roman" w:hAnsi="Times New Roman" w:cs="Times New Roman"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AF27D8"/>
    <w:multiLevelType w:val="hybridMultilevel"/>
    <w:tmpl w:val="E346B3BC"/>
    <w:lvl w:ilvl="0" w:tplc="5624113E">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44B15"/>
    <w:multiLevelType w:val="hybridMultilevel"/>
    <w:tmpl w:val="ADDA2274"/>
    <w:lvl w:ilvl="0" w:tplc="B96E38A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1D469C"/>
    <w:multiLevelType w:val="hybridMultilevel"/>
    <w:tmpl w:val="2AAC6C86"/>
    <w:lvl w:ilvl="0" w:tplc="5624113E">
      <w:numFmt w:val="bullet"/>
      <w:lvlText w:val="·"/>
      <w:lvlJc w:val="left"/>
      <w:pPr>
        <w:ind w:left="1080" w:hanging="360"/>
      </w:pPr>
      <w:rPr>
        <w:rFonts w:ascii="Times New Roman" w:eastAsia="Times New Roman"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FA0F23"/>
    <w:multiLevelType w:val="multilevel"/>
    <w:tmpl w:val="C11E3972"/>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1"/>
  </w:num>
  <w:num w:numId="3">
    <w:abstractNumId w:val="4"/>
  </w:num>
  <w:num w:numId="4">
    <w:abstractNumId w:val="3"/>
  </w:num>
  <w:num w:numId="5">
    <w:abstractNumId w:val="2"/>
  </w:num>
  <w:num w:numId="6">
    <w:abstractNumId w:val="1"/>
  </w:num>
  <w:num w:numId="7">
    <w:abstractNumId w:val="8"/>
  </w:num>
  <w:num w:numId="8">
    <w:abstractNumId w:val="10"/>
  </w:num>
  <w:num w:numId="9">
    <w:abstractNumId w:val="7"/>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3C"/>
    <w:rsid w:val="00072BC1"/>
    <w:rsid w:val="000E659E"/>
    <w:rsid w:val="00117DFD"/>
    <w:rsid w:val="001334CC"/>
    <w:rsid w:val="00141E7A"/>
    <w:rsid w:val="001826C8"/>
    <w:rsid w:val="001D73E7"/>
    <w:rsid w:val="0020108F"/>
    <w:rsid w:val="00241CD6"/>
    <w:rsid w:val="002469C4"/>
    <w:rsid w:val="00265A4E"/>
    <w:rsid w:val="002A5906"/>
    <w:rsid w:val="002F544E"/>
    <w:rsid w:val="003059D4"/>
    <w:rsid w:val="00410AC0"/>
    <w:rsid w:val="004A4BB1"/>
    <w:rsid w:val="004E4191"/>
    <w:rsid w:val="00537132"/>
    <w:rsid w:val="00603B7D"/>
    <w:rsid w:val="00666B16"/>
    <w:rsid w:val="00676802"/>
    <w:rsid w:val="00680B9A"/>
    <w:rsid w:val="006829F6"/>
    <w:rsid w:val="00694A0E"/>
    <w:rsid w:val="006E54E3"/>
    <w:rsid w:val="007C4770"/>
    <w:rsid w:val="007D1943"/>
    <w:rsid w:val="007D3468"/>
    <w:rsid w:val="007E2E66"/>
    <w:rsid w:val="008212FE"/>
    <w:rsid w:val="008B49E7"/>
    <w:rsid w:val="008F67E4"/>
    <w:rsid w:val="009C53E0"/>
    <w:rsid w:val="00A01554"/>
    <w:rsid w:val="00B47595"/>
    <w:rsid w:val="00C179A6"/>
    <w:rsid w:val="00C25CB2"/>
    <w:rsid w:val="00D12EBD"/>
    <w:rsid w:val="00D35EC7"/>
    <w:rsid w:val="00D64505"/>
    <w:rsid w:val="00D81D18"/>
    <w:rsid w:val="00E63AC9"/>
    <w:rsid w:val="00E75EBA"/>
    <w:rsid w:val="00EA3163"/>
    <w:rsid w:val="00EE4F3C"/>
    <w:rsid w:val="00F23430"/>
    <w:rsid w:val="00F70740"/>
    <w:rsid w:val="00FC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262372"/>
  <w15:docId w15:val="{02066793-9BC7-4721-ACE2-5BB5B50B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5"/>
      </w:numPr>
      <w:spacing w:after="0"/>
      <w:ind w:left="11"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1"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0"/>
      <w:ind w:left="11" w:hanging="10"/>
      <w:outlineLvl w:val="2"/>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uiPriority w:val="39"/>
    <w:pPr>
      <w:spacing w:after="5" w:line="249" w:lineRule="auto"/>
      <w:ind w:left="25" w:right="28"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3713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C179A6"/>
    <w:pPr>
      <w:ind w:left="720"/>
      <w:contextualSpacing/>
    </w:pPr>
  </w:style>
  <w:style w:type="paragraph" w:styleId="BalloonText">
    <w:name w:val="Balloon Text"/>
    <w:basedOn w:val="Normal"/>
    <w:link w:val="BalloonTextChar"/>
    <w:uiPriority w:val="99"/>
    <w:semiHidden/>
    <w:unhideWhenUsed/>
    <w:rsid w:val="004A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BB1"/>
    <w:rPr>
      <w:rFonts w:ascii="Tahoma" w:eastAsia="Arial" w:hAnsi="Tahoma" w:cs="Tahoma"/>
      <w:color w:val="000000"/>
      <w:sz w:val="16"/>
      <w:szCs w:val="16"/>
    </w:rPr>
  </w:style>
  <w:style w:type="character" w:styleId="Hyperlink">
    <w:name w:val="Hyperlink"/>
    <w:basedOn w:val="DefaultParagraphFont"/>
    <w:uiPriority w:val="99"/>
    <w:unhideWhenUsed/>
    <w:rsid w:val="004A4BB1"/>
    <w:rPr>
      <w:color w:val="0000FF"/>
      <w:u w:val="single"/>
    </w:rPr>
  </w:style>
  <w:style w:type="paragraph" w:styleId="Header">
    <w:name w:val="header"/>
    <w:basedOn w:val="Normal"/>
    <w:link w:val="HeaderChar"/>
    <w:uiPriority w:val="99"/>
    <w:unhideWhenUsed/>
    <w:rsid w:val="00241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CD6"/>
    <w:rPr>
      <w:rFonts w:ascii="Arial" w:eastAsia="Arial" w:hAnsi="Arial" w:cs="Arial"/>
      <w:color w:val="000000"/>
    </w:rPr>
  </w:style>
  <w:style w:type="table" w:styleId="TableGrid0">
    <w:name w:val="Table Grid"/>
    <w:basedOn w:val="TableNormal"/>
    <w:uiPriority w:val="59"/>
    <w:rsid w:val="00666B1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8815">
      <w:bodyDiv w:val="1"/>
      <w:marLeft w:val="0"/>
      <w:marRight w:val="0"/>
      <w:marTop w:val="0"/>
      <w:marBottom w:val="0"/>
      <w:divBdr>
        <w:top w:val="none" w:sz="0" w:space="0" w:color="auto"/>
        <w:left w:val="none" w:sz="0" w:space="0" w:color="auto"/>
        <w:bottom w:val="none" w:sz="0" w:space="0" w:color="auto"/>
        <w:right w:val="none" w:sz="0" w:space="0" w:color="auto"/>
      </w:divBdr>
    </w:div>
    <w:div w:id="598372556">
      <w:bodyDiv w:val="1"/>
      <w:marLeft w:val="0"/>
      <w:marRight w:val="0"/>
      <w:marTop w:val="0"/>
      <w:marBottom w:val="0"/>
      <w:divBdr>
        <w:top w:val="none" w:sz="0" w:space="0" w:color="auto"/>
        <w:left w:val="none" w:sz="0" w:space="0" w:color="auto"/>
        <w:bottom w:val="none" w:sz="0" w:space="0" w:color="auto"/>
        <w:right w:val="none" w:sz="0" w:space="0" w:color="auto"/>
      </w:divBdr>
    </w:div>
    <w:div w:id="947196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hs.uk/apps-library/filter/?categories=Mental%20healt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Microsoft Word - Clinical Risk Assessment and Management Policy _V4.0 October 2011_.doc</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Clinical Risk Assessment and Management Policy _V4.0 October 2011_.doc</dc:title>
  <dc:creator>mccoyn</dc:creator>
  <cp:lastModifiedBy>Khatun Rashida</cp:lastModifiedBy>
  <cp:revision>3</cp:revision>
  <cp:lastPrinted>2024-04-24T13:26:00Z</cp:lastPrinted>
  <dcterms:created xsi:type="dcterms:W3CDTF">2024-04-24T13:25:00Z</dcterms:created>
  <dcterms:modified xsi:type="dcterms:W3CDTF">2024-04-24T13:33:00Z</dcterms:modified>
</cp:coreProperties>
</file>