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34" w:type="dxa"/>
        <w:tblLook w:val="04A0" w:firstRow="1" w:lastRow="0" w:firstColumn="1" w:lastColumn="0" w:noHBand="0" w:noVBand="1"/>
      </w:tblPr>
      <w:tblGrid>
        <w:gridCol w:w="1702"/>
        <w:gridCol w:w="9072"/>
      </w:tblGrid>
      <w:tr w:rsidR="00027238" w:rsidRPr="00386022" w14:paraId="3EE6F309" w14:textId="77777777" w:rsidTr="008A0FE6">
        <w:tc>
          <w:tcPr>
            <w:tcW w:w="1702" w:type="dxa"/>
            <w:shd w:val="clear" w:color="auto" w:fill="D9D9D9" w:themeFill="background1" w:themeFillShade="D9"/>
          </w:tcPr>
          <w:p w14:paraId="36D047A2" w14:textId="77777777" w:rsidR="00027238" w:rsidRPr="00386022" w:rsidRDefault="00027238" w:rsidP="008A0FE6">
            <w:pPr>
              <w:rPr>
                <w:rFonts w:ascii="Arial" w:hAnsi="Arial" w:cs="Arial"/>
                <w:b/>
                <w:sz w:val="22"/>
                <w:szCs w:val="22"/>
              </w:rPr>
            </w:pPr>
            <w:bookmarkStart w:id="0" w:name="_GoBack"/>
            <w:bookmarkEnd w:id="0"/>
            <w:r w:rsidRPr="00386022">
              <w:rPr>
                <w:rFonts w:ascii="Arial" w:hAnsi="Arial" w:cs="Arial"/>
                <w:b/>
                <w:sz w:val="22"/>
                <w:szCs w:val="22"/>
              </w:rPr>
              <w:t>Title</w:t>
            </w:r>
          </w:p>
        </w:tc>
        <w:tc>
          <w:tcPr>
            <w:tcW w:w="9072" w:type="dxa"/>
            <w:shd w:val="clear" w:color="auto" w:fill="auto"/>
          </w:tcPr>
          <w:p w14:paraId="6F58DB6E" w14:textId="6D90859B" w:rsidR="00027238" w:rsidRPr="00386022" w:rsidRDefault="00ED049D" w:rsidP="008A0FE6">
            <w:pPr>
              <w:rPr>
                <w:rFonts w:ascii="Arial" w:hAnsi="Arial" w:cs="Arial"/>
                <w:sz w:val="22"/>
                <w:szCs w:val="22"/>
              </w:rPr>
            </w:pPr>
            <w:r>
              <w:rPr>
                <w:rFonts w:ascii="Arial" w:hAnsi="Arial" w:cs="Arial"/>
                <w:sz w:val="22"/>
                <w:szCs w:val="22"/>
              </w:rPr>
              <w:t xml:space="preserve">Medicines Safety Report </w:t>
            </w:r>
          </w:p>
        </w:tc>
      </w:tr>
      <w:tr w:rsidR="00027238" w:rsidRPr="00386022" w14:paraId="0550CC06" w14:textId="77777777" w:rsidTr="008A0FE6">
        <w:tc>
          <w:tcPr>
            <w:tcW w:w="1702" w:type="dxa"/>
            <w:shd w:val="clear" w:color="auto" w:fill="D9D9D9" w:themeFill="background1" w:themeFillShade="D9"/>
          </w:tcPr>
          <w:p w14:paraId="3D0685A6" w14:textId="77777777" w:rsidR="00027238" w:rsidRPr="00386022" w:rsidRDefault="00027238" w:rsidP="008A0FE6">
            <w:pPr>
              <w:rPr>
                <w:rFonts w:ascii="Arial" w:hAnsi="Arial" w:cs="Arial"/>
                <w:b/>
                <w:sz w:val="22"/>
                <w:szCs w:val="22"/>
              </w:rPr>
            </w:pPr>
            <w:r w:rsidRPr="00386022">
              <w:rPr>
                <w:rFonts w:ascii="Arial" w:hAnsi="Arial" w:cs="Arial"/>
                <w:b/>
                <w:sz w:val="22"/>
                <w:szCs w:val="22"/>
              </w:rPr>
              <w:t>Authors</w:t>
            </w:r>
          </w:p>
        </w:tc>
        <w:tc>
          <w:tcPr>
            <w:tcW w:w="9072" w:type="dxa"/>
          </w:tcPr>
          <w:p w14:paraId="3E4201EE" w14:textId="2545D997" w:rsidR="00027238" w:rsidRPr="00386022" w:rsidRDefault="00027238" w:rsidP="00AA7A1A">
            <w:pPr>
              <w:rPr>
                <w:rFonts w:ascii="Arial" w:hAnsi="Arial" w:cs="Arial"/>
                <w:sz w:val="22"/>
                <w:szCs w:val="22"/>
              </w:rPr>
            </w:pPr>
            <w:r w:rsidRPr="00386022">
              <w:rPr>
                <w:rFonts w:ascii="Arial" w:hAnsi="Arial" w:cs="Arial"/>
                <w:sz w:val="22"/>
                <w:szCs w:val="22"/>
              </w:rPr>
              <w:t>Rajesh Jethwa</w:t>
            </w:r>
            <w:r w:rsidR="001F21DE">
              <w:rPr>
                <w:rFonts w:ascii="Arial" w:hAnsi="Arial" w:cs="Arial"/>
                <w:sz w:val="22"/>
                <w:szCs w:val="22"/>
              </w:rPr>
              <w:t xml:space="preserve">/ Indreet Anand </w:t>
            </w:r>
            <w:r w:rsidR="00AA7A1A">
              <w:rPr>
                <w:rFonts w:ascii="Arial" w:hAnsi="Arial" w:cs="Arial"/>
                <w:sz w:val="22"/>
                <w:szCs w:val="22"/>
              </w:rPr>
              <w:t xml:space="preserve"> (</w:t>
            </w:r>
            <w:r w:rsidRPr="00386022">
              <w:rPr>
                <w:rFonts w:ascii="Arial" w:hAnsi="Arial" w:cs="Arial"/>
                <w:sz w:val="22"/>
                <w:szCs w:val="22"/>
              </w:rPr>
              <w:t>Medicines Safety Officer</w:t>
            </w:r>
            <w:r w:rsidR="00AA7A1A">
              <w:rPr>
                <w:rFonts w:ascii="Arial" w:hAnsi="Arial" w:cs="Arial"/>
                <w:sz w:val="22"/>
                <w:szCs w:val="22"/>
              </w:rPr>
              <w:t>s)</w:t>
            </w:r>
          </w:p>
        </w:tc>
      </w:tr>
      <w:tr w:rsidR="00027238" w:rsidRPr="00386022" w14:paraId="4693D085" w14:textId="77777777" w:rsidTr="008A0FE6">
        <w:tc>
          <w:tcPr>
            <w:tcW w:w="1702" w:type="dxa"/>
            <w:shd w:val="clear" w:color="auto" w:fill="D9D9D9" w:themeFill="background1" w:themeFillShade="D9"/>
          </w:tcPr>
          <w:p w14:paraId="07AFBD60" w14:textId="77777777" w:rsidR="00027238" w:rsidRPr="00386022" w:rsidRDefault="00027238" w:rsidP="008A0FE6">
            <w:pPr>
              <w:rPr>
                <w:rFonts w:ascii="Arial" w:hAnsi="Arial" w:cs="Arial"/>
                <w:b/>
                <w:sz w:val="22"/>
                <w:szCs w:val="22"/>
              </w:rPr>
            </w:pPr>
            <w:r w:rsidRPr="00386022">
              <w:rPr>
                <w:rFonts w:ascii="Arial" w:hAnsi="Arial" w:cs="Arial"/>
                <w:b/>
                <w:sz w:val="22"/>
                <w:szCs w:val="22"/>
              </w:rPr>
              <w:t>Presented to</w:t>
            </w:r>
          </w:p>
        </w:tc>
        <w:tc>
          <w:tcPr>
            <w:tcW w:w="9072" w:type="dxa"/>
          </w:tcPr>
          <w:p w14:paraId="7C00D261" w14:textId="77777777" w:rsidR="00027238" w:rsidRPr="00386022" w:rsidRDefault="00027238" w:rsidP="008A0FE6">
            <w:pPr>
              <w:rPr>
                <w:rFonts w:ascii="Arial" w:hAnsi="Arial" w:cs="Arial"/>
                <w:sz w:val="22"/>
                <w:szCs w:val="22"/>
              </w:rPr>
            </w:pPr>
            <w:r w:rsidRPr="00386022">
              <w:rPr>
                <w:rFonts w:ascii="Arial" w:hAnsi="Arial" w:cs="Arial"/>
                <w:sz w:val="22"/>
                <w:szCs w:val="22"/>
              </w:rPr>
              <w:t>Medicines Committee</w:t>
            </w:r>
          </w:p>
        </w:tc>
      </w:tr>
      <w:tr w:rsidR="00027238" w:rsidRPr="00386022" w14:paraId="45C36CE6" w14:textId="77777777" w:rsidTr="00D92DE6">
        <w:trPr>
          <w:trHeight w:val="297"/>
        </w:trPr>
        <w:tc>
          <w:tcPr>
            <w:tcW w:w="1702" w:type="dxa"/>
            <w:shd w:val="clear" w:color="auto" w:fill="D9D9D9" w:themeFill="background1" w:themeFillShade="D9"/>
          </w:tcPr>
          <w:p w14:paraId="2FB34CC5" w14:textId="77777777" w:rsidR="00027238" w:rsidRPr="00386022" w:rsidRDefault="00027238" w:rsidP="008A0FE6">
            <w:pPr>
              <w:rPr>
                <w:rFonts w:ascii="Arial" w:hAnsi="Arial" w:cs="Arial"/>
                <w:b/>
                <w:sz w:val="22"/>
                <w:szCs w:val="22"/>
              </w:rPr>
            </w:pPr>
            <w:r w:rsidRPr="00386022">
              <w:rPr>
                <w:rFonts w:ascii="Arial" w:hAnsi="Arial" w:cs="Arial"/>
                <w:b/>
                <w:sz w:val="22"/>
                <w:szCs w:val="22"/>
              </w:rPr>
              <w:t>Date</w:t>
            </w:r>
          </w:p>
        </w:tc>
        <w:tc>
          <w:tcPr>
            <w:tcW w:w="9072" w:type="dxa"/>
          </w:tcPr>
          <w:p w14:paraId="0C94DBDD" w14:textId="380FBCF7" w:rsidR="00027238" w:rsidRPr="00386022" w:rsidRDefault="001F21DE" w:rsidP="008A0FE6">
            <w:pPr>
              <w:rPr>
                <w:rFonts w:ascii="Arial" w:hAnsi="Arial" w:cs="Arial"/>
                <w:sz w:val="22"/>
                <w:szCs w:val="22"/>
              </w:rPr>
            </w:pPr>
            <w:r>
              <w:rPr>
                <w:rFonts w:ascii="Arial" w:hAnsi="Arial" w:cs="Arial"/>
                <w:sz w:val="22"/>
                <w:szCs w:val="22"/>
              </w:rPr>
              <w:t>15</w:t>
            </w:r>
            <w:r w:rsidRPr="001F21DE">
              <w:rPr>
                <w:rFonts w:ascii="Arial" w:hAnsi="Arial" w:cs="Arial"/>
                <w:sz w:val="22"/>
                <w:szCs w:val="22"/>
                <w:vertAlign w:val="superscript"/>
              </w:rPr>
              <w:t>th</w:t>
            </w:r>
            <w:r>
              <w:rPr>
                <w:rFonts w:ascii="Arial" w:hAnsi="Arial" w:cs="Arial"/>
                <w:sz w:val="22"/>
                <w:szCs w:val="22"/>
              </w:rPr>
              <w:t xml:space="preserve"> March 2024 </w:t>
            </w:r>
          </w:p>
        </w:tc>
      </w:tr>
    </w:tbl>
    <w:p w14:paraId="7535958F" w14:textId="77777777" w:rsidR="00027238" w:rsidRPr="00386022" w:rsidRDefault="00027238" w:rsidP="00027238">
      <w:pPr>
        <w:spacing w:after="0" w:line="240" w:lineRule="auto"/>
        <w:rPr>
          <w:rFonts w:ascii="Arial" w:hAnsi="Arial" w:cs="Arial"/>
        </w:rPr>
      </w:pPr>
    </w:p>
    <w:p w14:paraId="23B77F45" w14:textId="77777777" w:rsidR="00027238" w:rsidRPr="00386022" w:rsidRDefault="00027238" w:rsidP="00027238">
      <w:pPr>
        <w:spacing w:after="0" w:line="240" w:lineRule="auto"/>
        <w:ind w:left="-142" w:right="-625"/>
        <w:rPr>
          <w:rFonts w:ascii="Arial" w:hAnsi="Arial" w:cs="Arial"/>
          <w:b/>
        </w:rPr>
      </w:pPr>
      <w:r w:rsidRPr="00386022">
        <w:rPr>
          <w:rFonts w:ascii="Arial" w:hAnsi="Arial" w:cs="Arial"/>
          <w:b/>
        </w:rPr>
        <w:t>Purpose of the Report:</w:t>
      </w:r>
    </w:p>
    <w:tbl>
      <w:tblPr>
        <w:tblStyle w:val="TableGrid"/>
        <w:tblW w:w="10774" w:type="dxa"/>
        <w:tblInd w:w="-34" w:type="dxa"/>
        <w:tblLook w:val="04A0" w:firstRow="1" w:lastRow="0" w:firstColumn="1" w:lastColumn="0" w:noHBand="0" w:noVBand="1"/>
      </w:tblPr>
      <w:tblGrid>
        <w:gridCol w:w="10774"/>
      </w:tblGrid>
      <w:tr w:rsidR="00027238" w:rsidRPr="00386022" w14:paraId="246FEC8C" w14:textId="77777777" w:rsidTr="008A0FE6">
        <w:trPr>
          <w:trHeight w:val="848"/>
        </w:trPr>
        <w:tc>
          <w:tcPr>
            <w:tcW w:w="10774" w:type="dxa"/>
            <w:shd w:val="clear" w:color="auto" w:fill="auto"/>
          </w:tcPr>
          <w:p w14:paraId="519A3855" w14:textId="77777777" w:rsidR="00027238" w:rsidRPr="00386022" w:rsidRDefault="00027238" w:rsidP="008A0FE6">
            <w:pPr>
              <w:shd w:val="clear" w:color="auto" w:fill="FFFFFF" w:themeFill="background1"/>
              <w:rPr>
                <w:rFonts w:ascii="Arial" w:hAnsi="Arial" w:cs="Arial"/>
                <w:sz w:val="22"/>
                <w:szCs w:val="22"/>
              </w:rPr>
            </w:pPr>
            <w:r w:rsidRPr="00386022">
              <w:rPr>
                <w:rFonts w:ascii="Arial" w:hAnsi="Arial" w:cs="Arial"/>
                <w:sz w:val="22"/>
                <w:szCs w:val="22"/>
              </w:rPr>
              <w:t xml:space="preserve">This report provides a summary of medicines safety data that is collected in the Trust and is presented to the Medicines Committee for information. The committee is asked to consider the level of assurance provided by the report and decide whether further action is needed. </w:t>
            </w:r>
          </w:p>
        </w:tc>
      </w:tr>
    </w:tbl>
    <w:p w14:paraId="74D27E43" w14:textId="77777777" w:rsidR="00027238" w:rsidRPr="00386022" w:rsidRDefault="00027238" w:rsidP="00027238">
      <w:pPr>
        <w:shd w:val="clear" w:color="auto" w:fill="FFFFFF" w:themeFill="background1"/>
        <w:spacing w:after="0" w:line="240" w:lineRule="auto"/>
        <w:ind w:left="-567" w:right="-625"/>
        <w:rPr>
          <w:rFonts w:ascii="Arial" w:hAnsi="Arial" w:cs="Arial"/>
        </w:rPr>
      </w:pPr>
    </w:p>
    <w:p w14:paraId="4A42D483" w14:textId="77777777" w:rsidR="00027238" w:rsidRPr="00386022" w:rsidRDefault="00027238" w:rsidP="00027238">
      <w:pPr>
        <w:spacing w:after="0" w:line="240" w:lineRule="auto"/>
        <w:ind w:left="-567" w:firstLine="425"/>
        <w:rPr>
          <w:rFonts w:ascii="Arial" w:hAnsi="Arial" w:cs="Arial"/>
          <w:b/>
        </w:rPr>
      </w:pPr>
      <w:r w:rsidRPr="00386022">
        <w:rPr>
          <w:rFonts w:ascii="Arial" w:hAnsi="Arial" w:cs="Arial"/>
          <w:b/>
        </w:rPr>
        <w:t>Strategic priorities this paper supports (Please check box including brief statement)</w:t>
      </w:r>
    </w:p>
    <w:tbl>
      <w:tblPr>
        <w:tblStyle w:val="TableGrid"/>
        <w:tblW w:w="10774" w:type="dxa"/>
        <w:tblInd w:w="-34" w:type="dxa"/>
        <w:tblLook w:val="04A0" w:firstRow="1" w:lastRow="0" w:firstColumn="1" w:lastColumn="0" w:noHBand="0" w:noVBand="1"/>
      </w:tblPr>
      <w:tblGrid>
        <w:gridCol w:w="3655"/>
        <w:gridCol w:w="456"/>
        <w:gridCol w:w="6663"/>
      </w:tblGrid>
      <w:tr w:rsidR="00027238" w:rsidRPr="00386022" w14:paraId="60F51F3C" w14:textId="77777777" w:rsidTr="008A0FE6">
        <w:trPr>
          <w:trHeight w:val="285"/>
        </w:trPr>
        <w:tc>
          <w:tcPr>
            <w:tcW w:w="3655" w:type="dxa"/>
            <w:shd w:val="clear" w:color="auto" w:fill="auto"/>
          </w:tcPr>
          <w:p w14:paraId="00DF8F51" w14:textId="77777777" w:rsidR="00027238" w:rsidRPr="00386022" w:rsidRDefault="00027238" w:rsidP="008A0FE6">
            <w:pPr>
              <w:rPr>
                <w:rFonts w:ascii="Arial" w:hAnsi="Arial" w:cs="Arial"/>
                <w:sz w:val="22"/>
                <w:szCs w:val="22"/>
              </w:rPr>
            </w:pPr>
            <w:r w:rsidRPr="00386022">
              <w:rPr>
                <w:rFonts w:ascii="Arial" w:hAnsi="Arial" w:cs="Arial"/>
                <w:sz w:val="22"/>
                <w:szCs w:val="22"/>
              </w:rPr>
              <w:t>Improving service user satisfaction</w:t>
            </w:r>
          </w:p>
        </w:tc>
        <w:sdt>
          <w:sdtPr>
            <w:rPr>
              <w:rFonts w:ascii="Arial" w:hAnsi="Arial" w:cs="Arial"/>
            </w:rPr>
            <w:id w:val="-1247262250"/>
            <w14:checkbox>
              <w14:checked w14:val="1"/>
              <w14:checkedState w14:val="2612" w14:font="MS Gothic"/>
              <w14:uncheckedState w14:val="2610" w14:font="MS Gothic"/>
            </w14:checkbox>
          </w:sdtPr>
          <w:sdtEndPr/>
          <w:sdtContent>
            <w:tc>
              <w:tcPr>
                <w:tcW w:w="456" w:type="dxa"/>
                <w:shd w:val="clear" w:color="auto" w:fill="auto"/>
              </w:tcPr>
              <w:p w14:paraId="1B89D538" w14:textId="77777777" w:rsidR="00027238" w:rsidRPr="00386022" w:rsidRDefault="00027238" w:rsidP="008A0FE6">
                <w:pPr>
                  <w:shd w:val="clear" w:color="auto" w:fill="FFFFFF"/>
                  <w:rPr>
                    <w:rFonts w:ascii="Arial" w:hAnsi="Arial" w:cs="Arial"/>
                    <w:sz w:val="22"/>
                    <w:szCs w:val="22"/>
                  </w:rPr>
                </w:pPr>
                <w:r w:rsidRPr="00386022">
                  <w:rPr>
                    <w:rFonts w:ascii="Segoe UI Symbol" w:eastAsia="MS Gothic" w:hAnsi="Segoe UI Symbol" w:cs="Segoe UI Symbol"/>
                    <w:sz w:val="22"/>
                    <w:szCs w:val="22"/>
                  </w:rPr>
                  <w:t>☒</w:t>
                </w:r>
              </w:p>
            </w:tc>
          </w:sdtContent>
        </w:sdt>
        <w:tc>
          <w:tcPr>
            <w:tcW w:w="6663" w:type="dxa"/>
          </w:tcPr>
          <w:p w14:paraId="11C58111" w14:textId="77777777" w:rsidR="00027238" w:rsidRPr="00386022" w:rsidRDefault="00027238" w:rsidP="008A0FE6">
            <w:pPr>
              <w:shd w:val="clear" w:color="auto" w:fill="FFFFFF"/>
              <w:rPr>
                <w:rFonts w:ascii="Arial" w:hAnsi="Arial" w:cs="Arial"/>
                <w:sz w:val="22"/>
                <w:szCs w:val="22"/>
              </w:rPr>
            </w:pPr>
            <w:r w:rsidRPr="00386022">
              <w:rPr>
                <w:rFonts w:ascii="Arial" w:hAnsi="Arial" w:cs="Arial"/>
                <w:sz w:val="22"/>
                <w:szCs w:val="22"/>
              </w:rPr>
              <w:t xml:space="preserve">Improve service user-related outcomes by ensuring that they receive safe pharmaceutical care. </w:t>
            </w:r>
          </w:p>
        </w:tc>
      </w:tr>
      <w:tr w:rsidR="00027238" w:rsidRPr="00386022" w14:paraId="13281F4B" w14:textId="77777777" w:rsidTr="008A0FE6">
        <w:trPr>
          <w:trHeight w:val="285"/>
        </w:trPr>
        <w:tc>
          <w:tcPr>
            <w:tcW w:w="3655" w:type="dxa"/>
            <w:shd w:val="clear" w:color="auto" w:fill="auto"/>
          </w:tcPr>
          <w:p w14:paraId="36BC2FE1" w14:textId="77777777" w:rsidR="00027238" w:rsidRPr="00386022" w:rsidRDefault="00027238" w:rsidP="008A0FE6">
            <w:pPr>
              <w:rPr>
                <w:rFonts w:ascii="Arial" w:hAnsi="Arial" w:cs="Arial"/>
                <w:sz w:val="22"/>
                <w:szCs w:val="22"/>
              </w:rPr>
            </w:pPr>
            <w:r w:rsidRPr="00386022">
              <w:rPr>
                <w:rFonts w:ascii="Arial" w:hAnsi="Arial" w:cs="Arial"/>
                <w:sz w:val="22"/>
                <w:szCs w:val="22"/>
              </w:rPr>
              <w:t>Improving staff satisfaction</w:t>
            </w:r>
          </w:p>
        </w:tc>
        <w:sdt>
          <w:sdtPr>
            <w:rPr>
              <w:rFonts w:ascii="Arial" w:hAnsi="Arial" w:cs="Arial"/>
            </w:rPr>
            <w:id w:val="-236868893"/>
            <w14:checkbox>
              <w14:checked w14:val="1"/>
              <w14:checkedState w14:val="2612" w14:font="MS Gothic"/>
              <w14:uncheckedState w14:val="2610" w14:font="MS Gothic"/>
            </w14:checkbox>
          </w:sdtPr>
          <w:sdtEndPr/>
          <w:sdtContent>
            <w:tc>
              <w:tcPr>
                <w:tcW w:w="456" w:type="dxa"/>
                <w:shd w:val="clear" w:color="auto" w:fill="auto"/>
              </w:tcPr>
              <w:p w14:paraId="6C859C42" w14:textId="77777777" w:rsidR="00027238" w:rsidRPr="00386022" w:rsidRDefault="00E20C53" w:rsidP="008A0FE6">
                <w:pPr>
                  <w:shd w:val="clear" w:color="auto" w:fill="FFFFFF"/>
                  <w:rPr>
                    <w:rFonts w:ascii="Arial" w:hAnsi="Arial" w:cs="Arial"/>
                    <w:sz w:val="22"/>
                    <w:szCs w:val="22"/>
                  </w:rPr>
                </w:pPr>
                <w:r w:rsidRPr="00386022">
                  <w:rPr>
                    <w:rFonts w:ascii="Segoe UI Symbol" w:eastAsia="MS Gothic" w:hAnsi="Segoe UI Symbol" w:cs="Segoe UI Symbol"/>
                    <w:sz w:val="22"/>
                    <w:szCs w:val="22"/>
                  </w:rPr>
                  <w:t>☒</w:t>
                </w:r>
              </w:p>
            </w:tc>
          </w:sdtContent>
        </w:sdt>
        <w:tc>
          <w:tcPr>
            <w:tcW w:w="6663" w:type="dxa"/>
          </w:tcPr>
          <w:p w14:paraId="5CC881CB" w14:textId="77777777" w:rsidR="00027238" w:rsidRPr="00386022" w:rsidRDefault="00027238" w:rsidP="008A0FE6">
            <w:pPr>
              <w:shd w:val="clear" w:color="auto" w:fill="FFFFFF"/>
              <w:rPr>
                <w:rFonts w:ascii="Arial" w:hAnsi="Arial" w:cs="Arial"/>
                <w:sz w:val="22"/>
                <w:szCs w:val="22"/>
              </w:rPr>
            </w:pPr>
          </w:p>
        </w:tc>
      </w:tr>
      <w:tr w:rsidR="00027238" w:rsidRPr="00386022" w14:paraId="741DE0EC" w14:textId="77777777" w:rsidTr="008A0FE6">
        <w:trPr>
          <w:trHeight w:val="285"/>
        </w:trPr>
        <w:tc>
          <w:tcPr>
            <w:tcW w:w="3655" w:type="dxa"/>
            <w:shd w:val="clear" w:color="auto" w:fill="auto"/>
          </w:tcPr>
          <w:p w14:paraId="05452BDC" w14:textId="77777777" w:rsidR="00027238" w:rsidRPr="00386022" w:rsidRDefault="00027238" w:rsidP="008A0FE6">
            <w:pPr>
              <w:rPr>
                <w:rFonts w:ascii="Arial" w:hAnsi="Arial" w:cs="Arial"/>
                <w:sz w:val="22"/>
                <w:szCs w:val="22"/>
              </w:rPr>
            </w:pPr>
            <w:r w:rsidRPr="00386022">
              <w:rPr>
                <w:rFonts w:ascii="Arial" w:hAnsi="Arial" w:cs="Arial"/>
                <w:sz w:val="22"/>
                <w:szCs w:val="22"/>
              </w:rPr>
              <w:t>Maintaining financial viability</w:t>
            </w:r>
          </w:p>
        </w:tc>
        <w:sdt>
          <w:sdtPr>
            <w:rPr>
              <w:rFonts w:ascii="Arial" w:hAnsi="Arial" w:cs="Arial"/>
            </w:rPr>
            <w:id w:val="684026327"/>
            <w14:checkbox>
              <w14:checked w14:val="0"/>
              <w14:checkedState w14:val="2612" w14:font="MS Gothic"/>
              <w14:uncheckedState w14:val="2610" w14:font="MS Gothic"/>
            </w14:checkbox>
          </w:sdtPr>
          <w:sdtEndPr/>
          <w:sdtContent>
            <w:tc>
              <w:tcPr>
                <w:tcW w:w="456" w:type="dxa"/>
                <w:shd w:val="clear" w:color="auto" w:fill="auto"/>
              </w:tcPr>
              <w:p w14:paraId="49B03F75" w14:textId="77777777" w:rsidR="00027238" w:rsidRPr="00386022" w:rsidRDefault="00027238" w:rsidP="008A0FE6">
                <w:pPr>
                  <w:shd w:val="clear" w:color="auto" w:fill="FFFFFF"/>
                  <w:rPr>
                    <w:rFonts w:ascii="Arial" w:hAnsi="Arial" w:cs="Arial"/>
                    <w:sz w:val="22"/>
                    <w:szCs w:val="22"/>
                  </w:rPr>
                </w:pPr>
                <w:r w:rsidRPr="00386022">
                  <w:rPr>
                    <w:rFonts w:ascii="Segoe UI Symbol" w:eastAsia="MS Gothic" w:hAnsi="Segoe UI Symbol" w:cs="Segoe UI Symbol"/>
                    <w:sz w:val="22"/>
                    <w:szCs w:val="22"/>
                  </w:rPr>
                  <w:t>☐</w:t>
                </w:r>
              </w:p>
            </w:tc>
          </w:sdtContent>
        </w:sdt>
        <w:tc>
          <w:tcPr>
            <w:tcW w:w="6663" w:type="dxa"/>
          </w:tcPr>
          <w:p w14:paraId="097F4F9D" w14:textId="77777777" w:rsidR="00027238" w:rsidRPr="00386022" w:rsidRDefault="00027238" w:rsidP="008A0FE6">
            <w:pPr>
              <w:shd w:val="clear" w:color="auto" w:fill="FFFFFF"/>
              <w:rPr>
                <w:rFonts w:ascii="Arial" w:hAnsi="Arial" w:cs="Arial"/>
                <w:sz w:val="22"/>
                <w:szCs w:val="22"/>
              </w:rPr>
            </w:pPr>
          </w:p>
        </w:tc>
      </w:tr>
    </w:tbl>
    <w:p w14:paraId="394AA1FD" w14:textId="77777777" w:rsidR="00027238" w:rsidRPr="00386022" w:rsidRDefault="00027238" w:rsidP="00027238">
      <w:pPr>
        <w:spacing w:after="0" w:line="240" w:lineRule="auto"/>
        <w:ind w:left="-567"/>
        <w:rPr>
          <w:rFonts w:ascii="Arial" w:hAnsi="Arial" w:cs="Arial"/>
          <w:b/>
        </w:rPr>
      </w:pPr>
    </w:p>
    <w:p w14:paraId="7F35423F" w14:textId="77777777" w:rsidR="00027238" w:rsidRPr="00386022" w:rsidRDefault="00027238" w:rsidP="00027238">
      <w:pPr>
        <w:spacing w:after="0" w:line="240" w:lineRule="auto"/>
        <w:ind w:left="-567" w:firstLine="425"/>
        <w:rPr>
          <w:rFonts w:ascii="Arial" w:hAnsi="Arial" w:cs="Arial"/>
          <w:b/>
        </w:rPr>
      </w:pPr>
      <w:r w:rsidRPr="00386022">
        <w:rPr>
          <w:rFonts w:ascii="Arial" w:hAnsi="Arial" w:cs="Arial"/>
          <w:b/>
        </w:rPr>
        <w:t>Committees/Meetings where this item has been considered:</w:t>
      </w:r>
    </w:p>
    <w:tbl>
      <w:tblPr>
        <w:tblStyle w:val="TableGrid"/>
        <w:tblW w:w="10774" w:type="dxa"/>
        <w:tblInd w:w="-34" w:type="dxa"/>
        <w:tblLook w:val="04A0" w:firstRow="1" w:lastRow="0" w:firstColumn="1" w:lastColumn="0" w:noHBand="0" w:noVBand="1"/>
      </w:tblPr>
      <w:tblGrid>
        <w:gridCol w:w="1985"/>
        <w:gridCol w:w="8789"/>
      </w:tblGrid>
      <w:tr w:rsidR="00027238" w:rsidRPr="00386022" w14:paraId="0D098326" w14:textId="77777777" w:rsidTr="008A0FE6">
        <w:trPr>
          <w:trHeight w:val="323"/>
        </w:trPr>
        <w:tc>
          <w:tcPr>
            <w:tcW w:w="1985" w:type="dxa"/>
            <w:shd w:val="clear" w:color="auto" w:fill="auto"/>
          </w:tcPr>
          <w:p w14:paraId="393B54D6" w14:textId="77777777" w:rsidR="00027238" w:rsidRPr="00386022" w:rsidRDefault="00027238" w:rsidP="008A0FE6">
            <w:pPr>
              <w:shd w:val="clear" w:color="auto" w:fill="FFFFFF"/>
              <w:rPr>
                <w:rFonts w:ascii="Arial" w:hAnsi="Arial" w:cs="Arial"/>
                <w:sz w:val="22"/>
                <w:szCs w:val="22"/>
              </w:rPr>
            </w:pPr>
            <w:r w:rsidRPr="00386022">
              <w:rPr>
                <w:rFonts w:ascii="Arial" w:hAnsi="Arial" w:cs="Arial"/>
                <w:sz w:val="22"/>
                <w:szCs w:val="22"/>
              </w:rPr>
              <w:t>Date</w:t>
            </w:r>
          </w:p>
        </w:tc>
        <w:tc>
          <w:tcPr>
            <w:tcW w:w="8789" w:type="dxa"/>
            <w:shd w:val="clear" w:color="auto" w:fill="auto"/>
          </w:tcPr>
          <w:p w14:paraId="34326997" w14:textId="77777777" w:rsidR="00027238" w:rsidRPr="00386022" w:rsidRDefault="00027238" w:rsidP="008A0FE6">
            <w:pPr>
              <w:shd w:val="clear" w:color="auto" w:fill="FFFFFF"/>
              <w:rPr>
                <w:rFonts w:ascii="Arial" w:hAnsi="Arial" w:cs="Arial"/>
                <w:sz w:val="22"/>
                <w:szCs w:val="22"/>
              </w:rPr>
            </w:pPr>
            <w:r w:rsidRPr="00386022">
              <w:rPr>
                <w:rFonts w:ascii="Arial" w:hAnsi="Arial" w:cs="Arial"/>
                <w:sz w:val="22"/>
                <w:szCs w:val="22"/>
              </w:rPr>
              <w:t xml:space="preserve">Committee/Meeting </w:t>
            </w:r>
          </w:p>
        </w:tc>
      </w:tr>
      <w:tr w:rsidR="00027238" w:rsidRPr="00386022" w14:paraId="2B430CD3" w14:textId="77777777" w:rsidTr="008A0FE6">
        <w:trPr>
          <w:trHeight w:val="322"/>
        </w:trPr>
        <w:tc>
          <w:tcPr>
            <w:tcW w:w="1985" w:type="dxa"/>
            <w:shd w:val="clear" w:color="auto" w:fill="auto"/>
          </w:tcPr>
          <w:p w14:paraId="40F9129C" w14:textId="77777777" w:rsidR="00027238" w:rsidRPr="00386022" w:rsidRDefault="00027238" w:rsidP="008A0FE6">
            <w:pPr>
              <w:shd w:val="clear" w:color="auto" w:fill="FFFFFF"/>
              <w:rPr>
                <w:rFonts w:ascii="Arial" w:hAnsi="Arial" w:cs="Arial"/>
                <w:sz w:val="22"/>
                <w:szCs w:val="22"/>
              </w:rPr>
            </w:pPr>
            <w:r w:rsidRPr="00386022">
              <w:rPr>
                <w:rFonts w:ascii="Arial" w:hAnsi="Arial" w:cs="Arial"/>
                <w:sz w:val="22"/>
                <w:szCs w:val="22"/>
              </w:rPr>
              <w:t>N/A</w:t>
            </w:r>
          </w:p>
        </w:tc>
        <w:tc>
          <w:tcPr>
            <w:tcW w:w="8789" w:type="dxa"/>
            <w:shd w:val="clear" w:color="auto" w:fill="auto"/>
          </w:tcPr>
          <w:p w14:paraId="2E4BC14A" w14:textId="77777777" w:rsidR="00027238" w:rsidRPr="00386022" w:rsidRDefault="00027238" w:rsidP="008A0FE6">
            <w:pPr>
              <w:shd w:val="clear" w:color="auto" w:fill="FFFFFF"/>
              <w:rPr>
                <w:rFonts w:ascii="Arial" w:hAnsi="Arial" w:cs="Arial"/>
                <w:sz w:val="22"/>
                <w:szCs w:val="22"/>
              </w:rPr>
            </w:pPr>
            <w:r w:rsidRPr="00386022">
              <w:rPr>
                <w:rFonts w:ascii="Arial" w:hAnsi="Arial" w:cs="Arial"/>
                <w:sz w:val="22"/>
                <w:szCs w:val="22"/>
              </w:rPr>
              <w:t>This report has not been considered in any other committees or meetings</w:t>
            </w:r>
          </w:p>
        </w:tc>
      </w:tr>
    </w:tbl>
    <w:p w14:paraId="464FC56E" w14:textId="77777777" w:rsidR="00027238" w:rsidRPr="00386022" w:rsidRDefault="00027238" w:rsidP="00027238">
      <w:pPr>
        <w:spacing w:after="0" w:line="240" w:lineRule="auto"/>
        <w:ind w:left="-567" w:firstLine="425"/>
        <w:rPr>
          <w:rFonts w:ascii="Arial" w:hAnsi="Arial" w:cs="Arial"/>
          <w:b/>
        </w:rPr>
      </w:pPr>
    </w:p>
    <w:tbl>
      <w:tblPr>
        <w:tblStyle w:val="TableGrid"/>
        <w:tblW w:w="10774" w:type="dxa"/>
        <w:tblInd w:w="-34" w:type="dxa"/>
        <w:tblLook w:val="04A0" w:firstRow="1" w:lastRow="0" w:firstColumn="1" w:lastColumn="0" w:noHBand="0" w:noVBand="1"/>
      </w:tblPr>
      <w:tblGrid>
        <w:gridCol w:w="1985"/>
        <w:gridCol w:w="8789"/>
      </w:tblGrid>
      <w:tr w:rsidR="00027238" w:rsidRPr="00386022" w14:paraId="08ADD94F" w14:textId="77777777" w:rsidTr="008A0FE6">
        <w:trPr>
          <w:trHeight w:val="174"/>
        </w:trPr>
        <w:tc>
          <w:tcPr>
            <w:tcW w:w="1985" w:type="dxa"/>
            <w:shd w:val="clear" w:color="auto" w:fill="auto"/>
          </w:tcPr>
          <w:p w14:paraId="7D55F170" w14:textId="77777777" w:rsidR="00027238" w:rsidRPr="00386022" w:rsidRDefault="00027238" w:rsidP="008A0FE6">
            <w:pPr>
              <w:shd w:val="clear" w:color="auto" w:fill="FFFFFF"/>
              <w:rPr>
                <w:rFonts w:ascii="Arial" w:hAnsi="Arial" w:cs="Arial"/>
                <w:sz w:val="22"/>
                <w:szCs w:val="22"/>
              </w:rPr>
            </w:pPr>
            <w:r w:rsidRPr="00386022">
              <w:rPr>
                <w:rFonts w:ascii="Arial" w:hAnsi="Arial" w:cs="Arial"/>
                <w:sz w:val="22"/>
                <w:szCs w:val="22"/>
              </w:rPr>
              <w:t>Equality Analysis</w:t>
            </w:r>
          </w:p>
        </w:tc>
        <w:tc>
          <w:tcPr>
            <w:tcW w:w="8789" w:type="dxa"/>
            <w:shd w:val="clear" w:color="auto" w:fill="auto"/>
          </w:tcPr>
          <w:p w14:paraId="651C45C7" w14:textId="77777777" w:rsidR="00027238" w:rsidRPr="00386022" w:rsidRDefault="00027238" w:rsidP="008A0FE6">
            <w:pPr>
              <w:shd w:val="clear" w:color="auto" w:fill="FFFFFF"/>
              <w:rPr>
                <w:rFonts w:ascii="Arial" w:hAnsi="Arial" w:cs="Arial"/>
                <w:sz w:val="22"/>
                <w:szCs w:val="22"/>
              </w:rPr>
            </w:pPr>
            <w:r w:rsidRPr="00386022">
              <w:rPr>
                <w:rFonts w:ascii="Arial" w:hAnsi="Arial" w:cs="Arial"/>
                <w:sz w:val="22"/>
                <w:szCs w:val="22"/>
              </w:rPr>
              <w:t>This report has no direct impact on equalities</w:t>
            </w:r>
          </w:p>
        </w:tc>
      </w:tr>
    </w:tbl>
    <w:p w14:paraId="10766266" w14:textId="77777777" w:rsidR="00027238" w:rsidRPr="00386022" w:rsidRDefault="00027238" w:rsidP="00D92DE6">
      <w:pPr>
        <w:tabs>
          <w:tab w:val="num" w:pos="720"/>
        </w:tabs>
        <w:spacing w:after="0" w:line="240" w:lineRule="auto"/>
        <w:jc w:val="both"/>
        <w:rPr>
          <w:rFonts w:ascii="Arial" w:eastAsia="Times New Roman" w:hAnsi="Arial" w:cs="Arial"/>
          <w:b/>
        </w:rPr>
      </w:pPr>
      <w:r w:rsidRPr="00386022">
        <w:rPr>
          <w:rFonts w:ascii="Arial" w:eastAsia="Times New Roman" w:hAnsi="Arial" w:cs="Arial"/>
          <w:b/>
        </w:rPr>
        <w:t>Contents</w:t>
      </w:r>
    </w:p>
    <w:tbl>
      <w:tblPr>
        <w:tblStyle w:val="TableGrid"/>
        <w:tblW w:w="10802" w:type="dxa"/>
        <w:tblInd w:w="-34" w:type="dxa"/>
        <w:tblLook w:val="04A0" w:firstRow="1" w:lastRow="0" w:firstColumn="1" w:lastColumn="0" w:noHBand="0" w:noVBand="1"/>
      </w:tblPr>
      <w:tblGrid>
        <w:gridCol w:w="3848"/>
        <w:gridCol w:w="1376"/>
        <w:gridCol w:w="5578"/>
      </w:tblGrid>
      <w:tr w:rsidR="00027238" w:rsidRPr="00386022" w14:paraId="02674A4F" w14:textId="77777777" w:rsidTr="00027238">
        <w:trPr>
          <w:trHeight w:val="397"/>
        </w:trPr>
        <w:tc>
          <w:tcPr>
            <w:tcW w:w="3848" w:type="dxa"/>
            <w:shd w:val="clear" w:color="auto" w:fill="D9D9D9" w:themeFill="background1" w:themeFillShade="D9"/>
          </w:tcPr>
          <w:p w14:paraId="28A9AD76" w14:textId="77777777" w:rsidR="00027238" w:rsidRPr="00386022" w:rsidRDefault="00027238" w:rsidP="008A0FE6">
            <w:pPr>
              <w:tabs>
                <w:tab w:val="num" w:pos="720"/>
              </w:tabs>
              <w:jc w:val="both"/>
              <w:rPr>
                <w:rFonts w:ascii="Arial" w:hAnsi="Arial" w:cs="Arial"/>
                <w:b/>
                <w:sz w:val="22"/>
                <w:szCs w:val="22"/>
              </w:rPr>
            </w:pPr>
            <w:r w:rsidRPr="00386022">
              <w:rPr>
                <w:rFonts w:ascii="Arial" w:hAnsi="Arial" w:cs="Arial"/>
                <w:b/>
                <w:sz w:val="22"/>
                <w:szCs w:val="22"/>
              </w:rPr>
              <w:t>Section</w:t>
            </w:r>
          </w:p>
        </w:tc>
        <w:tc>
          <w:tcPr>
            <w:tcW w:w="1376" w:type="dxa"/>
            <w:shd w:val="clear" w:color="auto" w:fill="D9D9D9" w:themeFill="background1" w:themeFillShade="D9"/>
          </w:tcPr>
          <w:p w14:paraId="10704982" w14:textId="77777777" w:rsidR="00027238" w:rsidRPr="00386022" w:rsidRDefault="00027238" w:rsidP="008A0FE6">
            <w:pPr>
              <w:tabs>
                <w:tab w:val="num" w:pos="720"/>
              </w:tabs>
              <w:jc w:val="center"/>
              <w:rPr>
                <w:rFonts w:ascii="Arial" w:hAnsi="Arial" w:cs="Arial"/>
                <w:b/>
                <w:sz w:val="22"/>
                <w:szCs w:val="22"/>
              </w:rPr>
            </w:pPr>
            <w:r w:rsidRPr="00386022">
              <w:rPr>
                <w:rFonts w:ascii="Arial" w:hAnsi="Arial" w:cs="Arial"/>
                <w:b/>
                <w:sz w:val="22"/>
                <w:szCs w:val="22"/>
              </w:rPr>
              <w:t>Page</w:t>
            </w:r>
          </w:p>
        </w:tc>
        <w:tc>
          <w:tcPr>
            <w:tcW w:w="5578" w:type="dxa"/>
            <w:shd w:val="clear" w:color="auto" w:fill="D9D9D9" w:themeFill="background1" w:themeFillShade="D9"/>
          </w:tcPr>
          <w:p w14:paraId="3EC0B833" w14:textId="77777777" w:rsidR="00027238" w:rsidRPr="00386022" w:rsidRDefault="00027238" w:rsidP="008A0FE6">
            <w:pPr>
              <w:tabs>
                <w:tab w:val="num" w:pos="720"/>
              </w:tabs>
              <w:jc w:val="both"/>
              <w:rPr>
                <w:rFonts w:ascii="Arial" w:hAnsi="Arial" w:cs="Arial"/>
                <w:b/>
                <w:sz w:val="22"/>
                <w:szCs w:val="22"/>
              </w:rPr>
            </w:pPr>
            <w:r w:rsidRPr="00386022">
              <w:rPr>
                <w:rFonts w:ascii="Arial" w:hAnsi="Arial" w:cs="Arial"/>
                <w:b/>
                <w:sz w:val="22"/>
                <w:szCs w:val="22"/>
              </w:rPr>
              <w:t xml:space="preserve">Source of information </w:t>
            </w:r>
          </w:p>
        </w:tc>
      </w:tr>
      <w:tr w:rsidR="00027238" w:rsidRPr="00386022" w14:paraId="4D7CA97A" w14:textId="77777777" w:rsidTr="007C0F55">
        <w:trPr>
          <w:trHeight w:val="211"/>
        </w:trPr>
        <w:tc>
          <w:tcPr>
            <w:tcW w:w="3848" w:type="dxa"/>
            <w:vAlign w:val="center"/>
          </w:tcPr>
          <w:p w14:paraId="4F9A5AA4" w14:textId="77777777" w:rsidR="00027238" w:rsidRPr="00597A5A" w:rsidRDefault="00027238" w:rsidP="008A0FE6">
            <w:pPr>
              <w:tabs>
                <w:tab w:val="num" w:pos="720"/>
              </w:tabs>
              <w:rPr>
                <w:rFonts w:ascii="Arial" w:hAnsi="Arial" w:cs="Arial"/>
                <w:sz w:val="22"/>
                <w:szCs w:val="22"/>
              </w:rPr>
            </w:pPr>
            <w:r w:rsidRPr="00597A5A">
              <w:rPr>
                <w:rFonts w:ascii="Arial" w:hAnsi="Arial" w:cs="Arial"/>
                <w:sz w:val="22"/>
                <w:szCs w:val="22"/>
              </w:rPr>
              <w:t>Medication incident reporting</w:t>
            </w:r>
          </w:p>
        </w:tc>
        <w:tc>
          <w:tcPr>
            <w:tcW w:w="1376" w:type="dxa"/>
            <w:vAlign w:val="center"/>
          </w:tcPr>
          <w:p w14:paraId="6F942A48" w14:textId="7AF32313" w:rsidR="00027238" w:rsidRPr="00597A5A" w:rsidRDefault="00597A5A" w:rsidP="00E20C53">
            <w:pPr>
              <w:tabs>
                <w:tab w:val="num" w:pos="720"/>
              </w:tabs>
              <w:jc w:val="center"/>
              <w:rPr>
                <w:rFonts w:ascii="Arial" w:hAnsi="Arial" w:cs="Arial"/>
                <w:sz w:val="22"/>
                <w:szCs w:val="22"/>
              </w:rPr>
            </w:pPr>
            <w:r w:rsidRPr="00597A5A">
              <w:rPr>
                <w:rFonts w:ascii="Arial" w:hAnsi="Arial" w:cs="Arial"/>
                <w:sz w:val="22"/>
                <w:szCs w:val="22"/>
              </w:rPr>
              <w:t>1</w:t>
            </w:r>
          </w:p>
        </w:tc>
        <w:tc>
          <w:tcPr>
            <w:tcW w:w="5578" w:type="dxa"/>
            <w:vAlign w:val="center"/>
          </w:tcPr>
          <w:p w14:paraId="222701CC" w14:textId="65294359" w:rsidR="00027238" w:rsidRPr="00597A5A" w:rsidRDefault="00597A5A" w:rsidP="00AB73D9">
            <w:pPr>
              <w:tabs>
                <w:tab w:val="num" w:pos="720"/>
              </w:tabs>
              <w:rPr>
                <w:rFonts w:ascii="Arial" w:hAnsi="Arial" w:cs="Arial"/>
                <w:sz w:val="22"/>
                <w:szCs w:val="22"/>
              </w:rPr>
            </w:pPr>
            <w:r w:rsidRPr="00597A5A">
              <w:rPr>
                <w:rFonts w:ascii="Arial" w:hAnsi="Arial" w:cs="Arial"/>
                <w:sz w:val="22"/>
                <w:szCs w:val="22"/>
              </w:rPr>
              <w:t xml:space="preserve">Inphase Dashboard </w:t>
            </w:r>
          </w:p>
        </w:tc>
      </w:tr>
      <w:tr w:rsidR="007125CF" w:rsidRPr="00386022" w14:paraId="180CCB1C" w14:textId="77777777" w:rsidTr="007C0F55">
        <w:trPr>
          <w:trHeight w:val="211"/>
        </w:trPr>
        <w:tc>
          <w:tcPr>
            <w:tcW w:w="3848" w:type="dxa"/>
            <w:vAlign w:val="center"/>
          </w:tcPr>
          <w:p w14:paraId="427E9A44" w14:textId="61D962B3" w:rsidR="007125CF" w:rsidRPr="00597A5A" w:rsidRDefault="00597A5A" w:rsidP="00FA2B67">
            <w:pPr>
              <w:tabs>
                <w:tab w:val="num" w:pos="720"/>
              </w:tabs>
              <w:rPr>
                <w:rFonts w:ascii="Arial" w:hAnsi="Arial" w:cs="Arial"/>
                <w:sz w:val="22"/>
                <w:szCs w:val="22"/>
              </w:rPr>
            </w:pPr>
            <w:r w:rsidRPr="00597A5A">
              <w:rPr>
                <w:rFonts w:ascii="Arial" w:hAnsi="Arial" w:cs="Arial"/>
                <w:sz w:val="22"/>
                <w:szCs w:val="22"/>
              </w:rPr>
              <w:t xml:space="preserve">Key Medication Incidents </w:t>
            </w:r>
          </w:p>
        </w:tc>
        <w:tc>
          <w:tcPr>
            <w:tcW w:w="1376" w:type="dxa"/>
            <w:vAlign w:val="center"/>
          </w:tcPr>
          <w:p w14:paraId="0DF10097" w14:textId="43A4B0E4" w:rsidR="007125CF" w:rsidRPr="00597A5A" w:rsidRDefault="00597A5A" w:rsidP="00E20C53">
            <w:pPr>
              <w:tabs>
                <w:tab w:val="num" w:pos="720"/>
              </w:tabs>
              <w:jc w:val="center"/>
              <w:rPr>
                <w:rFonts w:ascii="Arial" w:hAnsi="Arial" w:cs="Arial"/>
                <w:sz w:val="22"/>
                <w:szCs w:val="22"/>
              </w:rPr>
            </w:pPr>
            <w:r w:rsidRPr="00597A5A">
              <w:rPr>
                <w:rFonts w:ascii="Arial" w:hAnsi="Arial" w:cs="Arial"/>
                <w:sz w:val="22"/>
                <w:szCs w:val="22"/>
              </w:rPr>
              <w:t xml:space="preserve">2 – 5 </w:t>
            </w:r>
          </w:p>
        </w:tc>
        <w:tc>
          <w:tcPr>
            <w:tcW w:w="5578" w:type="dxa"/>
            <w:vAlign w:val="center"/>
          </w:tcPr>
          <w:p w14:paraId="71B06B2E" w14:textId="7CC1D4A3" w:rsidR="007125CF" w:rsidRPr="00597A5A" w:rsidRDefault="00597A5A" w:rsidP="00FA2B67">
            <w:pPr>
              <w:tabs>
                <w:tab w:val="num" w:pos="720"/>
              </w:tabs>
              <w:rPr>
                <w:rFonts w:ascii="Arial" w:hAnsi="Arial" w:cs="Arial"/>
                <w:sz w:val="22"/>
                <w:szCs w:val="22"/>
              </w:rPr>
            </w:pPr>
            <w:r w:rsidRPr="00597A5A">
              <w:rPr>
                <w:rFonts w:ascii="Arial" w:hAnsi="Arial" w:cs="Arial"/>
                <w:sz w:val="22"/>
                <w:szCs w:val="22"/>
              </w:rPr>
              <w:t xml:space="preserve">Inphase </w:t>
            </w:r>
          </w:p>
        </w:tc>
      </w:tr>
      <w:tr w:rsidR="00D17E72" w:rsidRPr="00386022" w14:paraId="47707A5D" w14:textId="77777777" w:rsidTr="007C0F55">
        <w:trPr>
          <w:trHeight w:val="211"/>
        </w:trPr>
        <w:tc>
          <w:tcPr>
            <w:tcW w:w="3848" w:type="dxa"/>
            <w:vAlign w:val="center"/>
          </w:tcPr>
          <w:p w14:paraId="3DD8AD57" w14:textId="5D8867E0" w:rsidR="00D17E72" w:rsidRPr="00597A5A" w:rsidRDefault="00597A5A" w:rsidP="008A0FE6">
            <w:pPr>
              <w:tabs>
                <w:tab w:val="num" w:pos="720"/>
              </w:tabs>
              <w:rPr>
                <w:rFonts w:ascii="Arial" w:hAnsi="Arial" w:cs="Arial"/>
                <w:sz w:val="22"/>
                <w:szCs w:val="22"/>
              </w:rPr>
            </w:pPr>
            <w:r w:rsidRPr="00597A5A">
              <w:rPr>
                <w:rFonts w:ascii="Arial" w:hAnsi="Arial" w:cs="Arial"/>
                <w:sz w:val="22"/>
                <w:szCs w:val="22"/>
              </w:rPr>
              <w:t xml:space="preserve">Local Medicine Safety Updates </w:t>
            </w:r>
            <w:r w:rsidR="00933A4C" w:rsidRPr="00597A5A">
              <w:rPr>
                <w:rFonts w:ascii="Arial" w:hAnsi="Arial" w:cs="Arial"/>
                <w:sz w:val="22"/>
                <w:szCs w:val="22"/>
              </w:rPr>
              <w:t xml:space="preserve">  </w:t>
            </w:r>
          </w:p>
        </w:tc>
        <w:tc>
          <w:tcPr>
            <w:tcW w:w="1376" w:type="dxa"/>
            <w:vAlign w:val="center"/>
          </w:tcPr>
          <w:p w14:paraId="3C7EB6FA" w14:textId="6DDCAD05" w:rsidR="00D17E72" w:rsidRPr="00597A5A" w:rsidRDefault="00597A5A" w:rsidP="00E20C53">
            <w:pPr>
              <w:tabs>
                <w:tab w:val="num" w:pos="720"/>
              </w:tabs>
              <w:jc w:val="center"/>
              <w:rPr>
                <w:rFonts w:ascii="Arial" w:hAnsi="Arial" w:cs="Arial"/>
                <w:sz w:val="22"/>
                <w:szCs w:val="22"/>
              </w:rPr>
            </w:pPr>
            <w:r w:rsidRPr="00597A5A">
              <w:rPr>
                <w:rFonts w:ascii="Arial" w:hAnsi="Arial" w:cs="Arial"/>
                <w:sz w:val="22"/>
                <w:szCs w:val="22"/>
              </w:rPr>
              <w:t>6</w:t>
            </w:r>
          </w:p>
        </w:tc>
        <w:tc>
          <w:tcPr>
            <w:tcW w:w="5578" w:type="dxa"/>
            <w:vAlign w:val="center"/>
          </w:tcPr>
          <w:p w14:paraId="643E5C86" w14:textId="60CAF42A" w:rsidR="00D17E72" w:rsidRPr="00597A5A" w:rsidRDefault="00597A5A" w:rsidP="00FA2B67">
            <w:pPr>
              <w:tabs>
                <w:tab w:val="num" w:pos="720"/>
              </w:tabs>
              <w:rPr>
                <w:rFonts w:ascii="Arial" w:hAnsi="Arial" w:cs="Arial"/>
                <w:sz w:val="22"/>
                <w:szCs w:val="22"/>
              </w:rPr>
            </w:pPr>
            <w:r w:rsidRPr="00597A5A">
              <w:rPr>
                <w:rFonts w:ascii="Arial" w:hAnsi="Arial" w:cs="Arial"/>
                <w:sz w:val="22"/>
                <w:szCs w:val="22"/>
              </w:rPr>
              <w:t xml:space="preserve">MSO’s </w:t>
            </w:r>
            <w:r w:rsidR="00933A4C" w:rsidRPr="00597A5A">
              <w:rPr>
                <w:rFonts w:ascii="Arial" w:hAnsi="Arial" w:cs="Arial"/>
                <w:sz w:val="22"/>
                <w:szCs w:val="22"/>
              </w:rPr>
              <w:t xml:space="preserve"> </w:t>
            </w:r>
          </w:p>
        </w:tc>
      </w:tr>
      <w:tr w:rsidR="00027238" w:rsidRPr="00386022" w14:paraId="339F441B" w14:textId="77777777" w:rsidTr="007C0F55">
        <w:trPr>
          <w:trHeight w:val="417"/>
        </w:trPr>
        <w:tc>
          <w:tcPr>
            <w:tcW w:w="3848" w:type="dxa"/>
            <w:vAlign w:val="center"/>
          </w:tcPr>
          <w:p w14:paraId="41131B06" w14:textId="77777777" w:rsidR="00027238" w:rsidRPr="00597A5A" w:rsidRDefault="00FA2B67" w:rsidP="00D17E72">
            <w:pPr>
              <w:tabs>
                <w:tab w:val="num" w:pos="720"/>
              </w:tabs>
              <w:rPr>
                <w:rFonts w:ascii="Arial" w:hAnsi="Arial" w:cs="Arial"/>
                <w:sz w:val="22"/>
                <w:szCs w:val="22"/>
              </w:rPr>
            </w:pPr>
            <w:r w:rsidRPr="00597A5A">
              <w:rPr>
                <w:rFonts w:ascii="Arial" w:hAnsi="Arial" w:cs="Arial"/>
                <w:sz w:val="22"/>
                <w:szCs w:val="22"/>
              </w:rPr>
              <w:t xml:space="preserve">MHRA Drug Safety Update </w:t>
            </w:r>
          </w:p>
        </w:tc>
        <w:tc>
          <w:tcPr>
            <w:tcW w:w="1376" w:type="dxa"/>
            <w:vAlign w:val="center"/>
          </w:tcPr>
          <w:p w14:paraId="15009BD6" w14:textId="7BE47AFC" w:rsidR="00027238" w:rsidRPr="00597A5A" w:rsidRDefault="00597A5A" w:rsidP="00E20C53">
            <w:pPr>
              <w:tabs>
                <w:tab w:val="num" w:pos="720"/>
              </w:tabs>
              <w:jc w:val="center"/>
              <w:rPr>
                <w:rFonts w:ascii="Arial" w:hAnsi="Arial" w:cs="Arial"/>
                <w:sz w:val="22"/>
                <w:szCs w:val="22"/>
              </w:rPr>
            </w:pPr>
            <w:r w:rsidRPr="00597A5A">
              <w:rPr>
                <w:rFonts w:ascii="Arial" w:hAnsi="Arial" w:cs="Arial"/>
                <w:sz w:val="22"/>
                <w:szCs w:val="22"/>
              </w:rPr>
              <w:t>7-8</w:t>
            </w:r>
          </w:p>
        </w:tc>
        <w:tc>
          <w:tcPr>
            <w:tcW w:w="5578" w:type="dxa"/>
            <w:vAlign w:val="center"/>
          </w:tcPr>
          <w:p w14:paraId="53670E5F" w14:textId="77777777" w:rsidR="00027238" w:rsidRPr="00597A5A" w:rsidRDefault="00FA2B67" w:rsidP="00FA2B67">
            <w:pPr>
              <w:tabs>
                <w:tab w:val="num" w:pos="720"/>
              </w:tabs>
              <w:rPr>
                <w:rFonts w:ascii="Arial" w:hAnsi="Arial" w:cs="Arial"/>
                <w:sz w:val="22"/>
                <w:szCs w:val="22"/>
              </w:rPr>
            </w:pPr>
            <w:r w:rsidRPr="00597A5A">
              <w:rPr>
                <w:rFonts w:ascii="Arial" w:hAnsi="Arial" w:cs="Arial"/>
                <w:sz w:val="22"/>
                <w:szCs w:val="22"/>
              </w:rPr>
              <w:t xml:space="preserve">MHRA </w:t>
            </w:r>
            <w:r w:rsidR="00D17E72" w:rsidRPr="00597A5A">
              <w:rPr>
                <w:rFonts w:ascii="Arial" w:hAnsi="Arial" w:cs="Arial"/>
                <w:sz w:val="22"/>
                <w:szCs w:val="22"/>
              </w:rPr>
              <w:t xml:space="preserve"> </w:t>
            </w:r>
          </w:p>
        </w:tc>
      </w:tr>
      <w:tr w:rsidR="00597A5A" w:rsidRPr="00386022" w14:paraId="50C3A7A9" w14:textId="77777777" w:rsidTr="007C0F55">
        <w:trPr>
          <w:trHeight w:val="417"/>
        </w:trPr>
        <w:tc>
          <w:tcPr>
            <w:tcW w:w="3848" w:type="dxa"/>
            <w:vAlign w:val="center"/>
          </w:tcPr>
          <w:p w14:paraId="54224845" w14:textId="3FF9AD33" w:rsidR="00597A5A" w:rsidRPr="00597A5A" w:rsidRDefault="00597A5A" w:rsidP="00D17E72">
            <w:pPr>
              <w:tabs>
                <w:tab w:val="num" w:pos="720"/>
              </w:tabs>
              <w:rPr>
                <w:rFonts w:ascii="Arial" w:hAnsi="Arial" w:cs="Arial"/>
                <w:sz w:val="22"/>
                <w:szCs w:val="22"/>
              </w:rPr>
            </w:pPr>
            <w:r w:rsidRPr="00597A5A">
              <w:rPr>
                <w:rFonts w:ascii="Arial" w:hAnsi="Arial" w:cs="Arial"/>
                <w:sz w:val="22"/>
                <w:szCs w:val="22"/>
              </w:rPr>
              <w:t xml:space="preserve">National Patient Safety Alerts </w:t>
            </w:r>
          </w:p>
        </w:tc>
        <w:tc>
          <w:tcPr>
            <w:tcW w:w="1376" w:type="dxa"/>
            <w:vAlign w:val="center"/>
          </w:tcPr>
          <w:p w14:paraId="423B60B3" w14:textId="1D7CD5E3" w:rsidR="00597A5A" w:rsidRPr="00597A5A" w:rsidRDefault="00597A5A" w:rsidP="00E20C53">
            <w:pPr>
              <w:tabs>
                <w:tab w:val="num" w:pos="720"/>
              </w:tabs>
              <w:jc w:val="center"/>
              <w:rPr>
                <w:rFonts w:ascii="Arial" w:hAnsi="Arial" w:cs="Arial"/>
                <w:sz w:val="22"/>
                <w:szCs w:val="22"/>
              </w:rPr>
            </w:pPr>
            <w:r w:rsidRPr="00597A5A">
              <w:rPr>
                <w:rFonts w:ascii="Arial" w:hAnsi="Arial" w:cs="Arial"/>
                <w:sz w:val="22"/>
                <w:szCs w:val="22"/>
              </w:rPr>
              <w:t>9</w:t>
            </w:r>
          </w:p>
        </w:tc>
        <w:tc>
          <w:tcPr>
            <w:tcW w:w="5578" w:type="dxa"/>
            <w:vAlign w:val="center"/>
          </w:tcPr>
          <w:p w14:paraId="7AF98080" w14:textId="53D10E4C" w:rsidR="00597A5A" w:rsidRPr="00597A5A" w:rsidRDefault="00597A5A" w:rsidP="00FA2B67">
            <w:pPr>
              <w:tabs>
                <w:tab w:val="num" w:pos="720"/>
              </w:tabs>
              <w:rPr>
                <w:rFonts w:ascii="Arial" w:hAnsi="Arial" w:cs="Arial"/>
                <w:sz w:val="22"/>
                <w:szCs w:val="22"/>
              </w:rPr>
            </w:pPr>
            <w:r w:rsidRPr="00597A5A">
              <w:rPr>
                <w:rFonts w:ascii="Arial" w:hAnsi="Arial" w:cs="Arial"/>
                <w:sz w:val="22"/>
                <w:szCs w:val="22"/>
              </w:rPr>
              <w:t xml:space="preserve">NPSA alerts </w:t>
            </w:r>
          </w:p>
        </w:tc>
      </w:tr>
    </w:tbl>
    <w:p w14:paraId="00048160" w14:textId="77777777" w:rsidR="00027238" w:rsidRDefault="00027238" w:rsidP="00327348">
      <w:pPr>
        <w:tabs>
          <w:tab w:val="num" w:pos="720"/>
        </w:tabs>
        <w:spacing w:after="0" w:line="240" w:lineRule="auto"/>
        <w:jc w:val="both"/>
        <w:rPr>
          <w:rFonts w:ascii="Arial" w:eastAsia="Times New Roman" w:hAnsi="Arial" w:cs="Arial"/>
          <w:b/>
        </w:rPr>
      </w:pPr>
    </w:p>
    <w:p w14:paraId="47E3F0E1" w14:textId="77777777" w:rsidR="005253EA" w:rsidRPr="00327348" w:rsidRDefault="005253EA" w:rsidP="00327348">
      <w:pPr>
        <w:tabs>
          <w:tab w:val="num" w:pos="720"/>
        </w:tabs>
        <w:spacing w:after="0" w:line="240" w:lineRule="auto"/>
        <w:jc w:val="both"/>
        <w:rPr>
          <w:rFonts w:ascii="Arial" w:eastAsia="Times New Roman" w:hAnsi="Arial" w:cs="Arial"/>
          <w:sz w:val="18"/>
          <w:szCs w:val="18"/>
        </w:rPr>
      </w:pPr>
    </w:p>
    <w:p w14:paraId="0E9CB9A4" w14:textId="77777777" w:rsidR="005B6E5E" w:rsidRPr="00386022" w:rsidRDefault="005B6E5E" w:rsidP="00D615F3">
      <w:pPr>
        <w:tabs>
          <w:tab w:val="num" w:pos="720"/>
        </w:tabs>
        <w:spacing w:after="0" w:line="240" w:lineRule="auto"/>
        <w:jc w:val="both"/>
        <w:rPr>
          <w:rFonts w:ascii="Arial" w:eastAsia="Times New Roman" w:hAnsi="Arial" w:cs="Arial"/>
          <w:b/>
          <w:u w:val="single"/>
        </w:rPr>
      </w:pPr>
    </w:p>
    <w:p w14:paraId="2D8A7802" w14:textId="77777777" w:rsidR="005B6E5E" w:rsidRPr="00386022" w:rsidRDefault="005B6E5E" w:rsidP="00D615F3">
      <w:pPr>
        <w:tabs>
          <w:tab w:val="num" w:pos="720"/>
        </w:tabs>
        <w:spacing w:after="0" w:line="240" w:lineRule="auto"/>
        <w:jc w:val="both"/>
        <w:rPr>
          <w:rFonts w:ascii="Arial" w:eastAsia="Times New Roman" w:hAnsi="Arial" w:cs="Arial"/>
          <w:b/>
          <w:u w:val="single"/>
        </w:rPr>
      </w:pPr>
    </w:p>
    <w:p w14:paraId="342ABDBE" w14:textId="77777777" w:rsidR="00CD79A0" w:rsidRPr="00386022" w:rsidRDefault="00CD79A0" w:rsidP="00D615F3">
      <w:pPr>
        <w:tabs>
          <w:tab w:val="num" w:pos="720"/>
        </w:tabs>
        <w:spacing w:after="0" w:line="240" w:lineRule="auto"/>
        <w:jc w:val="both"/>
        <w:rPr>
          <w:rFonts w:ascii="Arial" w:eastAsia="Times New Roman" w:hAnsi="Arial" w:cs="Arial"/>
          <w:b/>
          <w:u w:val="single"/>
        </w:rPr>
      </w:pPr>
    </w:p>
    <w:p w14:paraId="66BDF3C5" w14:textId="77777777" w:rsidR="00386022" w:rsidRDefault="00386022" w:rsidP="00D615F3">
      <w:pPr>
        <w:tabs>
          <w:tab w:val="num" w:pos="720"/>
        </w:tabs>
        <w:spacing w:after="0" w:line="240" w:lineRule="auto"/>
        <w:jc w:val="both"/>
        <w:rPr>
          <w:rFonts w:ascii="Arial" w:eastAsia="Times New Roman" w:hAnsi="Arial" w:cs="Arial"/>
          <w:b/>
          <w:u w:val="single"/>
        </w:rPr>
      </w:pPr>
    </w:p>
    <w:p w14:paraId="203DACED" w14:textId="77777777" w:rsidR="00386022" w:rsidRDefault="00386022" w:rsidP="00D615F3">
      <w:pPr>
        <w:tabs>
          <w:tab w:val="num" w:pos="720"/>
        </w:tabs>
        <w:spacing w:after="0" w:line="240" w:lineRule="auto"/>
        <w:jc w:val="both"/>
        <w:rPr>
          <w:rFonts w:ascii="Arial" w:eastAsia="Times New Roman" w:hAnsi="Arial" w:cs="Arial"/>
          <w:b/>
          <w:u w:val="single"/>
        </w:rPr>
      </w:pPr>
    </w:p>
    <w:p w14:paraId="791FCA33" w14:textId="77777777" w:rsidR="00AB73D9" w:rsidRDefault="00AB73D9" w:rsidP="00D615F3">
      <w:pPr>
        <w:tabs>
          <w:tab w:val="num" w:pos="720"/>
        </w:tabs>
        <w:spacing w:after="0" w:line="240" w:lineRule="auto"/>
        <w:jc w:val="both"/>
        <w:rPr>
          <w:rFonts w:ascii="Arial" w:eastAsia="Times New Roman" w:hAnsi="Arial" w:cs="Arial"/>
          <w:b/>
          <w:u w:val="single"/>
        </w:rPr>
      </w:pPr>
    </w:p>
    <w:p w14:paraId="539CF904" w14:textId="77777777" w:rsidR="00AB73D9" w:rsidRDefault="00AB73D9" w:rsidP="00D615F3">
      <w:pPr>
        <w:tabs>
          <w:tab w:val="num" w:pos="720"/>
        </w:tabs>
        <w:spacing w:after="0" w:line="240" w:lineRule="auto"/>
        <w:jc w:val="both"/>
        <w:rPr>
          <w:rFonts w:ascii="Arial" w:eastAsia="Times New Roman" w:hAnsi="Arial" w:cs="Arial"/>
          <w:b/>
          <w:u w:val="single"/>
        </w:rPr>
      </w:pPr>
    </w:p>
    <w:p w14:paraId="4809FD46" w14:textId="77777777" w:rsidR="00AB73D9" w:rsidRDefault="00AB73D9" w:rsidP="00D615F3">
      <w:pPr>
        <w:tabs>
          <w:tab w:val="num" w:pos="720"/>
        </w:tabs>
        <w:spacing w:after="0" w:line="240" w:lineRule="auto"/>
        <w:jc w:val="both"/>
        <w:rPr>
          <w:rFonts w:ascii="Arial" w:eastAsia="Times New Roman" w:hAnsi="Arial" w:cs="Arial"/>
          <w:b/>
          <w:u w:val="single"/>
        </w:rPr>
      </w:pPr>
    </w:p>
    <w:p w14:paraId="424632B5" w14:textId="77777777" w:rsidR="00386022" w:rsidRDefault="00386022" w:rsidP="00D615F3">
      <w:pPr>
        <w:tabs>
          <w:tab w:val="num" w:pos="720"/>
        </w:tabs>
        <w:spacing w:after="0" w:line="240" w:lineRule="auto"/>
        <w:jc w:val="both"/>
        <w:rPr>
          <w:rFonts w:ascii="Arial" w:eastAsia="Times New Roman" w:hAnsi="Arial" w:cs="Arial"/>
          <w:b/>
          <w:u w:val="single"/>
        </w:rPr>
      </w:pPr>
    </w:p>
    <w:p w14:paraId="1A142026" w14:textId="77777777" w:rsidR="0054065F" w:rsidRDefault="0054065F" w:rsidP="00D615F3">
      <w:pPr>
        <w:tabs>
          <w:tab w:val="num" w:pos="720"/>
        </w:tabs>
        <w:spacing w:after="0" w:line="240" w:lineRule="auto"/>
        <w:jc w:val="both"/>
        <w:rPr>
          <w:rFonts w:ascii="Arial" w:eastAsia="Times New Roman" w:hAnsi="Arial" w:cs="Arial"/>
          <w:b/>
          <w:u w:val="single"/>
        </w:rPr>
      </w:pPr>
    </w:p>
    <w:p w14:paraId="3833292D" w14:textId="71B1DFBD" w:rsidR="004B08E1" w:rsidRPr="0054065F" w:rsidRDefault="0054065F" w:rsidP="004B08E1">
      <w:pPr>
        <w:tabs>
          <w:tab w:val="num" w:pos="720"/>
        </w:tabs>
        <w:spacing w:after="0" w:line="240" w:lineRule="auto"/>
        <w:jc w:val="center"/>
        <w:rPr>
          <w:rFonts w:ascii="Arial" w:eastAsia="Times New Roman" w:hAnsi="Arial" w:cs="Arial"/>
          <w:b/>
          <w:sz w:val="32"/>
          <w:szCs w:val="32"/>
          <w:u w:val="single"/>
        </w:rPr>
      </w:pPr>
      <w:r>
        <w:rPr>
          <w:rFonts w:ascii="Arial" w:eastAsia="Times New Roman" w:hAnsi="Arial" w:cs="Arial"/>
          <w:b/>
          <w:sz w:val="32"/>
          <w:szCs w:val="32"/>
          <w:u w:val="single"/>
        </w:rPr>
        <w:t xml:space="preserve">TRUSTWIDE INCIDENT REPORTING </w:t>
      </w:r>
    </w:p>
    <w:p w14:paraId="63ACB03F" w14:textId="77777777" w:rsidR="00C338E6" w:rsidRPr="00CE4C3E" w:rsidRDefault="00C338E6" w:rsidP="00027238">
      <w:pPr>
        <w:tabs>
          <w:tab w:val="num" w:pos="720"/>
        </w:tabs>
        <w:spacing w:after="0" w:line="240" w:lineRule="auto"/>
        <w:ind w:left="720" w:hanging="720"/>
        <w:jc w:val="both"/>
        <w:rPr>
          <w:rFonts w:ascii="Arial" w:eastAsia="Times New Roman" w:hAnsi="Arial" w:cs="Arial"/>
          <w:b/>
          <w:u w:val="single"/>
        </w:rPr>
      </w:pPr>
    </w:p>
    <w:p w14:paraId="72F2443D" w14:textId="43EDF287" w:rsidR="00C338E6" w:rsidRPr="00CE4C3E" w:rsidRDefault="00CD39E4" w:rsidP="00C338E6">
      <w:pPr>
        <w:pStyle w:val="Caption"/>
        <w:keepNext/>
        <w:jc w:val="both"/>
        <w:rPr>
          <w:rFonts w:ascii="Arial" w:hAnsi="Arial" w:cs="Arial"/>
          <w:color w:val="002060"/>
          <w:sz w:val="22"/>
          <w:szCs w:val="22"/>
        </w:rPr>
      </w:pPr>
      <w:r>
        <w:rPr>
          <w:rFonts w:ascii="Arial" w:hAnsi="Arial" w:cs="Arial"/>
          <w:noProof/>
          <w:color w:val="000000" w:themeColor="text1"/>
          <w:lang w:eastAsia="en-GB"/>
        </w:rPr>
        <w:drawing>
          <wp:anchor distT="0" distB="0" distL="114300" distR="114300" simplePos="0" relativeHeight="251741184" behindDoc="0" locked="0" layoutInCell="1" allowOverlap="1" wp14:anchorId="06DB570C" wp14:editId="435C90E7">
            <wp:simplePos x="0" y="0"/>
            <wp:positionH relativeFrom="margin">
              <wp:posOffset>-74930</wp:posOffset>
            </wp:positionH>
            <wp:positionV relativeFrom="margin">
              <wp:posOffset>651510</wp:posOffset>
            </wp:positionV>
            <wp:extent cx="3283585" cy="2409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3585" cy="2409825"/>
                    </a:xfrm>
                    <a:prstGeom prst="rect">
                      <a:avLst/>
                    </a:prstGeom>
                    <a:noFill/>
                  </pic:spPr>
                </pic:pic>
              </a:graphicData>
            </a:graphic>
            <wp14:sizeRelH relativeFrom="margin">
              <wp14:pctWidth>0</wp14:pctWidth>
            </wp14:sizeRelH>
            <wp14:sizeRelV relativeFrom="margin">
              <wp14:pctHeight>0</wp14:pctHeight>
            </wp14:sizeRelV>
          </wp:anchor>
        </w:drawing>
      </w:r>
      <w:r w:rsidR="00C338E6" w:rsidRPr="00CE4C3E">
        <w:rPr>
          <w:rFonts w:ascii="Arial" w:hAnsi="Arial" w:cs="Arial"/>
          <w:color w:val="002060"/>
          <w:sz w:val="22"/>
          <w:szCs w:val="22"/>
        </w:rPr>
        <w:t xml:space="preserve">Figure </w:t>
      </w:r>
      <w:r w:rsidR="00FE49E2" w:rsidRPr="00CE4C3E">
        <w:rPr>
          <w:rFonts w:ascii="Arial" w:hAnsi="Arial" w:cs="Arial"/>
          <w:color w:val="002060"/>
          <w:sz w:val="22"/>
          <w:szCs w:val="22"/>
        </w:rPr>
        <w:fldChar w:fldCharType="begin"/>
      </w:r>
      <w:r w:rsidR="00FE49E2" w:rsidRPr="00CE4C3E">
        <w:rPr>
          <w:rFonts w:ascii="Arial" w:hAnsi="Arial" w:cs="Arial"/>
          <w:color w:val="002060"/>
          <w:sz w:val="22"/>
          <w:szCs w:val="22"/>
        </w:rPr>
        <w:instrText xml:space="preserve"> SEQ Figure \* ARABIC </w:instrText>
      </w:r>
      <w:r w:rsidR="00FE49E2" w:rsidRPr="00CE4C3E">
        <w:rPr>
          <w:rFonts w:ascii="Arial" w:hAnsi="Arial" w:cs="Arial"/>
          <w:color w:val="002060"/>
          <w:sz w:val="22"/>
          <w:szCs w:val="22"/>
        </w:rPr>
        <w:fldChar w:fldCharType="separate"/>
      </w:r>
      <w:r w:rsidR="003B34E3" w:rsidRPr="00CE4C3E">
        <w:rPr>
          <w:rFonts w:ascii="Arial" w:hAnsi="Arial" w:cs="Arial"/>
          <w:noProof/>
          <w:color w:val="002060"/>
          <w:sz w:val="22"/>
          <w:szCs w:val="22"/>
        </w:rPr>
        <w:t>1</w:t>
      </w:r>
      <w:r w:rsidR="00FE49E2" w:rsidRPr="00CE4C3E">
        <w:rPr>
          <w:rFonts w:ascii="Arial" w:hAnsi="Arial" w:cs="Arial"/>
          <w:noProof/>
          <w:color w:val="002060"/>
          <w:sz w:val="22"/>
          <w:szCs w:val="22"/>
        </w:rPr>
        <w:fldChar w:fldCharType="end"/>
      </w:r>
      <w:r w:rsidR="00C338E6" w:rsidRPr="00CE4C3E">
        <w:rPr>
          <w:rFonts w:ascii="Arial" w:hAnsi="Arial" w:cs="Arial"/>
          <w:color w:val="002060"/>
          <w:sz w:val="22"/>
          <w:szCs w:val="22"/>
        </w:rPr>
        <w:t xml:space="preserve"> Total number of medication i</w:t>
      </w:r>
      <w:r w:rsidR="00621B41" w:rsidRPr="00CE4C3E">
        <w:rPr>
          <w:rFonts w:ascii="Arial" w:hAnsi="Arial" w:cs="Arial"/>
          <w:color w:val="002060"/>
          <w:sz w:val="22"/>
          <w:szCs w:val="22"/>
        </w:rPr>
        <w:t>ncidents reported per month (</w:t>
      </w:r>
      <w:r>
        <w:rPr>
          <w:rFonts w:ascii="Arial" w:hAnsi="Arial" w:cs="Arial"/>
          <w:color w:val="002060"/>
          <w:sz w:val="22"/>
          <w:szCs w:val="22"/>
        </w:rPr>
        <w:t>Mar</w:t>
      </w:r>
      <w:r w:rsidR="004B08E1">
        <w:rPr>
          <w:rFonts w:ascii="Arial" w:hAnsi="Arial" w:cs="Arial"/>
          <w:color w:val="002060"/>
          <w:sz w:val="22"/>
          <w:szCs w:val="22"/>
        </w:rPr>
        <w:t xml:space="preserve"> 23</w:t>
      </w:r>
      <w:r w:rsidR="000234E9">
        <w:rPr>
          <w:rFonts w:ascii="Arial" w:hAnsi="Arial" w:cs="Arial"/>
          <w:color w:val="002060"/>
          <w:sz w:val="22"/>
          <w:szCs w:val="22"/>
        </w:rPr>
        <w:t xml:space="preserve"> –</w:t>
      </w:r>
      <w:r w:rsidR="00F20B01">
        <w:rPr>
          <w:rFonts w:ascii="Arial" w:hAnsi="Arial" w:cs="Arial"/>
          <w:color w:val="002060"/>
          <w:sz w:val="22"/>
          <w:szCs w:val="22"/>
        </w:rPr>
        <w:t xml:space="preserve"> February 24</w:t>
      </w:r>
      <w:r w:rsidR="00C338E6" w:rsidRPr="00CE4C3E">
        <w:rPr>
          <w:rFonts w:ascii="Arial" w:hAnsi="Arial" w:cs="Arial"/>
          <w:color w:val="002060"/>
          <w:sz w:val="22"/>
          <w:szCs w:val="22"/>
        </w:rPr>
        <w:t>)</w:t>
      </w:r>
      <w:r w:rsidR="008E7FAE" w:rsidRPr="00CE4C3E">
        <w:rPr>
          <w:rFonts w:ascii="Arial" w:hAnsi="Arial" w:cs="Arial"/>
          <w:noProof/>
          <w:color w:val="002060"/>
          <w:sz w:val="22"/>
          <w:szCs w:val="22"/>
          <w:lang w:eastAsia="en-GB"/>
        </w:rPr>
        <w:t xml:space="preserve"> </w:t>
      </w:r>
    </w:p>
    <w:p w14:paraId="6E273D5B" w14:textId="4B60D312" w:rsidR="00BB43EE" w:rsidRDefault="00E940DE" w:rsidP="00C4697C">
      <w:pPr>
        <w:jc w:val="both"/>
        <w:rPr>
          <w:rFonts w:ascii="Arial" w:hAnsi="Arial" w:cs="Arial"/>
          <w:noProof/>
          <w:color w:val="000000" w:themeColor="text1"/>
        </w:rPr>
      </w:pPr>
      <w:r>
        <w:rPr>
          <w:rFonts w:ascii="Arial" w:hAnsi="Arial" w:cs="Arial"/>
          <w:noProof/>
          <w:color w:val="000000" w:themeColor="text1"/>
          <w:lang w:eastAsia="en-GB"/>
        </w:rPr>
        <w:drawing>
          <wp:anchor distT="0" distB="0" distL="114300" distR="114300" simplePos="0" relativeHeight="251742208" behindDoc="0" locked="0" layoutInCell="1" allowOverlap="1" wp14:anchorId="4783A7E6" wp14:editId="569E880C">
            <wp:simplePos x="0" y="0"/>
            <wp:positionH relativeFrom="margin">
              <wp:posOffset>3249295</wp:posOffset>
            </wp:positionH>
            <wp:positionV relativeFrom="margin">
              <wp:posOffset>3499485</wp:posOffset>
            </wp:positionV>
            <wp:extent cx="3393440" cy="2152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3440" cy="2152650"/>
                    </a:xfrm>
                    <a:prstGeom prst="rect">
                      <a:avLst/>
                    </a:prstGeom>
                    <a:noFill/>
                  </pic:spPr>
                </pic:pic>
              </a:graphicData>
            </a:graphic>
            <wp14:sizeRelH relativeFrom="margin">
              <wp14:pctWidth>0</wp14:pctWidth>
            </wp14:sizeRelH>
            <wp14:sizeRelV relativeFrom="margin">
              <wp14:pctHeight>0</wp14:pctHeight>
            </wp14:sizeRelV>
          </wp:anchor>
        </w:drawing>
      </w:r>
      <w:r w:rsidR="00DB5223" w:rsidRPr="00CE4C3E">
        <w:rPr>
          <w:rFonts w:ascii="Arial" w:hAnsi="Arial" w:cs="Arial"/>
          <w:noProof/>
          <w:color w:val="000000" w:themeColor="text1"/>
        </w:rPr>
        <w:t>Medication incident r</w:t>
      </w:r>
      <w:r w:rsidR="00C338E6" w:rsidRPr="00CE4C3E">
        <w:rPr>
          <w:rFonts w:ascii="Arial" w:hAnsi="Arial" w:cs="Arial"/>
          <w:noProof/>
          <w:color w:val="000000" w:themeColor="text1"/>
        </w:rPr>
        <w:t>eporting f</w:t>
      </w:r>
      <w:r w:rsidR="000918F7" w:rsidRPr="00CE4C3E">
        <w:rPr>
          <w:rFonts w:ascii="Arial" w:hAnsi="Arial" w:cs="Arial"/>
          <w:noProof/>
          <w:color w:val="000000" w:themeColor="text1"/>
        </w:rPr>
        <w:t>luctuates within control limits</w:t>
      </w:r>
      <w:r w:rsidR="00C54940" w:rsidRPr="00CE4C3E">
        <w:rPr>
          <w:rFonts w:ascii="Arial" w:hAnsi="Arial" w:cs="Arial"/>
          <w:noProof/>
          <w:color w:val="000000" w:themeColor="text1"/>
        </w:rPr>
        <w:t>.</w:t>
      </w:r>
      <w:r w:rsidR="000918F7" w:rsidRPr="00CE4C3E">
        <w:rPr>
          <w:rFonts w:ascii="Arial" w:hAnsi="Arial" w:cs="Arial"/>
          <w:noProof/>
          <w:color w:val="000000" w:themeColor="text1"/>
        </w:rPr>
        <w:t xml:space="preserve"> </w:t>
      </w:r>
      <w:r w:rsidR="000234E9">
        <w:rPr>
          <w:rFonts w:ascii="Arial" w:hAnsi="Arial" w:cs="Arial"/>
          <w:noProof/>
          <w:color w:val="000000" w:themeColor="text1"/>
        </w:rPr>
        <w:t>Inphase incident reporting system went live 1</w:t>
      </w:r>
      <w:r w:rsidR="000234E9" w:rsidRPr="000234E9">
        <w:rPr>
          <w:rFonts w:ascii="Arial" w:hAnsi="Arial" w:cs="Arial"/>
          <w:noProof/>
          <w:color w:val="000000" w:themeColor="text1"/>
          <w:vertAlign w:val="superscript"/>
        </w:rPr>
        <w:t>st</w:t>
      </w:r>
      <w:r w:rsidR="00CD39E4">
        <w:rPr>
          <w:rFonts w:ascii="Arial" w:hAnsi="Arial" w:cs="Arial"/>
          <w:noProof/>
          <w:color w:val="000000" w:themeColor="text1"/>
        </w:rPr>
        <w:t xml:space="preserve"> November 23. Incident reporting has increased over the last 3 months. </w:t>
      </w:r>
      <w:r w:rsidR="00CD39E4" w:rsidRPr="00E940DE">
        <w:rPr>
          <w:rFonts w:ascii="Arial" w:hAnsi="Arial" w:cs="Arial"/>
          <w:noProof/>
          <w:color w:val="000000" w:themeColor="text1"/>
          <w:u w:val="single"/>
        </w:rPr>
        <w:t>Feb 24</w:t>
      </w:r>
      <w:r w:rsidR="00BB43EE" w:rsidRPr="00E940DE">
        <w:rPr>
          <w:rFonts w:ascii="Arial" w:hAnsi="Arial" w:cs="Arial"/>
          <w:noProof/>
          <w:color w:val="000000" w:themeColor="text1"/>
          <w:u w:val="single"/>
        </w:rPr>
        <w:t xml:space="preserve"> - </w:t>
      </w:r>
      <w:r w:rsidR="00CD39E4" w:rsidRPr="00E940DE">
        <w:rPr>
          <w:rFonts w:ascii="Arial" w:hAnsi="Arial" w:cs="Arial"/>
          <w:noProof/>
          <w:color w:val="000000" w:themeColor="text1"/>
          <w:u w:val="single"/>
        </w:rPr>
        <w:t xml:space="preserve">141 Medication Incidents </w:t>
      </w:r>
      <w:r w:rsidR="00BB43EE" w:rsidRPr="00E940DE">
        <w:rPr>
          <w:rFonts w:ascii="Arial" w:hAnsi="Arial" w:cs="Arial"/>
          <w:noProof/>
          <w:color w:val="000000" w:themeColor="text1"/>
          <w:u w:val="single"/>
        </w:rPr>
        <w:t>were reported</w:t>
      </w:r>
      <w:r w:rsidR="00CD39E4" w:rsidRPr="00E940DE">
        <w:rPr>
          <w:rFonts w:ascii="Arial" w:hAnsi="Arial" w:cs="Arial"/>
          <w:noProof/>
          <w:color w:val="000000" w:themeColor="text1"/>
          <w:u w:val="single"/>
        </w:rPr>
        <w:t xml:space="preserve"> on Inphase</w:t>
      </w:r>
      <w:r w:rsidR="00CD39E4">
        <w:rPr>
          <w:rFonts w:ascii="Arial" w:hAnsi="Arial" w:cs="Arial"/>
          <w:noProof/>
          <w:color w:val="000000" w:themeColor="text1"/>
        </w:rPr>
        <w:t xml:space="preserve">. </w:t>
      </w:r>
      <w:r w:rsidR="00BB43EE">
        <w:rPr>
          <w:rFonts w:ascii="Arial" w:hAnsi="Arial" w:cs="Arial"/>
          <w:noProof/>
          <w:color w:val="000000" w:themeColor="text1"/>
        </w:rPr>
        <w:t>Historically medication incidents were being captured under ‘other’. Inphase medication  incident template has additional categories which allows for reporters to better categorise the incident that has taken place. Nevertheless high reporting culture noted in BCHS</w:t>
      </w:r>
      <w:r w:rsidR="00ED049D">
        <w:rPr>
          <w:rFonts w:ascii="Arial" w:hAnsi="Arial" w:cs="Arial"/>
          <w:noProof/>
          <w:color w:val="000000" w:themeColor="text1"/>
        </w:rPr>
        <w:t>, THCHS and C&amp;H Mental Health services. As expected, incidents related to medicine administration is the most commonly reported</w:t>
      </w:r>
      <w:r>
        <w:rPr>
          <w:rFonts w:ascii="Arial" w:hAnsi="Arial" w:cs="Arial"/>
          <w:noProof/>
          <w:color w:val="000000" w:themeColor="text1"/>
        </w:rPr>
        <w:t xml:space="preserve">. </w:t>
      </w:r>
    </w:p>
    <w:p w14:paraId="5C8E46DC" w14:textId="77777777" w:rsidR="00597A5A" w:rsidRPr="00E940DE" w:rsidRDefault="00597A5A" w:rsidP="00C4697C">
      <w:pPr>
        <w:jc w:val="both"/>
        <w:rPr>
          <w:rFonts w:ascii="Arial" w:hAnsi="Arial" w:cs="Arial"/>
          <w:noProof/>
          <w:color w:val="000000" w:themeColor="text1"/>
        </w:rPr>
      </w:pPr>
    </w:p>
    <w:p w14:paraId="3D306C85" w14:textId="79DEA59B" w:rsidR="00C338E6" w:rsidRDefault="00C338E6" w:rsidP="00C4697C">
      <w:pPr>
        <w:jc w:val="both"/>
        <w:rPr>
          <w:rFonts w:ascii="Arial" w:hAnsi="Arial" w:cs="Arial"/>
          <w:i/>
          <w:noProof/>
          <w:color w:val="002060"/>
          <w:lang w:eastAsia="en-GB"/>
        </w:rPr>
      </w:pPr>
      <w:r w:rsidRPr="00CE4C3E">
        <w:rPr>
          <w:rFonts w:ascii="Arial" w:hAnsi="Arial" w:cs="Arial"/>
          <w:i/>
          <w:color w:val="002060"/>
        </w:rPr>
        <w:t xml:space="preserve">Figure </w:t>
      </w:r>
      <w:r w:rsidR="00FE49E2" w:rsidRPr="00CE4C3E">
        <w:rPr>
          <w:rFonts w:ascii="Arial" w:hAnsi="Arial" w:cs="Arial"/>
          <w:i/>
          <w:color w:val="002060"/>
        </w:rPr>
        <w:fldChar w:fldCharType="begin"/>
      </w:r>
      <w:r w:rsidR="00FE49E2" w:rsidRPr="00CE4C3E">
        <w:rPr>
          <w:rFonts w:ascii="Arial" w:hAnsi="Arial" w:cs="Arial"/>
          <w:i/>
          <w:color w:val="002060"/>
        </w:rPr>
        <w:instrText xml:space="preserve"> SEQ Figure \* ARABIC </w:instrText>
      </w:r>
      <w:r w:rsidR="00FE49E2" w:rsidRPr="00CE4C3E">
        <w:rPr>
          <w:rFonts w:ascii="Arial" w:hAnsi="Arial" w:cs="Arial"/>
          <w:i/>
          <w:color w:val="002060"/>
        </w:rPr>
        <w:fldChar w:fldCharType="separate"/>
      </w:r>
      <w:r w:rsidR="003B34E3" w:rsidRPr="00CE4C3E">
        <w:rPr>
          <w:rFonts w:ascii="Arial" w:hAnsi="Arial" w:cs="Arial"/>
          <w:i/>
          <w:noProof/>
          <w:color w:val="002060"/>
        </w:rPr>
        <w:t>2</w:t>
      </w:r>
      <w:r w:rsidR="00FE49E2" w:rsidRPr="00CE4C3E">
        <w:rPr>
          <w:rFonts w:ascii="Arial" w:hAnsi="Arial" w:cs="Arial"/>
          <w:i/>
          <w:noProof/>
          <w:color w:val="002060"/>
        </w:rPr>
        <w:fldChar w:fldCharType="end"/>
      </w:r>
      <w:r w:rsidRPr="00CE4C3E">
        <w:rPr>
          <w:rFonts w:ascii="Arial" w:hAnsi="Arial" w:cs="Arial"/>
          <w:i/>
          <w:color w:val="002060"/>
        </w:rPr>
        <w:t>- Total number of medication i</w:t>
      </w:r>
      <w:r w:rsidR="00BB43EE">
        <w:rPr>
          <w:rFonts w:ascii="Arial" w:hAnsi="Arial" w:cs="Arial"/>
          <w:i/>
          <w:color w:val="002060"/>
        </w:rPr>
        <w:t>ncidents reported per month (Mar 21 – Feb</w:t>
      </w:r>
      <w:r w:rsidR="007560F2" w:rsidRPr="00CE4C3E">
        <w:rPr>
          <w:rFonts w:ascii="Arial" w:hAnsi="Arial" w:cs="Arial"/>
          <w:i/>
          <w:color w:val="002060"/>
        </w:rPr>
        <w:t xml:space="preserve"> </w:t>
      </w:r>
      <w:r w:rsidR="00BB43EE">
        <w:rPr>
          <w:rFonts w:ascii="Arial" w:hAnsi="Arial" w:cs="Arial"/>
          <w:i/>
          <w:color w:val="002060"/>
        </w:rPr>
        <w:t>24</w:t>
      </w:r>
      <w:r w:rsidRPr="00CE4C3E">
        <w:rPr>
          <w:rFonts w:ascii="Arial" w:hAnsi="Arial" w:cs="Arial"/>
          <w:i/>
          <w:color w:val="002060"/>
        </w:rPr>
        <w:t>)</w:t>
      </w:r>
      <w:r w:rsidR="007560F2" w:rsidRPr="00CE4C3E">
        <w:rPr>
          <w:rFonts w:ascii="Arial" w:hAnsi="Arial" w:cs="Arial"/>
          <w:i/>
          <w:noProof/>
          <w:color w:val="002060"/>
          <w:lang w:eastAsia="en-GB"/>
        </w:rPr>
        <w:t xml:space="preserve"> </w:t>
      </w:r>
    </w:p>
    <w:p w14:paraId="05C00F66" w14:textId="4EB9C6CE" w:rsidR="00027238" w:rsidRPr="00CE4C3E" w:rsidRDefault="00C338E6" w:rsidP="00CD79A0">
      <w:pPr>
        <w:rPr>
          <w:rFonts w:ascii="Arial" w:hAnsi="Arial" w:cs="Arial"/>
          <w:noProof/>
          <w:color w:val="000000" w:themeColor="text1"/>
        </w:rPr>
      </w:pPr>
      <w:r w:rsidRPr="00CE4C3E">
        <w:rPr>
          <w:rFonts w:ascii="Arial" w:hAnsi="Arial" w:cs="Arial"/>
          <w:noProof/>
          <w:color w:val="000000" w:themeColor="text1"/>
        </w:rPr>
        <w:t xml:space="preserve">Over the last </w:t>
      </w:r>
      <w:r w:rsidR="00962C4C" w:rsidRPr="00CE4C3E">
        <w:rPr>
          <w:rFonts w:ascii="Arial" w:hAnsi="Arial" w:cs="Arial"/>
          <w:noProof/>
          <w:color w:val="000000" w:themeColor="text1"/>
        </w:rPr>
        <w:t>2</w:t>
      </w:r>
      <w:r w:rsidR="008E1823" w:rsidRPr="00CE4C3E">
        <w:rPr>
          <w:rFonts w:ascii="Arial" w:hAnsi="Arial" w:cs="Arial"/>
          <w:noProof/>
          <w:color w:val="000000" w:themeColor="text1"/>
        </w:rPr>
        <w:t xml:space="preserve"> years there has been a </w:t>
      </w:r>
      <w:r w:rsidR="00ED54DD" w:rsidRPr="00CE4C3E">
        <w:rPr>
          <w:rFonts w:ascii="Arial" w:hAnsi="Arial" w:cs="Arial"/>
          <w:noProof/>
          <w:color w:val="000000" w:themeColor="text1"/>
        </w:rPr>
        <w:t>increase in</w:t>
      </w:r>
      <w:r w:rsidRPr="00CE4C3E">
        <w:rPr>
          <w:rFonts w:ascii="Arial" w:hAnsi="Arial" w:cs="Arial"/>
          <w:noProof/>
          <w:color w:val="000000" w:themeColor="text1"/>
        </w:rPr>
        <w:t xml:space="preserve"> medication incident reporting trustwide</w:t>
      </w:r>
      <w:r w:rsidR="00962C4C" w:rsidRPr="00CE4C3E">
        <w:rPr>
          <w:rFonts w:ascii="Arial" w:hAnsi="Arial" w:cs="Arial"/>
          <w:noProof/>
          <w:color w:val="000000" w:themeColor="text1"/>
        </w:rPr>
        <w:t xml:space="preserve"> (</w:t>
      </w:r>
      <w:r w:rsidR="00962C4C" w:rsidRPr="00CE4C3E">
        <w:rPr>
          <w:rFonts w:ascii="Arial" w:hAnsi="Arial" w:cs="Arial"/>
          <w:noProof/>
        </w:rPr>
        <w:t>shown by data trendline)</w:t>
      </w:r>
      <w:r w:rsidRPr="00CE4C3E">
        <w:rPr>
          <w:rFonts w:ascii="Arial" w:hAnsi="Arial" w:cs="Arial"/>
          <w:noProof/>
        </w:rPr>
        <w:t xml:space="preserve">; </w:t>
      </w:r>
      <w:r w:rsidRPr="00CE4C3E">
        <w:rPr>
          <w:rFonts w:ascii="Arial" w:hAnsi="Arial" w:cs="Arial"/>
          <w:noProof/>
          <w:color w:val="000000" w:themeColor="text1"/>
        </w:rPr>
        <w:t>reflective of the increased awareness amongst staff</w:t>
      </w:r>
      <w:r w:rsidR="00DB5223" w:rsidRPr="00CE4C3E">
        <w:rPr>
          <w:rFonts w:ascii="Arial" w:hAnsi="Arial" w:cs="Arial"/>
          <w:noProof/>
          <w:color w:val="000000" w:themeColor="text1"/>
        </w:rPr>
        <w:t xml:space="preserve"> to report and learn from incidents</w:t>
      </w:r>
      <w:r w:rsidR="00205B9A">
        <w:rPr>
          <w:rFonts w:ascii="Arial" w:hAnsi="Arial" w:cs="Arial"/>
          <w:noProof/>
          <w:color w:val="000000" w:themeColor="text1"/>
        </w:rPr>
        <w:t xml:space="preserve"> but also increase in the number of services provided where medicine is used. </w:t>
      </w:r>
      <w:r w:rsidR="009C0AD2" w:rsidRPr="00CE4C3E">
        <w:rPr>
          <w:rFonts w:ascii="Arial" w:hAnsi="Arial" w:cs="Arial"/>
          <w:noProof/>
          <w:color w:val="000000" w:themeColor="text1"/>
        </w:rPr>
        <w:t xml:space="preserve"> </w:t>
      </w:r>
    </w:p>
    <w:p w14:paraId="3CDAD5BF" w14:textId="0ECD876F" w:rsidR="00BB43EE" w:rsidRDefault="00BB43EE" w:rsidP="00FE49E2">
      <w:pPr>
        <w:pStyle w:val="Caption"/>
        <w:keepNext/>
        <w:jc w:val="both"/>
        <w:rPr>
          <w:rFonts w:ascii="Arial" w:hAnsi="Arial" w:cs="Arial"/>
          <w:sz w:val="22"/>
          <w:szCs w:val="22"/>
        </w:rPr>
      </w:pPr>
    </w:p>
    <w:p w14:paraId="58D72AB8" w14:textId="480CB031" w:rsidR="00BB43EE" w:rsidRPr="00BB43EE" w:rsidRDefault="00597A5A" w:rsidP="00BB43EE">
      <w:r w:rsidRPr="00A2748E">
        <w:rPr>
          <w:rFonts w:ascii="Arial" w:hAnsi="Arial" w:cs="Arial"/>
          <w:noProof/>
          <w:lang w:eastAsia="en-GB"/>
        </w:rPr>
        <w:drawing>
          <wp:anchor distT="0" distB="0" distL="114300" distR="114300" simplePos="0" relativeHeight="251743232" behindDoc="0" locked="0" layoutInCell="1" allowOverlap="1" wp14:anchorId="18FC6BB1" wp14:editId="480BAC90">
            <wp:simplePos x="0" y="0"/>
            <wp:positionH relativeFrom="margin">
              <wp:posOffset>-142875</wp:posOffset>
            </wp:positionH>
            <wp:positionV relativeFrom="margin">
              <wp:posOffset>5966460</wp:posOffset>
            </wp:positionV>
            <wp:extent cx="3067050" cy="26136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67050" cy="2613660"/>
                    </a:xfrm>
                    <a:prstGeom prst="rect">
                      <a:avLst/>
                    </a:prstGeom>
                  </pic:spPr>
                </pic:pic>
              </a:graphicData>
            </a:graphic>
            <wp14:sizeRelH relativeFrom="margin">
              <wp14:pctWidth>0</wp14:pctWidth>
            </wp14:sizeRelH>
            <wp14:sizeRelV relativeFrom="margin">
              <wp14:pctHeight>0</wp14:pctHeight>
            </wp14:sizeRelV>
          </wp:anchor>
        </w:drawing>
      </w:r>
    </w:p>
    <w:p w14:paraId="4F01FCB4" w14:textId="1E874A75" w:rsidR="006D678B" w:rsidRDefault="00427554" w:rsidP="00FE49E2">
      <w:pPr>
        <w:pStyle w:val="Caption"/>
        <w:keepNext/>
        <w:jc w:val="both"/>
        <w:rPr>
          <w:rFonts w:ascii="Arial" w:hAnsi="Arial" w:cs="Arial"/>
          <w:noProof/>
          <w:lang w:eastAsia="en-GB"/>
        </w:rPr>
      </w:pPr>
      <w:r>
        <w:rPr>
          <w:rFonts w:ascii="Arial" w:hAnsi="Arial" w:cs="Arial"/>
          <w:sz w:val="22"/>
          <w:szCs w:val="22"/>
        </w:rPr>
        <w:t>Figure 3</w:t>
      </w:r>
      <w:r w:rsidR="00FE49E2" w:rsidRPr="00386022">
        <w:rPr>
          <w:rFonts w:ascii="Arial" w:hAnsi="Arial" w:cs="Arial"/>
          <w:sz w:val="22"/>
          <w:szCs w:val="22"/>
        </w:rPr>
        <w:t xml:space="preserve"> – Medication incidents b</w:t>
      </w:r>
      <w:r w:rsidR="00F4452C" w:rsidRPr="00386022">
        <w:rPr>
          <w:rFonts w:ascii="Arial" w:hAnsi="Arial" w:cs="Arial"/>
          <w:sz w:val="22"/>
          <w:szCs w:val="22"/>
        </w:rPr>
        <w:t>roken down by type of harm (</w:t>
      </w:r>
      <w:r w:rsidR="00A2748E">
        <w:rPr>
          <w:rFonts w:ascii="Arial" w:hAnsi="Arial" w:cs="Arial"/>
          <w:sz w:val="22"/>
          <w:szCs w:val="22"/>
        </w:rPr>
        <w:t>Jan 24 –</w:t>
      </w:r>
      <w:r w:rsidR="004A5F75">
        <w:rPr>
          <w:rFonts w:ascii="Arial" w:hAnsi="Arial" w:cs="Arial"/>
          <w:sz w:val="22"/>
          <w:szCs w:val="22"/>
        </w:rPr>
        <w:t xml:space="preserve"> </w:t>
      </w:r>
      <w:r w:rsidR="00A2748E">
        <w:rPr>
          <w:rFonts w:ascii="Arial" w:hAnsi="Arial" w:cs="Arial"/>
          <w:sz w:val="22"/>
          <w:szCs w:val="22"/>
        </w:rPr>
        <w:t>Feb 24</w:t>
      </w:r>
      <w:r w:rsidR="00FE49E2" w:rsidRPr="00386022">
        <w:rPr>
          <w:rFonts w:ascii="Arial" w:hAnsi="Arial" w:cs="Arial"/>
          <w:sz w:val="22"/>
          <w:szCs w:val="22"/>
        </w:rPr>
        <w:t>)</w:t>
      </w:r>
      <w:r w:rsidR="00E725A7" w:rsidRPr="00E725A7">
        <w:rPr>
          <w:rFonts w:ascii="Arial" w:hAnsi="Arial" w:cs="Arial"/>
          <w:noProof/>
          <w:lang w:eastAsia="en-GB"/>
        </w:rPr>
        <w:t xml:space="preserve"> </w:t>
      </w:r>
    </w:p>
    <w:p w14:paraId="65E48752" w14:textId="6557808C" w:rsidR="007109E6" w:rsidRDefault="00A2748E" w:rsidP="00A2748E">
      <w:pPr>
        <w:rPr>
          <w:rFonts w:ascii="Arial" w:hAnsi="Arial" w:cs="Arial"/>
          <w:lang w:eastAsia="en-GB"/>
        </w:rPr>
      </w:pPr>
      <w:r>
        <w:rPr>
          <w:rFonts w:ascii="Arial" w:hAnsi="Arial" w:cs="Arial"/>
          <w:lang w:eastAsia="en-GB"/>
        </w:rPr>
        <w:t xml:space="preserve">Assurance that incidents are being reviewed by the incident team and recategorised to reflect true level of physical harm. </w:t>
      </w:r>
      <w:r w:rsidR="009F3B3F" w:rsidRPr="00E940DE">
        <w:rPr>
          <w:rFonts w:ascii="Arial" w:hAnsi="Arial" w:cs="Arial"/>
          <w:lang w:eastAsia="en-GB"/>
        </w:rPr>
        <w:t>71%</w:t>
      </w:r>
      <w:r w:rsidR="009F3B3F">
        <w:rPr>
          <w:rFonts w:ascii="Arial" w:hAnsi="Arial" w:cs="Arial"/>
          <w:lang w:eastAsia="en-GB"/>
        </w:rPr>
        <w:t xml:space="preserve"> of the medication incidents during this timeframe we reported to have caused no physical harm. There were 50 incidents reported that were thought to cause low levels of harm. 4 inciden</w:t>
      </w:r>
      <w:r w:rsidR="00B241F7">
        <w:rPr>
          <w:rFonts w:ascii="Arial" w:hAnsi="Arial" w:cs="Arial"/>
          <w:lang w:eastAsia="en-GB"/>
        </w:rPr>
        <w:t>ts reported as M</w:t>
      </w:r>
      <w:r w:rsidR="009F3B3F">
        <w:rPr>
          <w:rFonts w:ascii="Arial" w:hAnsi="Arial" w:cs="Arial"/>
          <w:lang w:eastAsia="en-GB"/>
        </w:rPr>
        <w:t>oderate and 1 reported as</w:t>
      </w:r>
      <w:r w:rsidR="00B241F7">
        <w:rPr>
          <w:rFonts w:ascii="Arial" w:hAnsi="Arial" w:cs="Arial"/>
          <w:lang w:eastAsia="en-GB"/>
        </w:rPr>
        <w:t xml:space="preserve"> </w:t>
      </w:r>
      <w:r w:rsidR="00E940DE">
        <w:rPr>
          <w:rFonts w:ascii="Arial" w:hAnsi="Arial" w:cs="Arial"/>
          <w:lang w:eastAsia="en-GB"/>
        </w:rPr>
        <w:t xml:space="preserve">severe physical harm. </w:t>
      </w:r>
    </w:p>
    <w:p w14:paraId="404B6241" w14:textId="77777777" w:rsidR="00597A5A" w:rsidRDefault="00597A5A" w:rsidP="00A2748E">
      <w:pPr>
        <w:rPr>
          <w:rFonts w:ascii="Arial" w:hAnsi="Arial" w:cs="Arial"/>
          <w:b/>
          <w:u w:val="single"/>
          <w:lang w:eastAsia="en-GB"/>
        </w:rPr>
      </w:pPr>
    </w:p>
    <w:p w14:paraId="5630986E" w14:textId="77777777" w:rsidR="00597A5A" w:rsidRDefault="00597A5A" w:rsidP="00A2748E">
      <w:pPr>
        <w:rPr>
          <w:rFonts w:ascii="Arial" w:hAnsi="Arial" w:cs="Arial"/>
          <w:b/>
          <w:u w:val="single"/>
          <w:lang w:eastAsia="en-GB"/>
        </w:rPr>
      </w:pPr>
    </w:p>
    <w:p w14:paraId="1BF34E29" w14:textId="77777777" w:rsidR="00597A5A" w:rsidRDefault="00597A5A" w:rsidP="00A2748E">
      <w:pPr>
        <w:rPr>
          <w:rFonts w:ascii="Arial" w:hAnsi="Arial" w:cs="Arial"/>
          <w:b/>
          <w:u w:val="single"/>
          <w:lang w:eastAsia="en-GB"/>
        </w:rPr>
      </w:pPr>
    </w:p>
    <w:p w14:paraId="11811DD6" w14:textId="24BEE3D7" w:rsidR="0051408B" w:rsidRDefault="0051408B" w:rsidP="00A2748E">
      <w:pPr>
        <w:rPr>
          <w:rFonts w:ascii="Arial" w:hAnsi="Arial" w:cs="Arial"/>
          <w:b/>
          <w:u w:val="single"/>
          <w:lang w:eastAsia="en-GB"/>
        </w:rPr>
      </w:pPr>
      <w:r w:rsidRPr="0051408B">
        <w:rPr>
          <w:rFonts w:ascii="Arial" w:hAnsi="Arial" w:cs="Arial"/>
          <w:b/>
          <w:u w:val="single"/>
          <w:lang w:eastAsia="en-GB"/>
        </w:rPr>
        <w:lastRenderedPageBreak/>
        <w:t>HIGH RISK MEDICINES</w:t>
      </w:r>
      <w:r>
        <w:rPr>
          <w:rFonts w:ascii="Arial" w:hAnsi="Arial" w:cs="Arial"/>
          <w:b/>
          <w:u w:val="single"/>
          <w:lang w:eastAsia="en-GB"/>
        </w:rPr>
        <w:t xml:space="preserve"> (Jan – Feb 24)</w:t>
      </w:r>
    </w:p>
    <w:p w14:paraId="005C9A06" w14:textId="0817A100" w:rsidR="00CA5A54" w:rsidRPr="00E940DE" w:rsidRDefault="0051408B" w:rsidP="00E940DE">
      <w:pPr>
        <w:pStyle w:val="ListParagraph"/>
        <w:ind w:left="1080"/>
        <w:rPr>
          <w:rFonts w:ascii="Arial" w:hAnsi="Arial" w:cs="Arial"/>
          <w:lang w:eastAsia="en-GB"/>
        </w:rPr>
      </w:pPr>
      <w:r>
        <w:rPr>
          <w:rFonts w:ascii="Arial" w:hAnsi="Arial" w:cs="Arial"/>
          <w:lang w:eastAsia="en-GB"/>
        </w:rPr>
        <w:t>There was a high reporting of i</w:t>
      </w:r>
      <w:r w:rsidR="00CA5A54">
        <w:rPr>
          <w:rFonts w:ascii="Arial" w:hAnsi="Arial" w:cs="Arial"/>
          <w:lang w:eastAsia="en-GB"/>
        </w:rPr>
        <w:t xml:space="preserve">ncidents related to the use of; Insulin, Controlled drugs and Clozapine. </w:t>
      </w:r>
    </w:p>
    <w:p w14:paraId="29AC05FE" w14:textId="2C946C57" w:rsidR="00CA5A54" w:rsidRDefault="00CA5A54" w:rsidP="00CA5A54">
      <w:pPr>
        <w:pStyle w:val="ListParagraph"/>
        <w:rPr>
          <w:rFonts w:ascii="Arial" w:hAnsi="Arial" w:cs="Arial"/>
          <w:lang w:eastAsia="en-GB"/>
        </w:rPr>
      </w:pPr>
      <w:r w:rsidRPr="00CA5A54">
        <w:rPr>
          <w:rFonts w:ascii="Arial" w:hAnsi="Arial" w:cs="Arial"/>
          <w:b/>
          <w:u w:val="single"/>
          <w:lang w:eastAsia="en-GB"/>
        </w:rPr>
        <w:t>A</w:t>
      </w:r>
      <w:r>
        <w:rPr>
          <w:rFonts w:ascii="Arial" w:hAnsi="Arial" w:cs="Arial"/>
          <w:b/>
          <w:u w:val="single"/>
          <w:lang w:eastAsia="en-GB"/>
        </w:rPr>
        <w:t>CTIONS</w:t>
      </w:r>
    </w:p>
    <w:p w14:paraId="785AC341" w14:textId="6CF78599" w:rsidR="00CA5A54" w:rsidRDefault="00CA5A54" w:rsidP="00CA5A54">
      <w:pPr>
        <w:pStyle w:val="ListParagraph"/>
        <w:numPr>
          <w:ilvl w:val="0"/>
          <w:numId w:val="12"/>
        </w:numPr>
        <w:rPr>
          <w:rFonts w:ascii="Arial" w:hAnsi="Arial" w:cs="Arial"/>
          <w:lang w:eastAsia="en-GB"/>
        </w:rPr>
      </w:pPr>
      <w:r>
        <w:rPr>
          <w:rFonts w:ascii="Arial" w:hAnsi="Arial" w:cs="Arial"/>
          <w:lang w:eastAsia="en-GB"/>
        </w:rPr>
        <w:t>2x working groups looking at insulin errors within community health services</w:t>
      </w:r>
    </w:p>
    <w:p w14:paraId="5B7359C0" w14:textId="77777777" w:rsidR="00CA5A54" w:rsidRDefault="00CA5A54" w:rsidP="00CA5A54">
      <w:pPr>
        <w:pStyle w:val="ListParagraph"/>
        <w:numPr>
          <w:ilvl w:val="0"/>
          <w:numId w:val="12"/>
        </w:numPr>
        <w:rPr>
          <w:rFonts w:ascii="Arial" w:hAnsi="Arial" w:cs="Arial"/>
          <w:lang w:eastAsia="en-GB"/>
        </w:rPr>
      </w:pPr>
      <w:r>
        <w:rPr>
          <w:rFonts w:ascii="Arial" w:hAnsi="Arial" w:cs="Arial"/>
          <w:lang w:eastAsia="en-GB"/>
        </w:rPr>
        <w:t>Controlled Drug incidents – directly picked up by CDAO, MSO’s and Lead pharmacists. Discussions taking place with ward managers and director of nursing to strengthen process on the management of controlled drugs in inpatient setting. A new CD investigation tool to be presented at the may medicines committee.</w:t>
      </w:r>
    </w:p>
    <w:p w14:paraId="4BD8A70D" w14:textId="7EF1AC6E" w:rsidR="00427554" w:rsidRPr="00CA5A54" w:rsidRDefault="00CA5A54" w:rsidP="00CA5A54">
      <w:pPr>
        <w:pStyle w:val="ListParagraph"/>
        <w:numPr>
          <w:ilvl w:val="0"/>
          <w:numId w:val="12"/>
        </w:numPr>
        <w:rPr>
          <w:rFonts w:ascii="Arial" w:hAnsi="Arial" w:cs="Arial"/>
          <w:lang w:eastAsia="en-GB"/>
        </w:rPr>
      </w:pPr>
      <w:r>
        <w:rPr>
          <w:rFonts w:ascii="Arial" w:hAnsi="Arial" w:cs="Arial"/>
          <w:lang w:eastAsia="en-GB"/>
        </w:rPr>
        <w:t xml:space="preserve">Clozapine – MSO’s will be presenting a learning seminar at the end of march in collaboration with the trust learning team to raise awareness of incidents related to the use of clozapine.  </w:t>
      </w:r>
    </w:p>
    <w:p w14:paraId="2FE1C250" w14:textId="03D5C8CA" w:rsidR="00384E6F" w:rsidRPr="00384E6F" w:rsidRDefault="00C57E96" w:rsidP="00C57E96">
      <w:pPr>
        <w:jc w:val="center"/>
        <w:rPr>
          <w:rFonts w:ascii="Arial" w:hAnsi="Arial" w:cs="Arial"/>
          <w:b/>
          <w:sz w:val="32"/>
          <w:szCs w:val="32"/>
          <w:u w:val="single"/>
        </w:rPr>
      </w:pPr>
      <w:r w:rsidRPr="00384E6F">
        <w:rPr>
          <w:rFonts w:ascii="Arial" w:hAnsi="Arial" w:cs="Arial"/>
          <w:b/>
          <w:sz w:val="32"/>
          <w:szCs w:val="32"/>
          <w:u w:val="single"/>
        </w:rPr>
        <w:t>KEY MEDICATION INCIDENTS</w:t>
      </w:r>
      <w:r w:rsidR="00384E6F" w:rsidRPr="00384E6F">
        <w:rPr>
          <w:rFonts w:ascii="Arial" w:hAnsi="Arial" w:cs="Arial"/>
          <w:b/>
          <w:sz w:val="32"/>
          <w:szCs w:val="32"/>
          <w:u w:val="single"/>
        </w:rPr>
        <w:t xml:space="preserve"> </w:t>
      </w:r>
    </w:p>
    <w:p w14:paraId="49D9CB24" w14:textId="0BE01DBE" w:rsidR="00B241F7" w:rsidRPr="00384E6F" w:rsidRDefault="00384E6F" w:rsidP="00384E6F">
      <w:pPr>
        <w:rPr>
          <w:rFonts w:ascii="Arial" w:hAnsi="Arial" w:cs="Arial"/>
          <w:b/>
          <w:sz w:val="20"/>
          <w:szCs w:val="20"/>
          <w:u w:val="single"/>
        </w:rPr>
      </w:pPr>
      <w:r w:rsidRPr="00384E6F">
        <w:rPr>
          <w:rFonts w:ascii="Arial" w:hAnsi="Arial" w:cs="Arial"/>
          <w:b/>
          <w:sz w:val="20"/>
          <w:szCs w:val="20"/>
          <w:u w:val="single"/>
        </w:rPr>
        <w:t>Note: all incident descriptions have been directly extracted from INPHASE</w:t>
      </w:r>
    </w:p>
    <w:p w14:paraId="6B1EF035" w14:textId="1842E1AE" w:rsidR="00B241F7" w:rsidRPr="00171927" w:rsidRDefault="0085654D" w:rsidP="007633FF">
      <w:pPr>
        <w:tabs>
          <w:tab w:val="center" w:pos="1812"/>
        </w:tabs>
        <w:rPr>
          <w:rFonts w:ascii="Arial" w:hAnsi="Arial" w:cs="Arial"/>
        </w:rPr>
      </w:pPr>
      <w:r>
        <w:rPr>
          <w:rFonts w:ascii="Arial" w:hAnsi="Arial" w:cs="Arial"/>
          <w:b/>
          <w:u w:val="single"/>
        </w:rPr>
        <w:t>MODERATE HARMS</w:t>
      </w:r>
    </w:p>
    <w:tbl>
      <w:tblPr>
        <w:tblStyle w:val="TableGrid"/>
        <w:tblW w:w="5082" w:type="pct"/>
        <w:tblLook w:val="04A0" w:firstRow="1" w:lastRow="0" w:firstColumn="1" w:lastColumn="0" w:noHBand="0" w:noVBand="1"/>
      </w:tblPr>
      <w:tblGrid>
        <w:gridCol w:w="1267"/>
        <w:gridCol w:w="1486"/>
        <w:gridCol w:w="5528"/>
        <w:gridCol w:w="2346"/>
      </w:tblGrid>
      <w:tr w:rsidR="00384E6F" w14:paraId="0072154D" w14:textId="77777777" w:rsidTr="001C5465">
        <w:tc>
          <w:tcPr>
            <w:tcW w:w="596" w:type="pct"/>
          </w:tcPr>
          <w:p w14:paraId="32EA5739" w14:textId="6C187CB3" w:rsidR="001F5EE8" w:rsidRPr="00384E6F" w:rsidRDefault="001F5EE8" w:rsidP="007633FF">
            <w:pPr>
              <w:tabs>
                <w:tab w:val="center" w:pos="1812"/>
              </w:tabs>
              <w:rPr>
                <w:rFonts w:ascii="Arial" w:hAnsi="Arial" w:cs="Arial"/>
                <w:b/>
                <w:sz w:val="24"/>
                <w:szCs w:val="24"/>
              </w:rPr>
            </w:pPr>
            <w:r w:rsidRPr="00384E6F">
              <w:rPr>
                <w:rFonts w:ascii="Arial" w:hAnsi="Arial" w:cs="Arial"/>
                <w:b/>
                <w:sz w:val="24"/>
                <w:szCs w:val="24"/>
              </w:rPr>
              <w:t>LFPSE ID</w:t>
            </w:r>
          </w:p>
        </w:tc>
        <w:tc>
          <w:tcPr>
            <w:tcW w:w="699" w:type="pct"/>
          </w:tcPr>
          <w:p w14:paraId="632103F7" w14:textId="295CE654" w:rsidR="001F5EE8" w:rsidRPr="00384E6F" w:rsidRDefault="001F5EE8" w:rsidP="007633FF">
            <w:pPr>
              <w:tabs>
                <w:tab w:val="center" w:pos="1812"/>
              </w:tabs>
              <w:rPr>
                <w:rFonts w:ascii="Arial" w:hAnsi="Arial" w:cs="Arial"/>
                <w:b/>
                <w:sz w:val="24"/>
                <w:szCs w:val="24"/>
              </w:rPr>
            </w:pPr>
            <w:r w:rsidRPr="00384E6F">
              <w:rPr>
                <w:rFonts w:ascii="Arial" w:hAnsi="Arial" w:cs="Arial"/>
                <w:b/>
                <w:sz w:val="24"/>
                <w:szCs w:val="24"/>
              </w:rPr>
              <w:t xml:space="preserve">Directorate </w:t>
            </w:r>
          </w:p>
        </w:tc>
        <w:tc>
          <w:tcPr>
            <w:tcW w:w="2601" w:type="pct"/>
          </w:tcPr>
          <w:p w14:paraId="04A207E8" w14:textId="1FA3CB66" w:rsidR="001F5EE8" w:rsidRPr="00384E6F" w:rsidRDefault="001F5EE8" w:rsidP="007633FF">
            <w:pPr>
              <w:tabs>
                <w:tab w:val="center" w:pos="1812"/>
              </w:tabs>
              <w:rPr>
                <w:rFonts w:ascii="Arial" w:hAnsi="Arial" w:cs="Arial"/>
                <w:b/>
                <w:sz w:val="24"/>
                <w:szCs w:val="24"/>
              </w:rPr>
            </w:pPr>
            <w:r w:rsidRPr="00384E6F">
              <w:rPr>
                <w:rFonts w:ascii="Arial" w:hAnsi="Arial" w:cs="Arial"/>
                <w:b/>
                <w:sz w:val="24"/>
                <w:szCs w:val="24"/>
              </w:rPr>
              <w:t xml:space="preserve">Incident description </w:t>
            </w:r>
          </w:p>
        </w:tc>
        <w:tc>
          <w:tcPr>
            <w:tcW w:w="1104" w:type="pct"/>
          </w:tcPr>
          <w:p w14:paraId="5715F558" w14:textId="70D50286" w:rsidR="001F5EE8" w:rsidRPr="00384E6F" w:rsidRDefault="00384E6F" w:rsidP="007633FF">
            <w:pPr>
              <w:tabs>
                <w:tab w:val="center" w:pos="1812"/>
              </w:tabs>
              <w:rPr>
                <w:rFonts w:ascii="Arial" w:hAnsi="Arial" w:cs="Arial"/>
                <w:b/>
                <w:sz w:val="24"/>
                <w:szCs w:val="24"/>
              </w:rPr>
            </w:pPr>
            <w:r w:rsidRPr="00384E6F">
              <w:rPr>
                <w:rFonts w:ascii="Arial" w:hAnsi="Arial" w:cs="Arial"/>
                <w:b/>
                <w:sz w:val="24"/>
                <w:szCs w:val="24"/>
              </w:rPr>
              <w:t xml:space="preserve">Action </w:t>
            </w:r>
          </w:p>
        </w:tc>
      </w:tr>
      <w:tr w:rsidR="00384E6F" w14:paraId="25B59FD4" w14:textId="77777777" w:rsidTr="001C5465">
        <w:trPr>
          <w:trHeight w:val="6087"/>
        </w:trPr>
        <w:tc>
          <w:tcPr>
            <w:tcW w:w="596" w:type="pct"/>
          </w:tcPr>
          <w:p w14:paraId="33A7E6C4" w14:textId="566C7CD6" w:rsidR="001F5EE8" w:rsidRPr="00384E6F" w:rsidRDefault="001F5EE8" w:rsidP="007633FF">
            <w:pPr>
              <w:tabs>
                <w:tab w:val="center" w:pos="1812"/>
              </w:tabs>
              <w:rPr>
                <w:rFonts w:ascii="Arial" w:hAnsi="Arial" w:cs="Arial"/>
                <w:sz w:val="22"/>
                <w:szCs w:val="22"/>
              </w:rPr>
            </w:pPr>
            <w:r w:rsidRPr="00384E6F">
              <w:rPr>
                <w:rFonts w:ascii="Arial" w:hAnsi="Arial" w:cs="Arial"/>
                <w:sz w:val="22"/>
                <w:szCs w:val="22"/>
              </w:rPr>
              <w:t xml:space="preserve">4487 </w:t>
            </w:r>
          </w:p>
        </w:tc>
        <w:tc>
          <w:tcPr>
            <w:tcW w:w="699" w:type="pct"/>
          </w:tcPr>
          <w:p w14:paraId="4B4CC518" w14:textId="4F4469C8" w:rsidR="001F5EE8" w:rsidRPr="00384E6F" w:rsidRDefault="001F5EE8" w:rsidP="007633FF">
            <w:pPr>
              <w:tabs>
                <w:tab w:val="center" w:pos="1812"/>
              </w:tabs>
              <w:rPr>
                <w:rFonts w:ascii="Arial" w:hAnsi="Arial" w:cs="Arial"/>
                <w:sz w:val="22"/>
                <w:szCs w:val="22"/>
              </w:rPr>
            </w:pPr>
            <w:r w:rsidRPr="00384E6F">
              <w:rPr>
                <w:rFonts w:ascii="Arial" w:hAnsi="Arial" w:cs="Arial"/>
                <w:sz w:val="22"/>
                <w:szCs w:val="22"/>
              </w:rPr>
              <w:t xml:space="preserve">BCHS Complex care </w:t>
            </w:r>
          </w:p>
        </w:tc>
        <w:tc>
          <w:tcPr>
            <w:tcW w:w="2601" w:type="pct"/>
          </w:tcPr>
          <w:p w14:paraId="0611D288" w14:textId="728AABB1" w:rsidR="001F5EE8" w:rsidRPr="00384E6F" w:rsidRDefault="00384E6F" w:rsidP="001F5EE8">
            <w:pPr>
              <w:tabs>
                <w:tab w:val="center" w:pos="1812"/>
              </w:tabs>
              <w:rPr>
                <w:rFonts w:ascii="Arial" w:hAnsi="Arial" w:cs="Arial"/>
                <w:sz w:val="22"/>
                <w:szCs w:val="22"/>
              </w:rPr>
            </w:pPr>
            <w:r w:rsidRPr="00384E6F">
              <w:rPr>
                <w:rFonts w:ascii="Arial" w:hAnsi="Arial" w:cs="Arial"/>
                <w:sz w:val="22"/>
                <w:szCs w:val="22"/>
              </w:rPr>
              <w:t>‘</w:t>
            </w:r>
            <w:r w:rsidR="001F5EE8" w:rsidRPr="00384E6F">
              <w:rPr>
                <w:rFonts w:ascii="Arial" w:hAnsi="Arial" w:cs="Arial"/>
                <w:sz w:val="22"/>
                <w:szCs w:val="22"/>
              </w:rPr>
              <w:t>Patient has been under DN for syringe driver until 13/02/2023 when this was stopped. They were administering cyclizine 50mg in 1ml injection as a 150mg dose over 24 hours via the syringe driver.</w:t>
            </w:r>
          </w:p>
          <w:p w14:paraId="74C65091" w14:textId="77777777" w:rsidR="001F5EE8" w:rsidRPr="00384E6F" w:rsidRDefault="001F5EE8" w:rsidP="001F5EE8">
            <w:pPr>
              <w:tabs>
                <w:tab w:val="center" w:pos="1812"/>
              </w:tabs>
              <w:rPr>
                <w:rFonts w:ascii="Arial" w:hAnsi="Arial" w:cs="Arial"/>
                <w:sz w:val="22"/>
                <w:szCs w:val="22"/>
              </w:rPr>
            </w:pPr>
            <w:r w:rsidRPr="00384E6F">
              <w:rPr>
                <w:rFonts w:ascii="Arial" w:hAnsi="Arial" w:cs="Arial"/>
                <w:sz w:val="22"/>
                <w:szCs w:val="22"/>
              </w:rPr>
              <w:t xml:space="preserve">When the syringe driver was stopped the </w:t>
            </w:r>
            <w:r w:rsidRPr="00384E6F">
              <w:rPr>
                <w:rFonts w:ascii="Arial" w:hAnsi="Arial" w:cs="Arial"/>
                <w:sz w:val="22"/>
                <w:szCs w:val="22"/>
                <w:highlight w:val="yellow"/>
              </w:rPr>
              <w:t>GP documented that she was to take the cyclizine 50mg in 1ml by subcutaneous injection three times each day. This injection should only be given intravenous or intramuscular as stated on the BNF.</w:t>
            </w:r>
          </w:p>
          <w:p w14:paraId="770DCE79" w14:textId="77777777" w:rsidR="001F5EE8" w:rsidRPr="00384E6F" w:rsidRDefault="001F5EE8" w:rsidP="001F5EE8">
            <w:pPr>
              <w:tabs>
                <w:tab w:val="center" w:pos="1812"/>
              </w:tabs>
              <w:rPr>
                <w:rFonts w:ascii="Arial" w:hAnsi="Arial" w:cs="Arial"/>
                <w:sz w:val="22"/>
                <w:szCs w:val="22"/>
              </w:rPr>
            </w:pPr>
            <w:r w:rsidRPr="00384E6F">
              <w:rPr>
                <w:rFonts w:ascii="Arial" w:hAnsi="Arial" w:cs="Arial"/>
                <w:sz w:val="22"/>
                <w:szCs w:val="22"/>
              </w:rPr>
              <w:t>Due to the injection being administered by the wrong route, she now has burn marks on her legs with scabs and they are now infected. She has also not been informed to change sites on her body so is administering in one leg three times each day.</w:t>
            </w:r>
          </w:p>
          <w:p w14:paraId="67B6E546" w14:textId="77777777" w:rsidR="001F5EE8" w:rsidRPr="00384E6F" w:rsidRDefault="001F5EE8" w:rsidP="001F5EE8">
            <w:pPr>
              <w:tabs>
                <w:tab w:val="center" w:pos="1812"/>
              </w:tabs>
              <w:rPr>
                <w:rFonts w:ascii="Arial" w:hAnsi="Arial" w:cs="Arial"/>
                <w:sz w:val="22"/>
                <w:szCs w:val="22"/>
              </w:rPr>
            </w:pPr>
            <w:r w:rsidRPr="00384E6F">
              <w:rPr>
                <w:rFonts w:ascii="Arial" w:hAnsi="Arial" w:cs="Arial"/>
                <w:sz w:val="22"/>
                <w:szCs w:val="22"/>
              </w:rPr>
              <w:t>The GP never issued any syringes or needles so i believe she brought them from the internet.</w:t>
            </w:r>
          </w:p>
          <w:p w14:paraId="5B321188" w14:textId="2C368B65" w:rsidR="001F5EE8" w:rsidRPr="00384E6F" w:rsidRDefault="001F5EE8" w:rsidP="001F5EE8">
            <w:pPr>
              <w:tabs>
                <w:tab w:val="center" w:pos="1812"/>
              </w:tabs>
              <w:rPr>
                <w:rFonts w:ascii="Arial" w:hAnsi="Arial" w:cs="Arial"/>
                <w:sz w:val="22"/>
                <w:szCs w:val="22"/>
              </w:rPr>
            </w:pPr>
            <w:r w:rsidRPr="00384E6F">
              <w:rPr>
                <w:rFonts w:ascii="Arial" w:hAnsi="Arial" w:cs="Arial"/>
                <w:sz w:val="22"/>
                <w:szCs w:val="22"/>
              </w:rPr>
              <w:t>The GP has been issuing 84 vials of cyclizine each month since</w:t>
            </w:r>
            <w:r w:rsidR="00384E6F" w:rsidRPr="00384E6F">
              <w:rPr>
                <w:rFonts w:ascii="Arial" w:hAnsi="Arial" w:cs="Arial"/>
                <w:sz w:val="22"/>
                <w:szCs w:val="22"/>
              </w:rPr>
              <w:t xml:space="preserve"> the syringe driver has stopped’</w:t>
            </w:r>
          </w:p>
        </w:tc>
        <w:tc>
          <w:tcPr>
            <w:tcW w:w="1104" w:type="pct"/>
          </w:tcPr>
          <w:p w14:paraId="2AD76E77" w14:textId="34E0C376" w:rsidR="001F5EE8" w:rsidRPr="00384E6F" w:rsidRDefault="00384E6F" w:rsidP="00384E6F">
            <w:pPr>
              <w:tabs>
                <w:tab w:val="center" w:pos="1812"/>
              </w:tabs>
              <w:rPr>
                <w:rFonts w:ascii="Arial" w:hAnsi="Arial" w:cs="Arial"/>
                <w:sz w:val="22"/>
                <w:szCs w:val="22"/>
              </w:rPr>
            </w:pPr>
            <w:r w:rsidRPr="00384E6F">
              <w:rPr>
                <w:rFonts w:ascii="Arial" w:hAnsi="Arial" w:cs="Arial"/>
                <w:sz w:val="22"/>
                <w:szCs w:val="22"/>
              </w:rPr>
              <w:t xml:space="preserve">Cyclizine was not supposed to continue following discharge. GP continued to issue S/C cyclizine without there being any information on how to administer this. The cyclizine was no longer appropriate and the medication was stopped.  </w:t>
            </w:r>
          </w:p>
        </w:tc>
      </w:tr>
      <w:tr w:rsidR="00384E6F" w14:paraId="2404B34B" w14:textId="77777777" w:rsidTr="001C5465">
        <w:tc>
          <w:tcPr>
            <w:tcW w:w="596" w:type="pct"/>
          </w:tcPr>
          <w:p w14:paraId="43C13E44" w14:textId="24C8B318" w:rsidR="001F5EE8" w:rsidRPr="00FC380A" w:rsidRDefault="00384E6F" w:rsidP="007633FF">
            <w:pPr>
              <w:tabs>
                <w:tab w:val="center" w:pos="1812"/>
              </w:tabs>
              <w:rPr>
                <w:rFonts w:ascii="Arial" w:hAnsi="Arial" w:cs="Arial"/>
                <w:sz w:val="22"/>
                <w:szCs w:val="22"/>
              </w:rPr>
            </w:pPr>
            <w:r w:rsidRPr="00FC380A">
              <w:rPr>
                <w:rFonts w:ascii="Arial" w:hAnsi="Arial" w:cs="Arial"/>
                <w:sz w:val="22"/>
                <w:szCs w:val="22"/>
              </w:rPr>
              <w:t>5099</w:t>
            </w:r>
          </w:p>
        </w:tc>
        <w:tc>
          <w:tcPr>
            <w:tcW w:w="699" w:type="pct"/>
          </w:tcPr>
          <w:p w14:paraId="677E7DA8" w14:textId="6B545B6F" w:rsidR="001F5EE8" w:rsidRPr="00FC380A" w:rsidRDefault="00384E6F" w:rsidP="007633FF">
            <w:pPr>
              <w:tabs>
                <w:tab w:val="center" w:pos="1812"/>
              </w:tabs>
              <w:rPr>
                <w:rFonts w:ascii="Arial" w:hAnsi="Arial" w:cs="Arial"/>
                <w:sz w:val="22"/>
                <w:szCs w:val="22"/>
              </w:rPr>
            </w:pPr>
            <w:r w:rsidRPr="00FC380A">
              <w:rPr>
                <w:rFonts w:ascii="Arial" w:hAnsi="Arial" w:cs="Arial"/>
                <w:sz w:val="22"/>
                <w:szCs w:val="22"/>
              </w:rPr>
              <w:t xml:space="preserve">Newham MH – Ivory ward </w:t>
            </w:r>
          </w:p>
        </w:tc>
        <w:tc>
          <w:tcPr>
            <w:tcW w:w="2601" w:type="pct"/>
          </w:tcPr>
          <w:p w14:paraId="3FBCE4AB" w14:textId="016DF2CE" w:rsidR="006D694E" w:rsidRPr="00FC380A" w:rsidRDefault="00FC380A" w:rsidP="006D694E">
            <w:pPr>
              <w:tabs>
                <w:tab w:val="center" w:pos="1812"/>
              </w:tabs>
              <w:rPr>
                <w:rFonts w:ascii="Arial" w:hAnsi="Arial" w:cs="Arial"/>
                <w:sz w:val="22"/>
                <w:szCs w:val="22"/>
              </w:rPr>
            </w:pPr>
            <w:r>
              <w:rPr>
                <w:rFonts w:ascii="Arial" w:hAnsi="Arial" w:cs="Arial"/>
                <w:sz w:val="22"/>
                <w:szCs w:val="22"/>
              </w:rPr>
              <w:t>‘</w:t>
            </w:r>
            <w:r w:rsidR="006D694E" w:rsidRPr="00FC380A">
              <w:rPr>
                <w:rFonts w:ascii="Arial" w:hAnsi="Arial" w:cs="Arial"/>
                <w:sz w:val="22"/>
                <w:szCs w:val="22"/>
              </w:rPr>
              <w:t xml:space="preserve">Patient was discharged from Ivory Ward in November 2023 following a crisis admission, then transferred to the care of the Home treatment Team (HTT). </w:t>
            </w:r>
          </w:p>
          <w:p w14:paraId="4B8AEA9C" w14:textId="510C1D47" w:rsidR="006D694E" w:rsidRPr="00FC380A" w:rsidRDefault="006D694E" w:rsidP="006D694E">
            <w:pPr>
              <w:tabs>
                <w:tab w:val="center" w:pos="1812"/>
              </w:tabs>
              <w:rPr>
                <w:rFonts w:ascii="Arial" w:hAnsi="Arial" w:cs="Arial"/>
                <w:sz w:val="22"/>
                <w:szCs w:val="22"/>
              </w:rPr>
            </w:pPr>
            <w:r w:rsidRPr="00FC380A">
              <w:rPr>
                <w:rFonts w:ascii="Arial" w:hAnsi="Arial" w:cs="Arial"/>
                <w:sz w:val="22"/>
                <w:szCs w:val="22"/>
              </w:rPr>
              <w:t xml:space="preserve">Patient was then discharged from HTT on 16/12/23 (See discharge letter attached). The plans following discharge involved: discharge to CIMHS South, supplied with 7 days TTA and for GP to continue treatment regime as patient uses blister packs.  </w:t>
            </w:r>
          </w:p>
          <w:p w14:paraId="4B746DE0" w14:textId="3C767BE4" w:rsidR="006D694E" w:rsidRPr="00FC380A" w:rsidRDefault="006D694E" w:rsidP="006D694E">
            <w:pPr>
              <w:tabs>
                <w:tab w:val="center" w:pos="1812"/>
              </w:tabs>
              <w:rPr>
                <w:rFonts w:ascii="Arial" w:hAnsi="Arial" w:cs="Arial"/>
                <w:sz w:val="22"/>
                <w:szCs w:val="22"/>
              </w:rPr>
            </w:pPr>
            <w:r w:rsidRPr="00FC380A">
              <w:rPr>
                <w:rFonts w:ascii="Arial" w:hAnsi="Arial" w:cs="Arial"/>
                <w:sz w:val="22"/>
                <w:szCs w:val="22"/>
              </w:rPr>
              <w:t>Patient was re-admitted to Ivory ward on 23/01/24 following a deterioration in her mental health, she became unwell and as a result also  lost her job.</w:t>
            </w:r>
          </w:p>
          <w:p w14:paraId="65715B3F" w14:textId="25EB672A" w:rsidR="006D694E" w:rsidRPr="00FC380A" w:rsidRDefault="006D694E" w:rsidP="006D694E">
            <w:pPr>
              <w:tabs>
                <w:tab w:val="center" w:pos="1812"/>
              </w:tabs>
              <w:rPr>
                <w:rFonts w:ascii="Arial" w:hAnsi="Arial" w:cs="Arial"/>
                <w:sz w:val="22"/>
                <w:szCs w:val="22"/>
              </w:rPr>
            </w:pPr>
            <w:r w:rsidRPr="00FC380A">
              <w:rPr>
                <w:rFonts w:ascii="Arial" w:hAnsi="Arial" w:cs="Arial"/>
                <w:sz w:val="22"/>
                <w:szCs w:val="22"/>
                <w:highlight w:val="yellow"/>
              </w:rPr>
              <w:t>Medicines reconciliation carried out by the Pharmacist highlighted a discrepancy in the medication history as Quetiapine m/r tablets was not showing on the list of medicines on SCR or HIE.</w:t>
            </w:r>
          </w:p>
          <w:p w14:paraId="7AA796C1" w14:textId="3F93D191" w:rsidR="001F5EE8" w:rsidRPr="00FC380A" w:rsidRDefault="006D694E" w:rsidP="006D694E">
            <w:pPr>
              <w:tabs>
                <w:tab w:val="center" w:pos="1812"/>
              </w:tabs>
              <w:rPr>
                <w:rFonts w:ascii="Arial" w:hAnsi="Arial" w:cs="Arial"/>
                <w:sz w:val="22"/>
                <w:szCs w:val="22"/>
              </w:rPr>
            </w:pPr>
            <w:r w:rsidRPr="00FC380A">
              <w:rPr>
                <w:rFonts w:ascii="Arial" w:hAnsi="Arial" w:cs="Arial"/>
                <w:sz w:val="22"/>
                <w:szCs w:val="22"/>
                <w:highlight w:val="yellow"/>
              </w:rPr>
              <w:t>Additionally the discharge letter from HTT listed Melatonin tablets which was newly started and this change was reflected in the GP Summary care</w:t>
            </w:r>
            <w:r w:rsidRPr="00FC380A">
              <w:rPr>
                <w:rFonts w:ascii="Arial" w:hAnsi="Arial" w:cs="Arial"/>
                <w:sz w:val="22"/>
                <w:szCs w:val="22"/>
              </w:rPr>
              <w:t xml:space="preserve"> Record, but for some reason unknown to us, the newly started Quetiapine tablets were omitted</w:t>
            </w:r>
            <w:r w:rsidR="00FC380A">
              <w:rPr>
                <w:rFonts w:ascii="Arial" w:hAnsi="Arial" w:cs="Arial"/>
                <w:sz w:val="22"/>
                <w:szCs w:val="22"/>
              </w:rPr>
              <w:t>’</w:t>
            </w:r>
            <w:r w:rsidRPr="00FC380A">
              <w:rPr>
                <w:rFonts w:ascii="Arial" w:hAnsi="Arial" w:cs="Arial"/>
                <w:sz w:val="22"/>
                <w:szCs w:val="22"/>
              </w:rPr>
              <w:t>.</w:t>
            </w:r>
          </w:p>
        </w:tc>
        <w:tc>
          <w:tcPr>
            <w:tcW w:w="1104" w:type="pct"/>
          </w:tcPr>
          <w:p w14:paraId="0A4F6C91" w14:textId="703D16F2" w:rsidR="001F5EE8" w:rsidRPr="00FC380A" w:rsidRDefault="00FC380A" w:rsidP="00FC380A">
            <w:pPr>
              <w:tabs>
                <w:tab w:val="center" w:pos="1812"/>
              </w:tabs>
              <w:rPr>
                <w:rFonts w:ascii="Arial" w:hAnsi="Arial" w:cs="Arial"/>
                <w:sz w:val="22"/>
                <w:szCs w:val="22"/>
              </w:rPr>
            </w:pPr>
            <w:r w:rsidRPr="00FC380A">
              <w:rPr>
                <w:rFonts w:ascii="Arial" w:hAnsi="Arial" w:cs="Arial"/>
                <w:sz w:val="22"/>
                <w:szCs w:val="22"/>
              </w:rPr>
              <w:t xml:space="preserve">Pharmacy followed up with community pharmacy and this was not being supplied. Discharge summary from December not picked up by GP. </w:t>
            </w:r>
            <w:r w:rsidR="00850DFD" w:rsidRPr="00FC380A">
              <w:rPr>
                <w:rFonts w:ascii="Arial" w:hAnsi="Arial" w:cs="Arial"/>
                <w:sz w:val="22"/>
                <w:szCs w:val="22"/>
              </w:rPr>
              <w:t>Quetiapine</w:t>
            </w:r>
            <w:r w:rsidRPr="00FC380A">
              <w:rPr>
                <w:rFonts w:ascii="Arial" w:hAnsi="Arial" w:cs="Arial"/>
                <w:sz w:val="22"/>
                <w:szCs w:val="22"/>
              </w:rPr>
              <w:t xml:space="preserve"> restarted on this admission. 72 hour report requested</w:t>
            </w:r>
            <w:r w:rsidR="00850DFD">
              <w:rPr>
                <w:rFonts w:ascii="Arial" w:hAnsi="Arial" w:cs="Arial"/>
                <w:sz w:val="22"/>
                <w:szCs w:val="22"/>
              </w:rPr>
              <w:t xml:space="preserve"> to better understand gap in transfer of care. </w:t>
            </w:r>
            <w:r w:rsidRPr="00FC380A">
              <w:rPr>
                <w:rFonts w:ascii="Arial" w:hAnsi="Arial" w:cs="Arial"/>
                <w:sz w:val="22"/>
                <w:szCs w:val="22"/>
              </w:rPr>
              <w:t xml:space="preserve">   </w:t>
            </w:r>
          </w:p>
        </w:tc>
      </w:tr>
      <w:tr w:rsidR="00384E6F" w14:paraId="30E001B2" w14:textId="77777777" w:rsidTr="001C5465">
        <w:tc>
          <w:tcPr>
            <w:tcW w:w="596" w:type="pct"/>
          </w:tcPr>
          <w:p w14:paraId="635F1C0F" w14:textId="43BEEFCA" w:rsidR="001F5EE8" w:rsidRPr="00FC380A" w:rsidRDefault="00384E6F" w:rsidP="007633FF">
            <w:pPr>
              <w:tabs>
                <w:tab w:val="center" w:pos="1812"/>
              </w:tabs>
              <w:rPr>
                <w:rFonts w:ascii="Arial" w:hAnsi="Arial" w:cs="Arial"/>
                <w:sz w:val="22"/>
                <w:szCs w:val="22"/>
              </w:rPr>
            </w:pPr>
            <w:r w:rsidRPr="00FC380A">
              <w:rPr>
                <w:rFonts w:ascii="Arial" w:hAnsi="Arial" w:cs="Arial"/>
                <w:sz w:val="22"/>
                <w:szCs w:val="22"/>
              </w:rPr>
              <w:t>5579</w:t>
            </w:r>
          </w:p>
        </w:tc>
        <w:tc>
          <w:tcPr>
            <w:tcW w:w="699" w:type="pct"/>
          </w:tcPr>
          <w:p w14:paraId="52C46728" w14:textId="3B03DFE9" w:rsidR="001F5EE8" w:rsidRPr="00FC380A" w:rsidRDefault="00FC380A" w:rsidP="007633FF">
            <w:pPr>
              <w:tabs>
                <w:tab w:val="center" w:pos="1812"/>
              </w:tabs>
              <w:rPr>
                <w:rFonts w:ascii="Arial" w:hAnsi="Arial" w:cs="Arial"/>
                <w:sz w:val="22"/>
                <w:szCs w:val="22"/>
              </w:rPr>
            </w:pPr>
            <w:r w:rsidRPr="00FC380A">
              <w:rPr>
                <w:rFonts w:ascii="Arial" w:hAnsi="Arial" w:cs="Arial"/>
                <w:sz w:val="22"/>
                <w:szCs w:val="22"/>
              </w:rPr>
              <w:t xml:space="preserve">BCHS Twinwoods </w:t>
            </w:r>
          </w:p>
        </w:tc>
        <w:tc>
          <w:tcPr>
            <w:tcW w:w="2601" w:type="pct"/>
          </w:tcPr>
          <w:p w14:paraId="7B68E01C" w14:textId="38A566E5" w:rsidR="00FC380A" w:rsidRPr="00FC380A" w:rsidRDefault="00FC380A" w:rsidP="00FC380A">
            <w:pPr>
              <w:rPr>
                <w:rFonts w:ascii="Arial" w:hAnsi="Arial" w:cs="Arial"/>
                <w:bCs/>
                <w:color w:val="000000"/>
                <w:sz w:val="22"/>
                <w:szCs w:val="22"/>
              </w:rPr>
            </w:pPr>
            <w:r>
              <w:rPr>
                <w:rFonts w:ascii="Arial" w:hAnsi="Arial" w:cs="Arial"/>
                <w:bCs/>
                <w:color w:val="000000"/>
                <w:sz w:val="22"/>
                <w:szCs w:val="22"/>
              </w:rPr>
              <w:t>‘</w:t>
            </w:r>
            <w:r w:rsidRPr="00FC380A">
              <w:rPr>
                <w:rFonts w:ascii="Arial" w:hAnsi="Arial" w:cs="Arial"/>
                <w:bCs/>
                <w:color w:val="000000"/>
                <w:sz w:val="22"/>
                <w:szCs w:val="22"/>
              </w:rPr>
              <w:t xml:space="preserve">On 01/02/2024 Senior RN reported to myself concerns raised by Care Home Team Lead and Carers. </w:t>
            </w:r>
            <w:r w:rsidRPr="00FC380A">
              <w:rPr>
                <w:rFonts w:ascii="Arial" w:hAnsi="Arial" w:cs="Arial"/>
                <w:bCs/>
                <w:color w:val="000000"/>
                <w:sz w:val="22"/>
                <w:szCs w:val="22"/>
                <w:highlight w:val="yellow"/>
              </w:rPr>
              <w:t>An RN within the team had been allocated to administer an intramuscular B12,12 weekly injection on 2 occasions over 6 month period.</w:t>
            </w:r>
            <w:r w:rsidRPr="00FC380A">
              <w:rPr>
                <w:rFonts w:ascii="Arial" w:hAnsi="Arial" w:cs="Arial"/>
                <w:bCs/>
                <w:color w:val="000000"/>
                <w:sz w:val="22"/>
                <w:szCs w:val="22"/>
              </w:rPr>
              <w:t xml:space="preserve"> Upon discussion with senior carer, she reported the RN had visited patient to administer B12 IM injection, patient has formal diagnosis of dementia and was agitated on RN's arrival. </w:t>
            </w:r>
            <w:r w:rsidRPr="00FC380A">
              <w:rPr>
                <w:rFonts w:ascii="Arial" w:hAnsi="Arial" w:cs="Arial"/>
                <w:bCs/>
                <w:color w:val="000000"/>
                <w:sz w:val="22"/>
                <w:szCs w:val="22"/>
                <w:highlight w:val="yellow"/>
              </w:rPr>
              <w:t>Carer had asked RN to come back a while later after patient had settled. RN informed carer they were 'too busy' and was unable to come back later or reschedule the visit for following day</w:t>
            </w:r>
            <w:r w:rsidRPr="00FC380A">
              <w:rPr>
                <w:rFonts w:ascii="Arial" w:hAnsi="Arial" w:cs="Arial"/>
                <w:bCs/>
                <w:color w:val="000000"/>
                <w:sz w:val="22"/>
                <w:szCs w:val="22"/>
              </w:rPr>
              <w:t xml:space="preserve">. Carer had asked RN to visit other patients in care home and come back after. RN agreed and visited other patients in home. </w:t>
            </w:r>
            <w:r w:rsidRPr="00171927">
              <w:rPr>
                <w:rFonts w:ascii="Arial" w:hAnsi="Arial" w:cs="Arial"/>
                <w:bCs/>
                <w:color w:val="000000"/>
                <w:sz w:val="22"/>
                <w:szCs w:val="22"/>
                <w:highlight w:val="yellow"/>
              </w:rPr>
              <w:t>Carer reported RN 'took the drawn up B12 medication in syringe with them'. RN came back to patient requiring injectable medication after seeing others patients in the care home</w:t>
            </w:r>
            <w:r w:rsidRPr="00FC380A">
              <w:rPr>
                <w:rFonts w:ascii="Arial" w:hAnsi="Arial" w:cs="Arial"/>
                <w:bCs/>
                <w:color w:val="000000"/>
                <w:sz w:val="22"/>
                <w:szCs w:val="22"/>
              </w:rPr>
              <w:t xml:space="preserve">. </w:t>
            </w:r>
            <w:r w:rsidRPr="00171927">
              <w:rPr>
                <w:rFonts w:ascii="Arial" w:hAnsi="Arial" w:cs="Arial"/>
                <w:bCs/>
                <w:color w:val="000000"/>
                <w:sz w:val="22"/>
                <w:szCs w:val="22"/>
                <w:highlight w:val="yellow"/>
              </w:rPr>
              <w:t>Carer reported RN then stated 'they were scared of patient and asked carer to administer the injection'</w:t>
            </w:r>
            <w:r w:rsidRPr="00FC380A">
              <w:rPr>
                <w:rFonts w:ascii="Arial" w:hAnsi="Arial" w:cs="Arial"/>
                <w:bCs/>
                <w:color w:val="000000"/>
                <w:sz w:val="22"/>
                <w:szCs w:val="22"/>
              </w:rPr>
              <w:t xml:space="preserve">. </w:t>
            </w:r>
            <w:r w:rsidRPr="00171927">
              <w:rPr>
                <w:rFonts w:ascii="Arial" w:hAnsi="Arial" w:cs="Arial"/>
                <w:bCs/>
                <w:color w:val="000000"/>
                <w:sz w:val="22"/>
                <w:szCs w:val="22"/>
                <w:highlight w:val="yellow"/>
              </w:rPr>
              <w:t>Carer stated she informed RN she had never given injection before and was not happy to administer. Carer reported RN 'reassured her and informed her the B12 Injection could be administered via the same route as insulin and that other care homes were doing this'. RN gave directions to carer to administer injection subcutaneously into patients abdomen</w:t>
            </w:r>
            <w:r w:rsidRPr="00FC380A">
              <w:rPr>
                <w:rFonts w:ascii="Arial" w:hAnsi="Arial" w:cs="Arial"/>
                <w:bCs/>
                <w:color w:val="000000"/>
                <w:sz w:val="22"/>
                <w:szCs w:val="22"/>
              </w:rPr>
              <w:t xml:space="preserve">. RN did not raise any concerns or issues to a Band 6, 7 or 8. Care Home Senior carer and Team Lead also reported the </w:t>
            </w:r>
            <w:r w:rsidRPr="00171927">
              <w:rPr>
                <w:rFonts w:ascii="Arial" w:hAnsi="Arial" w:cs="Arial"/>
                <w:bCs/>
                <w:color w:val="000000"/>
                <w:sz w:val="22"/>
                <w:szCs w:val="22"/>
                <w:highlight w:val="yellow"/>
              </w:rPr>
              <w:t>same incident occurred with the same RN</w:t>
            </w:r>
            <w:r w:rsidRPr="00FC380A">
              <w:rPr>
                <w:rFonts w:ascii="Arial" w:hAnsi="Arial" w:cs="Arial"/>
                <w:bCs/>
                <w:color w:val="000000"/>
                <w:sz w:val="22"/>
                <w:szCs w:val="22"/>
              </w:rPr>
              <w:t xml:space="preserve">, same patient but different senior carer on the next scheduled visit for administration of B12 intramuscular injection. Upon discussion with Senior Carer of care home, no concerns were raised in regards to patient harm. No discolouration of skin or new wounds present around injection site. </w:t>
            </w:r>
            <w:r w:rsidRPr="00FC380A">
              <w:rPr>
                <w:rFonts w:ascii="Arial" w:hAnsi="Arial" w:cs="Arial"/>
                <w:bCs/>
                <w:color w:val="000000"/>
                <w:sz w:val="22"/>
                <w:szCs w:val="22"/>
              </w:rPr>
              <w:br/>
              <w:t xml:space="preserve">  </w:t>
            </w:r>
          </w:p>
          <w:p w14:paraId="53B63F19" w14:textId="77777777" w:rsidR="001F5EE8" w:rsidRPr="00FC380A" w:rsidRDefault="001F5EE8" w:rsidP="007633FF">
            <w:pPr>
              <w:tabs>
                <w:tab w:val="center" w:pos="1812"/>
              </w:tabs>
              <w:rPr>
                <w:rFonts w:ascii="Arial" w:hAnsi="Arial" w:cs="Arial"/>
                <w:sz w:val="22"/>
                <w:szCs w:val="22"/>
                <w:u w:val="single"/>
              </w:rPr>
            </w:pPr>
          </w:p>
        </w:tc>
        <w:tc>
          <w:tcPr>
            <w:tcW w:w="1104" w:type="pct"/>
          </w:tcPr>
          <w:p w14:paraId="119F8C8F" w14:textId="6FF84DF6" w:rsidR="001F5EE8" w:rsidRPr="00171927" w:rsidRDefault="00171927" w:rsidP="007633FF">
            <w:pPr>
              <w:tabs>
                <w:tab w:val="center" w:pos="1812"/>
              </w:tabs>
              <w:rPr>
                <w:rFonts w:ascii="Arial" w:hAnsi="Arial" w:cs="Arial"/>
                <w:sz w:val="22"/>
                <w:szCs w:val="22"/>
              </w:rPr>
            </w:pPr>
            <w:r w:rsidRPr="00171927">
              <w:rPr>
                <w:rFonts w:ascii="Arial" w:hAnsi="Arial" w:cs="Arial"/>
                <w:sz w:val="22"/>
                <w:szCs w:val="22"/>
              </w:rPr>
              <w:t>Injection should have been administer</w:t>
            </w:r>
            <w:r>
              <w:rPr>
                <w:rFonts w:ascii="Arial" w:hAnsi="Arial" w:cs="Arial"/>
                <w:sz w:val="22"/>
                <w:szCs w:val="22"/>
              </w:rPr>
              <w:t>ed</w:t>
            </w:r>
            <w:r w:rsidRPr="00171927">
              <w:rPr>
                <w:rFonts w:ascii="Arial" w:hAnsi="Arial" w:cs="Arial"/>
                <w:sz w:val="22"/>
                <w:szCs w:val="22"/>
              </w:rPr>
              <w:t xml:space="preserve"> IM but RN refused to administer to patient and encouraged and directed carer to administer injection </w:t>
            </w:r>
            <w:r w:rsidRPr="00171927">
              <w:rPr>
                <w:rFonts w:ascii="Arial" w:hAnsi="Arial" w:cs="Arial"/>
                <w:sz w:val="22"/>
                <w:szCs w:val="22"/>
                <w:u w:val="single"/>
              </w:rPr>
              <w:t>subcutaneously</w:t>
            </w:r>
            <w:r w:rsidRPr="00171927">
              <w:rPr>
                <w:rFonts w:ascii="Arial" w:hAnsi="Arial" w:cs="Arial"/>
                <w:sz w:val="22"/>
                <w:szCs w:val="22"/>
              </w:rPr>
              <w:t>.</w:t>
            </w:r>
            <w:r>
              <w:rPr>
                <w:rFonts w:ascii="Arial" w:hAnsi="Arial" w:cs="Arial"/>
                <w:sz w:val="22"/>
                <w:szCs w:val="22"/>
              </w:rPr>
              <w:t xml:space="preserve"> Allocated visits to this RN have been reviewed. Manager met with senior carer and team lead to ascertain if any harm came to the patient. </w:t>
            </w:r>
          </w:p>
        </w:tc>
      </w:tr>
      <w:tr w:rsidR="00384E6F" w14:paraId="26B08496" w14:textId="77777777" w:rsidTr="001C5465">
        <w:tc>
          <w:tcPr>
            <w:tcW w:w="596" w:type="pct"/>
          </w:tcPr>
          <w:p w14:paraId="1CADE8E7" w14:textId="4B5D6D59" w:rsidR="001F5EE8" w:rsidRPr="00171927" w:rsidRDefault="00384E6F" w:rsidP="007633FF">
            <w:pPr>
              <w:tabs>
                <w:tab w:val="center" w:pos="1812"/>
              </w:tabs>
              <w:rPr>
                <w:rFonts w:ascii="Arial" w:hAnsi="Arial" w:cs="Arial"/>
                <w:sz w:val="22"/>
                <w:szCs w:val="22"/>
              </w:rPr>
            </w:pPr>
            <w:r w:rsidRPr="00171927">
              <w:rPr>
                <w:rFonts w:ascii="Arial" w:hAnsi="Arial" w:cs="Arial"/>
                <w:sz w:val="22"/>
                <w:szCs w:val="22"/>
              </w:rPr>
              <w:t>5800</w:t>
            </w:r>
          </w:p>
        </w:tc>
        <w:tc>
          <w:tcPr>
            <w:tcW w:w="699" w:type="pct"/>
          </w:tcPr>
          <w:p w14:paraId="56CC9439" w14:textId="36BB3FF4" w:rsidR="001F5EE8" w:rsidRPr="00171927" w:rsidRDefault="00171927" w:rsidP="007633FF">
            <w:pPr>
              <w:tabs>
                <w:tab w:val="center" w:pos="1812"/>
              </w:tabs>
              <w:rPr>
                <w:rFonts w:ascii="Arial" w:hAnsi="Arial" w:cs="Arial"/>
                <w:sz w:val="22"/>
                <w:szCs w:val="22"/>
              </w:rPr>
            </w:pPr>
            <w:r w:rsidRPr="00171927">
              <w:rPr>
                <w:rFonts w:ascii="Arial" w:hAnsi="Arial" w:cs="Arial"/>
                <w:sz w:val="22"/>
                <w:szCs w:val="22"/>
              </w:rPr>
              <w:t xml:space="preserve">Newham MH – Topaz ward </w:t>
            </w:r>
          </w:p>
        </w:tc>
        <w:tc>
          <w:tcPr>
            <w:tcW w:w="2601" w:type="pct"/>
          </w:tcPr>
          <w:p w14:paraId="3208FC05" w14:textId="2088B2B5" w:rsidR="00171927" w:rsidRPr="00171927" w:rsidRDefault="00171927" w:rsidP="00171927">
            <w:pPr>
              <w:tabs>
                <w:tab w:val="center" w:pos="1812"/>
              </w:tabs>
              <w:rPr>
                <w:rFonts w:ascii="Arial" w:hAnsi="Arial" w:cs="Arial"/>
                <w:sz w:val="22"/>
                <w:szCs w:val="22"/>
              </w:rPr>
            </w:pPr>
            <w:r w:rsidRPr="00171927">
              <w:rPr>
                <w:rFonts w:ascii="Arial" w:hAnsi="Arial" w:cs="Arial"/>
                <w:sz w:val="22"/>
                <w:szCs w:val="22"/>
              </w:rPr>
              <w:t>It was noted that one of t</w:t>
            </w:r>
            <w:r>
              <w:rPr>
                <w:rFonts w:ascii="Arial" w:hAnsi="Arial" w:cs="Arial"/>
                <w:sz w:val="22"/>
                <w:szCs w:val="22"/>
              </w:rPr>
              <w:t>he patients in Topaz ward was not</w:t>
            </w:r>
            <w:r w:rsidRPr="00171927">
              <w:rPr>
                <w:rFonts w:ascii="Arial" w:hAnsi="Arial" w:cs="Arial"/>
                <w:sz w:val="22"/>
                <w:szCs w:val="22"/>
              </w:rPr>
              <w:t xml:space="preserve"> improving in his mental state despite increasing his mental health medication. Routine blood tests revealed low levels of thyroid, which on further e</w:t>
            </w:r>
            <w:r>
              <w:rPr>
                <w:rFonts w:ascii="Arial" w:hAnsi="Arial" w:cs="Arial"/>
                <w:sz w:val="22"/>
                <w:szCs w:val="22"/>
              </w:rPr>
              <w:t>xploration showed that he was not</w:t>
            </w:r>
            <w:r w:rsidRPr="00171927">
              <w:rPr>
                <w:rFonts w:ascii="Arial" w:hAnsi="Arial" w:cs="Arial"/>
                <w:sz w:val="22"/>
                <w:szCs w:val="22"/>
              </w:rPr>
              <w:t xml:space="preserve"> receiving any thyroxine. </w:t>
            </w:r>
          </w:p>
          <w:p w14:paraId="015F324A" w14:textId="709AD206" w:rsidR="001F5EE8" w:rsidRPr="00171927" w:rsidRDefault="00171927" w:rsidP="00171927">
            <w:pPr>
              <w:tabs>
                <w:tab w:val="center" w:pos="1812"/>
              </w:tabs>
              <w:rPr>
                <w:rFonts w:ascii="Arial" w:hAnsi="Arial" w:cs="Arial"/>
                <w:sz w:val="22"/>
                <w:szCs w:val="22"/>
              </w:rPr>
            </w:pPr>
            <w:r w:rsidRPr="00171927">
              <w:rPr>
                <w:rFonts w:ascii="Arial" w:hAnsi="Arial" w:cs="Arial"/>
                <w:sz w:val="22"/>
                <w:szCs w:val="22"/>
              </w:rPr>
              <w:t xml:space="preserve">On probing why this happened, it came to light that </w:t>
            </w:r>
            <w:r w:rsidRPr="00171927">
              <w:rPr>
                <w:rFonts w:ascii="Arial" w:hAnsi="Arial" w:cs="Arial"/>
                <w:sz w:val="22"/>
                <w:szCs w:val="22"/>
                <w:highlight w:val="yellow"/>
              </w:rPr>
              <w:t>since his admission in late November 2023, he has not been receiving any of his physical health medications including thyroxine, anti hypertensive</w:t>
            </w:r>
            <w:r w:rsidR="001C5465">
              <w:rPr>
                <w:rFonts w:ascii="Arial" w:hAnsi="Arial" w:cs="Arial"/>
                <w:sz w:val="22"/>
                <w:szCs w:val="22"/>
                <w:highlight w:val="yellow"/>
              </w:rPr>
              <w:t xml:space="preserve">s and oral hypoglycaemic agents </w:t>
            </w:r>
            <w:r w:rsidR="001C5465">
              <w:rPr>
                <w:rFonts w:ascii="Arial" w:hAnsi="Arial" w:cs="Arial"/>
                <w:sz w:val="22"/>
                <w:szCs w:val="22"/>
              </w:rPr>
              <w:t xml:space="preserve">(2 months witout physical health medicines) </w:t>
            </w:r>
          </w:p>
        </w:tc>
        <w:tc>
          <w:tcPr>
            <w:tcW w:w="1104" w:type="pct"/>
          </w:tcPr>
          <w:p w14:paraId="3C1903B8" w14:textId="5BE64724" w:rsidR="001F5EE8" w:rsidRPr="00171927" w:rsidRDefault="001C5465" w:rsidP="001C5465">
            <w:pPr>
              <w:tabs>
                <w:tab w:val="center" w:pos="1812"/>
              </w:tabs>
              <w:rPr>
                <w:rFonts w:ascii="Arial" w:hAnsi="Arial" w:cs="Arial"/>
                <w:sz w:val="22"/>
                <w:szCs w:val="22"/>
              </w:rPr>
            </w:pPr>
            <w:r w:rsidRPr="001C5465">
              <w:rPr>
                <w:rFonts w:ascii="Arial" w:hAnsi="Arial" w:cs="Arial"/>
                <w:sz w:val="22"/>
                <w:szCs w:val="22"/>
              </w:rPr>
              <w:t>Previous HIE and GP records were chec</w:t>
            </w:r>
            <w:r w:rsidR="00850DFD">
              <w:rPr>
                <w:rFonts w:ascii="Arial" w:hAnsi="Arial" w:cs="Arial"/>
                <w:sz w:val="22"/>
                <w:szCs w:val="22"/>
              </w:rPr>
              <w:t>ked immediately to determine SU’s</w:t>
            </w:r>
            <w:r w:rsidRPr="001C5465">
              <w:rPr>
                <w:rFonts w:ascii="Arial" w:hAnsi="Arial" w:cs="Arial"/>
                <w:sz w:val="22"/>
                <w:szCs w:val="22"/>
              </w:rPr>
              <w:t xml:space="preserve"> regular medications and these were prescribed promptly. </w:t>
            </w:r>
            <w:r>
              <w:rPr>
                <w:rFonts w:ascii="Arial" w:hAnsi="Arial" w:cs="Arial"/>
                <w:sz w:val="22"/>
                <w:szCs w:val="22"/>
              </w:rPr>
              <w:t xml:space="preserve">DOC was completed and an AAR has been requested </w:t>
            </w:r>
          </w:p>
        </w:tc>
      </w:tr>
    </w:tbl>
    <w:p w14:paraId="58D89EBC" w14:textId="0F22D262" w:rsidR="001F5EE8" w:rsidRDefault="001F5EE8" w:rsidP="007633FF">
      <w:pPr>
        <w:tabs>
          <w:tab w:val="center" w:pos="1812"/>
        </w:tabs>
        <w:rPr>
          <w:rFonts w:ascii="Arial" w:hAnsi="Arial" w:cs="Arial"/>
          <w:b/>
          <w:u w:val="single"/>
        </w:rPr>
      </w:pPr>
    </w:p>
    <w:p w14:paraId="639123AA" w14:textId="05033379" w:rsidR="00B241F7" w:rsidRDefault="00850DFD" w:rsidP="00AA4270">
      <w:pPr>
        <w:tabs>
          <w:tab w:val="center" w:pos="1812"/>
        </w:tabs>
        <w:rPr>
          <w:rFonts w:ascii="Arial" w:hAnsi="Arial" w:cs="Arial"/>
          <w:b/>
          <w:u w:val="single"/>
        </w:rPr>
      </w:pPr>
      <w:r>
        <w:rPr>
          <w:rFonts w:ascii="Arial" w:hAnsi="Arial" w:cs="Arial"/>
          <w:b/>
          <w:u w:val="single"/>
        </w:rPr>
        <w:t xml:space="preserve">REPORTED AS A </w:t>
      </w:r>
      <w:r w:rsidR="00384E6F">
        <w:rPr>
          <w:rFonts w:ascii="Arial" w:hAnsi="Arial" w:cs="Arial"/>
          <w:b/>
          <w:u w:val="single"/>
        </w:rPr>
        <w:t>SEVERE</w:t>
      </w:r>
      <w:r>
        <w:rPr>
          <w:rFonts w:ascii="Arial" w:hAnsi="Arial" w:cs="Arial"/>
          <w:b/>
          <w:u w:val="single"/>
        </w:rPr>
        <w:t xml:space="preserve"> PHYSICAL</w:t>
      </w:r>
      <w:r w:rsidR="00384E6F">
        <w:rPr>
          <w:rFonts w:ascii="Arial" w:hAnsi="Arial" w:cs="Arial"/>
          <w:b/>
          <w:u w:val="single"/>
        </w:rPr>
        <w:t xml:space="preserve"> HARM</w:t>
      </w:r>
      <w:r>
        <w:rPr>
          <w:rFonts w:ascii="Arial" w:hAnsi="Arial" w:cs="Arial"/>
          <w:b/>
          <w:u w:val="single"/>
        </w:rPr>
        <w:t xml:space="preserve"> </w:t>
      </w:r>
      <w:r w:rsidR="00384E6F">
        <w:rPr>
          <w:rFonts w:ascii="Arial" w:hAnsi="Arial" w:cs="Arial"/>
          <w:b/>
          <w:u w:val="single"/>
        </w:rPr>
        <w:t xml:space="preserve"> </w:t>
      </w:r>
    </w:p>
    <w:p w14:paraId="48DCA7D9" w14:textId="71FA5B46" w:rsidR="00B241F7" w:rsidRDefault="00B241F7" w:rsidP="00384E6F">
      <w:pPr>
        <w:tabs>
          <w:tab w:val="center" w:pos="1812"/>
        </w:tabs>
        <w:rPr>
          <w:rFonts w:ascii="Arial" w:hAnsi="Arial" w:cs="Arial"/>
          <w:b/>
          <w:u w:val="single"/>
        </w:rPr>
      </w:pPr>
      <w:r>
        <w:rPr>
          <w:rFonts w:ascii="Arial" w:hAnsi="Arial" w:cs="Arial"/>
          <w:b/>
          <w:u w:val="single"/>
        </w:rPr>
        <w:t xml:space="preserve">LFPSE 00005732 </w:t>
      </w:r>
    </w:p>
    <w:tbl>
      <w:tblPr>
        <w:tblStyle w:val="TableGrid"/>
        <w:tblW w:w="10627" w:type="dxa"/>
        <w:tblLook w:val="04A0" w:firstRow="1" w:lastRow="0" w:firstColumn="1" w:lastColumn="0" w:noHBand="0" w:noVBand="1"/>
      </w:tblPr>
      <w:tblGrid>
        <w:gridCol w:w="1271"/>
        <w:gridCol w:w="1418"/>
        <w:gridCol w:w="5670"/>
        <w:gridCol w:w="2268"/>
      </w:tblGrid>
      <w:tr w:rsidR="00850DFD" w14:paraId="05D31FAB" w14:textId="77777777" w:rsidTr="00850DFD">
        <w:tc>
          <w:tcPr>
            <w:tcW w:w="1271" w:type="dxa"/>
          </w:tcPr>
          <w:p w14:paraId="576933D5" w14:textId="3CA0BD84" w:rsidR="00850DFD" w:rsidRPr="00850DFD" w:rsidRDefault="00850DFD" w:rsidP="00AA4270">
            <w:pPr>
              <w:tabs>
                <w:tab w:val="center" w:pos="1812"/>
              </w:tabs>
              <w:rPr>
                <w:rFonts w:ascii="Arial" w:hAnsi="Arial" w:cs="Arial"/>
                <w:sz w:val="22"/>
                <w:szCs w:val="22"/>
              </w:rPr>
            </w:pPr>
            <w:r w:rsidRPr="00850DFD">
              <w:rPr>
                <w:rFonts w:ascii="Arial" w:hAnsi="Arial" w:cs="Arial"/>
                <w:sz w:val="22"/>
                <w:szCs w:val="22"/>
              </w:rPr>
              <w:t>5732</w:t>
            </w:r>
          </w:p>
        </w:tc>
        <w:tc>
          <w:tcPr>
            <w:tcW w:w="1418" w:type="dxa"/>
          </w:tcPr>
          <w:p w14:paraId="79F64EC3" w14:textId="19790B11" w:rsidR="00850DFD" w:rsidRPr="00850DFD" w:rsidRDefault="00850DFD" w:rsidP="00AA4270">
            <w:pPr>
              <w:tabs>
                <w:tab w:val="center" w:pos="1812"/>
              </w:tabs>
              <w:rPr>
                <w:rFonts w:ascii="Arial" w:hAnsi="Arial" w:cs="Arial"/>
                <w:sz w:val="22"/>
                <w:szCs w:val="22"/>
              </w:rPr>
            </w:pPr>
            <w:r w:rsidRPr="00850DFD">
              <w:rPr>
                <w:rFonts w:ascii="Arial" w:hAnsi="Arial" w:cs="Arial"/>
                <w:sz w:val="22"/>
                <w:szCs w:val="22"/>
              </w:rPr>
              <w:t xml:space="preserve">C&amp;H – Joshua ward </w:t>
            </w:r>
          </w:p>
        </w:tc>
        <w:tc>
          <w:tcPr>
            <w:tcW w:w="5670" w:type="dxa"/>
          </w:tcPr>
          <w:p w14:paraId="79388D9E" w14:textId="2CF84489" w:rsidR="00850DFD" w:rsidRPr="00850DFD" w:rsidRDefault="00850DFD" w:rsidP="00850DFD">
            <w:pPr>
              <w:tabs>
                <w:tab w:val="center" w:pos="1812"/>
              </w:tabs>
              <w:rPr>
                <w:rFonts w:ascii="Arial" w:hAnsi="Arial" w:cs="Arial"/>
                <w:sz w:val="22"/>
                <w:szCs w:val="22"/>
              </w:rPr>
            </w:pPr>
            <w:r w:rsidRPr="00850DFD">
              <w:rPr>
                <w:rFonts w:ascii="Arial" w:hAnsi="Arial" w:cs="Arial"/>
                <w:sz w:val="22"/>
                <w:szCs w:val="22"/>
              </w:rPr>
              <w:t xml:space="preserve">Patient was transferred back to Joshua ward from HUH on 31/1/24 without a discharge summary. It was discussed in the morning huddle to chase up discharge summary. </w:t>
            </w:r>
            <w:r w:rsidRPr="00850DFD">
              <w:rPr>
                <w:rFonts w:ascii="Arial" w:hAnsi="Arial" w:cs="Arial"/>
                <w:sz w:val="22"/>
                <w:szCs w:val="22"/>
                <w:highlight w:val="yellow"/>
              </w:rPr>
              <w:t>SU had a hypo on 05/02/24 and was admitted to HUH again. Upon investigation, ward team found out that during patient's time at HUH, there were changes to anti-diabetic medication and so gliclazide was stopped.</w:t>
            </w:r>
            <w:r w:rsidRPr="00850DFD">
              <w:rPr>
                <w:rFonts w:ascii="Arial" w:hAnsi="Arial" w:cs="Arial"/>
                <w:sz w:val="22"/>
                <w:szCs w:val="22"/>
              </w:rPr>
              <w:t xml:space="preserve"> </w:t>
            </w:r>
            <w:r w:rsidRPr="00850DFD">
              <w:rPr>
                <w:rFonts w:ascii="Arial" w:hAnsi="Arial" w:cs="Arial"/>
                <w:sz w:val="22"/>
                <w:szCs w:val="22"/>
                <w:highlight w:val="yellow"/>
              </w:rPr>
              <w:t>However, since there was no discharge summary when patient returned to Joshua ward, gliclazide was prescribed and continually given</w:t>
            </w:r>
            <w:r w:rsidRPr="00850DFD">
              <w:rPr>
                <w:rFonts w:ascii="Arial" w:hAnsi="Arial" w:cs="Arial"/>
                <w:sz w:val="22"/>
                <w:szCs w:val="22"/>
              </w:rPr>
              <w:t xml:space="preserve"> </w:t>
            </w:r>
          </w:p>
        </w:tc>
        <w:tc>
          <w:tcPr>
            <w:tcW w:w="2268" w:type="dxa"/>
          </w:tcPr>
          <w:p w14:paraId="099DCD21" w14:textId="15C4F2DE" w:rsidR="00850DFD" w:rsidRPr="00850DFD" w:rsidRDefault="00850DFD" w:rsidP="00AA4270">
            <w:pPr>
              <w:tabs>
                <w:tab w:val="center" w:pos="1812"/>
              </w:tabs>
              <w:rPr>
                <w:rFonts w:ascii="Arial" w:hAnsi="Arial" w:cs="Arial"/>
                <w:sz w:val="22"/>
                <w:szCs w:val="22"/>
              </w:rPr>
            </w:pPr>
            <w:r w:rsidRPr="00850DFD">
              <w:rPr>
                <w:rFonts w:ascii="Arial" w:hAnsi="Arial" w:cs="Arial"/>
                <w:sz w:val="22"/>
                <w:szCs w:val="22"/>
              </w:rPr>
              <w:t xml:space="preserve">Ward team to ensure in future that patients should not return from acute hospital without a discharge summary and a handover. DOC requested and completed. </w:t>
            </w:r>
          </w:p>
        </w:tc>
      </w:tr>
    </w:tbl>
    <w:p w14:paraId="103B17A7" w14:textId="77777777" w:rsidR="00B241F7" w:rsidRDefault="00B241F7" w:rsidP="00AA4270">
      <w:pPr>
        <w:tabs>
          <w:tab w:val="center" w:pos="1812"/>
        </w:tabs>
        <w:rPr>
          <w:rFonts w:ascii="Arial" w:hAnsi="Arial" w:cs="Arial"/>
          <w:b/>
          <w:u w:val="single"/>
        </w:rPr>
      </w:pPr>
    </w:p>
    <w:p w14:paraId="518521AD" w14:textId="77777777" w:rsidR="00B241F7" w:rsidRDefault="00B241F7" w:rsidP="00AA4270">
      <w:pPr>
        <w:tabs>
          <w:tab w:val="center" w:pos="1812"/>
        </w:tabs>
        <w:rPr>
          <w:rFonts w:ascii="Arial" w:hAnsi="Arial" w:cs="Arial"/>
          <w:b/>
          <w:u w:val="single"/>
        </w:rPr>
      </w:pPr>
    </w:p>
    <w:p w14:paraId="08C31E48" w14:textId="77777777" w:rsidR="00A2748E" w:rsidRDefault="00A2748E" w:rsidP="00AA4270">
      <w:pPr>
        <w:tabs>
          <w:tab w:val="center" w:pos="1812"/>
        </w:tabs>
        <w:rPr>
          <w:rFonts w:ascii="Arial" w:hAnsi="Arial" w:cs="Arial"/>
          <w:b/>
          <w:u w:val="single"/>
        </w:rPr>
      </w:pPr>
    </w:p>
    <w:p w14:paraId="30D66CD8" w14:textId="488418CF" w:rsidR="008E7252" w:rsidRPr="00C279DA" w:rsidRDefault="008E7252" w:rsidP="006D678B">
      <w:pPr>
        <w:rPr>
          <w:rFonts w:ascii="Arial" w:hAnsi="Arial" w:cs="Arial"/>
        </w:rPr>
        <w:sectPr w:rsidR="008E7252" w:rsidRPr="00C279DA" w:rsidSect="00873D23">
          <w:headerReference w:type="default" r:id="rId11"/>
          <w:footerReference w:type="default" r:id="rId12"/>
          <w:pgSz w:w="11906" w:h="16838"/>
          <w:pgMar w:top="244" w:right="720" w:bottom="720" w:left="720" w:header="433" w:footer="406" w:gutter="0"/>
          <w:cols w:space="708"/>
          <w:docGrid w:linePitch="360"/>
        </w:sectPr>
      </w:pPr>
    </w:p>
    <w:p w14:paraId="2D1A5A3C" w14:textId="5849C0C2" w:rsidR="00327348" w:rsidRPr="00153EC0" w:rsidRDefault="0054065F" w:rsidP="00C57E96">
      <w:pPr>
        <w:jc w:val="center"/>
        <w:rPr>
          <w:rFonts w:ascii="Arial" w:hAnsi="Arial" w:cs="Arial"/>
          <w:b/>
          <w:sz w:val="32"/>
          <w:szCs w:val="32"/>
          <w:u w:val="single"/>
        </w:rPr>
      </w:pPr>
      <w:r w:rsidRPr="00153EC0">
        <w:rPr>
          <w:rFonts w:ascii="Arial" w:hAnsi="Arial" w:cs="Arial"/>
          <w:b/>
          <w:sz w:val="32"/>
          <w:szCs w:val="32"/>
          <w:u w:val="single"/>
        </w:rPr>
        <w:t>L</w:t>
      </w:r>
      <w:r w:rsidR="00C57E96" w:rsidRPr="00153EC0">
        <w:rPr>
          <w:rFonts w:ascii="Arial" w:hAnsi="Arial" w:cs="Arial"/>
          <w:b/>
          <w:sz w:val="32"/>
          <w:szCs w:val="32"/>
          <w:u w:val="single"/>
        </w:rPr>
        <w:t>OCAL MEDICINES SAFETY UPDATES</w:t>
      </w:r>
    </w:p>
    <w:p w14:paraId="2C20A545" w14:textId="7C5C7C8E" w:rsidR="00C57E96" w:rsidRPr="00991AFB" w:rsidRDefault="00991AFB" w:rsidP="007F5CE9">
      <w:pPr>
        <w:pStyle w:val="ListParagraph"/>
        <w:numPr>
          <w:ilvl w:val="0"/>
          <w:numId w:val="9"/>
        </w:numPr>
        <w:rPr>
          <w:rFonts w:ascii="Arial" w:hAnsi="Arial" w:cs="Arial"/>
          <w:b/>
          <w:sz w:val="24"/>
          <w:szCs w:val="24"/>
        </w:rPr>
      </w:pPr>
      <w:r>
        <w:rPr>
          <w:rFonts w:ascii="Arial" w:hAnsi="Arial" w:cs="Arial"/>
          <w:b/>
          <w:sz w:val="24"/>
          <w:szCs w:val="24"/>
        </w:rPr>
        <w:t xml:space="preserve">TRUSTWIDE VALPROATE GROUP </w:t>
      </w:r>
      <w:r w:rsidRPr="00C57E96">
        <w:rPr>
          <w:rFonts w:ascii="Arial" w:hAnsi="Arial" w:cs="Arial"/>
          <w:b/>
          <w:sz w:val="24"/>
          <w:szCs w:val="24"/>
        </w:rPr>
        <w:t xml:space="preserve">– </w:t>
      </w:r>
      <w:r w:rsidRPr="00991AFB">
        <w:rPr>
          <w:rFonts w:ascii="Arial" w:hAnsi="Arial" w:cs="Arial"/>
          <w:sz w:val="24"/>
          <w:szCs w:val="24"/>
        </w:rPr>
        <w:t>Formation</w:t>
      </w:r>
      <w:r w:rsidR="00C57E96" w:rsidRPr="00C57E96">
        <w:rPr>
          <w:rFonts w:ascii="Arial" w:hAnsi="Arial" w:cs="Arial"/>
          <w:sz w:val="24"/>
          <w:szCs w:val="24"/>
        </w:rPr>
        <w:t xml:space="preserve"> of new policy</w:t>
      </w:r>
      <w:r w:rsidR="00C57E96">
        <w:rPr>
          <w:rFonts w:ascii="Arial" w:hAnsi="Arial" w:cs="Arial"/>
          <w:sz w:val="24"/>
          <w:szCs w:val="24"/>
        </w:rPr>
        <w:t xml:space="preserve"> in line with national requirements with valproate. NEL ICB have sent over data on female patients prescribed valproate. Data is currently being analysed.</w:t>
      </w:r>
    </w:p>
    <w:p w14:paraId="7407E95C" w14:textId="77777777" w:rsidR="00991AFB" w:rsidRPr="00C57E96" w:rsidRDefault="00991AFB" w:rsidP="00991AFB">
      <w:pPr>
        <w:pStyle w:val="ListParagraph"/>
        <w:rPr>
          <w:rFonts w:ascii="Arial" w:hAnsi="Arial" w:cs="Arial"/>
          <w:b/>
          <w:sz w:val="24"/>
          <w:szCs w:val="24"/>
        </w:rPr>
      </w:pPr>
    </w:p>
    <w:p w14:paraId="227F68FF" w14:textId="7F6D3EC3" w:rsidR="00991AFB" w:rsidRPr="00991AFB" w:rsidRDefault="00991AFB" w:rsidP="007F5CE9">
      <w:pPr>
        <w:pStyle w:val="ListParagraph"/>
        <w:numPr>
          <w:ilvl w:val="0"/>
          <w:numId w:val="9"/>
        </w:numPr>
        <w:rPr>
          <w:rFonts w:ascii="Arial" w:hAnsi="Arial" w:cs="Arial"/>
          <w:b/>
          <w:sz w:val="24"/>
          <w:szCs w:val="24"/>
        </w:rPr>
      </w:pPr>
      <w:r w:rsidRPr="00991AFB">
        <w:rPr>
          <w:rFonts w:ascii="Arial" w:hAnsi="Arial" w:cs="Arial"/>
          <w:b/>
          <w:sz w:val="24"/>
          <w:szCs w:val="24"/>
        </w:rPr>
        <w:t xml:space="preserve">SYSTEM WIDE WORKING </w:t>
      </w:r>
      <w:r w:rsidR="00C57E96" w:rsidRPr="00991AFB">
        <w:rPr>
          <w:rFonts w:ascii="Arial" w:hAnsi="Arial" w:cs="Arial"/>
          <w:b/>
          <w:sz w:val="24"/>
          <w:szCs w:val="24"/>
        </w:rPr>
        <w:t xml:space="preserve"> </w:t>
      </w:r>
    </w:p>
    <w:p w14:paraId="217CD3CA" w14:textId="77777777" w:rsidR="00991AFB" w:rsidRPr="00991AFB" w:rsidRDefault="000D00E9" w:rsidP="007F5CE9">
      <w:pPr>
        <w:pStyle w:val="ListParagraph"/>
        <w:numPr>
          <w:ilvl w:val="1"/>
          <w:numId w:val="9"/>
        </w:numPr>
        <w:rPr>
          <w:rFonts w:ascii="Arial" w:hAnsi="Arial" w:cs="Arial"/>
          <w:b/>
          <w:sz w:val="24"/>
          <w:szCs w:val="24"/>
        </w:rPr>
      </w:pPr>
      <w:r w:rsidRPr="00991AFB">
        <w:rPr>
          <w:rFonts w:ascii="Arial" w:hAnsi="Arial" w:cs="Arial"/>
        </w:rPr>
        <w:t xml:space="preserve">NEL MSQG: North East London Medicines Safety Quality Group </w:t>
      </w:r>
    </w:p>
    <w:p w14:paraId="7F6D3A39" w14:textId="77777777" w:rsidR="007F5CE9" w:rsidRPr="007F5CE9" w:rsidRDefault="005A57A5" w:rsidP="007F5CE9">
      <w:pPr>
        <w:pStyle w:val="ListParagraph"/>
        <w:numPr>
          <w:ilvl w:val="1"/>
          <w:numId w:val="9"/>
        </w:numPr>
        <w:rPr>
          <w:rFonts w:ascii="Arial" w:hAnsi="Arial" w:cs="Arial"/>
          <w:b/>
          <w:sz w:val="24"/>
          <w:szCs w:val="24"/>
        </w:rPr>
      </w:pPr>
      <w:r w:rsidRPr="00991AFB">
        <w:rPr>
          <w:rFonts w:ascii="Arial" w:hAnsi="Arial" w:cs="Arial"/>
        </w:rPr>
        <w:t>NEL High R</w:t>
      </w:r>
      <w:r w:rsidR="00625427" w:rsidRPr="00991AFB">
        <w:rPr>
          <w:rFonts w:ascii="Arial" w:hAnsi="Arial" w:cs="Arial"/>
        </w:rPr>
        <w:t>isk Medicines</w:t>
      </w:r>
      <w:r w:rsidR="007F5CE9">
        <w:rPr>
          <w:rFonts w:ascii="Arial" w:hAnsi="Arial" w:cs="Arial"/>
        </w:rPr>
        <w:t xml:space="preserve"> Network</w:t>
      </w:r>
    </w:p>
    <w:p w14:paraId="2119F6EA" w14:textId="432F0F5D" w:rsidR="00991AFB" w:rsidRPr="00991AFB" w:rsidRDefault="00625427" w:rsidP="007F5CE9">
      <w:pPr>
        <w:pStyle w:val="ListParagraph"/>
        <w:numPr>
          <w:ilvl w:val="2"/>
          <w:numId w:val="9"/>
        </w:numPr>
        <w:rPr>
          <w:rFonts w:ascii="Arial" w:hAnsi="Arial" w:cs="Arial"/>
          <w:b/>
          <w:sz w:val="24"/>
          <w:szCs w:val="24"/>
        </w:rPr>
      </w:pPr>
      <w:r w:rsidRPr="00991AFB">
        <w:rPr>
          <w:rFonts w:ascii="Arial" w:hAnsi="Arial" w:cs="Arial"/>
        </w:rPr>
        <w:t>Valproate and Insulin subgroups</w:t>
      </w:r>
    </w:p>
    <w:p w14:paraId="20FF50E9" w14:textId="2A506FBA" w:rsidR="00991AFB" w:rsidRPr="00991AFB" w:rsidRDefault="00625427" w:rsidP="007F5CE9">
      <w:pPr>
        <w:pStyle w:val="ListParagraph"/>
        <w:numPr>
          <w:ilvl w:val="1"/>
          <w:numId w:val="9"/>
        </w:numPr>
        <w:rPr>
          <w:rFonts w:ascii="Arial" w:hAnsi="Arial" w:cs="Arial"/>
          <w:b/>
          <w:sz w:val="24"/>
          <w:szCs w:val="24"/>
        </w:rPr>
      </w:pPr>
      <w:r w:rsidRPr="00991AFB">
        <w:rPr>
          <w:rFonts w:ascii="Arial" w:hAnsi="Arial" w:cs="Arial"/>
        </w:rPr>
        <w:t>NEL Opioid Discharge W</w:t>
      </w:r>
      <w:r w:rsidR="00D7011C" w:rsidRPr="00991AFB">
        <w:rPr>
          <w:rFonts w:ascii="Arial" w:hAnsi="Arial" w:cs="Arial"/>
        </w:rPr>
        <w:t>orkstream</w:t>
      </w:r>
      <w:r w:rsidR="007F5CE9">
        <w:rPr>
          <w:rFonts w:ascii="Arial" w:hAnsi="Arial" w:cs="Arial"/>
        </w:rPr>
        <w:t xml:space="preserve"> </w:t>
      </w:r>
    </w:p>
    <w:p w14:paraId="5298B06A" w14:textId="60B6ED11" w:rsidR="00991AFB" w:rsidRPr="00991AFB" w:rsidRDefault="0024305D" w:rsidP="007F5CE9">
      <w:pPr>
        <w:pStyle w:val="ListParagraph"/>
        <w:numPr>
          <w:ilvl w:val="1"/>
          <w:numId w:val="9"/>
        </w:numPr>
        <w:rPr>
          <w:rFonts w:ascii="Arial" w:hAnsi="Arial" w:cs="Arial"/>
          <w:b/>
          <w:sz w:val="24"/>
          <w:szCs w:val="24"/>
        </w:rPr>
      </w:pPr>
      <w:r w:rsidRPr="00991AFB">
        <w:rPr>
          <w:rFonts w:ascii="Arial" w:hAnsi="Arial" w:cs="Arial"/>
        </w:rPr>
        <w:t>BLMK Medicines Safety Group</w:t>
      </w:r>
    </w:p>
    <w:p w14:paraId="64B181DC" w14:textId="77777777" w:rsidR="00991AFB" w:rsidRPr="007F5CE9" w:rsidRDefault="00991AFB" w:rsidP="00991AFB">
      <w:pPr>
        <w:pStyle w:val="ListParagraph"/>
        <w:ind w:left="1440"/>
        <w:rPr>
          <w:rFonts w:ascii="Arial" w:hAnsi="Arial" w:cs="Arial"/>
          <w:b/>
          <w:sz w:val="24"/>
          <w:szCs w:val="24"/>
        </w:rPr>
      </w:pPr>
    </w:p>
    <w:p w14:paraId="4BAE1A78" w14:textId="77777777" w:rsidR="00991AFB" w:rsidRPr="007F5CE9" w:rsidRDefault="00991AFB" w:rsidP="007F5CE9">
      <w:pPr>
        <w:pStyle w:val="ListParagraph"/>
        <w:numPr>
          <w:ilvl w:val="0"/>
          <w:numId w:val="9"/>
        </w:numPr>
        <w:rPr>
          <w:rFonts w:ascii="Arial" w:hAnsi="Arial" w:cs="Arial"/>
          <w:b/>
          <w:sz w:val="24"/>
          <w:szCs w:val="24"/>
        </w:rPr>
      </w:pPr>
      <w:r w:rsidRPr="007F5CE9">
        <w:rPr>
          <w:rFonts w:ascii="Arial" w:hAnsi="Arial" w:cs="Arial"/>
          <w:b/>
          <w:sz w:val="24"/>
          <w:szCs w:val="24"/>
        </w:rPr>
        <w:t xml:space="preserve">DIGITAL </w:t>
      </w:r>
    </w:p>
    <w:p w14:paraId="207B7AD0" w14:textId="6A491E60" w:rsidR="007F5CE9" w:rsidRPr="007F5CE9" w:rsidRDefault="005A57A5" w:rsidP="007F5CE9">
      <w:pPr>
        <w:pStyle w:val="ListParagraph"/>
        <w:numPr>
          <w:ilvl w:val="1"/>
          <w:numId w:val="9"/>
        </w:numPr>
        <w:rPr>
          <w:rFonts w:ascii="Arial" w:hAnsi="Arial" w:cs="Arial"/>
          <w:b/>
          <w:sz w:val="24"/>
          <w:szCs w:val="24"/>
        </w:rPr>
      </w:pPr>
      <w:r w:rsidRPr="00991AFB">
        <w:rPr>
          <w:rFonts w:ascii="Arial" w:hAnsi="Arial" w:cs="Arial"/>
        </w:rPr>
        <w:t xml:space="preserve">Internal </w:t>
      </w:r>
      <w:r w:rsidR="003B7E3E" w:rsidRPr="00991AFB">
        <w:rPr>
          <w:rFonts w:ascii="Arial" w:hAnsi="Arial" w:cs="Arial"/>
        </w:rPr>
        <w:t xml:space="preserve">Review and revision of EPMA </w:t>
      </w:r>
      <w:r w:rsidR="00261EE2" w:rsidRPr="00991AFB">
        <w:rPr>
          <w:rFonts w:ascii="Arial" w:hAnsi="Arial" w:cs="Arial"/>
        </w:rPr>
        <w:t>reports and work being undertaken to transition some of these onto PowerBI</w:t>
      </w:r>
      <w:r w:rsidR="00991AFB">
        <w:rPr>
          <w:rFonts w:ascii="Arial" w:hAnsi="Arial" w:cs="Arial"/>
        </w:rPr>
        <w:t xml:space="preserve">. </w:t>
      </w:r>
      <w:r w:rsidR="00F63638">
        <w:rPr>
          <w:rFonts w:ascii="Arial" w:hAnsi="Arial" w:cs="Arial"/>
        </w:rPr>
        <w:t xml:space="preserve">Pharmacy </w:t>
      </w:r>
      <w:r w:rsidR="00991AFB">
        <w:rPr>
          <w:rFonts w:ascii="Arial" w:hAnsi="Arial" w:cs="Arial"/>
        </w:rPr>
        <w:t>Dashboard has been agreed and is being constructed by performance team</w:t>
      </w:r>
    </w:p>
    <w:p w14:paraId="1AD97A91" w14:textId="77777777" w:rsidR="007F5CE9" w:rsidRPr="007F5CE9" w:rsidRDefault="007F5CE9" w:rsidP="007F5CE9">
      <w:pPr>
        <w:pStyle w:val="ListParagraph"/>
        <w:ind w:left="1440"/>
        <w:rPr>
          <w:rFonts w:ascii="Arial" w:hAnsi="Arial" w:cs="Arial"/>
          <w:b/>
          <w:sz w:val="24"/>
          <w:szCs w:val="24"/>
        </w:rPr>
      </w:pPr>
    </w:p>
    <w:p w14:paraId="22C13E15" w14:textId="4DB8F09B" w:rsidR="003B7E3E" w:rsidRPr="007F5CE9" w:rsidRDefault="007F5CE9" w:rsidP="007F5CE9">
      <w:pPr>
        <w:pStyle w:val="ListParagraph"/>
        <w:numPr>
          <w:ilvl w:val="0"/>
          <w:numId w:val="9"/>
        </w:numPr>
        <w:rPr>
          <w:rFonts w:ascii="Arial" w:hAnsi="Arial" w:cs="Arial"/>
          <w:sz w:val="24"/>
          <w:szCs w:val="24"/>
        </w:rPr>
      </w:pPr>
      <w:r w:rsidRPr="007F5CE9">
        <w:rPr>
          <w:rFonts w:ascii="Arial" w:hAnsi="Arial" w:cs="Arial"/>
          <w:b/>
          <w:sz w:val="24"/>
          <w:szCs w:val="24"/>
        </w:rPr>
        <w:t>TRUST MEDICINES SAFETY GROUP</w:t>
      </w:r>
      <w:r>
        <w:rPr>
          <w:rFonts w:ascii="Arial" w:hAnsi="Arial" w:cs="Arial"/>
          <w:b/>
        </w:rPr>
        <w:t xml:space="preserve"> – </w:t>
      </w:r>
      <w:r w:rsidRPr="007F5CE9">
        <w:rPr>
          <w:rFonts w:ascii="Arial" w:hAnsi="Arial" w:cs="Arial"/>
        </w:rPr>
        <w:t>First meeting will be 10</w:t>
      </w:r>
      <w:r w:rsidRPr="007F5CE9">
        <w:rPr>
          <w:rFonts w:ascii="Arial" w:hAnsi="Arial" w:cs="Arial"/>
          <w:vertAlign w:val="superscript"/>
        </w:rPr>
        <w:t>th</w:t>
      </w:r>
      <w:r w:rsidRPr="007F5CE9">
        <w:rPr>
          <w:rFonts w:ascii="Arial" w:hAnsi="Arial" w:cs="Arial"/>
        </w:rPr>
        <w:t xml:space="preserve"> April via Teams. Comms will be circulated shortly</w:t>
      </w:r>
      <w:r w:rsidR="00153EC0">
        <w:rPr>
          <w:rFonts w:ascii="Arial" w:hAnsi="Arial" w:cs="Arial"/>
        </w:rPr>
        <w:t xml:space="preserve"> trustwide </w:t>
      </w:r>
    </w:p>
    <w:p w14:paraId="24DA5307" w14:textId="75468651" w:rsidR="007F5CE9" w:rsidRPr="007F5CE9" w:rsidRDefault="007F5CE9" w:rsidP="007F5CE9">
      <w:pPr>
        <w:pStyle w:val="ListParagraph"/>
        <w:rPr>
          <w:rFonts w:ascii="Arial" w:hAnsi="Arial" w:cs="Arial"/>
          <w:sz w:val="24"/>
          <w:szCs w:val="24"/>
        </w:rPr>
      </w:pPr>
    </w:p>
    <w:p w14:paraId="122F2E4B" w14:textId="469B47CC" w:rsidR="007F5CE9" w:rsidRDefault="007633FF" w:rsidP="007F5CE9">
      <w:pPr>
        <w:pStyle w:val="ListParagraph"/>
        <w:numPr>
          <w:ilvl w:val="0"/>
          <w:numId w:val="9"/>
        </w:numPr>
        <w:rPr>
          <w:rFonts w:ascii="Arial" w:hAnsi="Arial" w:cs="Arial"/>
          <w:b/>
          <w:sz w:val="24"/>
          <w:szCs w:val="24"/>
        </w:rPr>
      </w:pPr>
      <w:r w:rsidRPr="007F5CE9">
        <w:rPr>
          <w:rFonts w:ascii="Arial" w:hAnsi="Arial" w:cs="Arial"/>
          <w:b/>
          <w:noProof/>
          <w:sz w:val="24"/>
          <w:szCs w:val="24"/>
          <w:lang w:eastAsia="en-GB"/>
        </w:rPr>
        <w:drawing>
          <wp:anchor distT="0" distB="0" distL="114300" distR="114300" simplePos="0" relativeHeight="251744256" behindDoc="0" locked="0" layoutInCell="1" allowOverlap="1" wp14:anchorId="4BF81E40" wp14:editId="19CD948B">
            <wp:simplePos x="0" y="0"/>
            <wp:positionH relativeFrom="margin">
              <wp:posOffset>3438525</wp:posOffset>
            </wp:positionH>
            <wp:positionV relativeFrom="margin">
              <wp:posOffset>4232910</wp:posOffset>
            </wp:positionV>
            <wp:extent cx="3060065" cy="2247900"/>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60065" cy="2247900"/>
                    </a:xfrm>
                    <a:prstGeom prst="rect">
                      <a:avLst/>
                    </a:prstGeom>
                  </pic:spPr>
                </pic:pic>
              </a:graphicData>
            </a:graphic>
            <wp14:sizeRelV relativeFrom="margin">
              <wp14:pctHeight>0</wp14:pctHeight>
            </wp14:sizeRelV>
          </wp:anchor>
        </w:drawing>
      </w:r>
      <w:r w:rsidR="007F5CE9" w:rsidRPr="007F5CE9">
        <w:rPr>
          <w:rFonts w:ascii="Arial" w:hAnsi="Arial" w:cs="Arial"/>
          <w:b/>
          <w:sz w:val="24"/>
          <w:szCs w:val="24"/>
        </w:rPr>
        <w:t>S</w:t>
      </w:r>
      <w:r w:rsidR="007F5CE9">
        <w:rPr>
          <w:rFonts w:ascii="Arial" w:hAnsi="Arial" w:cs="Arial"/>
          <w:b/>
          <w:sz w:val="24"/>
          <w:szCs w:val="24"/>
        </w:rPr>
        <w:t xml:space="preserve">ECONDARY DISPENSING – </w:t>
      </w:r>
      <w:r w:rsidR="007F5CE9">
        <w:rPr>
          <w:rFonts w:ascii="Arial" w:hAnsi="Arial" w:cs="Arial"/>
          <w:sz w:val="24"/>
          <w:szCs w:val="24"/>
        </w:rPr>
        <w:t xml:space="preserve">Incident reports and observations carried out by </w:t>
      </w:r>
      <w:r>
        <w:rPr>
          <w:rFonts w:ascii="Arial" w:hAnsi="Arial" w:cs="Arial"/>
          <w:sz w:val="24"/>
          <w:szCs w:val="24"/>
        </w:rPr>
        <w:t>RJ</w:t>
      </w:r>
      <w:r w:rsidR="007F5CE9">
        <w:rPr>
          <w:rFonts w:ascii="Arial" w:hAnsi="Arial" w:cs="Arial"/>
          <w:sz w:val="24"/>
          <w:szCs w:val="24"/>
        </w:rPr>
        <w:t xml:space="preserve"> in C&amp;H directorate. Evidence that medicines being prepared in advance of drug round</w:t>
      </w:r>
      <w:r w:rsidR="005F5415">
        <w:rPr>
          <w:rFonts w:ascii="Arial" w:hAnsi="Arial" w:cs="Arial"/>
          <w:sz w:val="24"/>
          <w:szCs w:val="24"/>
        </w:rPr>
        <w:t xml:space="preserve"> with initials/names of patients recorded on the bottom of dispensing pot</w:t>
      </w:r>
      <w:r w:rsidR="007F5CE9">
        <w:rPr>
          <w:rFonts w:ascii="Arial" w:hAnsi="Arial" w:cs="Arial"/>
          <w:sz w:val="24"/>
          <w:szCs w:val="24"/>
        </w:rPr>
        <w:t xml:space="preserve">. There is high risk involved with this form of </w:t>
      </w:r>
      <w:r w:rsidR="00597A5A">
        <w:rPr>
          <w:rFonts w:ascii="Arial" w:hAnsi="Arial" w:cs="Arial"/>
          <w:sz w:val="24"/>
          <w:szCs w:val="24"/>
        </w:rPr>
        <w:t>medicine administration</w:t>
      </w:r>
      <w:r w:rsidR="007F5CE9">
        <w:rPr>
          <w:rFonts w:ascii="Arial" w:hAnsi="Arial" w:cs="Arial"/>
          <w:sz w:val="24"/>
          <w:szCs w:val="24"/>
        </w:rPr>
        <w:t>.</w:t>
      </w:r>
      <w:r w:rsidR="005F5415">
        <w:rPr>
          <w:rFonts w:ascii="Arial" w:hAnsi="Arial" w:cs="Arial"/>
          <w:sz w:val="24"/>
          <w:szCs w:val="24"/>
        </w:rPr>
        <w:t xml:space="preserve"> If staff come across this practice on their wards t</w:t>
      </w:r>
      <w:r w:rsidR="0085654D">
        <w:rPr>
          <w:rFonts w:ascii="Arial" w:hAnsi="Arial" w:cs="Arial"/>
          <w:sz w:val="24"/>
          <w:szCs w:val="24"/>
        </w:rPr>
        <w:t>o please report to ward manager and local pharmacy team. This must then be followed up with a</w:t>
      </w:r>
      <w:r w:rsidR="00153EC0">
        <w:rPr>
          <w:rFonts w:ascii="Arial" w:hAnsi="Arial" w:cs="Arial"/>
          <w:sz w:val="24"/>
          <w:szCs w:val="24"/>
        </w:rPr>
        <w:t xml:space="preserve"> INPHASE</w:t>
      </w:r>
      <w:r w:rsidR="0085654D">
        <w:rPr>
          <w:rFonts w:ascii="Arial" w:hAnsi="Arial" w:cs="Arial"/>
          <w:sz w:val="24"/>
          <w:szCs w:val="24"/>
        </w:rPr>
        <w:t xml:space="preserve"> incident report. </w:t>
      </w:r>
      <w:r w:rsidR="005F5415">
        <w:rPr>
          <w:rFonts w:ascii="Arial" w:hAnsi="Arial" w:cs="Arial"/>
          <w:sz w:val="24"/>
          <w:szCs w:val="24"/>
        </w:rPr>
        <w:t xml:space="preserve"> </w:t>
      </w:r>
    </w:p>
    <w:p w14:paraId="32170D71" w14:textId="0B5CBAEE" w:rsidR="007F5CE9" w:rsidRPr="007F5CE9" w:rsidRDefault="007F5CE9" w:rsidP="007F5CE9">
      <w:pPr>
        <w:rPr>
          <w:rFonts w:ascii="Arial" w:hAnsi="Arial" w:cs="Arial"/>
          <w:b/>
          <w:sz w:val="24"/>
          <w:szCs w:val="24"/>
        </w:rPr>
      </w:pPr>
      <w:r w:rsidRPr="007F5CE9">
        <w:rPr>
          <w:rFonts w:ascii="Arial" w:hAnsi="Arial" w:cs="Arial"/>
          <w:b/>
          <w:sz w:val="24"/>
          <w:szCs w:val="24"/>
        </w:rPr>
        <w:t xml:space="preserve"> </w:t>
      </w:r>
    </w:p>
    <w:p w14:paraId="254A77B9" w14:textId="77777777" w:rsidR="006C52B8" w:rsidRDefault="006C52B8" w:rsidP="006C52B8">
      <w:pPr>
        <w:jc w:val="both"/>
        <w:rPr>
          <w:rFonts w:ascii="Arial" w:hAnsi="Arial" w:cs="Arial"/>
          <w:b/>
          <w:sz w:val="24"/>
          <w:szCs w:val="24"/>
          <w:u w:val="single"/>
        </w:rPr>
      </w:pPr>
    </w:p>
    <w:p w14:paraId="34DFCB6D" w14:textId="77777777" w:rsidR="00F716D4" w:rsidRDefault="00F716D4" w:rsidP="006C52B8">
      <w:pPr>
        <w:jc w:val="both"/>
        <w:rPr>
          <w:rFonts w:ascii="Arial" w:hAnsi="Arial" w:cs="Arial"/>
          <w:b/>
          <w:sz w:val="24"/>
          <w:szCs w:val="24"/>
          <w:u w:val="single"/>
        </w:rPr>
      </w:pPr>
    </w:p>
    <w:p w14:paraId="251F1F2A" w14:textId="77777777" w:rsidR="0085654D" w:rsidRDefault="0085654D" w:rsidP="004D23A7">
      <w:pPr>
        <w:jc w:val="both"/>
        <w:rPr>
          <w:rFonts w:ascii="Arial" w:hAnsi="Arial" w:cs="Arial"/>
          <w:b/>
          <w:sz w:val="24"/>
          <w:szCs w:val="24"/>
          <w:u w:val="single"/>
        </w:rPr>
      </w:pPr>
    </w:p>
    <w:p w14:paraId="38A4C011" w14:textId="77777777" w:rsidR="00330B2A" w:rsidRDefault="00330B2A" w:rsidP="004D23A7">
      <w:pPr>
        <w:jc w:val="both"/>
        <w:rPr>
          <w:rFonts w:ascii="Arial" w:hAnsi="Arial" w:cs="Arial"/>
          <w:b/>
          <w:sz w:val="24"/>
          <w:szCs w:val="24"/>
          <w:u w:val="single"/>
        </w:rPr>
      </w:pPr>
    </w:p>
    <w:p w14:paraId="16EA75B7" w14:textId="77777777" w:rsidR="00330B2A" w:rsidRDefault="00330B2A" w:rsidP="004D23A7">
      <w:pPr>
        <w:jc w:val="both"/>
        <w:rPr>
          <w:rFonts w:ascii="Arial" w:hAnsi="Arial" w:cs="Arial"/>
          <w:b/>
          <w:sz w:val="24"/>
          <w:szCs w:val="24"/>
          <w:u w:val="single"/>
        </w:rPr>
      </w:pPr>
    </w:p>
    <w:p w14:paraId="0D73C339" w14:textId="77777777" w:rsidR="00330B2A" w:rsidRDefault="00330B2A" w:rsidP="004D23A7">
      <w:pPr>
        <w:jc w:val="both"/>
        <w:rPr>
          <w:rFonts w:ascii="Arial" w:hAnsi="Arial" w:cs="Arial"/>
          <w:b/>
          <w:sz w:val="24"/>
          <w:szCs w:val="24"/>
          <w:u w:val="single"/>
        </w:rPr>
      </w:pPr>
    </w:p>
    <w:p w14:paraId="0C6E4F59" w14:textId="703CCE83" w:rsidR="00153EC0" w:rsidRDefault="00153EC0" w:rsidP="00153EC0">
      <w:pPr>
        <w:jc w:val="center"/>
        <w:rPr>
          <w:rFonts w:ascii="Arial" w:hAnsi="Arial" w:cs="Arial"/>
          <w:b/>
          <w:sz w:val="32"/>
          <w:szCs w:val="32"/>
          <w:u w:val="single"/>
        </w:rPr>
      </w:pPr>
      <w:r>
        <w:rPr>
          <w:rFonts w:ascii="Arial" w:hAnsi="Arial" w:cs="Arial"/>
          <w:b/>
          <w:sz w:val="32"/>
          <w:szCs w:val="32"/>
          <w:u w:val="single"/>
        </w:rPr>
        <w:t xml:space="preserve">MHRA DRUG SAFETY UPDATES </w:t>
      </w:r>
    </w:p>
    <w:p w14:paraId="77141D71" w14:textId="1C72D0DA" w:rsidR="00153EC0" w:rsidRPr="00153EC0" w:rsidRDefault="00153EC0" w:rsidP="00153EC0">
      <w:pPr>
        <w:rPr>
          <w:rFonts w:ascii="Arial" w:hAnsi="Arial" w:cs="Arial"/>
          <w:b/>
          <w:sz w:val="32"/>
          <w:szCs w:val="32"/>
          <w:u w:val="single"/>
        </w:rPr>
      </w:pPr>
      <w:r>
        <w:rPr>
          <w:rFonts w:ascii="Arial" w:hAnsi="Arial" w:cs="Arial"/>
          <w:b/>
          <w:sz w:val="24"/>
          <w:szCs w:val="24"/>
          <w:u w:val="single"/>
        </w:rPr>
        <w:t xml:space="preserve">FEBRUARY 2023 </w:t>
      </w:r>
    </w:p>
    <w:p w14:paraId="20DF00E6" w14:textId="7EBBDE0E" w:rsidR="00153EC0" w:rsidRDefault="00153EC0" w:rsidP="00153EC0">
      <w:pPr>
        <w:pStyle w:val="ListParagraph"/>
        <w:numPr>
          <w:ilvl w:val="0"/>
          <w:numId w:val="13"/>
        </w:numPr>
        <w:jc w:val="both"/>
        <w:rPr>
          <w:rFonts w:ascii="Arial" w:hAnsi="Arial" w:cs="Arial"/>
          <w:b/>
          <w:sz w:val="24"/>
          <w:szCs w:val="24"/>
          <w:u w:val="single"/>
        </w:rPr>
      </w:pPr>
      <w:r w:rsidRPr="00153EC0">
        <w:rPr>
          <w:rFonts w:ascii="Arial" w:hAnsi="Arial" w:cs="Arial"/>
          <w:b/>
          <w:sz w:val="24"/>
          <w:szCs w:val="24"/>
          <w:u w:val="single"/>
        </w:rPr>
        <w:t>Codeine Linctus: reclassification to prescription only medicine (POM)</w:t>
      </w:r>
      <w:r>
        <w:rPr>
          <w:rFonts w:ascii="Arial" w:hAnsi="Arial" w:cs="Arial"/>
          <w:b/>
          <w:sz w:val="24"/>
          <w:szCs w:val="24"/>
          <w:u w:val="single"/>
        </w:rPr>
        <w:t xml:space="preserve"> owing to risk of dependence, addiction and overdose. </w:t>
      </w:r>
    </w:p>
    <w:p w14:paraId="0842BCF8" w14:textId="0AE45915" w:rsidR="00153EC0" w:rsidRPr="00153EC0" w:rsidRDefault="00153EC0" w:rsidP="00153EC0">
      <w:pPr>
        <w:pStyle w:val="ListParagraph"/>
        <w:numPr>
          <w:ilvl w:val="0"/>
          <w:numId w:val="14"/>
        </w:numPr>
        <w:jc w:val="both"/>
        <w:rPr>
          <w:rFonts w:ascii="Arial" w:hAnsi="Arial" w:cs="Arial"/>
          <w:sz w:val="24"/>
          <w:szCs w:val="24"/>
        </w:rPr>
      </w:pPr>
      <w:r w:rsidRPr="00153EC0">
        <w:rPr>
          <w:rFonts w:ascii="Arial" w:hAnsi="Arial" w:cs="Arial"/>
          <w:sz w:val="24"/>
          <w:szCs w:val="24"/>
        </w:rPr>
        <w:t xml:space="preserve">Concerns the use of codeine linctus as an ingredient in the recreational drink known as ‘purple drank’ ‘Lean Sizzurp’ or ‘Dirty Sprite’. Serious risk such as loss of consciousness, respiratory depression and death </w:t>
      </w:r>
    </w:p>
    <w:p w14:paraId="552FD41D" w14:textId="7D548E23" w:rsidR="00153EC0" w:rsidRPr="00153EC0" w:rsidRDefault="00153EC0" w:rsidP="00153EC0">
      <w:pPr>
        <w:pStyle w:val="ListParagraph"/>
        <w:numPr>
          <w:ilvl w:val="0"/>
          <w:numId w:val="14"/>
        </w:numPr>
        <w:jc w:val="both"/>
        <w:rPr>
          <w:rFonts w:ascii="Arial" w:hAnsi="Arial" w:cs="Arial"/>
          <w:sz w:val="24"/>
          <w:szCs w:val="24"/>
        </w:rPr>
      </w:pPr>
      <w:r w:rsidRPr="00153EC0">
        <w:rPr>
          <w:rFonts w:ascii="Arial" w:hAnsi="Arial" w:cs="Arial"/>
          <w:sz w:val="24"/>
          <w:szCs w:val="24"/>
        </w:rPr>
        <w:t xml:space="preserve">MHRA has found evidence of purple drank being quite popular on social media platforms for YOUND ADULTS and there has been a increase in the number of reports for the sale of codeine linctus through non regulated and illicit websites. </w:t>
      </w:r>
    </w:p>
    <w:p w14:paraId="6EBF9484" w14:textId="472F587C" w:rsidR="00153EC0" w:rsidRDefault="00153EC0" w:rsidP="00153EC0">
      <w:pPr>
        <w:ind w:left="360"/>
        <w:jc w:val="both"/>
        <w:rPr>
          <w:rFonts w:ascii="Arial" w:hAnsi="Arial" w:cs="Arial"/>
          <w:b/>
          <w:sz w:val="24"/>
          <w:szCs w:val="24"/>
          <w:u w:val="single"/>
        </w:rPr>
      </w:pPr>
      <w:r w:rsidRPr="00153EC0">
        <w:rPr>
          <w:rFonts w:ascii="Arial" w:hAnsi="Arial" w:cs="Arial"/>
          <w:b/>
          <w:sz w:val="24"/>
          <w:szCs w:val="24"/>
          <w:u w:val="single"/>
        </w:rPr>
        <w:t xml:space="preserve">  </w:t>
      </w:r>
      <w:r w:rsidRPr="00153EC0">
        <w:rPr>
          <w:rFonts w:ascii="Arial" w:hAnsi="Arial" w:cs="Arial"/>
          <w:b/>
          <w:noProof/>
          <w:sz w:val="24"/>
          <w:szCs w:val="24"/>
          <w:u w:val="single"/>
          <w:lang w:eastAsia="en-GB"/>
        </w:rPr>
        <w:drawing>
          <wp:inline distT="0" distB="0" distL="0" distR="0" wp14:anchorId="589EBF8D" wp14:editId="2B37FC04">
            <wp:extent cx="5010150" cy="512424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32056" cy="5146646"/>
                    </a:xfrm>
                    <a:prstGeom prst="rect">
                      <a:avLst/>
                    </a:prstGeom>
                  </pic:spPr>
                </pic:pic>
              </a:graphicData>
            </a:graphic>
          </wp:inline>
        </w:drawing>
      </w:r>
    </w:p>
    <w:p w14:paraId="7E626C21" w14:textId="06A35CAC" w:rsidR="00F63638" w:rsidRDefault="00F63638" w:rsidP="00153EC0">
      <w:pPr>
        <w:ind w:left="360"/>
        <w:jc w:val="both"/>
        <w:rPr>
          <w:rFonts w:ascii="Arial" w:hAnsi="Arial" w:cs="Arial"/>
          <w:b/>
          <w:sz w:val="24"/>
          <w:szCs w:val="24"/>
          <w:u w:val="single"/>
        </w:rPr>
      </w:pPr>
    </w:p>
    <w:p w14:paraId="4426EDAE" w14:textId="2CB16103" w:rsidR="00F63638" w:rsidRDefault="00F63638" w:rsidP="00153EC0">
      <w:pPr>
        <w:ind w:left="360"/>
        <w:jc w:val="both"/>
        <w:rPr>
          <w:rFonts w:ascii="Arial" w:hAnsi="Arial" w:cs="Arial"/>
          <w:b/>
          <w:sz w:val="24"/>
          <w:szCs w:val="24"/>
          <w:u w:val="single"/>
        </w:rPr>
      </w:pPr>
    </w:p>
    <w:p w14:paraId="2BE379BF" w14:textId="31B29371" w:rsidR="00F63638" w:rsidRDefault="00F63638" w:rsidP="00153EC0">
      <w:pPr>
        <w:ind w:left="360"/>
        <w:jc w:val="both"/>
        <w:rPr>
          <w:rFonts w:ascii="Arial" w:hAnsi="Arial" w:cs="Arial"/>
          <w:b/>
          <w:sz w:val="24"/>
          <w:szCs w:val="24"/>
          <w:u w:val="single"/>
        </w:rPr>
      </w:pPr>
    </w:p>
    <w:p w14:paraId="2ACF2A0C" w14:textId="77777777" w:rsidR="00F63638" w:rsidRPr="00153EC0" w:rsidRDefault="00F63638" w:rsidP="00153EC0">
      <w:pPr>
        <w:ind w:left="360"/>
        <w:jc w:val="both"/>
        <w:rPr>
          <w:rFonts w:ascii="Arial" w:hAnsi="Arial" w:cs="Arial"/>
          <w:b/>
          <w:sz w:val="24"/>
          <w:szCs w:val="24"/>
          <w:u w:val="single"/>
        </w:rPr>
      </w:pPr>
    </w:p>
    <w:p w14:paraId="67DD1007" w14:textId="356707A8" w:rsidR="00153EC0" w:rsidRDefault="00F63638" w:rsidP="00F63638">
      <w:pPr>
        <w:pStyle w:val="ListParagraph"/>
        <w:numPr>
          <w:ilvl w:val="0"/>
          <w:numId w:val="13"/>
        </w:numPr>
        <w:jc w:val="both"/>
        <w:rPr>
          <w:rFonts w:ascii="Arial" w:hAnsi="Arial" w:cs="Arial"/>
          <w:b/>
          <w:sz w:val="24"/>
          <w:szCs w:val="24"/>
          <w:u w:val="single"/>
        </w:rPr>
      </w:pPr>
      <w:r>
        <w:rPr>
          <w:rFonts w:ascii="Arial" w:hAnsi="Arial" w:cs="Arial"/>
          <w:b/>
          <w:sz w:val="24"/>
          <w:szCs w:val="24"/>
          <w:u w:val="single"/>
        </w:rPr>
        <w:t xml:space="preserve">Pseudoephedrine: very rare risk of posterior reversible encephalopathy syndrome (PRES) and reversible cerebral vasoconstriction syndrome </w:t>
      </w:r>
    </w:p>
    <w:p w14:paraId="4C9D7B04" w14:textId="2908B2C3" w:rsidR="00F63638" w:rsidRPr="00F63638" w:rsidRDefault="00F63638" w:rsidP="00F63638">
      <w:pPr>
        <w:pStyle w:val="ListParagraph"/>
        <w:numPr>
          <w:ilvl w:val="0"/>
          <w:numId w:val="15"/>
        </w:numPr>
        <w:jc w:val="both"/>
        <w:rPr>
          <w:rFonts w:ascii="Arial" w:hAnsi="Arial" w:cs="Arial"/>
          <w:sz w:val="24"/>
          <w:szCs w:val="24"/>
        </w:rPr>
      </w:pPr>
      <w:r w:rsidRPr="00F63638">
        <w:rPr>
          <w:rFonts w:ascii="Arial" w:hAnsi="Arial" w:cs="Arial"/>
          <w:sz w:val="24"/>
          <w:szCs w:val="24"/>
        </w:rPr>
        <w:t xml:space="preserve">PRES and RCVS present with following symptoms: sudden severe headache, sudden onset of nausea and vomiting, confusion, seizures and visual disturbances. </w:t>
      </w:r>
    </w:p>
    <w:p w14:paraId="464BA58F" w14:textId="6CC91BCD" w:rsidR="008C4D2D" w:rsidRDefault="00F63638" w:rsidP="00E940DE">
      <w:pPr>
        <w:ind w:left="720"/>
        <w:jc w:val="both"/>
        <w:rPr>
          <w:rFonts w:ascii="Arial" w:hAnsi="Arial" w:cs="Arial"/>
          <w:b/>
          <w:sz w:val="24"/>
          <w:szCs w:val="24"/>
          <w:u w:val="single"/>
        </w:rPr>
        <w:sectPr w:rsidR="008C4D2D" w:rsidSect="001462FD">
          <w:pgSz w:w="11906" w:h="16838"/>
          <w:pgMar w:top="242" w:right="720" w:bottom="567" w:left="720" w:header="433" w:footer="406" w:gutter="0"/>
          <w:cols w:space="708"/>
          <w:docGrid w:linePitch="360"/>
        </w:sectPr>
      </w:pPr>
      <w:r>
        <w:rPr>
          <w:rFonts w:ascii="Arial" w:hAnsi="Arial" w:cs="Arial"/>
          <w:b/>
          <w:noProof/>
          <w:sz w:val="24"/>
          <w:szCs w:val="24"/>
          <w:u w:val="single"/>
          <w:lang w:eastAsia="en-GB"/>
        </w:rPr>
        <w:drawing>
          <wp:inline distT="0" distB="0" distL="0" distR="0" wp14:anchorId="296C2B07" wp14:editId="3F8FF2E7">
            <wp:extent cx="5220335" cy="63538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0335" cy="6353810"/>
                    </a:xfrm>
                    <a:prstGeom prst="rect">
                      <a:avLst/>
                    </a:prstGeom>
                    <a:noFill/>
                  </pic:spPr>
                </pic:pic>
              </a:graphicData>
            </a:graphic>
          </wp:inline>
        </w:drawing>
      </w:r>
    </w:p>
    <w:p w14:paraId="3654ADD7" w14:textId="2634DF78" w:rsidR="008D597C" w:rsidRPr="00E940DE" w:rsidRDefault="00A227D6" w:rsidP="00EC240F">
      <w:pPr>
        <w:rPr>
          <w:rFonts w:ascii="Arial" w:hAnsi="Arial" w:cs="Arial"/>
          <w:b/>
          <w:sz w:val="32"/>
          <w:szCs w:val="32"/>
          <w:u w:val="single"/>
        </w:rPr>
      </w:pPr>
      <w:r>
        <w:rPr>
          <w:rFonts w:ascii="Arial" w:hAnsi="Arial" w:cs="Arial"/>
          <w:b/>
          <w:noProof/>
          <w:sz w:val="24"/>
          <w:szCs w:val="24"/>
          <w:u w:val="single"/>
          <w:lang w:eastAsia="en-GB"/>
        </w:rPr>
        <w:drawing>
          <wp:anchor distT="0" distB="0" distL="114300" distR="114300" simplePos="0" relativeHeight="251745280" behindDoc="0" locked="0" layoutInCell="1" allowOverlap="1" wp14:anchorId="1EA095C6" wp14:editId="5641F14B">
            <wp:simplePos x="0" y="0"/>
            <wp:positionH relativeFrom="margin">
              <wp:posOffset>3314700</wp:posOffset>
            </wp:positionH>
            <wp:positionV relativeFrom="margin">
              <wp:posOffset>-4445</wp:posOffset>
            </wp:positionV>
            <wp:extent cx="3333115" cy="5064760"/>
            <wp:effectExtent l="0" t="0" r="635"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115" cy="5064760"/>
                    </a:xfrm>
                    <a:prstGeom prst="rect">
                      <a:avLst/>
                    </a:prstGeom>
                    <a:noFill/>
                  </pic:spPr>
                </pic:pic>
              </a:graphicData>
            </a:graphic>
            <wp14:sizeRelH relativeFrom="margin">
              <wp14:pctWidth>0</wp14:pctWidth>
            </wp14:sizeRelH>
          </wp:anchor>
        </w:drawing>
      </w:r>
      <w:r w:rsidR="00E940DE">
        <w:rPr>
          <w:rFonts w:ascii="Arial" w:hAnsi="Arial" w:cs="Arial"/>
          <w:b/>
          <w:sz w:val="32"/>
          <w:szCs w:val="32"/>
          <w:u w:val="single"/>
        </w:rPr>
        <w:t>NATIONAL PATIENT SAFETY ALERTS</w:t>
      </w:r>
      <w:r w:rsidR="00E940DE" w:rsidRPr="00E940DE">
        <w:rPr>
          <w:rFonts w:ascii="Arial" w:hAnsi="Arial" w:cs="Arial"/>
          <w:b/>
          <w:i/>
          <w:noProof/>
          <w:lang w:eastAsia="en-GB"/>
        </w:rPr>
        <w:drawing>
          <wp:inline distT="0" distB="0" distL="0" distR="0" wp14:anchorId="23D27566" wp14:editId="38D9D72E">
            <wp:extent cx="1295293" cy="460742"/>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74047" cy="488755"/>
                    </a:xfrm>
                    <a:prstGeom prst="rect">
                      <a:avLst/>
                    </a:prstGeom>
                  </pic:spPr>
                </pic:pic>
              </a:graphicData>
            </a:graphic>
          </wp:inline>
        </w:drawing>
      </w:r>
      <w:r w:rsidR="00E940DE">
        <w:rPr>
          <w:rFonts w:ascii="Arial" w:hAnsi="Arial" w:cs="Arial"/>
          <w:b/>
          <w:sz w:val="32"/>
          <w:szCs w:val="32"/>
          <w:u w:val="single"/>
        </w:rPr>
        <w:t xml:space="preserve"> </w:t>
      </w:r>
    </w:p>
    <w:p w14:paraId="5B0E9393" w14:textId="77777777" w:rsidR="00E940DE" w:rsidRDefault="00E940DE" w:rsidP="00E940DE">
      <w:pPr>
        <w:pStyle w:val="ListParagraph"/>
        <w:numPr>
          <w:ilvl w:val="0"/>
          <w:numId w:val="16"/>
        </w:numPr>
        <w:rPr>
          <w:rFonts w:ascii="Arial" w:hAnsi="Arial" w:cs="Arial"/>
          <w:b/>
          <w:sz w:val="24"/>
          <w:szCs w:val="24"/>
          <w:u w:val="single"/>
        </w:rPr>
      </w:pPr>
      <w:r w:rsidRPr="00E940DE">
        <w:rPr>
          <w:rFonts w:ascii="Arial" w:hAnsi="Arial" w:cs="Arial"/>
          <w:b/>
          <w:sz w:val="24"/>
          <w:szCs w:val="24"/>
          <w:u w:val="single"/>
        </w:rPr>
        <w:t>Shortage of Salbutamol 2.5mg/2.5ml and 5mg/2.5ml nebuliser liquid unit dose vials</w:t>
      </w:r>
    </w:p>
    <w:p w14:paraId="1C90C503" w14:textId="064A6D3D" w:rsidR="00E940DE" w:rsidRPr="00A227D6" w:rsidRDefault="00A227D6" w:rsidP="00E940DE">
      <w:pPr>
        <w:pStyle w:val="ListParagraph"/>
        <w:numPr>
          <w:ilvl w:val="0"/>
          <w:numId w:val="15"/>
        </w:numPr>
        <w:rPr>
          <w:rFonts w:ascii="Arial" w:hAnsi="Arial" w:cs="Arial"/>
          <w:sz w:val="24"/>
          <w:szCs w:val="24"/>
        </w:rPr>
      </w:pPr>
      <w:r w:rsidRPr="00A227D6">
        <w:rPr>
          <w:rFonts w:ascii="Arial" w:hAnsi="Arial" w:cs="Arial"/>
          <w:sz w:val="24"/>
          <w:szCs w:val="24"/>
        </w:rPr>
        <w:t>Supply issues thought to be due to manufacturing issues</w:t>
      </w:r>
    </w:p>
    <w:p w14:paraId="704D767A" w14:textId="1526A69F" w:rsidR="00A227D6" w:rsidRDefault="00A227D6" w:rsidP="00E940DE">
      <w:pPr>
        <w:pStyle w:val="ListParagraph"/>
        <w:numPr>
          <w:ilvl w:val="0"/>
          <w:numId w:val="15"/>
        </w:numPr>
        <w:rPr>
          <w:rFonts w:ascii="Arial" w:hAnsi="Arial" w:cs="Arial"/>
          <w:sz w:val="24"/>
          <w:szCs w:val="24"/>
        </w:rPr>
      </w:pPr>
      <w:r w:rsidRPr="00A227D6">
        <w:rPr>
          <w:rFonts w:ascii="Arial" w:hAnsi="Arial" w:cs="Arial"/>
          <w:sz w:val="24"/>
          <w:szCs w:val="24"/>
        </w:rPr>
        <w:t xml:space="preserve">Terbutaline, salbutamol and ipratropium remain available but may not be able to support demand </w:t>
      </w:r>
    </w:p>
    <w:p w14:paraId="06D2D744" w14:textId="059335B7" w:rsidR="00A227D6" w:rsidRDefault="00A227D6" w:rsidP="00A227D6">
      <w:pPr>
        <w:rPr>
          <w:rFonts w:ascii="Arial" w:hAnsi="Arial" w:cs="Arial"/>
          <w:sz w:val="24"/>
          <w:szCs w:val="24"/>
        </w:rPr>
      </w:pPr>
      <w:r>
        <w:rPr>
          <w:rFonts w:ascii="Arial" w:hAnsi="Arial" w:cs="Arial"/>
          <w:sz w:val="24"/>
          <w:szCs w:val="24"/>
        </w:rPr>
        <w:t>ELFT response</w:t>
      </w:r>
    </w:p>
    <w:p w14:paraId="5DDAF423" w14:textId="77777777" w:rsidR="00A227D6" w:rsidRDefault="00A227D6" w:rsidP="00A227D6">
      <w:pPr>
        <w:pStyle w:val="ListParagraph"/>
        <w:numPr>
          <w:ilvl w:val="0"/>
          <w:numId w:val="17"/>
        </w:numPr>
        <w:rPr>
          <w:rFonts w:ascii="Arial" w:hAnsi="Arial" w:cs="Arial"/>
          <w:sz w:val="24"/>
          <w:szCs w:val="24"/>
        </w:rPr>
      </w:pPr>
      <w:r>
        <w:rPr>
          <w:rFonts w:ascii="Arial" w:hAnsi="Arial" w:cs="Arial"/>
          <w:sz w:val="24"/>
          <w:szCs w:val="24"/>
        </w:rPr>
        <w:t>Order has been placed for unlicensed imports but no confirmation as to when we will get these in.</w:t>
      </w:r>
    </w:p>
    <w:p w14:paraId="7B8060A7" w14:textId="6E71CD9D" w:rsidR="00A227D6" w:rsidRPr="00A227D6" w:rsidRDefault="00A227D6" w:rsidP="00A227D6">
      <w:pPr>
        <w:pStyle w:val="ListParagraph"/>
        <w:numPr>
          <w:ilvl w:val="0"/>
          <w:numId w:val="17"/>
        </w:numPr>
        <w:rPr>
          <w:rFonts w:ascii="Arial" w:hAnsi="Arial" w:cs="Arial"/>
          <w:sz w:val="24"/>
          <w:szCs w:val="24"/>
        </w:rPr>
      </w:pPr>
      <w:r>
        <w:rPr>
          <w:rFonts w:ascii="Arial" w:hAnsi="Arial" w:cs="Arial"/>
          <w:sz w:val="24"/>
          <w:szCs w:val="24"/>
        </w:rPr>
        <w:t xml:space="preserve">Patients on the wards have been identified via trace report and pharmacists have been asked to review treatment in these patients </w:t>
      </w:r>
    </w:p>
    <w:p w14:paraId="5D9A6D19" w14:textId="3E0A24DC" w:rsidR="00A227D6" w:rsidRPr="00A227D6" w:rsidRDefault="00A227D6" w:rsidP="00A227D6">
      <w:pPr>
        <w:ind w:left="1080"/>
        <w:rPr>
          <w:rFonts w:ascii="Arial" w:hAnsi="Arial" w:cs="Arial"/>
          <w:b/>
          <w:sz w:val="24"/>
          <w:szCs w:val="24"/>
          <w:u w:val="single"/>
        </w:rPr>
      </w:pPr>
    </w:p>
    <w:sectPr w:rsidR="00A227D6" w:rsidRPr="00A227D6" w:rsidSect="00F63638">
      <w:pgSz w:w="11906" w:h="16838"/>
      <w:pgMar w:top="244" w:right="720" w:bottom="720" w:left="720" w:header="431" w:footer="4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D8906" w16cex:dateUtc="2023-12-20T15:38:00Z"/>
  <w16cex:commentExtensible w16cex:durableId="292D8AEA" w16cex:dateUtc="2023-12-20T15:46:00Z"/>
  <w16cex:commentExtensible w16cex:durableId="292D8B22" w16cex:dateUtc="2023-12-20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72405" w16cid:durableId="292D8906"/>
  <w16cid:commentId w16cid:paraId="10845358" w16cid:durableId="292D8AEA"/>
  <w16cid:commentId w16cid:paraId="0505018A" w16cid:durableId="292D8B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CCA5" w14:textId="77777777" w:rsidR="00EA24FB" w:rsidRDefault="00EA24FB" w:rsidP="007C0F55">
      <w:pPr>
        <w:spacing w:after="0" w:line="240" w:lineRule="auto"/>
      </w:pPr>
      <w:r>
        <w:separator/>
      </w:r>
    </w:p>
  </w:endnote>
  <w:endnote w:type="continuationSeparator" w:id="0">
    <w:p w14:paraId="36C7913B" w14:textId="77777777" w:rsidR="00EA24FB" w:rsidRDefault="00EA24FB" w:rsidP="007C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700228"/>
      <w:docPartObj>
        <w:docPartGallery w:val="Page Numbers (Bottom of Page)"/>
        <w:docPartUnique/>
      </w:docPartObj>
    </w:sdtPr>
    <w:sdtEndPr>
      <w:rPr>
        <w:noProof/>
      </w:rPr>
    </w:sdtEndPr>
    <w:sdtContent>
      <w:p w14:paraId="04495CA5" w14:textId="6DDAD28D" w:rsidR="00924337" w:rsidRDefault="00924337" w:rsidP="008A0FE6">
        <w:pPr>
          <w:pStyle w:val="Footer"/>
          <w:jc w:val="center"/>
        </w:pPr>
        <w:r>
          <w:fldChar w:fldCharType="begin"/>
        </w:r>
        <w:r>
          <w:instrText xml:space="preserve"> PAGE   \* MERGEFORMAT </w:instrText>
        </w:r>
        <w:r>
          <w:fldChar w:fldCharType="separate"/>
        </w:r>
        <w:r w:rsidR="0071164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215BA" w14:textId="77777777" w:rsidR="00EA24FB" w:rsidRDefault="00EA24FB" w:rsidP="007C0F55">
      <w:pPr>
        <w:spacing w:after="0" w:line="240" w:lineRule="auto"/>
      </w:pPr>
      <w:r>
        <w:separator/>
      </w:r>
    </w:p>
  </w:footnote>
  <w:footnote w:type="continuationSeparator" w:id="0">
    <w:p w14:paraId="0B6BD533" w14:textId="77777777" w:rsidR="00EA24FB" w:rsidRDefault="00EA24FB" w:rsidP="007C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80DA" w14:textId="77777777" w:rsidR="00924337" w:rsidRDefault="00924337" w:rsidP="00B60D33">
    <w:pPr>
      <w:pStyle w:val="Header"/>
      <w:tabs>
        <w:tab w:val="clear" w:pos="9026"/>
        <w:tab w:val="right" w:pos="10206"/>
      </w:tabs>
      <w:jc w:val="right"/>
    </w:pPr>
    <w:r>
      <w:tab/>
    </w:r>
    <w:r>
      <w:tab/>
    </w:r>
    <w:r>
      <w:tab/>
    </w:r>
    <w:r>
      <w:tab/>
    </w:r>
    <w:r>
      <w:tab/>
    </w:r>
    <w:r>
      <w:tab/>
    </w:r>
    <w:r>
      <w:rPr>
        <w:noProof/>
        <w:lang w:eastAsia="en-GB"/>
      </w:rPr>
      <w:drawing>
        <wp:inline distT="0" distB="0" distL="0" distR="0" wp14:anchorId="6631FD5C" wp14:editId="26D18F7C">
          <wp:extent cx="1451035" cy="337029"/>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035" cy="337029"/>
                  </a:xfrm>
                  <a:prstGeom prst="rect">
                    <a:avLst/>
                  </a:prstGeom>
                  <a:noFill/>
                </pic:spPr>
              </pic:pic>
            </a:graphicData>
          </a:graphic>
        </wp:inline>
      </w:drawing>
    </w:r>
  </w:p>
  <w:p w14:paraId="662601CF" w14:textId="77777777" w:rsidR="00924337" w:rsidRDefault="00924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14C"/>
    <w:multiLevelType w:val="hybridMultilevel"/>
    <w:tmpl w:val="BCEC5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66AC4"/>
    <w:multiLevelType w:val="hybridMultilevel"/>
    <w:tmpl w:val="FAF662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940B94"/>
    <w:multiLevelType w:val="hybridMultilevel"/>
    <w:tmpl w:val="EB4695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36CEF"/>
    <w:multiLevelType w:val="hybridMultilevel"/>
    <w:tmpl w:val="4F087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181DF8"/>
    <w:multiLevelType w:val="hybridMultilevel"/>
    <w:tmpl w:val="E5FEED0C"/>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F760D60"/>
    <w:multiLevelType w:val="hybridMultilevel"/>
    <w:tmpl w:val="AF22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673CB"/>
    <w:multiLevelType w:val="hybridMultilevel"/>
    <w:tmpl w:val="E83866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8833919"/>
    <w:multiLevelType w:val="hybridMultilevel"/>
    <w:tmpl w:val="C5C24E46"/>
    <w:lvl w:ilvl="0" w:tplc="53205040">
      <w:start w:val="1"/>
      <w:numFmt w:val="decimal"/>
      <w:pStyle w:val="Heading2"/>
      <w:lvlText w:val="%1."/>
      <w:lvlJc w:val="left"/>
      <w:pPr>
        <w:ind w:left="360" w:hanging="360"/>
      </w:pPr>
      <w:rPr>
        <w:rFonts w:asciiTheme="minorHAnsi" w:hAnsiTheme="minorHAnsi"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C954F4"/>
    <w:multiLevelType w:val="hybridMultilevel"/>
    <w:tmpl w:val="D9D665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C47670"/>
    <w:multiLevelType w:val="hybridMultilevel"/>
    <w:tmpl w:val="0D9A4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1531E64"/>
    <w:multiLevelType w:val="hybridMultilevel"/>
    <w:tmpl w:val="7E283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D02828"/>
    <w:multiLevelType w:val="hybridMultilevel"/>
    <w:tmpl w:val="84CCE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49540A"/>
    <w:multiLevelType w:val="hybridMultilevel"/>
    <w:tmpl w:val="9B769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9C1B1E"/>
    <w:multiLevelType w:val="hybridMultilevel"/>
    <w:tmpl w:val="233E7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0D4681"/>
    <w:multiLevelType w:val="hybridMultilevel"/>
    <w:tmpl w:val="1EDA09E2"/>
    <w:lvl w:ilvl="0" w:tplc="54C4430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15F28"/>
    <w:multiLevelType w:val="hybridMultilevel"/>
    <w:tmpl w:val="50D46654"/>
    <w:lvl w:ilvl="0" w:tplc="54C4430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3"/>
  </w:num>
  <w:num w:numId="4">
    <w:abstractNumId w:val="12"/>
  </w:num>
  <w:num w:numId="5">
    <w:abstractNumId w:val="14"/>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4"/>
  </w:num>
  <w:num w:numId="11">
    <w:abstractNumId w:val="1"/>
  </w:num>
  <w:num w:numId="12">
    <w:abstractNumId w:val="6"/>
  </w:num>
  <w:num w:numId="13">
    <w:abstractNumId w:val="0"/>
  </w:num>
  <w:num w:numId="14">
    <w:abstractNumId w:val="9"/>
  </w:num>
  <w:num w:numId="15">
    <w:abstractNumId w:val="3"/>
  </w:num>
  <w:num w:numId="16">
    <w:abstractNumId w:val="11"/>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38"/>
    <w:rsid w:val="000161EC"/>
    <w:rsid w:val="000234E9"/>
    <w:rsid w:val="00027238"/>
    <w:rsid w:val="00040F0A"/>
    <w:rsid w:val="00042C5F"/>
    <w:rsid w:val="00050D77"/>
    <w:rsid w:val="00052FC7"/>
    <w:rsid w:val="00062A21"/>
    <w:rsid w:val="000714DC"/>
    <w:rsid w:val="00075C8E"/>
    <w:rsid w:val="000918F7"/>
    <w:rsid w:val="000953CB"/>
    <w:rsid w:val="000A5695"/>
    <w:rsid w:val="000B20A5"/>
    <w:rsid w:val="000B3EDA"/>
    <w:rsid w:val="000B6C2A"/>
    <w:rsid w:val="000D00E9"/>
    <w:rsid w:val="000D7802"/>
    <w:rsid w:val="000E0931"/>
    <w:rsid w:val="000E684C"/>
    <w:rsid w:val="000E7514"/>
    <w:rsid w:val="000F1DB7"/>
    <w:rsid w:val="00117836"/>
    <w:rsid w:val="00126CC5"/>
    <w:rsid w:val="00130C69"/>
    <w:rsid w:val="001406C2"/>
    <w:rsid w:val="00142714"/>
    <w:rsid w:val="00144342"/>
    <w:rsid w:val="001462FD"/>
    <w:rsid w:val="001537DF"/>
    <w:rsid w:val="00153EC0"/>
    <w:rsid w:val="00155A26"/>
    <w:rsid w:val="00157D5D"/>
    <w:rsid w:val="001618AA"/>
    <w:rsid w:val="0016652A"/>
    <w:rsid w:val="00170A9E"/>
    <w:rsid w:val="00171927"/>
    <w:rsid w:val="0018247D"/>
    <w:rsid w:val="00185E94"/>
    <w:rsid w:val="00186A96"/>
    <w:rsid w:val="00190EB2"/>
    <w:rsid w:val="00192883"/>
    <w:rsid w:val="001940A5"/>
    <w:rsid w:val="001A26F5"/>
    <w:rsid w:val="001A3BC2"/>
    <w:rsid w:val="001A3CF5"/>
    <w:rsid w:val="001A5622"/>
    <w:rsid w:val="001A77E0"/>
    <w:rsid w:val="001B186D"/>
    <w:rsid w:val="001C5465"/>
    <w:rsid w:val="001F21DE"/>
    <w:rsid w:val="001F263E"/>
    <w:rsid w:val="001F5EE8"/>
    <w:rsid w:val="001F7885"/>
    <w:rsid w:val="00205B9A"/>
    <w:rsid w:val="00216CEF"/>
    <w:rsid w:val="00223EFF"/>
    <w:rsid w:val="00224A6D"/>
    <w:rsid w:val="00235CDD"/>
    <w:rsid w:val="00242CEE"/>
    <w:rsid w:val="0024305D"/>
    <w:rsid w:val="002457BB"/>
    <w:rsid w:val="00253A2C"/>
    <w:rsid w:val="00255A64"/>
    <w:rsid w:val="00261EE2"/>
    <w:rsid w:val="0027217F"/>
    <w:rsid w:val="002A1E77"/>
    <w:rsid w:val="002A44D2"/>
    <w:rsid w:val="002A72E5"/>
    <w:rsid w:val="002B2B01"/>
    <w:rsid w:val="002B70AE"/>
    <w:rsid w:val="002C2BBC"/>
    <w:rsid w:val="002C330D"/>
    <w:rsid w:val="002C4670"/>
    <w:rsid w:val="002D1FE8"/>
    <w:rsid w:val="002E42AC"/>
    <w:rsid w:val="002E4EC9"/>
    <w:rsid w:val="002E532D"/>
    <w:rsid w:val="002E5643"/>
    <w:rsid w:val="002E5B0C"/>
    <w:rsid w:val="002E6BE4"/>
    <w:rsid w:val="002E74A3"/>
    <w:rsid w:val="002E77D3"/>
    <w:rsid w:val="002F7570"/>
    <w:rsid w:val="003020E0"/>
    <w:rsid w:val="003023F9"/>
    <w:rsid w:val="003138A8"/>
    <w:rsid w:val="003171EC"/>
    <w:rsid w:val="00320FB4"/>
    <w:rsid w:val="00325EF3"/>
    <w:rsid w:val="00327348"/>
    <w:rsid w:val="00330B2A"/>
    <w:rsid w:val="0033286A"/>
    <w:rsid w:val="00340293"/>
    <w:rsid w:val="003421AB"/>
    <w:rsid w:val="0035127A"/>
    <w:rsid w:val="00354D3C"/>
    <w:rsid w:val="003559BD"/>
    <w:rsid w:val="00363DA6"/>
    <w:rsid w:val="0036628A"/>
    <w:rsid w:val="00373152"/>
    <w:rsid w:val="00384E6F"/>
    <w:rsid w:val="00386022"/>
    <w:rsid w:val="003869DE"/>
    <w:rsid w:val="00395B10"/>
    <w:rsid w:val="0039795B"/>
    <w:rsid w:val="003A0235"/>
    <w:rsid w:val="003A15A8"/>
    <w:rsid w:val="003B26C6"/>
    <w:rsid w:val="003B34E3"/>
    <w:rsid w:val="003B48E5"/>
    <w:rsid w:val="003B7E3E"/>
    <w:rsid w:val="003D15B5"/>
    <w:rsid w:val="004027CA"/>
    <w:rsid w:val="00404646"/>
    <w:rsid w:val="00414099"/>
    <w:rsid w:val="00427554"/>
    <w:rsid w:val="00436D7F"/>
    <w:rsid w:val="0044257F"/>
    <w:rsid w:val="00447368"/>
    <w:rsid w:val="00457CDE"/>
    <w:rsid w:val="004667DE"/>
    <w:rsid w:val="00497BCB"/>
    <w:rsid w:val="004A1DFB"/>
    <w:rsid w:val="004A2477"/>
    <w:rsid w:val="004A432B"/>
    <w:rsid w:val="004A5F75"/>
    <w:rsid w:val="004A7841"/>
    <w:rsid w:val="004B08E1"/>
    <w:rsid w:val="004B3602"/>
    <w:rsid w:val="004B66C3"/>
    <w:rsid w:val="004C4275"/>
    <w:rsid w:val="004C461B"/>
    <w:rsid w:val="004D23A7"/>
    <w:rsid w:val="004D506F"/>
    <w:rsid w:val="004F1F48"/>
    <w:rsid w:val="0050342F"/>
    <w:rsid w:val="00506F09"/>
    <w:rsid w:val="00507313"/>
    <w:rsid w:val="00511152"/>
    <w:rsid w:val="00512FC6"/>
    <w:rsid w:val="005135BC"/>
    <w:rsid w:val="0051408B"/>
    <w:rsid w:val="00524231"/>
    <w:rsid w:val="005253EA"/>
    <w:rsid w:val="005336E1"/>
    <w:rsid w:val="0054065F"/>
    <w:rsid w:val="00542101"/>
    <w:rsid w:val="00546758"/>
    <w:rsid w:val="005572A2"/>
    <w:rsid w:val="00561C3E"/>
    <w:rsid w:val="005852DD"/>
    <w:rsid w:val="00597A5A"/>
    <w:rsid w:val="005A57A5"/>
    <w:rsid w:val="005A5AD0"/>
    <w:rsid w:val="005A5D8E"/>
    <w:rsid w:val="005B08CF"/>
    <w:rsid w:val="005B1E09"/>
    <w:rsid w:val="005B2F89"/>
    <w:rsid w:val="005B6E5E"/>
    <w:rsid w:val="005D5210"/>
    <w:rsid w:val="005D5B1B"/>
    <w:rsid w:val="005F5415"/>
    <w:rsid w:val="00621B41"/>
    <w:rsid w:val="00621B98"/>
    <w:rsid w:val="00625427"/>
    <w:rsid w:val="00630EEB"/>
    <w:rsid w:val="00636B49"/>
    <w:rsid w:val="006508A8"/>
    <w:rsid w:val="00656EAD"/>
    <w:rsid w:val="0065736D"/>
    <w:rsid w:val="00664CD6"/>
    <w:rsid w:val="00667D53"/>
    <w:rsid w:val="006854A0"/>
    <w:rsid w:val="00686EDB"/>
    <w:rsid w:val="00695E64"/>
    <w:rsid w:val="006B1552"/>
    <w:rsid w:val="006C0138"/>
    <w:rsid w:val="006C0C13"/>
    <w:rsid w:val="006C52B8"/>
    <w:rsid w:val="006C7FEA"/>
    <w:rsid w:val="006D1BAA"/>
    <w:rsid w:val="006D4AEA"/>
    <w:rsid w:val="006D678B"/>
    <w:rsid w:val="006D694E"/>
    <w:rsid w:val="006F29AA"/>
    <w:rsid w:val="0070193B"/>
    <w:rsid w:val="007031A2"/>
    <w:rsid w:val="007109E6"/>
    <w:rsid w:val="00711640"/>
    <w:rsid w:val="007125CF"/>
    <w:rsid w:val="00716A16"/>
    <w:rsid w:val="00723A11"/>
    <w:rsid w:val="0073785E"/>
    <w:rsid w:val="00745016"/>
    <w:rsid w:val="00746074"/>
    <w:rsid w:val="007513B3"/>
    <w:rsid w:val="007560F2"/>
    <w:rsid w:val="007633FF"/>
    <w:rsid w:val="00790173"/>
    <w:rsid w:val="007A459E"/>
    <w:rsid w:val="007C0F55"/>
    <w:rsid w:val="007C20D7"/>
    <w:rsid w:val="007D4409"/>
    <w:rsid w:val="007E5254"/>
    <w:rsid w:val="007E6ABA"/>
    <w:rsid w:val="007F2CE8"/>
    <w:rsid w:val="007F5CE9"/>
    <w:rsid w:val="00807F9A"/>
    <w:rsid w:val="0081283D"/>
    <w:rsid w:val="00840465"/>
    <w:rsid w:val="00845C71"/>
    <w:rsid w:val="00850DFD"/>
    <w:rsid w:val="00855DEE"/>
    <w:rsid w:val="0085654D"/>
    <w:rsid w:val="00870ECB"/>
    <w:rsid w:val="00873D23"/>
    <w:rsid w:val="008753F9"/>
    <w:rsid w:val="008900F8"/>
    <w:rsid w:val="008A0FE6"/>
    <w:rsid w:val="008A403A"/>
    <w:rsid w:val="008A71C4"/>
    <w:rsid w:val="008C0CBE"/>
    <w:rsid w:val="008C0F78"/>
    <w:rsid w:val="008C245D"/>
    <w:rsid w:val="008C294A"/>
    <w:rsid w:val="008C437D"/>
    <w:rsid w:val="008C4D2D"/>
    <w:rsid w:val="008D49F5"/>
    <w:rsid w:val="008D597C"/>
    <w:rsid w:val="008E1823"/>
    <w:rsid w:val="008E3FBA"/>
    <w:rsid w:val="008E6499"/>
    <w:rsid w:val="008E6556"/>
    <w:rsid w:val="008E7252"/>
    <w:rsid w:val="008E769D"/>
    <w:rsid w:val="008E7FAE"/>
    <w:rsid w:val="00901641"/>
    <w:rsid w:val="00901741"/>
    <w:rsid w:val="00915747"/>
    <w:rsid w:val="00920127"/>
    <w:rsid w:val="009213D3"/>
    <w:rsid w:val="00922FE7"/>
    <w:rsid w:val="00924337"/>
    <w:rsid w:val="00932F2C"/>
    <w:rsid w:val="00933A4C"/>
    <w:rsid w:val="00941D49"/>
    <w:rsid w:val="009453CC"/>
    <w:rsid w:val="00947853"/>
    <w:rsid w:val="00962C4C"/>
    <w:rsid w:val="00990C07"/>
    <w:rsid w:val="00991AFB"/>
    <w:rsid w:val="009A628C"/>
    <w:rsid w:val="009A74FE"/>
    <w:rsid w:val="009C0AD2"/>
    <w:rsid w:val="009C332F"/>
    <w:rsid w:val="009D2095"/>
    <w:rsid w:val="009E153D"/>
    <w:rsid w:val="009F1537"/>
    <w:rsid w:val="009F3B3F"/>
    <w:rsid w:val="00A024FD"/>
    <w:rsid w:val="00A220DA"/>
    <w:rsid w:val="00A227D6"/>
    <w:rsid w:val="00A2748E"/>
    <w:rsid w:val="00A322E1"/>
    <w:rsid w:val="00A4132E"/>
    <w:rsid w:val="00A8418B"/>
    <w:rsid w:val="00AA347D"/>
    <w:rsid w:val="00AA4270"/>
    <w:rsid w:val="00AA7A1A"/>
    <w:rsid w:val="00AB73D9"/>
    <w:rsid w:val="00AC407B"/>
    <w:rsid w:val="00AC7ABB"/>
    <w:rsid w:val="00AD157B"/>
    <w:rsid w:val="00AE0DDE"/>
    <w:rsid w:val="00AE6A28"/>
    <w:rsid w:val="00B011CA"/>
    <w:rsid w:val="00B020D5"/>
    <w:rsid w:val="00B05990"/>
    <w:rsid w:val="00B123D6"/>
    <w:rsid w:val="00B22285"/>
    <w:rsid w:val="00B241F7"/>
    <w:rsid w:val="00B27177"/>
    <w:rsid w:val="00B35D0A"/>
    <w:rsid w:val="00B451DF"/>
    <w:rsid w:val="00B47B28"/>
    <w:rsid w:val="00B5100C"/>
    <w:rsid w:val="00B60D33"/>
    <w:rsid w:val="00B846C4"/>
    <w:rsid w:val="00B8650F"/>
    <w:rsid w:val="00B93137"/>
    <w:rsid w:val="00B96D60"/>
    <w:rsid w:val="00BA0C9C"/>
    <w:rsid w:val="00BA5704"/>
    <w:rsid w:val="00BB160D"/>
    <w:rsid w:val="00BB2926"/>
    <w:rsid w:val="00BB43EE"/>
    <w:rsid w:val="00BD07C7"/>
    <w:rsid w:val="00BD39C7"/>
    <w:rsid w:val="00BD740C"/>
    <w:rsid w:val="00C20AC9"/>
    <w:rsid w:val="00C2178F"/>
    <w:rsid w:val="00C273B9"/>
    <w:rsid w:val="00C279DA"/>
    <w:rsid w:val="00C338E6"/>
    <w:rsid w:val="00C352CA"/>
    <w:rsid w:val="00C35415"/>
    <w:rsid w:val="00C4697C"/>
    <w:rsid w:val="00C52436"/>
    <w:rsid w:val="00C54940"/>
    <w:rsid w:val="00C57E96"/>
    <w:rsid w:val="00C67F6B"/>
    <w:rsid w:val="00C77BF4"/>
    <w:rsid w:val="00C90A3D"/>
    <w:rsid w:val="00CA10E8"/>
    <w:rsid w:val="00CA5A54"/>
    <w:rsid w:val="00CB6C8A"/>
    <w:rsid w:val="00CC7257"/>
    <w:rsid w:val="00CD39E4"/>
    <w:rsid w:val="00CD5AC3"/>
    <w:rsid w:val="00CD7066"/>
    <w:rsid w:val="00CD76D5"/>
    <w:rsid w:val="00CD79A0"/>
    <w:rsid w:val="00CE2360"/>
    <w:rsid w:val="00CE47B2"/>
    <w:rsid w:val="00CE4C3E"/>
    <w:rsid w:val="00CE7E1E"/>
    <w:rsid w:val="00D14A8F"/>
    <w:rsid w:val="00D17E72"/>
    <w:rsid w:val="00D21B19"/>
    <w:rsid w:val="00D27206"/>
    <w:rsid w:val="00D31F04"/>
    <w:rsid w:val="00D51696"/>
    <w:rsid w:val="00D55EDC"/>
    <w:rsid w:val="00D615F3"/>
    <w:rsid w:val="00D7011C"/>
    <w:rsid w:val="00D76041"/>
    <w:rsid w:val="00D76E09"/>
    <w:rsid w:val="00D86409"/>
    <w:rsid w:val="00D92DE6"/>
    <w:rsid w:val="00DA7BE5"/>
    <w:rsid w:val="00DB3723"/>
    <w:rsid w:val="00DB5223"/>
    <w:rsid w:val="00DC4352"/>
    <w:rsid w:val="00DD0436"/>
    <w:rsid w:val="00DD7F4D"/>
    <w:rsid w:val="00DE6FD3"/>
    <w:rsid w:val="00DE75F1"/>
    <w:rsid w:val="00DE7C9D"/>
    <w:rsid w:val="00E0608E"/>
    <w:rsid w:val="00E078E5"/>
    <w:rsid w:val="00E15230"/>
    <w:rsid w:val="00E20C53"/>
    <w:rsid w:val="00E22B99"/>
    <w:rsid w:val="00E240BD"/>
    <w:rsid w:val="00E4118C"/>
    <w:rsid w:val="00E53D3B"/>
    <w:rsid w:val="00E70E89"/>
    <w:rsid w:val="00E71167"/>
    <w:rsid w:val="00E725A7"/>
    <w:rsid w:val="00E733CD"/>
    <w:rsid w:val="00E85805"/>
    <w:rsid w:val="00E8696D"/>
    <w:rsid w:val="00E940DE"/>
    <w:rsid w:val="00EA0C3C"/>
    <w:rsid w:val="00EA24FB"/>
    <w:rsid w:val="00EA6E4A"/>
    <w:rsid w:val="00EB2E22"/>
    <w:rsid w:val="00EC240F"/>
    <w:rsid w:val="00EC39DD"/>
    <w:rsid w:val="00EC66FB"/>
    <w:rsid w:val="00ED049D"/>
    <w:rsid w:val="00ED1737"/>
    <w:rsid w:val="00ED53A4"/>
    <w:rsid w:val="00ED54DD"/>
    <w:rsid w:val="00EE11E0"/>
    <w:rsid w:val="00EE6ABA"/>
    <w:rsid w:val="00EE6FB7"/>
    <w:rsid w:val="00F02CDC"/>
    <w:rsid w:val="00F15342"/>
    <w:rsid w:val="00F20B01"/>
    <w:rsid w:val="00F25AE7"/>
    <w:rsid w:val="00F36C2D"/>
    <w:rsid w:val="00F4452C"/>
    <w:rsid w:val="00F54AC1"/>
    <w:rsid w:val="00F54AF1"/>
    <w:rsid w:val="00F6012F"/>
    <w:rsid w:val="00F63638"/>
    <w:rsid w:val="00F65F6C"/>
    <w:rsid w:val="00F7110D"/>
    <w:rsid w:val="00F716D4"/>
    <w:rsid w:val="00F75204"/>
    <w:rsid w:val="00F85DBC"/>
    <w:rsid w:val="00F863C9"/>
    <w:rsid w:val="00F90BE5"/>
    <w:rsid w:val="00F921F3"/>
    <w:rsid w:val="00F95D3A"/>
    <w:rsid w:val="00FA07F0"/>
    <w:rsid w:val="00FA2B67"/>
    <w:rsid w:val="00FA4839"/>
    <w:rsid w:val="00FA486B"/>
    <w:rsid w:val="00FB2C5A"/>
    <w:rsid w:val="00FC380A"/>
    <w:rsid w:val="00FD2A2C"/>
    <w:rsid w:val="00FE4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EDC6"/>
  <w15:chartTrackingRefBased/>
  <w15:docId w15:val="{029A628A-3EEB-40A3-A10F-CCAFEEC2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238"/>
    <w:pPr>
      <w:spacing w:after="200" w:line="276" w:lineRule="auto"/>
    </w:pPr>
  </w:style>
  <w:style w:type="paragraph" w:styleId="Heading1">
    <w:name w:val="heading 1"/>
    <w:basedOn w:val="Normal"/>
    <w:next w:val="Normal"/>
    <w:link w:val="Heading1Char"/>
    <w:uiPriority w:val="9"/>
    <w:qFormat/>
    <w:rsid w:val="001A77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990C07"/>
    <w:pPr>
      <w:numPr>
        <w:numId w:val="1"/>
      </w:numPr>
      <w:spacing w:after="0" w:line="240" w:lineRule="auto"/>
      <w:outlineLvl w:val="1"/>
    </w:pPr>
    <w:rPr>
      <w:rFonts w:eastAsia="Times New Roman"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238"/>
  </w:style>
  <w:style w:type="paragraph" w:styleId="Footer">
    <w:name w:val="footer"/>
    <w:basedOn w:val="Normal"/>
    <w:link w:val="FooterChar"/>
    <w:uiPriority w:val="99"/>
    <w:unhideWhenUsed/>
    <w:rsid w:val="00027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238"/>
  </w:style>
  <w:style w:type="table" w:styleId="TableGrid">
    <w:name w:val="Table Grid"/>
    <w:basedOn w:val="TableNormal"/>
    <w:uiPriority w:val="59"/>
    <w:rsid w:val="000272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338E6"/>
    <w:pPr>
      <w:spacing w:line="240" w:lineRule="auto"/>
    </w:pPr>
    <w:rPr>
      <w:i/>
      <w:iCs/>
      <w:color w:val="44546A" w:themeColor="text2"/>
      <w:sz w:val="18"/>
      <w:szCs w:val="18"/>
    </w:rPr>
  </w:style>
  <w:style w:type="paragraph" w:styleId="ListParagraph">
    <w:name w:val="List Paragraph"/>
    <w:basedOn w:val="Normal"/>
    <w:uiPriority w:val="34"/>
    <w:qFormat/>
    <w:rsid w:val="00B96D60"/>
    <w:pPr>
      <w:ind w:left="720"/>
      <w:contextualSpacing/>
    </w:pPr>
  </w:style>
  <w:style w:type="character" w:customStyle="1" w:styleId="Heading2Char">
    <w:name w:val="Heading 2 Char"/>
    <w:basedOn w:val="DefaultParagraphFont"/>
    <w:link w:val="Heading2"/>
    <w:uiPriority w:val="9"/>
    <w:rsid w:val="00990C07"/>
    <w:rPr>
      <w:rFonts w:eastAsia="Times New Roman" w:cs="Arial"/>
      <w:sz w:val="20"/>
      <w:szCs w:val="20"/>
      <w:lang w:eastAsia="en-GB"/>
    </w:rPr>
  </w:style>
  <w:style w:type="character" w:customStyle="1" w:styleId="Heading1Char">
    <w:name w:val="Heading 1 Char"/>
    <w:basedOn w:val="DefaultParagraphFont"/>
    <w:link w:val="Heading1"/>
    <w:uiPriority w:val="9"/>
    <w:rsid w:val="001A77E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3DA6"/>
    <w:rPr>
      <w:color w:val="0563C1" w:themeColor="hyperlink"/>
      <w:u w:val="single"/>
    </w:rPr>
  </w:style>
  <w:style w:type="paragraph" w:styleId="NormalWeb">
    <w:name w:val="Normal (Web)"/>
    <w:basedOn w:val="Normal"/>
    <w:uiPriority w:val="99"/>
    <w:semiHidden/>
    <w:unhideWhenUsed/>
    <w:rsid w:val="00B846C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8A0F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7CDE"/>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5A5D8E"/>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138A8"/>
    <w:rPr>
      <w:sz w:val="16"/>
      <w:szCs w:val="16"/>
    </w:rPr>
  </w:style>
  <w:style w:type="paragraph" w:styleId="CommentText">
    <w:name w:val="annotation text"/>
    <w:basedOn w:val="Normal"/>
    <w:link w:val="CommentTextChar"/>
    <w:uiPriority w:val="99"/>
    <w:unhideWhenUsed/>
    <w:rsid w:val="003138A8"/>
    <w:pPr>
      <w:spacing w:line="240" w:lineRule="auto"/>
    </w:pPr>
    <w:rPr>
      <w:sz w:val="20"/>
      <w:szCs w:val="20"/>
    </w:rPr>
  </w:style>
  <w:style w:type="character" w:customStyle="1" w:styleId="CommentTextChar">
    <w:name w:val="Comment Text Char"/>
    <w:basedOn w:val="DefaultParagraphFont"/>
    <w:link w:val="CommentText"/>
    <w:uiPriority w:val="99"/>
    <w:rsid w:val="003138A8"/>
    <w:rPr>
      <w:sz w:val="20"/>
      <w:szCs w:val="20"/>
    </w:rPr>
  </w:style>
  <w:style w:type="paragraph" w:styleId="CommentSubject">
    <w:name w:val="annotation subject"/>
    <w:basedOn w:val="CommentText"/>
    <w:next w:val="CommentText"/>
    <w:link w:val="CommentSubjectChar"/>
    <w:uiPriority w:val="99"/>
    <w:semiHidden/>
    <w:unhideWhenUsed/>
    <w:rsid w:val="003138A8"/>
    <w:rPr>
      <w:b/>
      <w:bCs/>
    </w:rPr>
  </w:style>
  <w:style w:type="character" w:customStyle="1" w:styleId="CommentSubjectChar">
    <w:name w:val="Comment Subject Char"/>
    <w:basedOn w:val="CommentTextChar"/>
    <w:link w:val="CommentSubject"/>
    <w:uiPriority w:val="99"/>
    <w:semiHidden/>
    <w:rsid w:val="003138A8"/>
    <w:rPr>
      <w:b/>
      <w:bCs/>
      <w:sz w:val="20"/>
      <w:szCs w:val="20"/>
    </w:rPr>
  </w:style>
  <w:style w:type="paragraph" w:styleId="BalloonText">
    <w:name w:val="Balloon Text"/>
    <w:basedOn w:val="Normal"/>
    <w:link w:val="BalloonTextChar"/>
    <w:uiPriority w:val="99"/>
    <w:semiHidden/>
    <w:unhideWhenUsed/>
    <w:rsid w:val="00146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042">
      <w:bodyDiv w:val="1"/>
      <w:marLeft w:val="0"/>
      <w:marRight w:val="0"/>
      <w:marTop w:val="0"/>
      <w:marBottom w:val="0"/>
      <w:divBdr>
        <w:top w:val="none" w:sz="0" w:space="0" w:color="auto"/>
        <w:left w:val="none" w:sz="0" w:space="0" w:color="auto"/>
        <w:bottom w:val="none" w:sz="0" w:space="0" w:color="auto"/>
        <w:right w:val="none" w:sz="0" w:space="0" w:color="auto"/>
      </w:divBdr>
    </w:div>
    <w:div w:id="175120600">
      <w:bodyDiv w:val="1"/>
      <w:marLeft w:val="0"/>
      <w:marRight w:val="0"/>
      <w:marTop w:val="0"/>
      <w:marBottom w:val="0"/>
      <w:divBdr>
        <w:top w:val="none" w:sz="0" w:space="0" w:color="auto"/>
        <w:left w:val="none" w:sz="0" w:space="0" w:color="auto"/>
        <w:bottom w:val="none" w:sz="0" w:space="0" w:color="auto"/>
        <w:right w:val="none" w:sz="0" w:space="0" w:color="auto"/>
      </w:divBdr>
    </w:div>
    <w:div w:id="288980183">
      <w:bodyDiv w:val="1"/>
      <w:marLeft w:val="0"/>
      <w:marRight w:val="0"/>
      <w:marTop w:val="0"/>
      <w:marBottom w:val="0"/>
      <w:divBdr>
        <w:top w:val="none" w:sz="0" w:space="0" w:color="auto"/>
        <w:left w:val="none" w:sz="0" w:space="0" w:color="auto"/>
        <w:bottom w:val="none" w:sz="0" w:space="0" w:color="auto"/>
        <w:right w:val="none" w:sz="0" w:space="0" w:color="auto"/>
      </w:divBdr>
    </w:div>
    <w:div w:id="621502859">
      <w:bodyDiv w:val="1"/>
      <w:marLeft w:val="0"/>
      <w:marRight w:val="0"/>
      <w:marTop w:val="0"/>
      <w:marBottom w:val="0"/>
      <w:divBdr>
        <w:top w:val="none" w:sz="0" w:space="0" w:color="auto"/>
        <w:left w:val="none" w:sz="0" w:space="0" w:color="auto"/>
        <w:bottom w:val="none" w:sz="0" w:space="0" w:color="auto"/>
        <w:right w:val="none" w:sz="0" w:space="0" w:color="auto"/>
      </w:divBdr>
    </w:div>
    <w:div w:id="637951941">
      <w:bodyDiv w:val="1"/>
      <w:marLeft w:val="0"/>
      <w:marRight w:val="0"/>
      <w:marTop w:val="0"/>
      <w:marBottom w:val="0"/>
      <w:divBdr>
        <w:top w:val="none" w:sz="0" w:space="0" w:color="auto"/>
        <w:left w:val="none" w:sz="0" w:space="0" w:color="auto"/>
        <w:bottom w:val="none" w:sz="0" w:space="0" w:color="auto"/>
        <w:right w:val="none" w:sz="0" w:space="0" w:color="auto"/>
      </w:divBdr>
    </w:div>
    <w:div w:id="898125815">
      <w:bodyDiv w:val="1"/>
      <w:marLeft w:val="0"/>
      <w:marRight w:val="0"/>
      <w:marTop w:val="0"/>
      <w:marBottom w:val="0"/>
      <w:divBdr>
        <w:top w:val="none" w:sz="0" w:space="0" w:color="auto"/>
        <w:left w:val="none" w:sz="0" w:space="0" w:color="auto"/>
        <w:bottom w:val="none" w:sz="0" w:space="0" w:color="auto"/>
        <w:right w:val="none" w:sz="0" w:space="0" w:color="auto"/>
      </w:divBdr>
      <w:divsChild>
        <w:div w:id="324020435">
          <w:marLeft w:val="360"/>
          <w:marRight w:val="0"/>
          <w:marTop w:val="200"/>
          <w:marBottom w:val="0"/>
          <w:divBdr>
            <w:top w:val="none" w:sz="0" w:space="0" w:color="auto"/>
            <w:left w:val="none" w:sz="0" w:space="0" w:color="auto"/>
            <w:bottom w:val="none" w:sz="0" w:space="0" w:color="auto"/>
            <w:right w:val="none" w:sz="0" w:space="0" w:color="auto"/>
          </w:divBdr>
        </w:div>
      </w:divsChild>
    </w:div>
    <w:div w:id="993795822">
      <w:bodyDiv w:val="1"/>
      <w:marLeft w:val="0"/>
      <w:marRight w:val="0"/>
      <w:marTop w:val="0"/>
      <w:marBottom w:val="0"/>
      <w:divBdr>
        <w:top w:val="none" w:sz="0" w:space="0" w:color="auto"/>
        <w:left w:val="none" w:sz="0" w:space="0" w:color="auto"/>
        <w:bottom w:val="none" w:sz="0" w:space="0" w:color="auto"/>
        <w:right w:val="none" w:sz="0" w:space="0" w:color="auto"/>
      </w:divBdr>
    </w:div>
    <w:div w:id="1264996745">
      <w:bodyDiv w:val="1"/>
      <w:marLeft w:val="0"/>
      <w:marRight w:val="0"/>
      <w:marTop w:val="0"/>
      <w:marBottom w:val="0"/>
      <w:divBdr>
        <w:top w:val="none" w:sz="0" w:space="0" w:color="auto"/>
        <w:left w:val="none" w:sz="0" w:space="0" w:color="auto"/>
        <w:bottom w:val="none" w:sz="0" w:space="0" w:color="auto"/>
        <w:right w:val="none" w:sz="0" w:space="0" w:color="auto"/>
      </w:divBdr>
      <w:divsChild>
        <w:div w:id="853880068">
          <w:marLeft w:val="274"/>
          <w:marRight w:val="0"/>
          <w:marTop w:val="0"/>
          <w:marBottom w:val="0"/>
          <w:divBdr>
            <w:top w:val="none" w:sz="0" w:space="0" w:color="auto"/>
            <w:left w:val="none" w:sz="0" w:space="0" w:color="auto"/>
            <w:bottom w:val="none" w:sz="0" w:space="0" w:color="auto"/>
            <w:right w:val="none" w:sz="0" w:space="0" w:color="auto"/>
          </w:divBdr>
        </w:div>
        <w:div w:id="671296509">
          <w:marLeft w:val="274"/>
          <w:marRight w:val="0"/>
          <w:marTop w:val="0"/>
          <w:marBottom w:val="0"/>
          <w:divBdr>
            <w:top w:val="none" w:sz="0" w:space="0" w:color="auto"/>
            <w:left w:val="none" w:sz="0" w:space="0" w:color="auto"/>
            <w:bottom w:val="none" w:sz="0" w:space="0" w:color="auto"/>
            <w:right w:val="none" w:sz="0" w:space="0" w:color="auto"/>
          </w:divBdr>
        </w:div>
        <w:div w:id="1838880111">
          <w:marLeft w:val="274"/>
          <w:marRight w:val="0"/>
          <w:marTop w:val="0"/>
          <w:marBottom w:val="0"/>
          <w:divBdr>
            <w:top w:val="none" w:sz="0" w:space="0" w:color="auto"/>
            <w:left w:val="none" w:sz="0" w:space="0" w:color="auto"/>
            <w:bottom w:val="none" w:sz="0" w:space="0" w:color="auto"/>
            <w:right w:val="none" w:sz="0" w:space="0" w:color="auto"/>
          </w:divBdr>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412387446">
      <w:bodyDiv w:val="1"/>
      <w:marLeft w:val="0"/>
      <w:marRight w:val="0"/>
      <w:marTop w:val="0"/>
      <w:marBottom w:val="0"/>
      <w:divBdr>
        <w:top w:val="none" w:sz="0" w:space="0" w:color="auto"/>
        <w:left w:val="none" w:sz="0" w:space="0" w:color="auto"/>
        <w:bottom w:val="none" w:sz="0" w:space="0" w:color="auto"/>
        <w:right w:val="none" w:sz="0" w:space="0" w:color="auto"/>
      </w:divBdr>
      <w:divsChild>
        <w:div w:id="248388349">
          <w:marLeft w:val="360"/>
          <w:marRight w:val="0"/>
          <w:marTop w:val="150"/>
          <w:marBottom w:val="150"/>
          <w:divBdr>
            <w:top w:val="none" w:sz="0" w:space="0" w:color="auto"/>
            <w:left w:val="none" w:sz="0" w:space="0" w:color="auto"/>
            <w:bottom w:val="none" w:sz="0" w:space="0" w:color="auto"/>
            <w:right w:val="none" w:sz="0" w:space="0" w:color="auto"/>
          </w:divBdr>
        </w:div>
        <w:div w:id="1934627670">
          <w:marLeft w:val="360"/>
          <w:marRight w:val="0"/>
          <w:marTop w:val="200"/>
          <w:marBottom w:val="150"/>
          <w:divBdr>
            <w:top w:val="none" w:sz="0" w:space="0" w:color="auto"/>
            <w:left w:val="none" w:sz="0" w:space="0" w:color="auto"/>
            <w:bottom w:val="none" w:sz="0" w:space="0" w:color="auto"/>
            <w:right w:val="none" w:sz="0" w:space="0" w:color="auto"/>
          </w:divBdr>
        </w:div>
      </w:divsChild>
    </w:div>
    <w:div w:id="1531801885">
      <w:bodyDiv w:val="1"/>
      <w:marLeft w:val="0"/>
      <w:marRight w:val="0"/>
      <w:marTop w:val="0"/>
      <w:marBottom w:val="0"/>
      <w:divBdr>
        <w:top w:val="none" w:sz="0" w:space="0" w:color="auto"/>
        <w:left w:val="none" w:sz="0" w:space="0" w:color="auto"/>
        <w:bottom w:val="none" w:sz="0" w:space="0" w:color="auto"/>
        <w:right w:val="none" w:sz="0" w:space="0" w:color="auto"/>
      </w:divBdr>
    </w:div>
    <w:div w:id="1578636664">
      <w:bodyDiv w:val="1"/>
      <w:marLeft w:val="0"/>
      <w:marRight w:val="0"/>
      <w:marTop w:val="0"/>
      <w:marBottom w:val="0"/>
      <w:divBdr>
        <w:top w:val="none" w:sz="0" w:space="0" w:color="auto"/>
        <w:left w:val="none" w:sz="0" w:space="0" w:color="auto"/>
        <w:bottom w:val="none" w:sz="0" w:space="0" w:color="auto"/>
        <w:right w:val="none" w:sz="0" w:space="0" w:color="auto"/>
      </w:divBdr>
    </w:div>
    <w:div w:id="1783648194">
      <w:bodyDiv w:val="1"/>
      <w:marLeft w:val="0"/>
      <w:marRight w:val="0"/>
      <w:marTop w:val="0"/>
      <w:marBottom w:val="0"/>
      <w:divBdr>
        <w:top w:val="none" w:sz="0" w:space="0" w:color="auto"/>
        <w:left w:val="none" w:sz="0" w:space="0" w:color="auto"/>
        <w:bottom w:val="none" w:sz="0" w:space="0" w:color="auto"/>
        <w:right w:val="none" w:sz="0" w:space="0" w:color="auto"/>
      </w:divBdr>
    </w:div>
    <w:div w:id="1787846640">
      <w:bodyDiv w:val="1"/>
      <w:marLeft w:val="0"/>
      <w:marRight w:val="0"/>
      <w:marTop w:val="0"/>
      <w:marBottom w:val="0"/>
      <w:divBdr>
        <w:top w:val="none" w:sz="0" w:space="0" w:color="auto"/>
        <w:left w:val="none" w:sz="0" w:space="0" w:color="auto"/>
        <w:bottom w:val="none" w:sz="0" w:space="0" w:color="auto"/>
        <w:right w:val="none" w:sz="0" w:space="0" w:color="auto"/>
      </w:divBdr>
    </w:div>
    <w:div w:id="1855880734">
      <w:bodyDiv w:val="1"/>
      <w:marLeft w:val="0"/>
      <w:marRight w:val="0"/>
      <w:marTop w:val="0"/>
      <w:marBottom w:val="0"/>
      <w:divBdr>
        <w:top w:val="none" w:sz="0" w:space="0" w:color="auto"/>
        <w:left w:val="none" w:sz="0" w:space="0" w:color="auto"/>
        <w:bottom w:val="none" w:sz="0" w:space="0" w:color="auto"/>
        <w:right w:val="none" w:sz="0" w:space="0" w:color="auto"/>
      </w:divBdr>
    </w:div>
    <w:div w:id="1858888283">
      <w:bodyDiv w:val="1"/>
      <w:marLeft w:val="0"/>
      <w:marRight w:val="0"/>
      <w:marTop w:val="0"/>
      <w:marBottom w:val="0"/>
      <w:divBdr>
        <w:top w:val="none" w:sz="0" w:space="0" w:color="auto"/>
        <w:left w:val="none" w:sz="0" w:space="0" w:color="auto"/>
        <w:bottom w:val="none" w:sz="0" w:space="0" w:color="auto"/>
        <w:right w:val="none" w:sz="0" w:space="0" w:color="auto"/>
      </w:divBdr>
    </w:div>
    <w:div w:id="1871381124">
      <w:bodyDiv w:val="1"/>
      <w:marLeft w:val="0"/>
      <w:marRight w:val="0"/>
      <w:marTop w:val="0"/>
      <w:marBottom w:val="0"/>
      <w:divBdr>
        <w:top w:val="none" w:sz="0" w:space="0" w:color="auto"/>
        <w:left w:val="none" w:sz="0" w:space="0" w:color="auto"/>
        <w:bottom w:val="none" w:sz="0" w:space="0" w:color="auto"/>
        <w:right w:val="none" w:sz="0" w:space="0" w:color="auto"/>
      </w:divBdr>
    </w:div>
    <w:div w:id="1937203792">
      <w:bodyDiv w:val="1"/>
      <w:marLeft w:val="0"/>
      <w:marRight w:val="0"/>
      <w:marTop w:val="0"/>
      <w:marBottom w:val="0"/>
      <w:divBdr>
        <w:top w:val="none" w:sz="0" w:space="0" w:color="auto"/>
        <w:left w:val="none" w:sz="0" w:space="0" w:color="auto"/>
        <w:bottom w:val="none" w:sz="0" w:space="0" w:color="auto"/>
        <w:right w:val="none" w:sz="0" w:space="0" w:color="auto"/>
      </w:divBdr>
      <w:divsChild>
        <w:div w:id="1645038020">
          <w:marLeft w:val="360"/>
          <w:marRight w:val="0"/>
          <w:marTop w:val="200"/>
          <w:marBottom w:val="15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30140534">
      <w:bodyDiv w:val="1"/>
      <w:marLeft w:val="0"/>
      <w:marRight w:val="0"/>
      <w:marTop w:val="0"/>
      <w:marBottom w:val="0"/>
      <w:divBdr>
        <w:top w:val="none" w:sz="0" w:space="0" w:color="auto"/>
        <w:left w:val="none" w:sz="0" w:space="0" w:color="auto"/>
        <w:bottom w:val="none" w:sz="0" w:space="0" w:color="auto"/>
        <w:right w:val="none" w:sz="0" w:space="0" w:color="auto"/>
      </w:divBdr>
    </w:div>
    <w:div w:id="2036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D206E-4724-411B-9BA7-B733C999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1862</Words>
  <Characters>10614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Jethwa Rajesh</dc:creator>
  <cp:keywords/>
  <dc:description/>
  <cp:lastModifiedBy>Anand Indreet</cp:lastModifiedBy>
  <cp:revision>2</cp:revision>
  <cp:lastPrinted>2023-01-08T13:30:00Z</cp:lastPrinted>
  <dcterms:created xsi:type="dcterms:W3CDTF">2024-04-05T09:13:00Z</dcterms:created>
  <dcterms:modified xsi:type="dcterms:W3CDTF">2024-04-05T09:13:00Z</dcterms:modified>
</cp:coreProperties>
</file>