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431" w:rsidRPr="005D33E9" w:rsidRDefault="0083716C">
      <w:pPr>
        <w:rPr>
          <w:b/>
          <w:sz w:val="28"/>
          <w:szCs w:val="28"/>
        </w:rPr>
      </w:pPr>
      <w:r w:rsidRPr="005D33E9">
        <w:rPr>
          <w:b/>
          <w:sz w:val="28"/>
          <w:szCs w:val="28"/>
        </w:rPr>
        <w:t xml:space="preserve">Policy </w:t>
      </w:r>
      <w:proofErr w:type="gramStart"/>
      <w:r w:rsidRPr="005D33E9">
        <w:rPr>
          <w:b/>
          <w:sz w:val="28"/>
          <w:szCs w:val="28"/>
        </w:rPr>
        <w:t>In</w:t>
      </w:r>
      <w:proofErr w:type="gramEnd"/>
      <w:r w:rsidRPr="005D33E9">
        <w:rPr>
          <w:b/>
          <w:sz w:val="28"/>
          <w:szCs w:val="28"/>
        </w:rPr>
        <w:t xml:space="preserve"> A Nutshell</w:t>
      </w:r>
    </w:p>
    <w:p w:rsidR="00E47926" w:rsidRDefault="00E47926">
      <w:r>
        <w:t xml:space="preserve">The following policies were ratified or extended recently by the Quality Committee </w:t>
      </w:r>
    </w:p>
    <w:p w:rsidR="00E47926" w:rsidRPr="00E47926" w:rsidRDefault="00E47926" w:rsidP="00E47926">
      <w:pPr>
        <w:rPr>
          <w:b/>
          <w:u w:val="single"/>
        </w:rPr>
      </w:pPr>
      <w:r w:rsidRPr="00E47926">
        <w:rPr>
          <w:b/>
          <w:u w:val="single"/>
        </w:rPr>
        <w:t>P</w:t>
      </w:r>
      <w:r w:rsidR="00E9393B">
        <w:rPr>
          <w:b/>
          <w:u w:val="single"/>
        </w:rPr>
        <w:t>olicies Ratified</w:t>
      </w:r>
    </w:p>
    <w:p w:rsidR="00E47926" w:rsidRPr="00E47926" w:rsidRDefault="00E9393B" w:rsidP="00E47926">
      <w:r w:rsidRPr="00E9393B">
        <w:t>The</w:t>
      </w:r>
      <w:r>
        <w:rPr>
          <w:b/>
        </w:rPr>
        <w:t xml:space="preserve"> </w:t>
      </w:r>
      <w:r w:rsidR="00E47926" w:rsidRPr="00E47926">
        <w:rPr>
          <w:b/>
        </w:rPr>
        <w:t>Dysphagia Policy</w:t>
      </w:r>
      <w:r w:rsidR="00E47926" w:rsidRPr="00E47926">
        <w:t xml:space="preserve"> is relevant to all staff throughout East London NHS Foundation Trust who provide care to service users with dysphagia either directly or indirectly. The policy highlights the definitions of dysphagia, causes, prevalence, signs and consequences. It also highlights that the management of the individual with dysphagia must be a coordinated multidisciplinary approach. The policy also clarifies the role of speech &amp; language therapists (SLTs) working in East London NHS Foundation Trust who provide assessment and intervention for children and adults with dysphagia and to make recommendations regarding good practice.</w:t>
      </w:r>
    </w:p>
    <w:p w:rsidR="00E47926" w:rsidRPr="00E47926" w:rsidRDefault="00E47926" w:rsidP="00E47926">
      <w:pPr>
        <w:rPr>
          <w:lang w:val="en-US"/>
        </w:rPr>
      </w:pPr>
      <w:r w:rsidRPr="00E47926">
        <w:rPr>
          <w:lang w:val="en-US"/>
        </w:rPr>
        <w:t>The purpose of the policy is to outline the role of the multidisciplinary team who provide care to service users with dysphagia by:</w:t>
      </w:r>
    </w:p>
    <w:p w:rsidR="00E47926" w:rsidRPr="00E47926" w:rsidRDefault="00E47926" w:rsidP="00E47926">
      <w:pPr>
        <w:numPr>
          <w:ilvl w:val="0"/>
          <w:numId w:val="1"/>
        </w:numPr>
        <w:rPr>
          <w:lang w:val="en-US"/>
        </w:rPr>
      </w:pPr>
      <w:r w:rsidRPr="00E47926">
        <w:rPr>
          <w:lang w:val="en-US"/>
        </w:rPr>
        <w:t xml:space="preserve">Ensuring that relevant staff who provide care to service users with dysphagia are able to </w:t>
      </w:r>
      <w:proofErr w:type="spellStart"/>
      <w:r w:rsidRPr="00E47926">
        <w:rPr>
          <w:lang w:val="en-US"/>
        </w:rPr>
        <w:t>recognise</w:t>
      </w:r>
      <w:proofErr w:type="spellEnd"/>
      <w:r w:rsidRPr="00E47926">
        <w:rPr>
          <w:lang w:val="en-US"/>
        </w:rPr>
        <w:t xml:space="preserve"> the signs of dysphagia.</w:t>
      </w:r>
    </w:p>
    <w:p w:rsidR="00E47926" w:rsidRPr="00E47926" w:rsidRDefault="00E47926" w:rsidP="00E47926">
      <w:pPr>
        <w:numPr>
          <w:ilvl w:val="0"/>
          <w:numId w:val="1"/>
        </w:numPr>
        <w:rPr>
          <w:lang w:val="en-US"/>
        </w:rPr>
      </w:pPr>
      <w:r w:rsidRPr="00E47926">
        <w:rPr>
          <w:lang w:val="en-US"/>
        </w:rPr>
        <w:t>Ensuring that relevant staff who provide care to service users with dysphagia are able to make an appropriate referral to Speech and Language Therapy (SLT).</w:t>
      </w:r>
    </w:p>
    <w:p w:rsidR="00E47926" w:rsidRPr="00E47926" w:rsidRDefault="00E47926" w:rsidP="00E47926">
      <w:pPr>
        <w:numPr>
          <w:ilvl w:val="0"/>
          <w:numId w:val="1"/>
        </w:numPr>
        <w:rPr>
          <w:lang w:val="en-US"/>
        </w:rPr>
      </w:pPr>
      <w:r w:rsidRPr="00E47926">
        <w:rPr>
          <w:lang w:val="en-US"/>
        </w:rPr>
        <w:t>Outlining the respective roles and responsibilities of relevant staff who provide care to service users with dysphagia.</w:t>
      </w:r>
    </w:p>
    <w:p w:rsidR="00E47926" w:rsidRPr="00E47926" w:rsidRDefault="00E47926" w:rsidP="00E47926">
      <w:pPr>
        <w:numPr>
          <w:ilvl w:val="0"/>
          <w:numId w:val="1"/>
        </w:numPr>
        <w:rPr>
          <w:lang w:val="en-US"/>
        </w:rPr>
      </w:pPr>
      <w:r w:rsidRPr="00E47926">
        <w:rPr>
          <w:lang w:val="en-US"/>
        </w:rPr>
        <w:t>Ensuring that relevant staff who provide care to service users with dysphagia use the information outlined in this policy to ensure that the service user is able to eat and drink safely.</w:t>
      </w:r>
    </w:p>
    <w:p w:rsidR="00E47926" w:rsidRPr="00E47926" w:rsidRDefault="00E9393B" w:rsidP="00E47926">
      <w:r w:rsidRPr="00E9393B">
        <w:rPr>
          <w:bCs/>
        </w:rPr>
        <w:t>The</w:t>
      </w:r>
      <w:r>
        <w:rPr>
          <w:b/>
          <w:bCs/>
        </w:rPr>
        <w:t xml:space="preserve"> </w:t>
      </w:r>
      <w:r w:rsidR="00E47926" w:rsidRPr="00E47926">
        <w:rPr>
          <w:b/>
          <w:bCs/>
        </w:rPr>
        <w:t>Advanced Decision to Refuse Treatment Policy</w:t>
      </w:r>
      <w:r>
        <w:rPr>
          <w:b/>
          <w:bCs/>
        </w:rPr>
        <w:t xml:space="preserve"> </w:t>
      </w:r>
      <w:r w:rsidR="00E47926" w:rsidRPr="00E47926">
        <w:t>sets out what practitioners should do when somebody has made an advance decision to refuse treatment and gives guidance on action to be taken where it is proposed to administer treatment to a person lacking capacity to consent to such treatment.</w:t>
      </w:r>
    </w:p>
    <w:p w:rsidR="00E47926" w:rsidRPr="00E47926" w:rsidRDefault="00E47926" w:rsidP="00E47926">
      <w:r w:rsidRPr="00E47926">
        <w:t>It also sets out how to check whether an advance decision exists and is valid and applicable in the circumstances; the responsibilities of healthcare professionals when an advance decision exists; and how to handle disagreements about advance decisions.</w:t>
      </w:r>
    </w:p>
    <w:p w:rsidR="00E47926" w:rsidRPr="00E47926" w:rsidRDefault="00E47926" w:rsidP="00E47926">
      <w:r w:rsidRPr="00E47926">
        <w:t>The Mental Capacity Act 2005 enables anyone over the age of 18, who has capacity, to refuse specified medical treatment for a time in the future when they may lack the capacity to consent to or refuse that treatment. This applies to all persons irrespective of whether they are in receipt of health services or not.</w:t>
      </w:r>
    </w:p>
    <w:p w:rsidR="00E47926" w:rsidRPr="00E9393B" w:rsidRDefault="00E9393B" w:rsidP="00E47926">
      <w:pPr>
        <w:rPr>
          <w:b/>
          <w:bCs/>
          <w:u w:val="single"/>
        </w:rPr>
      </w:pPr>
      <w:r w:rsidRPr="00E9393B">
        <w:rPr>
          <w:b/>
          <w:bCs/>
          <w:u w:val="single"/>
        </w:rPr>
        <w:t xml:space="preserve">Policies Approved and Ratified by Chairs Action </w:t>
      </w:r>
    </w:p>
    <w:p w:rsidR="00E9393B" w:rsidRPr="00E9393B" w:rsidRDefault="00E9393B" w:rsidP="00E9393B">
      <w:pPr>
        <w:rPr>
          <w:bCs/>
        </w:rPr>
      </w:pPr>
      <w:r w:rsidRPr="00E9393B">
        <w:rPr>
          <w:b/>
          <w:bCs/>
        </w:rPr>
        <w:t xml:space="preserve">The Information Governance and IMT Security Policy </w:t>
      </w:r>
      <w:r w:rsidRPr="00E9393B">
        <w:rPr>
          <w:bCs/>
        </w:rPr>
        <w:t>sets out a combined Information Governance and Security Policy and standards for information asset management and data security across the Trust.</w:t>
      </w:r>
    </w:p>
    <w:p w:rsidR="00E9393B" w:rsidRPr="00E9393B" w:rsidRDefault="00E9393B" w:rsidP="00E9393B">
      <w:pPr>
        <w:rPr>
          <w:bCs/>
        </w:rPr>
      </w:pPr>
      <w:r w:rsidRPr="00E9393B">
        <w:rPr>
          <w:bCs/>
        </w:rPr>
        <w:t>Information is a vital asset, both in terms of the clinical management of individual patients and the efficient management of staff, services and resources. It plays a key part in clinical governance, service planning and performance management.</w:t>
      </w:r>
    </w:p>
    <w:p w:rsidR="00E9393B" w:rsidRPr="00E9393B" w:rsidRDefault="00E9393B" w:rsidP="00E9393B">
      <w:pPr>
        <w:rPr>
          <w:bCs/>
        </w:rPr>
      </w:pPr>
      <w:r w:rsidRPr="00E9393B">
        <w:rPr>
          <w:bCs/>
        </w:rPr>
        <w:lastRenderedPageBreak/>
        <w:t>It is therefore important to ensure that information is effectively managed, and that appropriate policies, procedures and management accountability and structures provide a robust governance framework for information management.</w:t>
      </w:r>
    </w:p>
    <w:p w:rsidR="00E9393B" w:rsidRPr="00E9393B" w:rsidRDefault="00854997" w:rsidP="00E9393B">
      <w:pPr>
        <w:rPr>
          <w:bCs/>
        </w:rPr>
      </w:pPr>
      <w:r>
        <w:rPr>
          <w:bCs/>
        </w:rPr>
        <w:t>T</w:t>
      </w:r>
      <w:r w:rsidR="004A17D3">
        <w:rPr>
          <w:bCs/>
        </w:rPr>
        <w:t>his policy</w:t>
      </w:r>
      <w:r w:rsidR="00E9393B">
        <w:rPr>
          <w:bCs/>
        </w:rPr>
        <w:t xml:space="preserve"> is to</w:t>
      </w:r>
      <w:r w:rsidR="00E9393B" w:rsidRPr="00E9393B">
        <w:rPr>
          <w:bCs/>
        </w:rPr>
        <w:t xml:space="preserve"> set out the standards for information governance, data security and information management and technology to ensure robust and appropriate management of the Trust’s information assets.</w:t>
      </w:r>
    </w:p>
    <w:p w:rsidR="00CF04D3" w:rsidRDefault="004A17D3" w:rsidP="00E47926">
      <w:pPr>
        <w:rPr>
          <w:bCs/>
        </w:rPr>
      </w:pPr>
      <w:r>
        <w:rPr>
          <w:bCs/>
        </w:rPr>
        <w:t>The</w:t>
      </w:r>
      <w:r w:rsidRPr="004A17D3">
        <w:rPr>
          <w:bCs/>
        </w:rPr>
        <w:t xml:space="preserve"> </w:t>
      </w:r>
      <w:r w:rsidRPr="00854997">
        <w:rPr>
          <w:b/>
          <w:bCs/>
        </w:rPr>
        <w:t>Respiratory Infections Policy</w:t>
      </w:r>
      <w:r w:rsidRPr="004A17D3">
        <w:rPr>
          <w:bCs/>
        </w:rPr>
        <w:t xml:space="preserve"> sets out standards for the assessment and management of patients with proven or suspected respiratory virus infections on Influenza, Avian influenza, Parainfluenza Respiratory Syncytial Virus, Adenovirus, Human </w:t>
      </w:r>
      <w:proofErr w:type="spellStart"/>
      <w:r w:rsidRPr="004A17D3">
        <w:rPr>
          <w:bCs/>
        </w:rPr>
        <w:t>Metapneumovirus</w:t>
      </w:r>
      <w:proofErr w:type="spellEnd"/>
      <w:r w:rsidRPr="004A17D3">
        <w:rPr>
          <w:bCs/>
        </w:rPr>
        <w:t>, Rhinovirus, Middle East respiratory syndrome coronavirus (MERS-</w:t>
      </w:r>
      <w:proofErr w:type="spellStart"/>
      <w:r w:rsidRPr="004A17D3">
        <w:rPr>
          <w:bCs/>
        </w:rPr>
        <w:t>CoV</w:t>
      </w:r>
      <w:proofErr w:type="spellEnd"/>
      <w:r w:rsidRPr="004A17D3">
        <w:rPr>
          <w:bCs/>
        </w:rPr>
        <w:t>) &amp; Coronavirus 2019 (COVID-19).</w:t>
      </w:r>
    </w:p>
    <w:p w:rsidR="00854997" w:rsidRPr="00854997" w:rsidRDefault="00854997" w:rsidP="00854997">
      <w:pPr>
        <w:rPr>
          <w:bCs/>
        </w:rPr>
      </w:pPr>
      <w:r w:rsidRPr="00854997">
        <w:rPr>
          <w:bCs/>
        </w:rPr>
        <w:t xml:space="preserve">The purpose of this document is to provide information on how to manage patients with respiratory infections, in order to minimise the risk of transmission within the healthcare setting. This policy applies in all Trust settings for the care of patients (all ages) presenting with acute febrile respiratory tract illness which is suspected or proven to be due to a respiratory virus. </w:t>
      </w:r>
    </w:p>
    <w:p w:rsidR="00854997" w:rsidRPr="00854997" w:rsidRDefault="00854997" w:rsidP="00854997">
      <w:pPr>
        <w:rPr>
          <w:bCs/>
        </w:rPr>
      </w:pPr>
      <w:r w:rsidRPr="00854997">
        <w:rPr>
          <w:bCs/>
        </w:rPr>
        <w:t xml:space="preserve">It should be used in conjunction with up-to date guidance from UK Health Security Agency (UKSHA) and the National Health Service England (NHSE); national guidance is regularly updated in accordance with circulating strains of Influenza/ Variants of COVID-19 prevalent in UK and the global status of respiratory virus outbreaks as identified by the World Health Organisation (WHO). </w:t>
      </w:r>
    </w:p>
    <w:p w:rsidR="00854997" w:rsidRPr="00E47926" w:rsidRDefault="00854997" w:rsidP="00854997">
      <w:pPr>
        <w:rPr>
          <w:bCs/>
        </w:rPr>
      </w:pPr>
      <w:r w:rsidRPr="00854997">
        <w:rPr>
          <w:bCs/>
        </w:rPr>
        <w:t>The policy covers infection prevention and control measures for common respiratory viral infections. Various infections e.g. varicella, measles etc. may be transmitted via the airborne route; however these will not be covered by this policy. Please refer to the Infection Prevention &amp; Control Policy Manual for further information.</w:t>
      </w:r>
    </w:p>
    <w:p w:rsidR="00E47926" w:rsidRPr="00E47926" w:rsidRDefault="0066085B" w:rsidP="00E47926">
      <w:pPr>
        <w:rPr>
          <w:b/>
          <w:bCs/>
          <w:u w:val="single"/>
        </w:rPr>
      </w:pPr>
      <w:r>
        <w:rPr>
          <w:b/>
          <w:bCs/>
          <w:u w:val="single"/>
        </w:rPr>
        <w:t xml:space="preserve">Existing policies which have been extended whilst under review </w:t>
      </w:r>
    </w:p>
    <w:p w:rsidR="00E9393B" w:rsidRPr="00E9393B" w:rsidRDefault="00CF04D3" w:rsidP="00E9393B">
      <w:pPr>
        <w:spacing w:after="0" w:line="240" w:lineRule="auto"/>
        <w:rPr>
          <w:rFonts w:ascii="Calibri" w:eastAsia="Calibri" w:hAnsi="Calibri" w:cs="Calibri"/>
          <w:b/>
          <w:bCs/>
          <w:lang w:eastAsia="en-GB"/>
        </w:rPr>
      </w:pPr>
      <w:r>
        <w:rPr>
          <w:bCs/>
        </w:rPr>
        <w:t xml:space="preserve">The </w:t>
      </w:r>
      <w:r w:rsidR="00E9393B" w:rsidRPr="00E9393B">
        <w:rPr>
          <w:rFonts w:ascii="Calibri" w:eastAsia="Calibri" w:hAnsi="Calibri" w:cs="Calibri"/>
          <w:b/>
          <w:bCs/>
          <w:lang w:eastAsia="en-GB"/>
        </w:rPr>
        <w:t>Clinical Policies:</w:t>
      </w:r>
    </w:p>
    <w:p w:rsidR="00E9393B" w:rsidRPr="00E9393B" w:rsidRDefault="00E9393B" w:rsidP="00E9393B">
      <w:pPr>
        <w:spacing w:after="0" w:line="240" w:lineRule="auto"/>
        <w:rPr>
          <w:rFonts w:ascii="Calibri" w:eastAsia="Calibri" w:hAnsi="Calibri" w:cs="Calibri"/>
          <w:lang w:eastAsia="en-GB"/>
        </w:rPr>
      </w:pPr>
    </w:p>
    <w:tbl>
      <w:tblPr>
        <w:tblStyle w:val="TableGrid1"/>
        <w:tblW w:w="7366" w:type="dxa"/>
        <w:tblLook w:val="04A0" w:firstRow="1" w:lastRow="0" w:firstColumn="1" w:lastColumn="0" w:noHBand="0" w:noVBand="1"/>
      </w:tblPr>
      <w:tblGrid>
        <w:gridCol w:w="4673"/>
        <w:gridCol w:w="2693"/>
      </w:tblGrid>
      <w:tr w:rsidR="00E9393B" w:rsidRPr="00E9393B" w:rsidTr="00E9393B">
        <w:tc>
          <w:tcPr>
            <w:tcW w:w="4673" w:type="dxa"/>
          </w:tcPr>
          <w:p w:rsidR="00E9393B" w:rsidRPr="00E9393B" w:rsidRDefault="00E9393B" w:rsidP="00E9393B">
            <w:pPr>
              <w:rPr>
                <w:rFonts w:ascii="Calibri" w:eastAsia="Calibri" w:hAnsi="Calibri" w:cs="Calibri"/>
                <w:lang w:eastAsia="en-GB"/>
              </w:rPr>
            </w:pPr>
            <w:r w:rsidRPr="00E9393B">
              <w:rPr>
                <w:rFonts w:ascii="Calibri" w:eastAsia="Calibri" w:hAnsi="Calibri" w:cs="Calibri"/>
                <w:lang w:eastAsia="en-GB"/>
              </w:rPr>
              <w:t>Policy Name</w:t>
            </w:r>
          </w:p>
        </w:tc>
        <w:tc>
          <w:tcPr>
            <w:tcW w:w="2693" w:type="dxa"/>
          </w:tcPr>
          <w:p w:rsidR="00E9393B" w:rsidRPr="00E9393B" w:rsidRDefault="00E9393B" w:rsidP="00E9393B">
            <w:pPr>
              <w:rPr>
                <w:rFonts w:ascii="Calibri" w:eastAsia="Calibri" w:hAnsi="Calibri" w:cs="Calibri"/>
                <w:lang w:eastAsia="en-GB"/>
              </w:rPr>
            </w:pPr>
            <w:r w:rsidRPr="00E9393B">
              <w:rPr>
                <w:rFonts w:ascii="Calibri" w:eastAsia="Calibri" w:hAnsi="Calibri" w:cs="Calibri"/>
                <w:lang w:eastAsia="en-GB"/>
              </w:rPr>
              <w:t xml:space="preserve">Extension </w:t>
            </w:r>
            <w:r>
              <w:rPr>
                <w:rFonts w:ascii="Calibri" w:eastAsia="Calibri" w:hAnsi="Calibri" w:cs="Calibri"/>
                <w:lang w:eastAsia="en-GB"/>
              </w:rPr>
              <w:t>Agreed</w:t>
            </w:r>
          </w:p>
        </w:tc>
      </w:tr>
      <w:tr w:rsidR="00E9393B" w:rsidRPr="00E9393B" w:rsidTr="00E9393B">
        <w:tc>
          <w:tcPr>
            <w:tcW w:w="4673" w:type="dxa"/>
          </w:tcPr>
          <w:p w:rsidR="00E9393B" w:rsidRPr="00E9393B" w:rsidRDefault="00E9393B" w:rsidP="00E9393B">
            <w:pPr>
              <w:rPr>
                <w:rFonts w:ascii="Calibri" w:eastAsia="Calibri" w:hAnsi="Calibri" w:cs="Calibri"/>
                <w:lang w:eastAsia="en-GB"/>
              </w:rPr>
            </w:pPr>
            <w:r w:rsidRPr="00E9393B">
              <w:rPr>
                <w:rFonts w:ascii="Calibri" w:eastAsia="Calibri" w:hAnsi="Calibri" w:cs="Calibri"/>
                <w:lang w:eastAsia="en-GB"/>
              </w:rPr>
              <w:t>Anaphylaxis Recognition and Treatment Policy</w:t>
            </w:r>
          </w:p>
        </w:tc>
        <w:tc>
          <w:tcPr>
            <w:tcW w:w="2693" w:type="dxa"/>
          </w:tcPr>
          <w:p w:rsidR="00E9393B" w:rsidRPr="00E9393B" w:rsidRDefault="00E9393B" w:rsidP="00E9393B">
            <w:pPr>
              <w:rPr>
                <w:rFonts w:ascii="Calibri" w:eastAsia="Calibri" w:hAnsi="Calibri" w:cs="Calibri"/>
                <w:lang w:eastAsia="en-GB"/>
              </w:rPr>
            </w:pPr>
            <w:r w:rsidRPr="00E9393B">
              <w:rPr>
                <w:rFonts w:ascii="Calibri" w:eastAsia="Calibri" w:hAnsi="Calibri" w:cs="Calibri"/>
                <w:lang w:eastAsia="en-GB"/>
              </w:rPr>
              <w:t>October 2024</w:t>
            </w:r>
          </w:p>
        </w:tc>
      </w:tr>
      <w:tr w:rsidR="00E9393B" w:rsidRPr="00E9393B" w:rsidTr="00E9393B">
        <w:tc>
          <w:tcPr>
            <w:tcW w:w="4673" w:type="dxa"/>
          </w:tcPr>
          <w:p w:rsidR="00E9393B" w:rsidRPr="00E9393B" w:rsidRDefault="00E9393B" w:rsidP="00E9393B">
            <w:pPr>
              <w:rPr>
                <w:rFonts w:ascii="Calibri" w:eastAsia="Calibri" w:hAnsi="Calibri" w:cs="Calibri"/>
                <w:lang w:eastAsia="en-GB"/>
              </w:rPr>
            </w:pPr>
            <w:r w:rsidRPr="00E9393B">
              <w:rPr>
                <w:rFonts w:ascii="Calibri" w:eastAsia="Calibri" w:hAnsi="Calibri" w:cs="Calibri"/>
                <w:lang w:eastAsia="en-GB"/>
              </w:rPr>
              <w:t>Physical Health Policy</w:t>
            </w:r>
          </w:p>
        </w:tc>
        <w:tc>
          <w:tcPr>
            <w:tcW w:w="2693" w:type="dxa"/>
          </w:tcPr>
          <w:p w:rsidR="00E9393B" w:rsidRPr="00E9393B" w:rsidRDefault="00E9393B" w:rsidP="00E9393B">
            <w:pPr>
              <w:rPr>
                <w:rFonts w:ascii="Calibri" w:eastAsia="Calibri" w:hAnsi="Calibri" w:cs="Calibri"/>
                <w:lang w:eastAsia="en-GB"/>
              </w:rPr>
            </w:pPr>
            <w:r w:rsidRPr="00E9393B">
              <w:rPr>
                <w:rFonts w:ascii="Calibri" w:eastAsia="Calibri" w:hAnsi="Calibri" w:cs="Calibri"/>
                <w:lang w:eastAsia="en-GB"/>
              </w:rPr>
              <w:t>October 2024</w:t>
            </w:r>
          </w:p>
        </w:tc>
      </w:tr>
      <w:tr w:rsidR="00E9393B" w:rsidRPr="00E9393B" w:rsidTr="00E9393B">
        <w:tc>
          <w:tcPr>
            <w:tcW w:w="4673" w:type="dxa"/>
          </w:tcPr>
          <w:p w:rsidR="00E9393B" w:rsidRPr="00E9393B" w:rsidRDefault="00E9393B" w:rsidP="00E9393B">
            <w:pPr>
              <w:rPr>
                <w:rFonts w:ascii="Calibri" w:eastAsia="Calibri" w:hAnsi="Calibri" w:cs="Calibri"/>
                <w:lang w:eastAsia="en-GB"/>
              </w:rPr>
            </w:pPr>
            <w:r w:rsidRPr="00E9393B">
              <w:rPr>
                <w:rFonts w:ascii="Calibri" w:eastAsia="Calibri" w:hAnsi="Calibri" w:cs="Calibri"/>
                <w:lang w:eastAsia="en-GB"/>
              </w:rPr>
              <w:t>Same Sex Accommodation Policy</w:t>
            </w:r>
          </w:p>
        </w:tc>
        <w:tc>
          <w:tcPr>
            <w:tcW w:w="2693" w:type="dxa"/>
          </w:tcPr>
          <w:p w:rsidR="00E9393B" w:rsidRPr="00E9393B" w:rsidRDefault="00E9393B" w:rsidP="00E9393B">
            <w:pPr>
              <w:rPr>
                <w:rFonts w:ascii="Calibri" w:eastAsia="Calibri" w:hAnsi="Calibri" w:cs="Calibri"/>
                <w:lang w:eastAsia="en-GB"/>
              </w:rPr>
            </w:pPr>
            <w:r w:rsidRPr="00E9393B">
              <w:rPr>
                <w:rFonts w:ascii="Calibri" w:eastAsia="Calibri" w:hAnsi="Calibri" w:cs="Calibri"/>
                <w:lang w:eastAsia="en-GB"/>
              </w:rPr>
              <w:t>October 2024</w:t>
            </w:r>
          </w:p>
        </w:tc>
      </w:tr>
    </w:tbl>
    <w:p w:rsidR="00E9393B" w:rsidRPr="00E9393B" w:rsidRDefault="00E9393B" w:rsidP="00E9393B">
      <w:pPr>
        <w:spacing w:after="0" w:line="240" w:lineRule="auto"/>
        <w:rPr>
          <w:rFonts w:ascii="Calibri" w:eastAsia="Calibri" w:hAnsi="Calibri" w:cs="Calibri"/>
          <w:lang w:eastAsia="en-GB"/>
        </w:rPr>
      </w:pPr>
    </w:p>
    <w:p w:rsidR="00E9393B" w:rsidRPr="00E9393B" w:rsidRDefault="00E9393B" w:rsidP="00E9393B">
      <w:pPr>
        <w:spacing w:after="0" w:line="240" w:lineRule="auto"/>
        <w:rPr>
          <w:rFonts w:ascii="Calibri" w:eastAsia="Calibri" w:hAnsi="Calibri" w:cs="Calibri"/>
          <w:b/>
          <w:bCs/>
          <w:lang w:eastAsia="en-GB"/>
        </w:rPr>
      </w:pPr>
      <w:r w:rsidRPr="00E9393B">
        <w:rPr>
          <w:rFonts w:ascii="Calibri" w:eastAsia="Calibri" w:hAnsi="Calibri" w:cs="Calibri"/>
          <w:b/>
          <w:bCs/>
          <w:lang w:eastAsia="en-GB"/>
        </w:rPr>
        <w:t>Clinical – Mental Health Act Office Policies:</w:t>
      </w:r>
    </w:p>
    <w:p w:rsidR="00E9393B" w:rsidRPr="00E9393B" w:rsidRDefault="00E9393B" w:rsidP="00E9393B">
      <w:pPr>
        <w:spacing w:after="0" w:line="240" w:lineRule="auto"/>
        <w:rPr>
          <w:rFonts w:ascii="Calibri" w:eastAsia="Calibri" w:hAnsi="Calibri" w:cs="Calibri"/>
          <w:lang w:eastAsia="en-GB"/>
        </w:rPr>
      </w:pPr>
    </w:p>
    <w:tbl>
      <w:tblPr>
        <w:tblStyle w:val="TableGrid1"/>
        <w:tblW w:w="7366" w:type="dxa"/>
        <w:tblLook w:val="04A0" w:firstRow="1" w:lastRow="0" w:firstColumn="1" w:lastColumn="0" w:noHBand="0" w:noVBand="1"/>
      </w:tblPr>
      <w:tblGrid>
        <w:gridCol w:w="4673"/>
        <w:gridCol w:w="2693"/>
      </w:tblGrid>
      <w:tr w:rsidR="00E9393B" w:rsidRPr="00E9393B" w:rsidTr="00E9393B">
        <w:tc>
          <w:tcPr>
            <w:tcW w:w="4673" w:type="dxa"/>
          </w:tcPr>
          <w:p w:rsidR="00E9393B" w:rsidRPr="00E9393B" w:rsidRDefault="00E9393B" w:rsidP="00E9393B">
            <w:pPr>
              <w:rPr>
                <w:rFonts w:ascii="Calibri" w:eastAsia="Calibri" w:hAnsi="Calibri" w:cs="Calibri"/>
                <w:lang w:eastAsia="en-GB"/>
              </w:rPr>
            </w:pPr>
            <w:r w:rsidRPr="00E9393B">
              <w:rPr>
                <w:rFonts w:ascii="Calibri" w:eastAsia="Calibri" w:hAnsi="Calibri" w:cs="Calibri"/>
                <w:lang w:eastAsia="en-GB"/>
              </w:rPr>
              <w:t>Policy Name</w:t>
            </w:r>
          </w:p>
        </w:tc>
        <w:tc>
          <w:tcPr>
            <w:tcW w:w="2693" w:type="dxa"/>
          </w:tcPr>
          <w:p w:rsidR="00E9393B" w:rsidRPr="00E9393B" w:rsidRDefault="00E9393B" w:rsidP="00E9393B">
            <w:pPr>
              <w:rPr>
                <w:rFonts w:ascii="Calibri" w:eastAsia="Calibri" w:hAnsi="Calibri" w:cs="Calibri"/>
                <w:lang w:eastAsia="en-GB"/>
              </w:rPr>
            </w:pPr>
            <w:r>
              <w:rPr>
                <w:rFonts w:ascii="Calibri" w:eastAsia="Calibri" w:hAnsi="Calibri" w:cs="Calibri"/>
                <w:lang w:eastAsia="en-GB"/>
              </w:rPr>
              <w:t>Extension Agreed</w:t>
            </w:r>
          </w:p>
        </w:tc>
      </w:tr>
      <w:tr w:rsidR="00E9393B" w:rsidRPr="00E9393B" w:rsidTr="00E9393B">
        <w:tc>
          <w:tcPr>
            <w:tcW w:w="4673" w:type="dxa"/>
          </w:tcPr>
          <w:p w:rsidR="00E9393B" w:rsidRPr="00E9393B" w:rsidRDefault="00E9393B" w:rsidP="00E9393B">
            <w:pPr>
              <w:rPr>
                <w:rFonts w:ascii="Calibri" w:eastAsia="Calibri" w:hAnsi="Calibri" w:cs="Calibri"/>
                <w:lang w:eastAsia="en-GB"/>
              </w:rPr>
            </w:pPr>
            <w:r w:rsidRPr="00E9393B">
              <w:rPr>
                <w:rFonts w:ascii="Calibri" w:eastAsia="Calibri" w:hAnsi="Calibri" w:cs="Calibri"/>
                <w:lang w:eastAsia="en-GB"/>
              </w:rPr>
              <w:t>Deprivation of Liberty Safeguards Policy</w:t>
            </w:r>
          </w:p>
        </w:tc>
        <w:tc>
          <w:tcPr>
            <w:tcW w:w="2693" w:type="dxa"/>
          </w:tcPr>
          <w:p w:rsidR="00E9393B" w:rsidRPr="00E9393B" w:rsidRDefault="00E9393B" w:rsidP="00E9393B">
            <w:pPr>
              <w:rPr>
                <w:rFonts w:ascii="Calibri" w:eastAsia="Calibri" w:hAnsi="Calibri" w:cs="Calibri"/>
                <w:lang w:eastAsia="en-GB"/>
              </w:rPr>
            </w:pPr>
            <w:r w:rsidRPr="00E9393B">
              <w:rPr>
                <w:rFonts w:ascii="Calibri" w:eastAsia="Calibri" w:hAnsi="Calibri" w:cs="Calibri"/>
                <w:lang w:eastAsia="en-GB"/>
              </w:rPr>
              <w:t>November 2024</w:t>
            </w:r>
          </w:p>
        </w:tc>
      </w:tr>
      <w:tr w:rsidR="00E9393B" w:rsidRPr="00E9393B" w:rsidTr="00E9393B">
        <w:tc>
          <w:tcPr>
            <w:tcW w:w="4673" w:type="dxa"/>
          </w:tcPr>
          <w:p w:rsidR="00E9393B" w:rsidRPr="00E9393B" w:rsidRDefault="00E9393B" w:rsidP="00E9393B">
            <w:pPr>
              <w:rPr>
                <w:rFonts w:ascii="Calibri" w:eastAsia="Calibri" w:hAnsi="Calibri" w:cs="Calibri"/>
                <w:lang w:eastAsia="en-GB"/>
              </w:rPr>
            </w:pPr>
            <w:r w:rsidRPr="00E9393B">
              <w:rPr>
                <w:rFonts w:ascii="Calibri" w:eastAsia="Calibri" w:hAnsi="Calibri" w:cs="Calibri"/>
                <w:lang w:eastAsia="en-GB"/>
              </w:rPr>
              <w:t xml:space="preserve">Mental Capacity Act Policy   </w:t>
            </w:r>
          </w:p>
        </w:tc>
        <w:tc>
          <w:tcPr>
            <w:tcW w:w="2693" w:type="dxa"/>
          </w:tcPr>
          <w:p w:rsidR="00E9393B" w:rsidRPr="00E9393B" w:rsidRDefault="00E9393B" w:rsidP="00E9393B">
            <w:pPr>
              <w:rPr>
                <w:rFonts w:ascii="Calibri" w:eastAsia="Calibri" w:hAnsi="Calibri" w:cs="Calibri"/>
                <w:lang w:eastAsia="en-GB"/>
              </w:rPr>
            </w:pPr>
            <w:r w:rsidRPr="00E9393B">
              <w:rPr>
                <w:rFonts w:ascii="Calibri" w:eastAsia="Calibri" w:hAnsi="Calibri" w:cs="Calibri"/>
                <w:lang w:eastAsia="en-GB"/>
              </w:rPr>
              <w:t>November 2024</w:t>
            </w:r>
          </w:p>
        </w:tc>
      </w:tr>
      <w:tr w:rsidR="00E9393B" w:rsidRPr="00E9393B" w:rsidTr="00E9393B">
        <w:tc>
          <w:tcPr>
            <w:tcW w:w="4673" w:type="dxa"/>
          </w:tcPr>
          <w:p w:rsidR="00E9393B" w:rsidRPr="00E9393B" w:rsidRDefault="00E9393B" w:rsidP="00E9393B">
            <w:pPr>
              <w:rPr>
                <w:rFonts w:ascii="Calibri" w:eastAsia="Calibri" w:hAnsi="Calibri" w:cs="Calibri"/>
                <w:lang w:eastAsia="en-GB"/>
              </w:rPr>
            </w:pPr>
            <w:r w:rsidRPr="00E9393B">
              <w:rPr>
                <w:rFonts w:ascii="Calibri" w:eastAsia="Calibri" w:hAnsi="Calibri" w:cs="Calibri"/>
                <w:lang w:eastAsia="en-GB"/>
              </w:rPr>
              <w:t>Section 135 and 136 Place of Safety Policy</w:t>
            </w:r>
          </w:p>
        </w:tc>
        <w:tc>
          <w:tcPr>
            <w:tcW w:w="2693" w:type="dxa"/>
          </w:tcPr>
          <w:p w:rsidR="00E9393B" w:rsidRPr="00E9393B" w:rsidRDefault="00E9393B" w:rsidP="00E9393B">
            <w:pPr>
              <w:rPr>
                <w:rFonts w:ascii="Calibri" w:eastAsia="Calibri" w:hAnsi="Calibri" w:cs="Calibri"/>
                <w:lang w:eastAsia="en-GB"/>
              </w:rPr>
            </w:pPr>
            <w:r w:rsidRPr="00E9393B">
              <w:rPr>
                <w:rFonts w:ascii="Calibri" w:eastAsia="Calibri" w:hAnsi="Calibri" w:cs="Calibri"/>
                <w:lang w:eastAsia="en-GB"/>
              </w:rPr>
              <w:t>November 2024</w:t>
            </w:r>
          </w:p>
        </w:tc>
      </w:tr>
      <w:tr w:rsidR="00E9393B" w:rsidRPr="00E9393B" w:rsidTr="00E9393B">
        <w:tc>
          <w:tcPr>
            <w:tcW w:w="4673" w:type="dxa"/>
          </w:tcPr>
          <w:p w:rsidR="00E9393B" w:rsidRPr="00E9393B" w:rsidRDefault="00E9393B" w:rsidP="00E9393B">
            <w:pPr>
              <w:rPr>
                <w:rFonts w:ascii="Calibri" w:eastAsia="Calibri" w:hAnsi="Calibri" w:cs="Calibri"/>
                <w:lang w:eastAsia="en-GB"/>
              </w:rPr>
            </w:pPr>
            <w:r w:rsidRPr="00E9393B">
              <w:rPr>
                <w:rFonts w:ascii="Calibri" w:eastAsia="Calibri" w:hAnsi="Calibri" w:cs="Calibri"/>
                <w:lang w:eastAsia="en-GB"/>
              </w:rPr>
              <w:t>Leave for Informal Patients Policy</w:t>
            </w:r>
          </w:p>
        </w:tc>
        <w:tc>
          <w:tcPr>
            <w:tcW w:w="2693" w:type="dxa"/>
          </w:tcPr>
          <w:p w:rsidR="00E9393B" w:rsidRPr="00E9393B" w:rsidRDefault="00E9393B" w:rsidP="00E9393B">
            <w:pPr>
              <w:rPr>
                <w:rFonts w:ascii="Calibri" w:eastAsia="Calibri" w:hAnsi="Calibri" w:cs="Calibri"/>
                <w:lang w:eastAsia="en-GB"/>
              </w:rPr>
            </w:pPr>
            <w:r w:rsidRPr="00E9393B">
              <w:rPr>
                <w:rFonts w:ascii="Calibri" w:eastAsia="Calibri" w:hAnsi="Calibri" w:cs="Calibri"/>
                <w:lang w:eastAsia="en-GB"/>
              </w:rPr>
              <w:t>November 2024</w:t>
            </w:r>
          </w:p>
        </w:tc>
      </w:tr>
      <w:tr w:rsidR="00E9393B" w:rsidRPr="00E9393B" w:rsidTr="00E9393B">
        <w:tc>
          <w:tcPr>
            <w:tcW w:w="4673" w:type="dxa"/>
          </w:tcPr>
          <w:p w:rsidR="00E9393B" w:rsidRPr="00E9393B" w:rsidRDefault="00E9393B" w:rsidP="00E9393B">
            <w:pPr>
              <w:rPr>
                <w:rFonts w:ascii="Calibri" w:eastAsia="Calibri" w:hAnsi="Calibri" w:cs="Calibri"/>
                <w:lang w:eastAsia="en-GB"/>
              </w:rPr>
            </w:pPr>
            <w:r w:rsidRPr="00E9393B">
              <w:rPr>
                <w:rFonts w:ascii="Calibri" w:eastAsia="Calibri" w:hAnsi="Calibri" w:cs="Calibri"/>
                <w:lang w:eastAsia="en-GB"/>
              </w:rPr>
              <w:t xml:space="preserve">First Tier Tribunal (Mental Health) Policy  </w:t>
            </w:r>
          </w:p>
        </w:tc>
        <w:tc>
          <w:tcPr>
            <w:tcW w:w="2693" w:type="dxa"/>
          </w:tcPr>
          <w:p w:rsidR="00E9393B" w:rsidRPr="00E9393B" w:rsidRDefault="00E9393B" w:rsidP="00E9393B">
            <w:pPr>
              <w:rPr>
                <w:rFonts w:ascii="Calibri" w:eastAsia="Calibri" w:hAnsi="Calibri" w:cs="Calibri"/>
                <w:lang w:eastAsia="en-GB"/>
              </w:rPr>
            </w:pPr>
            <w:r w:rsidRPr="00E9393B">
              <w:rPr>
                <w:rFonts w:ascii="Calibri" w:eastAsia="Calibri" w:hAnsi="Calibri" w:cs="Calibri"/>
                <w:lang w:eastAsia="en-GB"/>
              </w:rPr>
              <w:t>November 2024</w:t>
            </w:r>
          </w:p>
        </w:tc>
      </w:tr>
    </w:tbl>
    <w:p w:rsidR="00E9393B" w:rsidRPr="00E9393B" w:rsidRDefault="00E9393B" w:rsidP="00E9393B">
      <w:pPr>
        <w:spacing w:after="0" w:line="240" w:lineRule="auto"/>
        <w:rPr>
          <w:rFonts w:ascii="Calibri" w:eastAsia="Calibri" w:hAnsi="Calibri" w:cs="Calibri"/>
          <w:lang w:eastAsia="en-GB"/>
        </w:rPr>
      </w:pPr>
    </w:p>
    <w:p w:rsidR="00E9393B" w:rsidRPr="00E9393B" w:rsidRDefault="00E9393B" w:rsidP="00E9393B">
      <w:pPr>
        <w:rPr>
          <w:b/>
          <w:bCs/>
        </w:rPr>
      </w:pPr>
      <w:r w:rsidRPr="00E9393B">
        <w:rPr>
          <w:b/>
          <w:bCs/>
        </w:rPr>
        <w:t>Medicines Policies</w:t>
      </w:r>
    </w:p>
    <w:tbl>
      <w:tblPr>
        <w:tblStyle w:val="TableGrid1"/>
        <w:tblW w:w="0" w:type="auto"/>
        <w:tblLook w:val="04A0" w:firstRow="1" w:lastRow="0" w:firstColumn="1" w:lastColumn="0" w:noHBand="0" w:noVBand="1"/>
      </w:tblPr>
      <w:tblGrid>
        <w:gridCol w:w="4673"/>
        <w:gridCol w:w="2693"/>
      </w:tblGrid>
      <w:tr w:rsidR="00E9393B" w:rsidRPr="00E9393B" w:rsidTr="00E9393B">
        <w:tc>
          <w:tcPr>
            <w:tcW w:w="4673" w:type="dxa"/>
          </w:tcPr>
          <w:p w:rsidR="00E9393B" w:rsidRPr="00E9393B" w:rsidRDefault="00E9393B" w:rsidP="00E9393B">
            <w:r w:rsidRPr="00E9393B">
              <w:rPr>
                <w:rFonts w:ascii="Calibri" w:eastAsia="Calibri" w:hAnsi="Calibri" w:cs="Calibri"/>
                <w:lang w:eastAsia="en-GB"/>
              </w:rPr>
              <w:t>Policy Name</w:t>
            </w:r>
          </w:p>
        </w:tc>
        <w:tc>
          <w:tcPr>
            <w:tcW w:w="2693" w:type="dxa"/>
          </w:tcPr>
          <w:p w:rsidR="00E9393B" w:rsidRPr="00E9393B" w:rsidRDefault="00E9393B" w:rsidP="00E9393B">
            <w:r w:rsidRPr="00E9393B">
              <w:rPr>
                <w:rFonts w:ascii="Calibri" w:eastAsia="Calibri" w:hAnsi="Calibri" w:cs="Calibri"/>
                <w:lang w:eastAsia="en-GB"/>
              </w:rPr>
              <w:t xml:space="preserve">Extension </w:t>
            </w:r>
            <w:r>
              <w:rPr>
                <w:rFonts w:ascii="Calibri" w:eastAsia="Calibri" w:hAnsi="Calibri" w:cs="Calibri"/>
                <w:lang w:eastAsia="en-GB"/>
              </w:rPr>
              <w:t>Agreed</w:t>
            </w:r>
          </w:p>
        </w:tc>
      </w:tr>
      <w:tr w:rsidR="00E9393B" w:rsidRPr="00E9393B" w:rsidTr="00E9393B">
        <w:tc>
          <w:tcPr>
            <w:tcW w:w="4673" w:type="dxa"/>
          </w:tcPr>
          <w:p w:rsidR="00E9393B" w:rsidRPr="00E9393B" w:rsidRDefault="00E9393B" w:rsidP="00E9393B">
            <w:r w:rsidRPr="00E9393B">
              <w:t>CAMHS Rapid Tranquillisation Guidelines</w:t>
            </w:r>
          </w:p>
        </w:tc>
        <w:tc>
          <w:tcPr>
            <w:tcW w:w="2693" w:type="dxa"/>
          </w:tcPr>
          <w:p w:rsidR="00E9393B" w:rsidRPr="00E9393B" w:rsidRDefault="00E9393B" w:rsidP="00E9393B">
            <w:r w:rsidRPr="00E9393B">
              <w:t>December 2024</w:t>
            </w:r>
          </w:p>
        </w:tc>
      </w:tr>
    </w:tbl>
    <w:p w:rsidR="00E47926" w:rsidRPr="00E47926" w:rsidRDefault="00E47926" w:rsidP="00E47926">
      <w:pPr>
        <w:rPr>
          <w:bCs/>
        </w:rPr>
      </w:pPr>
    </w:p>
    <w:p w:rsidR="00E47926" w:rsidRPr="00E47926" w:rsidRDefault="00E47926" w:rsidP="00E47926">
      <w:pPr>
        <w:rPr>
          <w:bCs/>
        </w:rPr>
      </w:pPr>
    </w:p>
    <w:p w:rsidR="00E47926" w:rsidRPr="00E47926" w:rsidRDefault="00E47926" w:rsidP="00E47926">
      <w:pPr>
        <w:rPr>
          <w:bCs/>
        </w:rPr>
      </w:pPr>
    </w:p>
    <w:p w:rsidR="00E47926" w:rsidRPr="00E47926" w:rsidRDefault="00E47926" w:rsidP="00E47926">
      <w:pPr>
        <w:rPr>
          <w:bCs/>
        </w:rPr>
      </w:pPr>
      <w:r w:rsidRPr="00E47926">
        <w:rPr>
          <w:b/>
          <w:bCs/>
          <w:u w:val="single"/>
        </w:rPr>
        <w:t>Additional Updates</w:t>
      </w:r>
      <w:r w:rsidR="00E9393B">
        <w:rPr>
          <w:b/>
          <w:bCs/>
          <w:u w:val="single"/>
        </w:rPr>
        <w:t xml:space="preserve"> - </w:t>
      </w:r>
      <w:r w:rsidRPr="00E47926">
        <w:rPr>
          <w:bCs/>
        </w:rPr>
        <w:t xml:space="preserve">The following </w:t>
      </w:r>
      <w:bookmarkStart w:id="0" w:name="_GoBack"/>
      <w:bookmarkEnd w:id="0"/>
      <w:r w:rsidRPr="00E47926">
        <w:rPr>
          <w:bCs/>
        </w:rPr>
        <w:t>were made redundant this month:</w:t>
      </w:r>
    </w:p>
    <w:tbl>
      <w:tblPr>
        <w:tblStyle w:val="TableGrid"/>
        <w:tblW w:w="0" w:type="auto"/>
        <w:tblLook w:val="04A0" w:firstRow="1" w:lastRow="0" w:firstColumn="1" w:lastColumn="0" w:noHBand="0" w:noVBand="1"/>
      </w:tblPr>
      <w:tblGrid>
        <w:gridCol w:w="4499"/>
        <w:gridCol w:w="4517"/>
      </w:tblGrid>
      <w:tr w:rsidR="00E47926" w:rsidRPr="00E47926" w:rsidTr="00854997">
        <w:tc>
          <w:tcPr>
            <w:tcW w:w="4499" w:type="dxa"/>
          </w:tcPr>
          <w:p w:rsidR="00E47926" w:rsidRPr="00E47926" w:rsidRDefault="00E47926" w:rsidP="00E47926">
            <w:pPr>
              <w:spacing w:after="160" w:line="259" w:lineRule="auto"/>
              <w:rPr>
                <w:bCs/>
              </w:rPr>
            </w:pPr>
            <w:r w:rsidRPr="00E47926">
              <w:rPr>
                <w:bCs/>
              </w:rPr>
              <w:t>Name of Policy</w:t>
            </w:r>
          </w:p>
        </w:tc>
        <w:tc>
          <w:tcPr>
            <w:tcW w:w="4517" w:type="dxa"/>
          </w:tcPr>
          <w:p w:rsidR="00E47926" w:rsidRPr="00E47926" w:rsidRDefault="00E47926" w:rsidP="00E47926">
            <w:pPr>
              <w:spacing w:after="160" w:line="259" w:lineRule="auto"/>
              <w:rPr>
                <w:bCs/>
              </w:rPr>
            </w:pPr>
            <w:r w:rsidRPr="00E47926">
              <w:rPr>
                <w:bCs/>
              </w:rPr>
              <w:t>Rationale for being made redundant</w:t>
            </w:r>
          </w:p>
        </w:tc>
      </w:tr>
      <w:tr w:rsidR="00E47926" w:rsidRPr="00E47926" w:rsidTr="00854997">
        <w:tc>
          <w:tcPr>
            <w:tcW w:w="4499" w:type="dxa"/>
          </w:tcPr>
          <w:p w:rsidR="00E47926" w:rsidRPr="00E47926" w:rsidRDefault="00E47926" w:rsidP="00E47926">
            <w:pPr>
              <w:spacing w:after="160" w:line="259" w:lineRule="auto"/>
              <w:rPr>
                <w:bCs/>
              </w:rPr>
            </w:pPr>
            <w:r w:rsidRPr="00E47926">
              <w:rPr>
                <w:bCs/>
              </w:rPr>
              <w:t>Extended Primary Care Services first contact guidance</w:t>
            </w:r>
          </w:p>
        </w:tc>
        <w:tc>
          <w:tcPr>
            <w:tcW w:w="4517" w:type="dxa"/>
          </w:tcPr>
          <w:p w:rsidR="00E47926" w:rsidRPr="00E47926" w:rsidRDefault="00E47926" w:rsidP="00E47926">
            <w:pPr>
              <w:spacing w:after="160" w:line="259" w:lineRule="auto"/>
              <w:rPr>
                <w:bCs/>
              </w:rPr>
            </w:pPr>
            <w:r w:rsidRPr="00E47926">
              <w:rPr>
                <w:bCs/>
              </w:rPr>
              <w:t>EPCT RAT (Referral &amp; Assessment Team) SOP superseded this, as they are now the first contact team for EPCT. Therefore, this guidance is no longer required (the guidance was first written prior to RAT’s creation).</w:t>
            </w:r>
          </w:p>
        </w:tc>
      </w:tr>
      <w:tr w:rsidR="00E47926" w:rsidRPr="00E47926" w:rsidTr="00854997">
        <w:tc>
          <w:tcPr>
            <w:tcW w:w="4499" w:type="dxa"/>
          </w:tcPr>
          <w:p w:rsidR="00E47926" w:rsidRPr="00E47926" w:rsidRDefault="00E47926" w:rsidP="00E47926">
            <w:pPr>
              <w:spacing w:after="160" w:line="259" w:lineRule="auto"/>
              <w:rPr>
                <w:bCs/>
              </w:rPr>
            </w:pPr>
            <w:r w:rsidRPr="00E47926">
              <w:rPr>
                <w:bCs/>
              </w:rPr>
              <w:t>Polio PGD</w:t>
            </w:r>
          </w:p>
        </w:tc>
        <w:tc>
          <w:tcPr>
            <w:tcW w:w="4517" w:type="dxa"/>
          </w:tcPr>
          <w:p w:rsidR="00E47926" w:rsidRPr="00E47926" w:rsidRDefault="00E47926" w:rsidP="00E47926">
            <w:pPr>
              <w:spacing w:after="160" w:line="259" w:lineRule="auto"/>
              <w:rPr>
                <w:bCs/>
              </w:rPr>
            </w:pPr>
            <w:r w:rsidRPr="00E47926">
              <w:rPr>
                <w:bCs/>
              </w:rPr>
              <w:t>No longer required</w:t>
            </w:r>
          </w:p>
        </w:tc>
      </w:tr>
      <w:tr w:rsidR="00E47926" w:rsidRPr="00E47926" w:rsidTr="00854997">
        <w:tc>
          <w:tcPr>
            <w:tcW w:w="4499" w:type="dxa"/>
          </w:tcPr>
          <w:p w:rsidR="00E47926" w:rsidRPr="00E47926" w:rsidRDefault="00E47926" w:rsidP="00E47926">
            <w:pPr>
              <w:spacing w:after="160" w:line="259" w:lineRule="auto"/>
              <w:rPr>
                <w:bCs/>
              </w:rPr>
            </w:pPr>
            <w:r w:rsidRPr="00E47926">
              <w:rPr>
                <w:bCs/>
              </w:rPr>
              <w:t>Pandemic Annual Leave guidance</w:t>
            </w:r>
          </w:p>
        </w:tc>
        <w:tc>
          <w:tcPr>
            <w:tcW w:w="4517" w:type="dxa"/>
          </w:tcPr>
          <w:p w:rsidR="00E47926" w:rsidRPr="00E47926" w:rsidRDefault="00E47926" w:rsidP="00E47926">
            <w:pPr>
              <w:spacing w:after="160" w:line="259" w:lineRule="auto"/>
              <w:rPr>
                <w:bCs/>
              </w:rPr>
            </w:pPr>
            <w:r w:rsidRPr="00E47926">
              <w:rPr>
                <w:bCs/>
              </w:rPr>
              <w:t>No longer required</w:t>
            </w:r>
          </w:p>
        </w:tc>
      </w:tr>
    </w:tbl>
    <w:p w:rsidR="00E47926" w:rsidRDefault="00E47926"/>
    <w:sectPr w:rsidR="00E479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D3C6D"/>
    <w:multiLevelType w:val="hybridMultilevel"/>
    <w:tmpl w:val="0CC080B2"/>
    <w:lvl w:ilvl="0" w:tplc="643A685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ED3EC8"/>
    <w:multiLevelType w:val="hybridMultilevel"/>
    <w:tmpl w:val="59D258E8"/>
    <w:lvl w:ilvl="0" w:tplc="0809000F">
      <w:start w:val="1"/>
      <w:numFmt w:val="decimal"/>
      <w:lvlText w:val="%1."/>
      <w:lvlJc w:val="left"/>
      <w:pPr>
        <w:ind w:left="473" w:hanging="360"/>
      </w:pPr>
    </w:lvl>
    <w:lvl w:ilvl="1" w:tplc="0809000F">
      <w:start w:val="1"/>
      <w:numFmt w:val="decimal"/>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2" w15:restartNumberingAfterBreak="0">
    <w:nsid w:val="52432AF6"/>
    <w:multiLevelType w:val="hybridMultilevel"/>
    <w:tmpl w:val="C3645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AB3CE5"/>
    <w:multiLevelType w:val="hybridMultilevel"/>
    <w:tmpl w:val="9BE8B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16C"/>
    <w:rsid w:val="00216223"/>
    <w:rsid w:val="00370BCA"/>
    <w:rsid w:val="004A17D3"/>
    <w:rsid w:val="005D33E9"/>
    <w:rsid w:val="0066085B"/>
    <w:rsid w:val="0083716C"/>
    <w:rsid w:val="00854997"/>
    <w:rsid w:val="00CF04D3"/>
    <w:rsid w:val="00E47926"/>
    <w:rsid w:val="00E93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84E25"/>
  <w15:chartTrackingRefBased/>
  <w15:docId w15:val="{C696FD03-5229-424F-94F6-45AF758D9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7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9393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9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3</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 Joanne</dc:creator>
  <cp:keywords/>
  <dc:description/>
  <cp:lastModifiedBy>Sims Joanne</cp:lastModifiedBy>
  <cp:revision>1</cp:revision>
  <dcterms:created xsi:type="dcterms:W3CDTF">2024-07-29T09:51:00Z</dcterms:created>
  <dcterms:modified xsi:type="dcterms:W3CDTF">2024-07-29T14:12:00Z</dcterms:modified>
</cp:coreProperties>
</file>