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F8EC7" w14:textId="405597BF" w:rsidR="00E02BAF" w:rsidRDefault="005538FA" w:rsidP="005538FA">
      <w:pPr>
        <w:jc w:val="right"/>
        <w:rPr>
          <w:b/>
          <w:bCs/>
        </w:rPr>
      </w:pPr>
      <w:r w:rsidRPr="00F979B5">
        <w:rPr>
          <w:noProof/>
        </w:rPr>
        <w:drawing>
          <wp:anchor distT="0" distB="0" distL="114300" distR="114300" simplePos="0" relativeHeight="251659264" behindDoc="0" locked="0" layoutInCell="1" allowOverlap="1" wp14:anchorId="0F5AB322" wp14:editId="2EAB55F3">
            <wp:simplePos x="0" y="0"/>
            <wp:positionH relativeFrom="column">
              <wp:posOffset>25400</wp:posOffset>
            </wp:positionH>
            <wp:positionV relativeFrom="paragraph">
              <wp:posOffset>17780</wp:posOffset>
            </wp:positionV>
            <wp:extent cx="1282700" cy="869950"/>
            <wp:effectExtent l="0" t="0" r="0" b="6350"/>
            <wp:wrapNone/>
            <wp:docPr id="5" name="Picture 4" descr="Related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 descr="Related image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0" cy="86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2BAF">
        <w:rPr>
          <w:noProof/>
        </w:rPr>
        <w:drawing>
          <wp:inline distT="0" distB="0" distL="0" distR="0" wp14:anchorId="0899EE17" wp14:editId="144FB071">
            <wp:extent cx="1657350" cy="822960"/>
            <wp:effectExtent l="0" t="0" r="0" b="1524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>
                      <a:picLocks noChangeAspect="1"/>
                    </pic:cNvPicPr>
                  </pic:nvPicPr>
                  <pic:blipFill>
                    <a:blip r:link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735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010313" w14:textId="2C947E32" w:rsidR="005538FA" w:rsidRDefault="005538FA" w:rsidP="005538FA">
      <w:pPr>
        <w:jc w:val="right"/>
        <w:rPr>
          <w:b/>
          <w:bCs/>
        </w:rPr>
      </w:pPr>
    </w:p>
    <w:p w14:paraId="23261CE3" w14:textId="3D174241" w:rsidR="005538FA" w:rsidRDefault="005538FA" w:rsidP="005538FA">
      <w:pPr>
        <w:rPr>
          <w:b/>
          <w:bCs/>
        </w:rPr>
      </w:pPr>
    </w:p>
    <w:p w14:paraId="553698C2" w14:textId="64074538" w:rsidR="00B16969" w:rsidRDefault="00C545D4" w:rsidP="00D240AA">
      <w:pPr>
        <w:jc w:val="center"/>
        <w:rPr>
          <w:b/>
          <w:bCs/>
        </w:rPr>
      </w:pPr>
      <w:r>
        <w:rPr>
          <w:b/>
          <w:bCs/>
        </w:rPr>
        <w:t>An Information Governance r</w:t>
      </w:r>
      <w:r w:rsidR="00B16969">
        <w:rPr>
          <w:b/>
          <w:bCs/>
        </w:rPr>
        <w:t xml:space="preserve">ound up </w:t>
      </w:r>
      <w:r w:rsidR="00A30543">
        <w:rPr>
          <w:b/>
          <w:bCs/>
        </w:rPr>
        <w:t xml:space="preserve">on </w:t>
      </w:r>
      <w:r w:rsidR="00B16969">
        <w:rPr>
          <w:b/>
          <w:bCs/>
        </w:rPr>
        <w:t>InPhase</w:t>
      </w:r>
      <w:r w:rsidR="00A30543">
        <w:rPr>
          <w:b/>
          <w:bCs/>
        </w:rPr>
        <w:t xml:space="preserve"> data security </w:t>
      </w:r>
      <w:proofErr w:type="gramStart"/>
      <w:r w:rsidR="00A30543">
        <w:rPr>
          <w:b/>
          <w:bCs/>
        </w:rPr>
        <w:t>breaches</w:t>
      </w:r>
      <w:proofErr w:type="gramEnd"/>
    </w:p>
    <w:p w14:paraId="48D3F6FD" w14:textId="77777777" w:rsidR="00D07943" w:rsidRDefault="00D07943" w:rsidP="00D240AA">
      <w:pPr>
        <w:jc w:val="center"/>
        <w:rPr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1E22" w14:paraId="019D723E" w14:textId="77777777" w:rsidTr="001C1E22">
        <w:tc>
          <w:tcPr>
            <w:tcW w:w="9016" w:type="dxa"/>
          </w:tcPr>
          <w:p w14:paraId="14C70AFE" w14:textId="77777777" w:rsidR="001C1E22" w:rsidRDefault="001C1E22" w:rsidP="001C1E22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Remember to use bcc when emailing or sending invites to groups of service </w:t>
            </w:r>
            <w:proofErr w:type="gramStart"/>
            <w:r>
              <w:rPr>
                <w:b/>
                <w:bCs/>
              </w:rPr>
              <w:t>users</w:t>
            </w:r>
            <w:proofErr w:type="gramEnd"/>
          </w:p>
          <w:p w14:paraId="32FD7FC0" w14:textId="77777777" w:rsidR="001C1E22" w:rsidRDefault="001C1E22" w:rsidP="001C1E22">
            <w:pPr>
              <w:rPr>
                <w:b/>
                <w:bCs/>
              </w:rPr>
            </w:pPr>
          </w:p>
          <w:p w14:paraId="421ABB8C" w14:textId="3B4C8C16" w:rsidR="001C1E22" w:rsidRDefault="001C1E22" w:rsidP="001C1E22">
            <w:r>
              <w:t xml:space="preserve">Several data security breaches on InPhase where group emails and invites </w:t>
            </w:r>
            <w:r w:rsidR="00913F41">
              <w:t>were</w:t>
            </w:r>
            <w:r>
              <w:t xml:space="preserve"> sent to service users using carbon copy (cc) instead of blind carbon copy (bcc). This has compromised their right to confidentiality as everyone can see their names and email addresses. </w:t>
            </w:r>
          </w:p>
          <w:p w14:paraId="1699B8B0" w14:textId="77777777" w:rsidR="001C1E22" w:rsidRDefault="001C1E22" w:rsidP="001C1E22"/>
          <w:p w14:paraId="224EEEB6" w14:textId="77777777" w:rsidR="001C1E22" w:rsidRDefault="001C1E22" w:rsidP="001C1E22">
            <w:pPr>
              <w:rPr>
                <w:rFonts w:cstheme="minorHAnsi"/>
                <w:color w:val="1F1F1F"/>
                <w:shd w:val="clear" w:color="auto" w:fill="FFFFFF"/>
              </w:rPr>
            </w:pPr>
            <w:r>
              <w:t xml:space="preserve">Please use bcc. </w:t>
            </w:r>
            <w:r w:rsidRPr="002F0A3E">
              <w:rPr>
                <w:rFonts w:cstheme="minorHAnsi"/>
                <w:color w:val="040C28"/>
              </w:rPr>
              <w:t>Bcc sends a copy of your email to anyone in the bcc field but hides their email address from all other recipients</w:t>
            </w:r>
            <w:r w:rsidRPr="002F0A3E">
              <w:rPr>
                <w:rFonts w:cstheme="minorHAnsi"/>
                <w:color w:val="1F1F1F"/>
                <w:shd w:val="clear" w:color="auto" w:fill="FFFFFF"/>
              </w:rPr>
              <w:t>. Bcc recipients won't be able to use the reply-all function. No one who receives the email can see bcc recipients, and bcc recipients can't see each other either</w:t>
            </w:r>
            <w:r>
              <w:rPr>
                <w:rFonts w:cstheme="minorHAnsi"/>
                <w:color w:val="1F1F1F"/>
                <w:shd w:val="clear" w:color="auto" w:fill="FFFFFF"/>
              </w:rPr>
              <w:t>.</w:t>
            </w:r>
          </w:p>
          <w:p w14:paraId="49288D7D" w14:textId="77777777" w:rsidR="001C1E22" w:rsidRDefault="001C1E22" w:rsidP="001C1E22">
            <w:pPr>
              <w:rPr>
                <w:rFonts w:cstheme="minorHAnsi"/>
                <w:color w:val="1F1F1F"/>
                <w:shd w:val="clear" w:color="auto" w:fill="FFFFFF"/>
              </w:rPr>
            </w:pPr>
          </w:p>
          <w:p w14:paraId="404BF60E" w14:textId="77777777" w:rsidR="00122B11" w:rsidRDefault="001C1E22" w:rsidP="00122B11">
            <w:pPr>
              <w:rPr>
                <w:rFonts w:cstheme="minorHAnsi"/>
                <w:color w:val="4D5156"/>
                <w:shd w:val="clear" w:color="auto" w:fill="FFFFFF"/>
              </w:rPr>
            </w:pPr>
            <w:r w:rsidRPr="00B42DD4">
              <w:rPr>
                <w:rFonts w:cstheme="minorHAnsi"/>
                <w:color w:val="1F1F1F"/>
                <w:shd w:val="clear" w:color="auto" w:fill="FFFFFF"/>
              </w:rPr>
              <w:t xml:space="preserve">In Outlook, </w:t>
            </w:r>
            <w:r w:rsidRPr="00B42DD4">
              <w:rPr>
                <w:rFonts w:cstheme="minorHAnsi"/>
                <w:color w:val="4D5156"/>
                <w:shd w:val="clear" w:color="auto" w:fill="FFFFFF"/>
              </w:rPr>
              <w:t>open a new message or reply to a message. · From Options &gt; Show fields, select Show </w:t>
            </w:r>
            <w:r w:rsidRPr="00B42DD4">
              <w:rPr>
                <w:rStyle w:val="Emphasis"/>
                <w:rFonts w:cstheme="minorHAnsi"/>
                <w:b/>
                <w:bCs/>
                <w:i w:val="0"/>
                <w:iCs w:val="0"/>
                <w:color w:val="5F6368"/>
                <w:shd w:val="clear" w:color="auto" w:fill="FFFFFF"/>
              </w:rPr>
              <w:t>Bcc</w:t>
            </w:r>
            <w:r w:rsidRPr="00B42DD4">
              <w:rPr>
                <w:rFonts w:cstheme="minorHAnsi"/>
                <w:color w:val="4D5156"/>
                <w:shd w:val="clear" w:color="auto" w:fill="FFFFFF"/>
              </w:rPr>
              <w:t>. · Add the names of people you want on the Bcc line</w:t>
            </w:r>
            <w:r w:rsidR="00122B11">
              <w:rPr>
                <w:rFonts w:cstheme="minorHAnsi"/>
                <w:color w:val="4D5156"/>
                <w:shd w:val="clear" w:color="auto" w:fill="FFFFFF"/>
              </w:rPr>
              <w:t>.</w:t>
            </w:r>
          </w:p>
          <w:p w14:paraId="4416CB63" w14:textId="77777777" w:rsidR="00122B11" w:rsidRDefault="00122B11" w:rsidP="00122B11">
            <w:pPr>
              <w:rPr>
                <w:rFonts w:cs="Times New Roman"/>
              </w:rPr>
            </w:pPr>
          </w:p>
          <w:p w14:paraId="72ED3E05" w14:textId="3D2B6036" w:rsidR="001C1E22" w:rsidRPr="001C1E22" w:rsidRDefault="001C1E22" w:rsidP="00122B11">
            <w:pPr>
              <w:rPr>
                <w:rFonts w:cs="Times New Roman"/>
              </w:rPr>
            </w:pPr>
            <w:r>
              <w:rPr>
                <w:noProof/>
              </w:rPr>
              <w:drawing>
                <wp:inline distT="0" distB="0" distL="0" distR="0" wp14:anchorId="12712C65" wp14:editId="1AC0EBCC">
                  <wp:extent cx="5731510" cy="2151380"/>
                  <wp:effectExtent l="0" t="0" r="2540" b="127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2151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8223A0" w14:textId="77777777" w:rsidR="001C1E22" w:rsidRDefault="001C1E22" w:rsidP="00B85921">
            <w:pPr>
              <w:rPr>
                <w:rFonts w:cstheme="minorHAnsi"/>
              </w:rPr>
            </w:pPr>
          </w:p>
        </w:tc>
      </w:tr>
    </w:tbl>
    <w:p w14:paraId="278797D6" w14:textId="25122739" w:rsidR="00C8041D" w:rsidRDefault="00C8041D" w:rsidP="00B8592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C1E22" w14:paraId="4A57CDB0" w14:textId="77777777" w:rsidTr="001C1E22">
        <w:tc>
          <w:tcPr>
            <w:tcW w:w="9016" w:type="dxa"/>
          </w:tcPr>
          <w:p w14:paraId="2213D3BF" w14:textId="77777777" w:rsidR="001C1E22" w:rsidRDefault="001C1E22" w:rsidP="001C1E22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Single lost, stolen or broken phones, iPads and other IT kit</w:t>
            </w:r>
          </w:p>
          <w:p w14:paraId="2194FD5C" w14:textId="77777777" w:rsidR="00417AA3" w:rsidRDefault="00417AA3" w:rsidP="001C1E22">
            <w:pPr>
              <w:rPr>
                <w:rFonts w:cstheme="minorHAnsi"/>
                <w:b/>
                <w:bCs/>
              </w:rPr>
            </w:pPr>
          </w:p>
          <w:p w14:paraId="6DAF0A32" w14:textId="77777777" w:rsidR="001C1E22" w:rsidRPr="00C8041D" w:rsidRDefault="001C1E22" w:rsidP="001C1E22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No need to report on InPhase. Just log a call on Service Now so the Digital team can block the device. If you need a new </w:t>
            </w:r>
            <w:proofErr w:type="gramStart"/>
            <w:r>
              <w:rPr>
                <w:rFonts w:cstheme="minorHAnsi"/>
              </w:rPr>
              <w:t>one</w:t>
            </w:r>
            <w:proofErr w:type="gramEnd"/>
            <w:r>
              <w:rPr>
                <w:rFonts w:cstheme="minorHAnsi"/>
              </w:rPr>
              <w:t xml:space="preserve"> you’ll need to have a budget code to order a new one, also via Service Now</w:t>
            </w:r>
          </w:p>
          <w:p w14:paraId="0086B198" w14:textId="77777777" w:rsidR="001C1E22" w:rsidRDefault="001C1E22" w:rsidP="00B85921">
            <w:pPr>
              <w:rPr>
                <w:rFonts w:cstheme="minorHAnsi"/>
              </w:rPr>
            </w:pPr>
          </w:p>
        </w:tc>
      </w:tr>
    </w:tbl>
    <w:p w14:paraId="6C17F77C" w14:textId="77777777" w:rsidR="001C1E22" w:rsidRDefault="001C1E22" w:rsidP="00B85921">
      <w:pPr>
        <w:rPr>
          <w:rFonts w:cs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667394" w14:paraId="62866EBA" w14:textId="77777777" w:rsidTr="00667394">
        <w:tc>
          <w:tcPr>
            <w:tcW w:w="9016" w:type="dxa"/>
          </w:tcPr>
          <w:p w14:paraId="2BDF07AE" w14:textId="77777777" w:rsidR="00667394" w:rsidRDefault="00667394" w:rsidP="00B8592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Observations </w:t>
            </w:r>
          </w:p>
          <w:p w14:paraId="7F9BF8B0" w14:textId="77777777" w:rsidR="00094626" w:rsidRDefault="00094626" w:rsidP="00B85921">
            <w:pPr>
              <w:rPr>
                <w:rFonts w:cstheme="minorHAnsi"/>
                <w:b/>
                <w:bCs/>
              </w:rPr>
            </w:pPr>
          </w:p>
          <w:p w14:paraId="3197FE88" w14:textId="128C5A77" w:rsidR="00094626" w:rsidRDefault="00094626" w:rsidP="00B859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When observations are missed don’t report as an information governance or digital </w:t>
            </w:r>
            <w:r w:rsidR="00227A82">
              <w:rPr>
                <w:rFonts w:cstheme="minorHAnsi"/>
              </w:rPr>
              <w:t xml:space="preserve">incident on InPhase. </w:t>
            </w:r>
            <w:r w:rsidR="00B85AAE">
              <w:rPr>
                <w:rFonts w:cstheme="minorHAnsi"/>
              </w:rPr>
              <w:t>These are patient safety incidents. Use Type ‘</w:t>
            </w:r>
            <w:r w:rsidR="00FD0951">
              <w:rPr>
                <w:rFonts w:cstheme="minorHAnsi"/>
              </w:rPr>
              <w:t>C</w:t>
            </w:r>
            <w:r w:rsidR="00B85AAE">
              <w:rPr>
                <w:rFonts w:cstheme="minorHAnsi"/>
              </w:rPr>
              <w:t xml:space="preserve">are </w:t>
            </w:r>
            <w:r w:rsidR="00FD0951">
              <w:rPr>
                <w:rFonts w:cstheme="minorHAnsi"/>
              </w:rPr>
              <w:t xml:space="preserve">and treatment’, category ‘Observations’ and then select the relevant </w:t>
            </w:r>
            <w:r w:rsidR="00122B11">
              <w:rPr>
                <w:rFonts w:cstheme="minorHAnsi"/>
              </w:rPr>
              <w:t>subcategory.</w:t>
            </w:r>
          </w:p>
          <w:p w14:paraId="5503C986" w14:textId="77777777" w:rsidR="00AA1D25" w:rsidRDefault="00AA1D25" w:rsidP="00B85921">
            <w:pPr>
              <w:rPr>
                <w:rFonts w:cstheme="minorHAnsi"/>
              </w:rPr>
            </w:pPr>
          </w:p>
          <w:p w14:paraId="770B277A" w14:textId="5ED9CFF8" w:rsidR="00AA1D25" w:rsidRDefault="00AA1D25" w:rsidP="00AA1D25">
            <w:pPr>
              <w:pStyle w:val="NormalWeb"/>
            </w:pPr>
            <w:r>
              <w:rPr>
                <w:noProof/>
              </w:rPr>
              <w:lastRenderedPageBreak/>
              <w:drawing>
                <wp:inline distT="0" distB="0" distL="0" distR="0" wp14:anchorId="3E7058CB" wp14:editId="2EF74333">
                  <wp:extent cx="5731510" cy="2517775"/>
                  <wp:effectExtent l="0" t="0" r="254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251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8C6187" w14:textId="4B09CD89" w:rsidR="00913F41" w:rsidRPr="00667394" w:rsidRDefault="00913F41" w:rsidP="00B85921">
            <w:pPr>
              <w:rPr>
                <w:rFonts w:cstheme="minorHAnsi"/>
                <w:b/>
                <w:bCs/>
              </w:rPr>
            </w:pPr>
          </w:p>
        </w:tc>
      </w:tr>
    </w:tbl>
    <w:p w14:paraId="5D94F62B" w14:textId="77777777" w:rsidR="008D3B00" w:rsidRDefault="008D3B00" w:rsidP="00B85921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8D3B00" w14:paraId="79CE715F" w14:textId="77777777" w:rsidTr="008D3B00">
        <w:tc>
          <w:tcPr>
            <w:tcW w:w="9016" w:type="dxa"/>
          </w:tcPr>
          <w:p w14:paraId="44903F63" w14:textId="77777777" w:rsidR="008D3B00" w:rsidRDefault="008D3B00" w:rsidP="008D3B00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 xml:space="preserve">Emails sent to incorrect </w:t>
            </w:r>
            <w:proofErr w:type="gramStart"/>
            <w:r>
              <w:rPr>
                <w:rFonts w:cstheme="minorHAnsi"/>
                <w:b/>
                <w:bCs/>
              </w:rPr>
              <w:t>recipients</w:t>
            </w:r>
            <w:proofErr w:type="gramEnd"/>
          </w:p>
          <w:p w14:paraId="44192FA7" w14:textId="77777777" w:rsidR="00A30543" w:rsidRDefault="00A30543" w:rsidP="008D3B00">
            <w:pPr>
              <w:rPr>
                <w:rFonts w:cstheme="minorHAnsi"/>
                <w:b/>
                <w:bCs/>
              </w:rPr>
            </w:pPr>
          </w:p>
          <w:p w14:paraId="39114316" w14:textId="53B4B8EC" w:rsidR="00A30543" w:rsidRDefault="0056363B" w:rsidP="008D3B00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Make sure you don’t cause a date security breach by sending your email to the wrong recipient. </w:t>
            </w:r>
          </w:p>
          <w:p w14:paraId="67B74AD5" w14:textId="77777777" w:rsidR="00CF4D2A" w:rsidRDefault="00CF4D2A" w:rsidP="008D3B00">
            <w:pPr>
              <w:rPr>
                <w:rFonts w:cstheme="minorHAnsi"/>
              </w:rPr>
            </w:pPr>
          </w:p>
          <w:p w14:paraId="4513404E" w14:textId="77777777" w:rsidR="00D02DB3" w:rsidRPr="0056363B" w:rsidRDefault="00CF4D2A" w:rsidP="00D02DB3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Most of the breaches occurred by selecting the wrong recipient from the </w:t>
            </w:r>
            <w:proofErr w:type="gramStart"/>
            <w:r w:rsidR="001F16A3">
              <w:rPr>
                <w:rFonts w:cstheme="minorHAnsi"/>
              </w:rPr>
              <w:t>drop down</w:t>
            </w:r>
            <w:proofErr w:type="gramEnd"/>
            <w:r w:rsidR="001F16A3">
              <w:rPr>
                <w:rFonts w:cstheme="minorHAnsi"/>
              </w:rPr>
              <w:t xml:space="preserve"> box in the ‘To’ field. Check before hitting the Send button!</w:t>
            </w:r>
            <w:r w:rsidR="00CA2CC5">
              <w:rPr>
                <w:rFonts w:cstheme="minorHAnsi"/>
              </w:rPr>
              <w:t xml:space="preserve"> </w:t>
            </w:r>
            <w:r w:rsidR="005017F1">
              <w:rPr>
                <w:rFonts w:cstheme="minorHAnsi"/>
              </w:rPr>
              <w:t xml:space="preserve">It’s even better to routinely clear the </w:t>
            </w:r>
            <w:proofErr w:type="gramStart"/>
            <w:r w:rsidR="005017F1">
              <w:rPr>
                <w:rFonts w:cstheme="minorHAnsi"/>
              </w:rPr>
              <w:t>drop down</w:t>
            </w:r>
            <w:proofErr w:type="gramEnd"/>
            <w:r w:rsidR="005017F1">
              <w:rPr>
                <w:rFonts w:cstheme="minorHAnsi"/>
              </w:rPr>
              <w:t xml:space="preserve"> box.</w:t>
            </w:r>
            <w:r w:rsidR="00D02DB3">
              <w:rPr>
                <w:rFonts w:cstheme="minorHAnsi"/>
              </w:rPr>
              <w:t xml:space="preserve"> From your emails select File/Options/Email/Empty Auto Complete/Are you </w:t>
            </w:r>
            <w:proofErr w:type="gramStart"/>
            <w:r w:rsidR="00D02DB3">
              <w:rPr>
                <w:rFonts w:cstheme="minorHAnsi"/>
              </w:rPr>
              <w:t>sure?/</w:t>
            </w:r>
            <w:proofErr w:type="gramEnd"/>
            <w:r w:rsidR="00D02DB3">
              <w:rPr>
                <w:rFonts w:cstheme="minorHAnsi"/>
              </w:rPr>
              <w:t>Yes/OK.</w:t>
            </w:r>
          </w:p>
          <w:p w14:paraId="16D13921" w14:textId="40AE6C48" w:rsidR="00CF4D2A" w:rsidRDefault="00122B11" w:rsidP="008D3B00">
            <w:pPr>
              <w:rPr>
                <w:rFonts w:cstheme="minorHAnsi"/>
              </w:rPr>
            </w:pPr>
            <w:r>
              <w:rPr>
                <w:rFonts w:cstheme="minorHAnsi"/>
              </w:rPr>
              <w:t>Or just click on an incorrect address in the drop down and hit Delete.</w:t>
            </w:r>
          </w:p>
          <w:p w14:paraId="6F0ED6A7" w14:textId="77777777" w:rsidR="00EC12C4" w:rsidRDefault="00EC12C4" w:rsidP="008D3B00">
            <w:pPr>
              <w:rPr>
                <w:rFonts w:cstheme="minorHAnsi"/>
              </w:rPr>
            </w:pPr>
          </w:p>
          <w:p w14:paraId="401EAD5B" w14:textId="7A508337" w:rsidR="008D3B00" w:rsidRPr="00122B11" w:rsidRDefault="009139B5" w:rsidP="00122B11">
            <w:pPr>
              <w:pStyle w:val="NormalWeb"/>
            </w:pPr>
            <w:r>
              <w:rPr>
                <w:noProof/>
              </w:rPr>
              <w:lastRenderedPageBreak/>
              <w:drawing>
                <wp:inline distT="0" distB="0" distL="0" distR="0" wp14:anchorId="190ADB6D" wp14:editId="07D6AE6D">
                  <wp:extent cx="5731510" cy="4541520"/>
                  <wp:effectExtent l="0" t="0" r="254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1510" cy="454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F31EFEF" w14:textId="77777777" w:rsidR="008D3B00" w:rsidRDefault="008D3B00" w:rsidP="00B85921">
            <w:pPr>
              <w:rPr>
                <w:rFonts w:cstheme="minorHAnsi"/>
                <w:b/>
                <w:bCs/>
              </w:rPr>
            </w:pPr>
          </w:p>
        </w:tc>
      </w:tr>
    </w:tbl>
    <w:p w14:paraId="4B20CDB0" w14:textId="77777777" w:rsidR="008D3B00" w:rsidRPr="00401976" w:rsidRDefault="008D3B00" w:rsidP="00B85921">
      <w:pPr>
        <w:rPr>
          <w:rFonts w:cstheme="minorHAnsi"/>
          <w:b/>
          <w:b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A5E6E" w14:paraId="0DDF246A" w14:textId="77777777" w:rsidTr="00CA5E6E">
        <w:tc>
          <w:tcPr>
            <w:tcW w:w="9016" w:type="dxa"/>
          </w:tcPr>
          <w:p w14:paraId="2B16B5B9" w14:textId="77777777" w:rsidR="00CA5E6E" w:rsidRDefault="00854F06" w:rsidP="00B8592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Contact us by Teams or email:</w:t>
            </w:r>
          </w:p>
          <w:p w14:paraId="1FA63DF8" w14:textId="77777777" w:rsidR="00854F06" w:rsidRDefault="00854F06" w:rsidP="00B85921">
            <w:pPr>
              <w:rPr>
                <w:rFonts w:cstheme="minorHAnsi"/>
                <w:b/>
                <w:bCs/>
              </w:rPr>
            </w:pPr>
          </w:p>
          <w:p w14:paraId="66FABF7F" w14:textId="77777777" w:rsidR="00854F06" w:rsidRDefault="00854F06" w:rsidP="00B85921">
            <w:pPr>
              <w:rPr>
                <w:rFonts w:cstheme="minorHAnsi"/>
              </w:rPr>
            </w:pPr>
            <w:r>
              <w:rPr>
                <w:rFonts w:cstheme="minorHAnsi"/>
              </w:rPr>
              <w:t>Chris Kitchener</w:t>
            </w:r>
            <w:r w:rsidR="00515AD3">
              <w:rPr>
                <w:rFonts w:cstheme="minorHAnsi"/>
              </w:rPr>
              <w:t xml:space="preserve">, Associate Director of Information Governance &amp; DPO. </w:t>
            </w:r>
            <w:hyperlink r:id="rId9" w:history="1">
              <w:r w:rsidR="00515AD3" w:rsidRPr="00BE265C">
                <w:rPr>
                  <w:rStyle w:val="Hyperlink"/>
                  <w:rFonts w:cstheme="minorHAnsi"/>
                </w:rPr>
                <w:t>Chris.kitchener@nhs.net</w:t>
              </w:r>
            </w:hyperlink>
            <w:r w:rsidR="00515AD3">
              <w:rPr>
                <w:rFonts w:cstheme="minorHAnsi"/>
              </w:rPr>
              <w:t xml:space="preserve"> </w:t>
            </w:r>
          </w:p>
          <w:p w14:paraId="2CDC1350" w14:textId="77777777" w:rsidR="00515AD3" w:rsidRDefault="00515AD3" w:rsidP="00B85921">
            <w:pPr>
              <w:rPr>
                <w:rFonts w:cstheme="minorHAnsi"/>
              </w:rPr>
            </w:pPr>
          </w:p>
          <w:p w14:paraId="6086FB9A" w14:textId="77777777" w:rsidR="00515AD3" w:rsidRDefault="00515AD3" w:rsidP="00B85921">
            <w:pPr>
              <w:rPr>
                <w:rFonts w:cstheme="minorHAnsi"/>
              </w:rPr>
            </w:pPr>
            <w:r>
              <w:rPr>
                <w:rFonts w:cstheme="minorHAnsi"/>
              </w:rPr>
              <w:t>Nahida Rahman, Senior Information Governance Manager for Systems</w:t>
            </w:r>
            <w:r w:rsidR="007C5220">
              <w:rPr>
                <w:rFonts w:cstheme="minorHAnsi"/>
              </w:rPr>
              <w:t xml:space="preserve">. </w:t>
            </w:r>
            <w:hyperlink r:id="rId10" w:history="1">
              <w:r w:rsidR="007C5220" w:rsidRPr="00BE265C">
                <w:rPr>
                  <w:rStyle w:val="Hyperlink"/>
                  <w:rFonts w:cstheme="minorHAnsi"/>
                </w:rPr>
                <w:t>Nahida.rahman3@nhs.net</w:t>
              </w:r>
            </w:hyperlink>
            <w:r w:rsidR="007C5220">
              <w:rPr>
                <w:rFonts w:cstheme="minorHAnsi"/>
              </w:rPr>
              <w:t xml:space="preserve"> </w:t>
            </w:r>
          </w:p>
          <w:p w14:paraId="07B22304" w14:textId="77777777" w:rsidR="007C5220" w:rsidRDefault="007C5220" w:rsidP="00B85921">
            <w:pPr>
              <w:rPr>
                <w:rFonts w:cstheme="minorHAnsi"/>
              </w:rPr>
            </w:pPr>
          </w:p>
          <w:p w14:paraId="31DB48CF" w14:textId="77777777" w:rsidR="007C5220" w:rsidRDefault="007C5220" w:rsidP="00B859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Daniel Hill, Senior Information Governance Manager for Compliance. </w:t>
            </w:r>
            <w:hyperlink r:id="rId11" w:history="1">
              <w:r w:rsidR="00366B92" w:rsidRPr="00BE265C">
                <w:rPr>
                  <w:rStyle w:val="Hyperlink"/>
                  <w:rFonts w:cstheme="minorHAnsi"/>
                </w:rPr>
                <w:t>Daniel.hill17@nhs.net</w:t>
              </w:r>
            </w:hyperlink>
            <w:r w:rsidR="00366B92">
              <w:rPr>
                <w:rFonts w:cstheme="minorHAnsi"/>
              </w:rPr>
              <w:t xml:space="preserve"> </w:t>
            </w:r>
          </w:p>
          <w:p w14:paraId="3AFF23C0" w14:textId="77777777" w:rsidR="001D495F" w:rsidRDefault="001D495F" w:rsidP="00B85921">
            <w:pPr>
              <w:rPr>
                <w:rFonts w:cstheme="minorHAnsi"/>
              </w:rPr>
            </w:pPr>
          </w:p>
          <w:p w14:paraId="430EAAA6" w14:textId="43FECA11" w:rsidR="001D495F" w:rsidRDefault="001D495F" w:rsidP="00B85921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Ade Adekunbi, Information Governance Manager for Luton &amp; Bedfordshire </w:t>
            </w:r>
            <w:hyperlink r:id="rId12" w:history="1">
              <w:r w:rsidR="00FD2448" w:rsidRPr="00BE265C">
                <w:rPr>
                  <w:rStyle w:val="Hyperlink"/>
                  <w:rFonts w:cstheme="minorHAnsi"/>
                </w:rPr>
                <w:t>Ademola.adekunbi@nhs.net</w:t>
              </w:r>
            </w:hyperlink>
          </w:p>
          <w:p w14:paraId="01539D7B" w14:textId="77777777" w:rsidR="00FD2448" w:rsidRDefault="00FD2448" w:rsidP="00B85921">
            <w:pPr>
              <w:rPr>
                <w:rFonts w:cstheme="minorHAnsi"/>
              </w:rPr>
            </w:pPr>
          </w:p>
          <w:p w14:paraId="7A9A55EB" w14:textId="45D83EEB" w:rsidR="00FD2448" w:rsidRPr="00854F06" w:rsidRDefault="00FD2448" w:rsidP="00B85921">
            <w:pPr>
              <w:rPr>
                <w:rFonts w:cstheme="minorHAnsi"/>
              </w:rPr>
            </w:pPr>
            <w:r>
              <w:rPr>
                <w:rFonts w:cstheme="minorHAnsi"/>
              </w:rPr>
              <w:t>Ehi Osawe</w:t>
            </w:r>
            <w:r w:rsidR="00DE413A">
              <w:rPr>
                <w:rFonts w:cstheme="minorHAnsi"/>
              </w:rPr>
              <w:t>, In</w:t>
            </w:r>
            <w:r w:rsidR="00283FC5">
              <w:rPr>
                <w:rFonts w:cstheme="minorHAnsi"/>
              </w:rPr>
              <w:t xml:space="preserve">formation Governance Manager for London </w:t>
            </w:r>
            <w:hyperlink r:id="rId13" w:history="1">
              <w:r w:rsidR="00721C34" w:rsidRPr="000839D6">
                <w:rPr>
                  <w:rStyle w:val="Hyperlink"/>
                  <w:rFonts w:cstheme="minorHAnsi"/>
                </w:rPr>
                <w:t>Ehinoma.osawe@nhs.net</w:t>
              </w:r>
            </w:hyperlink>
            <w:r w:rsidR="00721C34">
              <w:rPr>
                <w:rFonts w:cstheme="minorHAnsi"/>
              </w:rPr>
              <w:t xml:space="preserve"> </w:t>
            </w:r>
          </w:p>
        </w:tc>
      </w:tr>
    </w:tbl>
    <w:p w14:paraId="42C88253" w14:textId="11C52B96" w:rsidR="005E3DA6" w:rsidRPr="00C8041D" w:rsidRDefault="005E3DA6" w:rsidP="00B85921">
      <w:pPr>
        <w:rPr>
          <w:rFonts w:cstheme="minorHAnsi"/>
        </w:rPr>
      </w:pPr>
    </w:p>
    <w:sectPr w:rsidR="005E3DA6" w:rsidRPr="00C804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0AA"/>
    <w:rsid w:val="00001CA3"/>
    <w:rsid w:val="000257EA"/>
    <w:rsid w:val="00062B53"/>
    <w:rsid w:val="00094626"/>
    <w:rsid w:val="00122B11"/>
    <w:rsid w:val="0015751B"/>
    <w:rsid w:val="00190F8E"/>
    <w:rsid w:val="001C1E22"/>
    <w:rsid w:val="001D495F"/>
    <w:rsid w:val="001F16A3"/>
    <w:rsid w:val="00227A82"/>
    <w:rsid w:val="00275F85"/>
    <w:rsid w:val="00283FC5"/>
    <w:rsid w:val="002F0A3E"/>
    <w:rsid w:val="00366B92"/>
    <w:rsid w:val="00401976"/>
    <w:rsid w:val="00417AA3"/>
    <w:rsid w:val="00440AB7"/>
    <w:rsid w:val="004A1ACB"/>
    <w:rsid w:val="004A26B4"/>
    <w:rsid w:val="005017F1"/>
    <w:rsid w:val="00515AD3"/>
    <w:rsid w:val="0054596C"/>
    <w:rsid w:val="005538FA"/>
    <w:rsid w:val="0056363B"/>
    <w:rsid w:val="00582EA3"/>
    <w:rsid w:val="005E3DA6"/>
    <w:rsid w:val="00667394"/>
    <w:rsid w:val="006A0245"/>
    <w:rsid w:val="00721C34"/>
    <w:rsid w:val="007C5220"/>
    <w:rsid w:val="00854F06"/>
    <w:rsid w:val="00875C0A"/>
    <w:rsid w:val="008A46DD"/>
    <w:rsid w:val="008B3AA0"/>
    <w:rsid w:val="008D3B00"/>
    <w:rsid w:val="009139B5"/>
    <w:rsid w:val="00913F41"/>
    <w:rsid w:val="00937F2D"/>
    <w:rsid w:val="00987C7E"/>
    <w:rsid w:val="00992A19"/>
    <w:rsid w:val="00A049A5"/>
    <w:rsid w:val="00A30543"/>
    <w:rsid w:val="00A62158"/>
    <w:rsid w:val="00AA1D25"/>
    <w:rsid w:val="00B16969"/>
    <w:rsid w:val="00B42DD4"/>
    <w:rsid w:val="00B85921"/>
    <w:rsid w:val="00B85AAE"/>
    <w:rsid w:val="00C07E9A"/>
    <w:rsid w:val="00C402B0"/>
    <w:rsid w:val="00C545D4"/>
    <w:rsid w:val="00C8041D"/>
    <w:rsid w:val="00CA2CC5"/>
    <w:rsid w:val="00CA5E6E"/>
    <w:rsid w:val="00CF4D2A"/>
    <w:rsid w:val="00D02DB3"/>
    <w:rsid w:val="00D07943"/>
    <w:rsid w:val="00D240AA"/>
    <w:rsid w:val="00DE413A"/>
    <w:rsid w:val="00E02BAF"/>
    <w:rsid w:val="00EC12C4"/>
    <w:rsid w:val="00F6797F"/>
    <w:rsid w:val="00F740A1"/>
    <w:rsid w:val="00FD0951"/>
    <w:rsid w:val="00FD2448"/>
    <w:rsid w:val="00FE6290"/>
    <w:rsid w:val="00FF2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4A5E1"/>
  <w15:chartTrackingRefBased/>
  <w15:docId w15:val="{63BF3CB4-D3E2-4941-A2D1-A6D710CBB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B42DD4"/>
    <w:rPr>
      <w:i/>
      <w:iCs/>
    </w:rPr>
  </w:style>
  <w:style w:type="paragraph" w:styleId="NormalWeb">
    <w:name w:val="Normal (Web)"/>
    <w:basedOn w:val="Normal"/>
    <w:uiPriority w:val="99"/>
    <w:unhideWhenUsed/>
    <w:rsid w:val="00992A1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table" w:styleId="TableGrid">
    <w:name w:val="Table Grid"/>
    <w:basedOn w:val="TableNormal"/>
    <w:uiPriority w:val="39"/>
    <w:rsid w:val="001C1E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15A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15A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hyperlink" Target="mailto:Ehinoma.osawe@nhs.net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12" Type="http://schemas.openxmlformats.org/officeDocument/2006/relationships/hyperlink" Target="mailto:Ademola.adekunbi@nhs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hyperlink" Target="mailto:Daniel.hill17@nhs.net" TargetMode="External"/><Relationship Id="rId5" Type="http://schemas.openxmlformats.org/officeDocument/2006/relationships/image" Target="https://i.emlfiles4.com/cmpimg/4/5/4/5/8/files/imagecache/14538208/w660_11964866_elftlogo.jpg" TargetMode="External"/><Relationship Id="rId15" Type="http://schemas.openxmlformats.org/officeDocument/2006/relationships/theme" Target="theme/theme1.xml"/><Relationship Id="rId10" Type="http://schemas.openxmlformats.org/officeDocument/2006/relationships/hyperlink" Target="mailto:Nahida.rahman3@nhs.net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Chris.kitchener@nhs.net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387</Words>
  <Characters>2212</Characters>
  <Application>Microsoft Office Word</Application>
  <DocSecurity>0</DocSecurity>
  <Lines>18</Lines>
  <Paragraphs>5</Paragraphs>
  <ScaleCrop>false</ScaleCrop>
  <Company>East London NHS Foundation Trust</Company>
  <LinksUpToDate>false</LinksUpToDate>
  <CharactersWithSpaces>2594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KITCHENER, Chris (EAST LONDON NHS FOUNDATION TRUST)</dc:creator>
  <cp:keywords/>
  <dc:description/>
  <cp:lastModifiedBy>ALI, Monica (EAST LONDON NHS FOUNDATION TRUST)</cp:lastModifiedBy>
  <cp:revision>2</cp:revision>
  <dcterms:created xsi:type="dcterms:W3CDTF">2024-08-23T14:01:00Z</dcterms:created>
  <dcterms:modified xsi:type="dcterms:W3CDTF">2024-08-23T14:01:00Z</dcterms:modified>
</cp:coreProperties>
</file>