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15C1A8" w14:textId="77777777" w:rsidR="006F3719" w:rsidRDefault="006F3719" w:rsidP="006F3719">
      <w:pPr>
        <w:jc w:val="center"/>
        <w:rPr>
          <w:sz w:val="40"/>
          <w:szCs w:val="40"/>
        </w:rPr>
      </w:pPr>
    </w:p>
    <w:p w14:paraId="06B31065" w14:textId="77777777" w:rsidR="00742D27" w:rsidRPr="00FD7897" w:rsidRDefault="00742D27" w:rsidP="00742D27">
      <w:pPr>
        <w:jc w:val="center"/>
        <w:rPr>
          <w:rFonts w:cs="Arial"/>
          <w:b/>
          <w:bCs/>
          <w:sz w:val="40"/>
          <w:szCs w:val="40"/>
        </w:rPr>
      </w:pPr>
      <w:r>
        <w:rPr>
          <w:rFonts w:cs="Arial"/>
          <w:b/>
          <w:bCs/>
          <w:sz w:val="40"/>
          <w:szCs w:val="40"/>
        </w:rPr>
        <w:t>Mental Health Act</w:t>
      </w:r>
    </w:p>
    <w:p w14:paraId="1E889550" w14:textId="77777777" w:rsidR="00742D27" w:rsidRPr="00660615" w:rsidRDefault="00742D27" w:rsidP="00660615">
      <w:pPr>
        <w:pStyle w:val="Heading1"/>
        <w:jc w:val="center"/>
        <w:rPr>
          <w:rFonts w:ascii="Arial" w:hAnsi="Arial" w:cs="Arial"/>
          <w:color w:val="auto"/>
          <w:sz w:val="40"/>
          <w:szCs w:val="40"/>
        </w:rPr>
      </w:pPr>
      <w:r w:rsidRPr="00660615">
        <w:rPr>
          <w:rFonts w:ascii="Arial" w:hAnsi="Arial" w:cs="Arial"/>
          <w:color w:val="auto"/>
          <w:sz w:val="40"/>
          <w:szCs w:val="40"/>
        </w:rPr>
        <w:t>First Tier Tribunal (Mental Health) Policy</w:t>
      </w:r>
    </w:p>
    <w:p w14:paraId="78D4CE63" w14:textId="77777777" w:rsidR="006F3719" w:rsidRDefault="006F3719" w:rsidP="006F3719"/>
    <w:p w14:paraId="16FEB23D" w14:textId="77777777" w:rsidR="006F3719" w:rsidRDefault="006F3719" w:rsidP="006F3719"/>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84474D" w14:paraId="363E90DD" w14:textId="77777777" w:rsidTr="0084474D">
        <w:tc>
          <w:tcPr>
            <w:tcW w:w="4513" w:type="dxa"/>
          </w:tcPr>
          <w:p w14:paraId="440894D1" w14:textId="77777777" w:rsidR="0084474D" w:rsidRDefault="0084474D" w:rsidP="0084474D">
            <w:pPr>
              <w:spacing w:before="40" w:after="40"/>
            </w:pPr>
            <w:r>
              <w:t>Version number :</w:t>
            </w:r>
          </w:p>
        </w:tc>
        <w:tc>
          <w:tcPr>
            <w:tcW w:w="4487" w:type="dxa"/>
          </w:tcPr>
          <w:p w14:paraId="1841FAC8" w14:textId="3F1D6B79" w:rsidR="0084474D" w:rsidRDefault="005A0191" w:rsidP="0084474D">
            <w:pPr>
              <w:spacing w:before="40" w:after="40"/>
            </w:pPr>
            <w:r>
              <w:t>3.0</w:t>
            </w:r>
          </w:p>
        </w:tc>
      </w:tr>
      <w:tr w:rsidR="00243572" w14:paraId="7E7C94F4" w14:textId="77777777" w:rsidTr="0084474D">
        <w:tc>
          <w:tcPr>
            <w:tcW w:w="4513" w:type="dxa"/>
          </w:tcPr>
          <w:p w14:paraId="19484FB2" w14:textId="77777777" w:rsidR="00243572" w:rsidRDefault="00243572" w:rsidP="00243572">
            <w:pPr>
              <w:spacing w:before="40" w:after="40"/>
            </w:pPr>
            <w:r>
              <w:t xml:space="preserve">Consultation Groups </w:t>
            </w:r>
          </w:p>
        </w:tc>
        <w:tc>
          <w:tcPr>
            <w:tcW w:w="4487" w:type="dxa"/>
          </w:tcPr>
          <w:p w14:paraId="0626183D" w14:textId="77777777" w:rsidR="00243572" w:rsidRDefault="00660615" w:rsidP="00243572">
            <w:pPr>
              <w:spacing w:before="40" w:after="40"/>
            </w:pPr>
            <w:r>
              <w:t>Mental Health Law Department</w:t>
            </w:r>
          </w:p>
        </w:tc>
      </w:tr>
      <w:tr w:rsidR="00243572" w14:paraId="1059800E" w14:textId="77777777" w:rsidTr="0084474D">
        <w:tc>
          <w:tcPr>
            <w:tcW w:w="4513" w:type="dxa"/>
          </w:tcPr>
          <w:p w14:paraId="0C6B48B5" w14:textId="77777777" w:rsidR="00243572" w:rsidRDefault="00243572" w:rsidP="00243572">
            <w:pPr>
              <w:spacing w:before="40" w:after="40"/>
            </w:pPr>
            <w:r>
              <w:t>Approved by (Sponsor Group)</w:t>
            </w:r>
          </w:p>
        </w:tc>
        <w:tc>
          <w:tcPr>
            <w:tcW w:w="4487" w:type="dxa"/>
          </w:tcPr>
          <w:p w14:paraId="0AD1092B" w14:textId="77777777" w:rsidR="00243572" w:rsidRDefault="00660615" w:rsidP="00243572">
            <w:pPr>
              <w:spacing w:before="40" w:after="40"/>
            </w:pPr>
            <w:r>
              <w:t>Mental Health Law Monitoring Group</w:t>
            </w:r>
          </w:p>
        </w:tc>
      </w:tr>
      <w:tr w:rsidR="004A6163" w14:paraId="672323AD" w14:textId="77777777" w:rsidTr="0084474D">
        <w:tc>
          <w:tcPr>
            <w:tcW w:w="4513" w:type="dxa"/>
          </w:tcPr>
          <w:p w14:paraId="136CC493" w14:textId="434757B6" w:rsidR="004A6163" w:rsidRDefault="004A6163" w:rsidP="00243572">
            <w:pPr>
              <w:spacing w:before="40" w:after="40"/>
            </w:pPr>
            <w:r>
              <w:t>Date Approved</w:t>
            </w:r>
          </w:p>
        </w:tc>
        <w:tc>
          <w:tcPr>
            <w:tcW w:w="4487" w:type="dxa"/>
          </w:tcPr>
          <w:p w14:paraId="4EBDEC68" w14:textId="4B0A32AE" w:rsidR="004A6163" w:rsidRDefault="004A6163" w:rsidP="00243572">
            <w:pPr>
              <w:spacing w:before="40" w:after="40"/>
            </w:pPr>
            <w:r w:rsidRPr="004A6163">
              <w:t>19</w:t>
            </w:r>
            <w:r w:rsidRPr="004A6163">
              <w:rPr>
                <w:vertAlign w:val="superscript"/>
              </w:rPr>
              <w:t>th</w:t>
            </w:r>
            <w:r w:rsidRPr="004A6163">
              <w:t xml:space="preserve"> August 2024</w:t>
            </w:r>
          </w:p>
        </w:tc>
      </w:tr>
      <w:tr w:rsidR="00243572" w14:paraId="67C2A17F" w14:textId="77777777" w:rsidTr="0084474D">
        <w:tc>
          <w:tcPr>
            <w:tcW w:w="4513" w:type="dxa"/>
          </w:tcPr>
          <w:p w14:paraId="54924CDC" w14:textId="77777777" w:rsidR="00243572" w:rsidRDefault="00243572" w:rsidP="00243572">
            <w:pPr>
              <w:spacing w:before="40" w:after="40"/>
            </w:pPr>
            <w:r>
              <w:t>Ratified by:</w:t>
            </w:r>
          </w:p>
        </w:tc>
        <w:tc>
          <w:tcPr>
            <w:tcW w:w="4487" w:type="dxa"/>
          </w:tcPr>
          <w:p w14:paraId="0B9B8178" w14:textId="77777777" w:rsidR="00243572" w:rsidRDefault="00243572" w:rsidP="00243572">
            <w:pPr>
              <w:spacing w:before="40" w:after="40"/>
            </w:pPr>
            <w:r>
              <w:t>Quality Committee</w:t>
            </w:r>
          </w:p>
        </w:tc>
      </w:tr>
      <w:tr w:rsidR="00243572" w14:paraId="547FA1F1" w14:textId="77777777" w:rsidTr="0084474D">
        <w:tc>
          <w:tcPr>
            <w:tcW w:w="4513" w:type="dxa"/>
          </w:tcPr>
          <w:p w14:paraId="30BA7B3A" w14:textId="77777777" w:rsidR="00243572" w:rsidRDefault="00243572" w:rsidP="00243572">
            <w:pPr>
              <w:spacing w:before="40" w:after="40"/>
            </w:pPr>
            <w:r>
              <w:t>Date ratified:</w:t>
            </w:r>
          </w:p>
        </w:tc>
        <w:tc>
          <w:tcPr>
            <w:tcW w:w="4487" w:type="dxa"/>
          </w:tcPr>
          <w:p w14:paraId="7D161DBC" w14:textId="54223C98" w:rsidR="00243572" w:rsidRDefault="004A6163" w:rsidP="00243572">
            <w:pPr>
              <w:spacing w:before="40" w:after="40"/>
            </w:pPr>
            <w:r>
              <w:t>25</w:t>
            </w:r>
            <w:r w:rsidRPr="004A6163">
              <w:rPr>
                <w:vertAlign w:val="superscript"/>
              </w:rPr>
              <w:t>th</w:t>
            </w:r>
            <w:r>
              <w:t xml:space="preserve"> September </w:t>
            </w:r>
            <w:r w:rsidR="00E90D80">
              <w:t>2024</w:t>
            </w:r>
          </w:p>
        </w:tc>
      </w:tr>
      <w:tr w:rsidR="00243572" w14:paraId="5AB6D5F5" w14:textId="77777777" w:rsidTr="0084474D">
        <w:tc>
          <w:tcPr>
            <w:tcW w:w="4513" w:type="dxa"/>
          </w:tcPr>
          <w:p w14:paraId="3F748313" w14:textId="77777777" w:rsidR="00243572" w:rsidRDefault="00243572" w:rsidP="00243572">
            <w:pPr>
              <w:spacing w:before="40" w:after="40"/>
            </w:pPr>
            <w:r>
              <w:t>Name of originator/author:</w:t>
            </w:r>
          </w:p>
        </w:tc>
        <w:tc>
          <w:tcPr>
            <w:tcW w:w="4487" w:type="dxa"/>
          </w:tcPr>
          <w:p w14:paraId="73D558A6" w14:textId="77777777" w:rsidR="00243572" w:rsidRDefault="00243572" w:rsidP="00243572">
            <w:pPr>
              <w:spacing w:before="40" w:after="40"/>
            </w:pPr>
            <w:r>
              <w:t xml:space="preserve">Associate Director of Mental Health Law  </w:t>
            </w:r>
          </w:p>
        </w:tc>
      </w:tr>
      <w:tr w:rsidR="00243572" w14:paraId="7E2EC922" w14:textId="77777777" w:rsidTr="0084474D">
        <w:tc>
          <w:tcPr>
            <w:tcW w:w="4513" w:type="dxa"/>
          </w:tcPr>
          <w:p w14:paraId="333B095F" w14:textId="77777777" w:rsidR="00243572" w:rsidRDefault="00243572" w:rsidP="00243572">
            <w:pPr>
              <w:spacing w:before="40" w:after="40"/>
            </w:pPr>
            <w:r>
              <w:t>Executive Director lead :</w:t>
            </w:r>
          </w:p>
        </w:tc>
        <w:tc>
          <w:tcPr>
            <w:tcW w:w="4487" w:type="dxa"/>
          </w:tcPr>
          <w:p w14:paraId="7AE35487" w14:textId="77777777" w:rsidR="00243572" w:rsidRDefault="00660615" w:rsidP="00243572">
            <w:pPr>
              <w:spacing w:before="40" w:after="40"/>
            </w:pPr>
            <w:r>
              <w:t>Chief Medical Officer</w:t>
            </w:r>
          </w:p>
        </w:tc>
      </w:tr>
      <w:tr w:rsidR="00243572" w14:paraId="090FD45C" w14:textId="77777777" w:rsidTr="0084474D">
        <w:tc>
          <w:tcPr>
            <w:tcW w:w="4513" w:type="dxa"/>
          </w:tcPr>
          <w:p w14:paraId="63E71490" w14:textId="77777777" w:rsidR="00243572" w:rsidRDefault="00243572" w:rsidP="00243572">
            <w:pPr>
              <w:spacing w:before="40" w:after="40"/>
            </w:pPr>
            <w:r>
              <w:t>Implementation Date :</w:t>
            </w:r>
          </w:p>
        </w:tc>
        <w:tc>
          <w:tcPr>
            <w:tcW w:w="4487" w:type="dxa"/>
          </w:tcPr>
          <w:p w14:paraId="330CB1DA" w14:textId="19BA48A3" w:rsidR="00243572" w:rsidRDefault="004A6163" w:rsidP="00243572">
            <w:pPr>
              <w:spacing w:before="40" w:after="40"/>
            </w:pPr>
            <w:r>
              <w:t xml:space="preserve">August </w:t>
            </w:r>
            <w:r w:rsidR="00E17533">
              <w:t>2024</w:t>
            </w:r>
          </w:p>
        </w:tc>
      </w:tr>
      <w:tr w:rsidR="00243572" w14:paraId="4F3C1410" w14:textId="77777777" w:rsidTr="0084474D">
        <w:tc>
          <w:tcPr>
            <w:tcW w:w="4513" w:type="dxa"/>
          </w:tcPr>
          <w:p w14:paraId="3F5290EF" w14:textId="77777777" w:rsidR="00243572" w:rsidRDefault="00243572" w:rsidP="00243572">
            <w:pPr>
              <w:spacing w:before="40" w:after="40"/>
            </w:pPr>
            <w:r>
              <w:t xml:space="preserve">Last Review Date </w:t>
            </w:r>
          </w:p>
        </w:tc>
        <w:tc>
          <w:tcPr>
            <w:tcW w:w="4487" w:type="dxa"/>
          </w:tcPr>
          <w:p w14:paraId="5D8EED8D" w14:textId="5542451B" w:rsidR="00243572" w:rsidRDefault="004A6163" w:rsidP="00660615">
            <w:pPr>
              <w:spacing w:before="40" w:after="40"/>
            </w:pPr>
            <w:r w:rsidRPr="004A6163">
              <w:t xml:space="preserve">August </w:t>
            </w:r>
            <w:r w:rsidR="00E90D80">
              <w:t>2024</w:t>
            </w:r>
          </w:p>
        </w:tc>
      </w:tr>
      <w:tr w:rsidR="00243572" w14:paraId="1B361FEA" w14:textId="77777777" w:rsidTr="0084474D">
        <w:tc>
          <w:tcPr>
            <w:tcW w:w="4513" w:type="dxa"/>
          </w:tcPr>
          <w:p w14:paraId="4EDA7B7C" w14:textId="77777777" w:rsidR="00243572" w:rsidRDefault="00243572" w:rsidP="00243572">
            <w:pPr>
              <w:spacing w:before="40" w:after="40"/>
            </w:pPr>
            <w:r>
              <w:t>Next Review date:</w:t>
            </w:r>
          </w:p>
        </w:tc>
        <w:tc>
          <w:tcPr>
            <w:tcW w:w="4487" w:type="dxa"/>
          </w:tcPr>
          <w:p w14:paraId="2EC01D70" w14:textId="4F8F13ED" w:rsidR="00243572" w:rsidRDefault="004A6163" w:rsidP="00243572">
            <w:pPr>
              <w:spacing w:before="40" w:after="40"/>
            </w:pPr>
            <w:r w:rsidRPr="004A6163">
              <w:t xml:space="preserve">August </w:t>
            </w:r>
            <w:r w:rsidR="00E90D80">
              <w:t>2027</w:t>
            </w:r>
          </w:p>
        </w:tc>
      </w:tr>
    </w:tbl>
    <w:p w14:paraId="06731FC4" w14:textId="77777777" w:rsidR="006F3719" w:rsidRDefault="006F3719" w:rsidP="006F3719"/>
    <w:p w14:paraId="099647D2" w14:textId="77777777" w:rsidR="006F3719" w:rsidRDefault="006F3719" w:rsidP="006F3719"/>
    <w:tbl>
      <w:tblPr>
        <w:tblStyle w:val="TableGrid"/>
        <w:tblW w:w="0" w:type="auto"/>
        <w:tblLook w:val="04A0" w:firstRow="1" w:lastRow="0" w:firstColumn="1" w:lastColumn="0" w:noHBand="0" w:noVBand="1"/>
      </w:tblPr>
      <w:tblGrid>
        <w:gridCol w:w="4510"/>
        <w:gridCol w:w="4506"/>
      </w:tblGrid>
      <w:tr w:rsidR="002408E9" w14:paraId="5D50E27C" w14:textId="77777777" w:rsidTr="002408E9">
        <w:tc>
          <w:tcPr>
            <w:tcW w:w="4621" w:type="dxa"/>
          </w:tcPr>
          <w:p w14:paraId="654DFDCE" w14:textId="77777777" w:rsidR="002408E9" w:rsidRDefault="0084474D" w:rsidP="006F3719">
            <w:r>
              <w:t xml:space="preserve">Services </w:t>
            </w:r>
          </w:p>
        </w:tc>
        <w:tc>
          <w:tcPr>
            <w:tcW w:w="4621" w:type="dxa"/>
          </w:tcPr>
          <w:p w14:paraId="7C0EC2B7" w14:textId="77777777" w:rsidR="002408E9" w:rsidRDefault="0084474D" w:rsidP="006F3719">
            <w:r>
              <w:t xml:space="preserve">Applicable </w:t>
            </w:r>
          </w:p>
        </w:tc>
      </w:tr>
      <w:tr w:rsidR="002408E9" w14:paraId="68CC538E" w14:textId="77777777" w:rsidTr="002408E9">
        <w:tc>
          <w:tcPr>
            <w:tcW w:w="4621" w:type="dxa"/>
          </w:tcPr>
          <w:p w14:paraId="030DA091" w14:textId="54BBE8C3" w:rsidR="002408E9" w:rsidRDefault="004A6163" w:rsidP="006F3719">
            <w:r>
              <w:t>Trust wide</w:t>
            </w:r>
          </w:p>
        </w:tc>
        <w:tc>
          <w:tcPr>
            <w:tcW w:w="4621" w:type="dxa"/>
          </w:tcPr>
          <w:p w14:paraId="3CD59545" w14:textId="77777777" w:rsidR="002408E9" w:rsidRDefault="00660615" w:rsidP="006F3719">
            <w:r>
              <w:t>Yes</w:t>
            </w:r>
          </w:p>
        </w:tc>
      </w:tr>
      <w:tr w:rsidR="002408E9" w14:paraId="6B5FF607" w14:textId="77777777" w:rsidTr="002408E9">
        <w:tc>
          <w:tcPr>
            <w:tcW w:w="4621" w:type="dxa"/>
          </w:tcPr>
          <w:p w14:paraId="01AE571D" w14:textId="77777777" w:rsidR="002408E9" w:rsidRDefault="0084474D" w:rsidP="006F3719">
            <w:r>
              <w:t xml:space="preserve">Mental Health and LD </w:t>
            </w:r>
          </w:p>
        </w:tc>
        <w:tc>
          <w:tcPr>
            <w:tcW w:w="4621" w:type="dxa"/>
          </w:tcPr>
          <w:p w14:paraId="1850B5ED" w14:textId="77777777" w:rsidR="002408E9" w:rsidRDefault="002408E9" w:rsidP="006F3719"/>
        </w:tc>
      </w:tr>
      <w:tr w:rsidR="002408E9" w14:paraId="7CBA23E1" w14:textId="77777777" w:rsidTr="002408E9">
        <w:tc>
          <w:tcPr>
            <w:tcW w:w="4621" w:type="dxa"/>
          </w:tcPr>
          <w:p w14:paraId="5B6E4C79" w14:textId="77777777" w:rsidR="002408E9" w:rsidRDefault="0084474D" w:rsidP="0084474D">
            <w:r>
              <w:t xml:space="preserve">Community Health Services </w:t>
            </w:r>
          </w:p>
        </w:tc>
        <w:tc>
          <w:tcPr>
            <w:tcW w:w="4621" w:type="dxa"/>
          </w:tcPr>
          <w:p w14:paraId="3178A762" w14:textId="77777777" w:rsidR="002408E9" w:rsidRDefault="002408E9" w:rsidP="006F3719"/>
        </w:tc>
      </w:tr>
    </w:tbl>
    <w:p w14:paraId="0BFF614F" w14:textId="77777777" w:rsidR="006F3719" w:rsidRDefault="006F3719" w:rsidP="006F3719">
      <w:pPr>
        <w:sectPr w:rsidR="006F3719" w:rsidSect="00CB1B59">
          <w:footerReference w:type="even" r:id="rId11"/>
          <w:footerReference w:type="default" r:id="rId12"/>
          <w:headerReference w:type="first" r:id="rId13"/>
          <w:footerReference w:type="first" r:id="rId14"/>
          <w:pgSz w:w="11906" w:h="16838" w:code="9"/>
          <w:pgMar w:top="1440" w:right="1440" w:bottom="1440" w:left="1440" w:header="706" w:footer="706" w:gutter="0"/>
          <w:cols w:space="708"/>
          <w:titlePg/>
          <w:docGrid w:linePitch="360"/>
        </w:sectPr>
      </w:pPr>
    </w:p>
    <w:p w14:paraId="5F44BCD5" w14:textId="77777777" w:rsidR="006F3719" w:rsidRPr="00EB76F2" w:rsidRDefault="006F3719" w:rsidP="006F3719">
      <w:pPr>
        <w:jc w:val="center"/>
        <w:rPr>
          <w:sz w:val="28"/>
          <w:szCs w:val="28"/>
        </w:rPr>
      </w:pPr>
      <w:bookmarkStart w:id="0" w:name="OLE_LINK3"/>
      <w:bookmarkStart w:id="1" w:name="OLE_LINK4"/>
      <w:r>
        <w:rPr>
          <w:sz w:val="28"/>
          <w:szCs w:val="28"/>
        </w:rPr>
        <w:lastRenderedPageBreak/>
        <w:t>Version Control Summary</w:t>
      </w:r>
    </w:p>
    <w:p w14:paraId="6B0D2CDD" w14:textId="77777777" w:rsidR="006F3719" w:rsidRDefault="006F3719" w:rsidP="006F3719">
      <w:pPr>
        <w:rPr>
          <w:b/>
          <w:sz w:val="28"/>
          <w:szCs w:val="28"/>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8"/>
        <w:gridCol w:w="884"/>
        <w:gridCol w:w="937"/>
        <w:gridCol w:w="889"/>
        <w:gridCol w:w="4702"/>
      </w:tblGrid>
      <w:tr w:rsidR="006F3719" w:rsidRPr="00C84CA8" w14:paraId="314BC12C" w14:textId="77777777" w:rsidTr="004A6163">
        <w:tc>
          <w:tcPr>
            <w:tcW w:w="2228" w:type="dxa"/>
          </w:tcPr>
          <w:p w14:paraId="737F134B" w14:textId="77777777" w:rsidR="006F3719" w:rsidRPr="00C84CA8" w:rsidRDefault="006F3719" w:rsidP="00CB1B59">
            <w:pPr>
              <w:rPr>
                <w:b/>
              </w:rPr>
            </w:pPr>
            <w:r w:rsidRPr="00C84CA8">
              <w:rPr>
                <w:b/>
              </w:rPr>
              <w:t>Version</w:t>
            </w:r>
          </w:p>
        </w:tc>
        <w:tc>
          <w:tcPr>
            <w:tcW w:w="884" w:type="dxa"/>
          </w:tcPr>
          <w:p w14:paraId="6D140B92" w14:textId="77777777" w:rsidR="006F3719" w:rsidRPr="00C84CA8" w:rsidRDefault="006F3719" w:rsidP="00CB1B59">
            <w:pPr>
              <w:rPr>
                <w:b/>
              </w:rPr>
            </w:pPr>
            <w:r w:rsidRPr="00C84CA8">
              <w:rPr>
                <w:b/>
              </w:rPr>
              <w:t>Date</w:t>
            </w:r>
          </w:p>
        </w:tc>
        <w:tc>
          <w:tcPr>
            <w:tcW w:w="937" w:type="dxa"/>
          </w:tcPr>
          <w:p w14:paraId="350CCC76" w14:textId="77777777" w:rsidR="006F3719" w:rsidRPr="00C84CA8" w:rsidRDefault="006F3719" w:rsidP="00CB1B59">
            <w:pPr>
              <w:rPr>
                <w:b/>
              </w:rPr>
            </w:pPr>
            <w:r w:rsidRPr="00C84CA8">
              <w:rPr>
                <w:b/>
              </w:rPr>
              <w:t>Author</w:t>
            </w:r>
          </w:p>
        </w:tc>
        <w:tc>
          <w:tcPr>
            <w:tcW w:w="889" w:type="dxa"/>
          </w:tcPr>
          <w:p w14:paraId="470C9E6A" w14:textId="77777777" w:rsidR="006F3719" w:rsidRPr="00C84CA8" w:rsidRDefault="006F3719" w:rsidP="00CB1B59">
            <w:pPr>
              <w:rPr>
                <w:b/>
              </w:rPr>
            </w:pPr>
            <w:r w:rsidRPr="00C84CA8">
              <w:rPr>
                <w:b/>
              </w:rPr>
              <w:t>Status</w:t>
            </w:r>
          </w:p>
        </w:tc>
        <w:tc>
          <w:tcPr>
            <w:tcW w:w="4702" w:type="dxa"/>
          </w:tcPr>
          <w:p w14:paraId="4A26104A" w14:textId="77777777" w:rsidR="006F3719" w:rsidRPr="00C84CA8" w:rsidRDefault="006F3719" w:rsidP="00CB1B59">
            <w:pPr>
              <w:rPr>
                <w:b/>
              </w:rPr>
            </w:pPr>
            <w:r w:rsidRPr="00C84CA8">
              <w:rPr>
                <w:b/>
              </w:rPr>
              <w:t>Comment</w:t>
            </w:r>
          </w:p>
        </w:tc>
      </w:tr>
      <w:tr w:rsidR="00243572" w14:paraId="262F97AD" w14:textId="77777777" w:rsidTr="004A6163">
        <w:tc>
          <w:tcPr>
            <w:tcW w:w="2228" w:type="dxa"/>
          </w:tcPr>
          <w:p w14:paraId="423E8A1A" w14:textId="77777777" w:rsidR="00243572" w:rsidRDefault="00243572" w:rsidP="00243572">
            <w:r>
              <w:t>2.4</w:t>
            </w:r>
          </w:p>
        </w:tc>
        <w:tc>
          <w:tcPr>
            <w:tcW w:w="884" w:type="dxa"/>
          </w:tcPr>
          <w:p w14:paraId="7444EE78" w14:textId="77777777" w:rsidR="00243572" w:rsidRDefault="00243572" w:rsidP="00243572">
            <w:r>
              <w:t>20</w:t>
            </w:r>
            <w:r w:rsidRPr="00A1305B">
              <w:rPr>
                <w:vertAlign w:val="superscript"/>
              </w:rPr>
              <w:t>th</w:t>
            </w:r>
            <w:r>
              <w:t xml:space="preserve"> January 2016</w:t>
            </w:r>
          </w:p>
        </w:tc>
        <w:tc>
          <w:tcPr>
            <w:tcW w:w="937" w:type="dxa"/>
          </w:tcPr>
          <w:p w14:paraId="137D686F" w14:textId="77777777" w:rsidR="00243572" w:rsidRDefault="00243572" w:rsidP="00243572">
            <w:r>
              <w:t>Guy Davis</w:t>
            </w:r>
          </w:p>
        </w:tc>
        <w:tc>
          <w:tcPr>
            <w:tcW w:w="889" w:type="dxa"/>
          </w:tcPr>
          <w:p w14:paraId="4D1C2119" w14:textId="77777777" w:rsidR="00243572" w:rsidRDefault="00243572" w:rsidP="00243572">
            <w:r>
              <w:t>Final</w:t>
            </w:r>
          </w:p>
        </w:tc>
        <w:tc>
          <w:tcPr>
            <w:tcW w:w="4702" w:type="dxa"/>
          </w:tcPr>
          <w:p w14:paraId="4B2E8D74" w14:textId="77777777" w:rsidR="00243572" w:rsidRPr="004942B5" w:rsidRDefault="00243572" w:rsidP="00243572">
            <w:pPr>
              <w:numPr>
                <w:ilvl w:val="0"/>
                <w:numId w:val="1"/>
              </w:numPr>
              <w:tabs>
                <w:tab w:val="clear" w:pos="720"/>
                <w:tab w:val="num" w:pos="196"/>
              </w:tabs>
              <w:spacing w:before="0" w:after="0"/>
              <w:ind w:left="54" w:hanging="54"/>
              <w:jc w:val="left"/>
              <w:rPr>
                <w:rFonts w:cs="Arial"/>
              </w:rPr>
            </w:pPr>
            <w:r w:rsidRPr="004942B5">
              <w:rPr>
                <w:rFonts w:cs="Arial"/>
              </w:rPr>
              <w:t>Added reference to joint Tribunal/</w:t>
            </w:r>
            <w:proofErr w:type="spellStart"/>
            <w:r w:rsidRPr="004942B5">
              <w:rPr>
                <w:rFonts w:cs="Arial"/>
              </w:rPr>
              <w:t>RCPsych</w:t>
            </w:r>
            <w:proofErr w:type="spellEnd"/>
            <w:r w:rsidRPr="004942B5">
              <w:rPr>
                <w:rFonts w:cs="Arial"/>
              </w:rPr>
              <w:t xml:space="preserve"> guidance re medical evidence</w:t>
            </w:r>
          </w:p>
          <w:p w14:paraId="53F57F05" w14:textId="77777777" w:rsidR="00243572" w:rsidRPr="004942B5" w:rsidRDefault="00243572" w:rsidP="00243572">
            <w:pPr>
              <w:numPr>
                <w:ilvl w:val="0"/>
                <w:numId w:val="1"/>
              </w:numPr>
              <w:tabs>
                <w:tab w:val="clear" w:pos="720"/>
                <w:tab w:val="num" w:pos="196"/>
              </w:tabs>
              <w:spacing w:before="0" w:after="0"/>
              <w:ind w:left="54" w:hanging="54"/>
              <w:jc w:val="left"/>
              <w:rPr>
                <w:rFonts w:cs="Arial"/>
              </w:rPr>
            </w:pPr>
            <w:r w:rsidRPr="004942B5">
              <w:rPr>
                <w:rFonts w:cs="Arial"/>
              </w:rPr>
              <w:t>Clarified in 4.5, the power of Tribunal to appoint a legal representative for the patient.</w:t>
            </w:r>
          </w:p>
          <w:p w14:paraId="0C16C187" w14:textId="77777777" w:rsidR="00243572" w:rsidRPr="004942B5" w:rsidRDefault="00243572" w:rsidP="00243572">
            <w:pPr>
              <w:numPr>
                <w:ilvl w:val="0"/>
                <w:numId w:val="1"/>
              </w:numPr>
              <w:tabs>
                <w:tab w:val="clear" w:pos="720"/>
                <w:tab w:val="num" w:pos="196"/>
              </w:tabs>
              <w:spacing w:before="0" w:after="0"/>
              <w:ind w:left="196" w:hanging="196"/>
              <w:jc w:val="left"/>
              <w:rPr>
                <w:rFonts w:cs="Arial"/>
              </w:rPr>
            </w:pPr>
            <w:r w:rsidRPr="004942B5">
              <w:rPr>
                <w:rFonts w:cs="Arial"/>
              </w:rPr>
              <w:t>Added reference to booking system in 4.11</w:t>
            </w:r>
          </w:p>
          <w:p w14:paraId="600B224C" w14:textId="77777777" w:rsidR="00243572" w:rsidRDefault="00243572" w:rsidP="00243572">
            <w:r>
              <w:t>Minor amendment to Tribunal procedure in 6.0 and contact list in appendix 1.</w:t>
            </w:r>
          </w:p>
        </w:tc>
      </w:tr>
      <w:tr w:rsidR="00587278" w14:paraId="33ACD039" w14:textId="77777777" w:rsidTr="004A6163">
        <w:tc>
          <w:tcPr>
            <w:tcW w:w="2228" w:type="dxa"/>
          </w:tcPr>
          <w:p w14:paraId="0ADA8811" w14:textId="77777777" w:rsidR="00587278" w:rsidRDefault="00587278" w:rsidP="00243572">
            <w:r>
              <w:t>2.5</w:t>
            </w:r>
          </w:p>
        </w:tc>
        <w:tc>
          <w:tcPr>
            <w:tcW w:w="884" w:type="dxa"/>
          </w:tcPr>
          <w:p w14:paraId="7CA29AD6" w14:textId="77777777" w:rsidR="00587278" w:rsidRDefault="00587278" w:rsidP="00243572">
            <w:r>
              <w:t>14</w:t>
            </w:r>
            <w:r w:rsidRPr="00587278">
              <w:rPr>
                <w:vertAlign w:val="superscript"/>
              </w:rPr>
              <w:t>th</w:t>
            </w:r>
            <w:r>
              <w:t xml:space="preserve"> May, 2021</w:t>
            </w:r>
          </w:p>
        </w:tc>
        <w:tc>
          <w:tcPr>
            <w:tcW w:w="937" w:type="dxa"/>
          </w:tcPr>
          <w:p w14:paraId="051AF975" w14:textId="77777777" w:rsidR="00587278" w:rsidRDefault="00587278" w:rsidP="00243572">
            <w:r>
              <w:t>Guy Davis</w:t>
            </w:r>
          </w:p>
        </w:tc>
        <w:tc>
          <w:tcPr>
            <w:tcW w:w="889" w:type="dxa"/>
          </w:tcPr>
          <w:p w14:paraId="76E0BEC3" w14:textId="77777777" w:rsidR="00587278" w:rsidRDefault="00587278" w:rsidP="00243572">
            <w:r>
              <w:t>Final</w:t>
            </w:r>
          </w:p>
        </w:tc>
        <w:tc>
          <w:tcPr>
            <w:tcW w:w="4702" w:type="dxa"/>
          </w:tcPr>
          <w:p w14:paraId="27034710" w14:textId="77777777" w:rsidR="007630D7" w:rsidRDefault="007630D7" w:rsidP="00796674">
            <w:pPr>
              <w:pStyle w:val="ListParagraph"/>
              <w:numPr>
                <w:ilvl w:val="0"/>
                <w:numId w:val="1"/>
              </w:numPr>
              <w:jc w:val="left"/>
              <w:rPr>
                <w:rFonts w:cs="Arial"/>
              </w:rPr>
            </w:pPr>
            <w:r w:rsidRPr="007630D7">
              <w:rPr>
                <w:rFonts w:cs="Arial"/>
              </w:rPr>
              <w:t>1.4 - Tribunal Procedure (Coronavirus) (Amendment) Rules 2020</w:t>
            </w:r>
          </w:p>
          <w:p w14:paraId="43C9ECFB" w14:textId="77777777" w:rsidR="00C63CC0" w:rsidRDefault="00C63CC0" w:rsidP="00796674">
            <w:pPr>
              <w:pStyle w:val="ListParagraph"/>
              <w:numPr>
                <w:ilvl w:val="0"/>
                <w:numId w:val="1"/>
              </w:numPr>
              <w:jc w:val="left"/>
              <w:rPr>
                <w:rFonts w:cs="Arial"/>
              </w:rPr>
            </w:pPr>
            <w:r>
              <w:rPr>
                <w:rFonts w:cs="Arial"/>
              </w:rPr>
              <w:t xml:space="preserve">1.4 </w:t>
            </w:r>
            <w:hyperlink r:id="rId15" w:history="1">
              <w:r w:rsidR="008928BD" w:rsidRPr="00DF3D9A">
                <w:rPr>
                  <w:rStyle w:val="Hyperlink"/>
                  <w:rFonts w:cs="Arial"/>
                </w:rPr>
                <w:t>https://www.gov.uk/courts-tribunals/first-tier-tribunal-mental-health</w:t>
              </w:r>
            </w:hyperlink>
          </w:p>
          <w:p w14:paraId="34952D8E" w14:textId="77777777" w:rsidR="008928BD" w:rsidRDefault="008928BD" w:rsidP="00796674">
            <w:pPr>
              <w:pStyle w:val="ListParagraph"/>
              <w:numPr>
                <w:ilvl w:val="0"/>
                <w:numId w:val="1"/>
              </w:numPr>
              <w:jc w:val="left"/>
              <w:rPr>
                <w:rFonts w:cs="Arial"/>
              </w:rPr>
            </w:pPr>
            <w:r w:rsidRPr="008928BD">
              <w:rPr>
                <w:rFonts w:cs="Arial"/>
              </w:rPr>
              <w:t>4.11     In the event where the legal representative cann</w:t>
            </w:r>
            <w:r>
              <w:rPr>
                <w:rFonts w:cs="Arial"/>
              </w:rPr>
              <w:t xml:space="preserve">ot access the premises due to </w:t>
            </w:r>
            <w:r w:rsidRPr="008928BD">
              <w:rPr>
                <w:rFonts w:cs="Arial"/>
              </w:rPr>
              <w:t xml:space="preserve">exceptional circumstances the trust should follow the tribunal Direction for </w:t>
            </w:r>
            <w:proofErr w:type="gramStart"/>
            <w:r w:rsidRPr="008928BD">
              <w:rPr>
                <w:rFonts w:cs="Arial"/>
              </w:rPr>
              <w:t>disclosure  (</w:t>
            </w:r>
            <w:proofErr w:type="gramEnd"/>
            <w:r w:rsidRPr="008928BD">
              <w:rPr>
                <w:rFonts w:cs="Arial"/>
              </w:rPr>
              <w:t>STJ33) of medical records to legal representatives in all cases for the duration.</w:t>
            </w:r>
          </w:p>
          <w:p w14:paraId="5A01684B" w14:textId="77777777" w:rsidR="00D819C8" w:rsidRDefault="00D819C8" w:rsidP="00796674">
            <w:pPr>
              <w:pStyle w:val="ListParagraph"/>
              <w:numPr>
                <w:ilvl w:val="0"/>
                <w:numId w:val="1"/>
              </w:numPr>
              <w:jc w:val="left"/>
              <w:rPr>
                <w:rFonts w:cs="Arial"/>
              </w:rPr>
            </w:pPr>
            <w:r w:rsidRPr="00D819C8">
              <w:rPr>
                <w:rFonts w:cs="Arial"/>
              </w:rPr>
              <w:t>5.2      If there is a dispute about writing a report and attending the hearing for an out of area service user, or first presentation service user with no links to services, then this will be escalated with immediate effect to the relevant Borough Director to resolve.</w:t>
            </w:r>
          </w:p>
          <w:p w14:paraId="030AD892" w14:textId="77777777" w:rsidR="00D819C8" w:rsidRDefault="00D819C8" w:rsidP="00796674">
            <w:pPr>
              <w:pStyle w:val="ListParagraph"/>
              <w:numPr>
                <w:ilvl w:val="0"/>
                <w:numId w:val="1"/>
              </w:numPr>
              <w:jc w:val="left"/>
              <w:rPr>
                <w:rFonts w:cs="Arial"/>
              </w:rPr>
            </w:pPr>
            <w:r>
              <w:rPr>
                <w:rFonts w:cs="Arial"/>
              </w:rPr>
              <w:t xml:space="preserve">5.4 </w:t>
            </w:r>
            <w:hyperlink r:id="rId16" w:history="1">
              <w:r w:rsidRPr="00DF3D9A">
                <w:rPr>
                  <w:rStyle w:val="Hyperlink"/>
                  <w:rFonts w:cs="Arial"/>
                </w:rPr>
                <w:t>https://www.rcpsych.ac.uk/docs/default-source/events/presentations/ptc-supported-and-valued/dr-joan-rutherford---the-trainee-guide-to-tribunals.pdf?sfvrsn=e74446c2_0</w:t>
              </w:r>
            </w:hyperlink>
          </w:p>
          <w:p w14:paraId="52230BEA" w14:textId="77777777" w:rsidR="00A67C3D" w:rsidRPr="00A67C3D" w:rsidRDefault="00A67C3D" w:rsidP="00796674">
            <w:pPr>
              <w:pStyle w:val="ListParagraph"/>
              <w:numPr>
                <w:ilvl w:val="0"/>
                <w:numId w:val="1"/>
              </w:numPr>
              <w:jc w:val="left"/>
              <w:rPr>
                <w:rFonts w:cs="Arial"/>
              </w:rPr>
            </w:pPr>
            <w:r w:rsidRPr="00A67C3D">
              <w:rPr>
                <w:rFonts w:cs="Arial"/>
              </w:rPr>
              <w:t xml:space="preserve">5.10     The above date will be set out in the report request from the Mental Health Law office  </w:t>
            </w:r>
          </w:p>
          <w:p w14:paraId="258CF6AA" w14:textId="77777777" w:rsidR="00D819C8" w:rsidRDefault="00A67C3D" w:rsidP="00796674">
            <w:pPr>
              <w:pStyle w:val="ListParagraph"/>
              <w:jc w:val="left"/>
              <w:rPr>
                <w:rFonts w:cs="Arial"/>
              </w:rPr>
            </w:pPr>
            <w:r w:rsidRPr="00A67C3D">
              <w:rPr>
                <w:rFonts w:cs="Arial"/>
              </w:rPr>
              <w:t xml:space="preserve">and report authors should also upload clinical reports to RIO </w:t>
            </w:r>
            <w:r>
              <w:rPr>
                <w:rFonts w:cs="Arial"/>
              </w:rPr>
              <w:t xml:space="preserve">using code MHRT </w:t>
            </w:r>
            <w:r w:rsidRPr="00A67C3D">
              <w:rPr>
                <w:rFonts w:cs="Arial"/>
              </w:rPr>
              <w:t xml:space="preserve">Reports.  </w:t>
            </w:r>
          </w:p>
          <w:p w14:paraId="2BDF9C65" w14:textId="77777777" w:rsidR="006C7F8B" w:rsidRDefault="006C7F8B" w:rsidP="00796674">
            <w:pPr>
              <w:pStyle w:val="ListParagraph"/>
              <w:numPr>
                <w:ilvl w:val="0"/>
                <w:numId w:val="1"/>
              </w:numPr>
              <w:jc w:val="left"/>
              <w:rPr>
                <w:rFonts w:cs="Arial"/>
              </w:rPr>
            </w:pPr>
            <w:r w:rsidRPr="006C7F8B">
              <w:rPr>
                <w:rFonts w:cs="Arial"/>
              </w:rPr>
              <w:t>7.2       In the event where the medical examiner cannot</w:t>
            </w:r>
            <w:r w:rsidR="00691772">
              <w:rPr>
                <w:rFonts w:cs="Arial"/>
              </w:rPr>
              <w:t xml:space="preserve"> access the premise due to </w:t>
            </w:r>
            <w:r w:rsidRPr="006C7F8B">
              <w:rPr>
                <w:rFonts w:cs="Arial"/>
              </w:rPr>
              <w:t>exceptional circumstances such as a pandemic, the Trust shoul</w:t>
            </w:r>
            <w:r>
              <w:rPr>
                <w:rFonts w:cs="Arial"/>
              </w:rPr>
              <w:t xml:space="preserve">d ensure the patient </w:t>
            </w:r>
            <w:r w:rsidRPr="006C7F8B">
              <w:rPr>
                <w:rFonts w:cs="Arial"/>
              </w:rPr>
              <w:t>is available to meet with the examiner virtually at a set arranged date and time.</w:t>
            </w:r>
          </w:p>
          <w:p w14:paraId="3C7F90DB" w14:textId="77777777" w:rsidR="000501ED" w:rsidRDefault="000501ED" w:rsidP="00796674">
            <w:pPr>
              <w:pStyle w:val="ListParagraph"/>
              <w:numPr>
                <w:ilvl w:val="0"/>
                <w:numId w:val="1"/>
              </w:numPr>
              <w:jc w:val="left"/>
              <w:rPr>
                <w:rFonts w:cs="Arial"/>
              </w:rPr>
            </w:pPr>
            <w:r>
              <w:rPr>
                <w:rFonts w:cs="Arial"/>
              </w:rPr>
              <w:lastRenderedPageBreak/>
              <w:t xml:space="preserve">8.3 </w:t>
            </w:r>
            <w:r w:rsidRPr="000501ED">
              <w:rPr>
                <w:rFonts w:cs="Arial"/>
              </w:rPr>
              <w:t xml:space="preserve">   </w:t>
            </w:r>
            <w:hyperlink r:id="rId17" w:history="1">
              <w:r w:rsidRPr="00DF3D9A">
                <w:rPr>
                  <w:rStyle w:val="Hyperlink"/>
                  <w:rFonts w:cs="Arial"/>
                </w:rPr>
                <w:t>https://www.rcpsych.ac.uk/docs/default-source/events/presentations/ptc-supported-and-valued/dr-joan-rutherford---the-trainee-guide-to-tribunals.pdf?sfvrsn=e74446c2_0</w:t>
              </w:r>
            </w:hyperlink>
          </w:p>
          <w:p w14:paraId="04E4E3F3" w14:textId="77777777" w:rsidR="000501ED" w:rsidRPr="00262655" w:rsidRDefault="00796674" w:rsidP="00796674">
            <w:pPr>
              <w:pStyle w:val="ListParagraph"/>
              <w:numPr>
                <w:ilvl w:val="0"/>
                <w:numId w:val="1"/>
              </w:numPr>
              <w:jc w:val="left"/>
              <w:rPr>
                <w:rFonts w:cs="Arial"/>
              </w:rPr>
            </w:pPr>
            <w:r>
              <w:rPr>
                <w:rFonts w:cs="Arial"/>
              </w:rPr>
              <w:t xml:space="preserve">10.3 </w:t>
            </w:r>
            <w:r w:rsidR="000501ED">
              <w:rPr>
                <w:rFonts w:cs="Arial"/>
              </w:rPr>
              <w:t>Added</w:t>
            </w:r>
            <w:r w:rsidR="000501ED" w:rsidRPr="000501ED">
              <w:rPr>
                <w:rFonts w:cs="Arial"/>
              </w:rPr>
              <w:t xml:space="preserve">, </w:t>
            </w:r>
            <w:r w:rsidR="000501ED" w:rsidRPr="000501ED">
              <w:rPr>
                <w:rFonts w:cs="Arial"/>
                <w:b/>
              </w:rPr>
              <w:t>as well as uploading them to RIO.</w:t>
            </w:r>
          </w:p>
          <w:p w14:paraId="5C099234" w14:textId="77777777" w:rsidR="00262655" w:rsidRPr="00262655" w:rsidRDefault="00796674" w:rsidP="00796674">
            <w:pPr>
              <w:pStyle w:val="ListParagraph"/>
              <w:numPr>
                <w:ilvl w:val="0"/>
                <w:numId w:val="1"/>
              </w:numPr>
              <w:jc w:val="left"/>
              <w:rPr>
                <w:rFonts w:cs="Arial"/>
              </w:rPr>
            </w:pPr>
            <w:r>
              <w:rPr>
                <w:rFonts w:cs="Arial"/>
              </w:rPr>
              <w:t xml:space="preserve">12. 1  </w:t>
            </w:r>
            <w:r w:rsidR="00262655" w:rsidRPr="00262655">
              <w:rPr>
                <w:rFonts w:cs="Arial"/>
              </w:rPr>
              <w:t xml:space="preserve">Virtual Hearings: The Trust will ensure to enable the hearing to effectively and smoothly go ahead will provide and support the hearing with the </w:t>
            </w:r>
          </w:p>
          <w:p w14:paraId="763AC62E" w14:textId="77777777" w:rsidR="00262655" w:rsidRPr="00262655" w:rsidRDefault="00262655" w:rsidP="00796674">
            <w:pPr>
              <w:pStyle w:val="ListParagraph"/>
              <w:jc w:val="left"/>
              <w:rPr>
                <w:rFonts w:cs="Arial"/>
              </w:rPr>
            </w:pPr>
            <w:r w:rsidRPr="00262655">
              <w:rPr>
                <w:rFonts w:cs="Arial"/>
              </w:rPr>
              <w:t>necessary IT equipment i.e.: laptops / smart devices and a quiet room.</w:t>
            </w:r>
          </w:p>
          <w:p w14:paraId="47D1C520" w14:textId="77777777" w:rsidR="00262655" w:rsidRPr="00262655" w:rsidRDefault="00796674" w:rsidP="00796674">
            <w:pPr>
              <w:pStyle w:val="ListParagraph"/>
              <w:numPr>
                <w:ilvl w:val="0"/>
                <w:numId w:val="1"/>
              </w:numPr>
              <w:jc w:val="left"/>
              <w:rPr>
                <w:rFonts w:cs="Arial"/>
              </w:rPr>
            </w:pPr>
            <w:r>
              <w:rPr>
                <w:rFonts w:cs="Arial"/>
              </w:rPr>
              <w:t xml:space="preserve">12.2   </w:t>
            </w:r>
            <w:r w:rsidR="00262655" w:rsidRPr="00262655">
              <w:rPr>
                <w:rFonts w:cs="Arial"/>
              </w:rPr>
              <w:t>T</w:t>
            </w:r>
            <w:r w:rsidR="00262655">
              <w:rPr>
                <w:rFonts w:cs="Arial"/>
              </w:rPr>
              <w:t xml:space="preserve">he Mental Health Law department </w:t>
            </w:r>
            <w:r w:rsidR="00262655" w:rsidRPr="00262655">
              <w:rPr>
                <w:rFonts w:cs="Arial"/>
              </w:rPr>
              <w:t xml:space="preserve">should be contactable on the day of the </w:t>
            </w:r>
          </w:p>
          <w:p w14:paraId="5584448D" w14:textId="77777777" w:rsidR="00262655" w:rsidRDefault="00262655" w:rsidP="00796674">
            <w:pPr>
              <w:pStyle w:val="ListParagraph"/>
              <w:jc w:val="left"/>
              <w:rPr>
                <w:rFonts w:cs="Arial"/>
              </w:rPr>
            </w:pPr>
            <w:r w:rsidRPr="00262655">
              <w:rPr>
                <w:rFonts w:cs="Arial"/>
              </w:rPr>
              <w:t xml:space="preserve">hearing to answer any questions about accessibility to the Tribunal from their </w:t>
            </w:r>
            <w:proofErr w:type="gramStart"/>
            <w:r w:rsidRPr="00262655">
              <w:rPr>
                <w:rFonts w:cs="Arial"/>
              </w:rPr>
              <w:t>smart  devices</w:t>
            </w:r>
            <w:proofErr w:type="gramEnd"/>
            <w:r w:rsidRPr="00262655">
              <w:rPr>
                <w:rFonts w:cs="Arial"/>
              </w:rPr>
              <w:t xml:space="preserve"> and laptops.</w:t>
            </w:r>
          </w:p>
          <w:p w14:paraId="4E46AC97" w14:textId="77777777" w:rsidR="008E2E98" w:rsidRDefault="00305DAD" w:rsidP="00796674">
            <w:pPr>
              <w:pStyle w:val="ListParagraph"/>
              <w:numPr>
                <w:ilvl w:val="0"/>
                <w:numId w:val="1"/>
              </w:numPr>
              <w:jc w:val="left"/>
              <w:rPr>
                <w:rFonts w:cs="Arial"/>
              </w:rPr>
            </w:pPr>
            <w:r>
              <w:rPr>
                <w:rFonts w:cs="Arial"/>
              </w:rPr>
              <w:t>Appendix 1 – contacts updated</w:t>
            </w:r>
          </w:p>
          <w:p w14:paraId="0857EEC1" w14:textId="77777777" w:rsidR="00262655" w:rsidRPr="00262655" w:rsidRDefault="00262655" w:rsidP="00796674">
            <w:pPr>
              <w:pStyle w:val="ListParagraph"/>
              <w:jc w:val="left"/>
              <w:rPr>
                <w:rFonts w:cs="Arial"/>
              </w:rPr>
            </w:pPr>
          </w:p>
          <w:p w14:paraId="306F2A0C" w14:textId="77777777" w:rsidR="00587278" w:rsidRPr="004942B5" w:rsidRDefault="00587278" w:rsidP="00C63CC0">
            <w:pPr>
              <w:spacing w:before="0" w:after="0"/>
              <w:ind w:left="54"/>
              <w:jc w:val="left"/>
              <w:rPr>
                <w:rFonts w:cs="Arial"/>
              </w:rPr>
            </w:pPr>
          </w:p>
        </w:tc>
      </w:tr>
      <w:tr w:rsidR="00C368BE" w14:paraId="20EDF3CE" w14:textId="77777777" w:rsidTr="004A6163">
        <w:tc>
          <w:tcPr>
            <w:tcW w:w="2228" w:type="dxa"/>
          </w:tcPr>
          <w:p w14:paraId="07BCE796" w14:textId="0588E782" w:rsidR="00C368BE" w:rsidRDefault="00C92D3F" w:rsidP="00243572">
            <w:r>
              <w:lastRenderedPageBreak/>
              <w:t>3.0</w:t>
            </w:r>
          </w:p>
        </w:tc>
        <w:tc>
          <w:tcPr>
            <w:tcW w:w="884" w:type="dxa"/>
          </w:tcPr>
          <w:p w14:paraId="750D26E7" w14:textId="77777777" w:rsidR="00C368BE" w:rsidRDefault="00C368BE" w:rsidP="00243572"/>
        </w:tc>
        <w:tc>
          <w:tcPr>
            <w:tcW w:w="937" w:type="dxa"/>
          </w:tcPr>
          <w:p w14:paraId="149A5BB7" w14:textId="77777777" w:rsidR="00C368BE" w:rsidRDefault="00C368BE" w:rsidP="00243572"/>
        </w:tc>
        <w:tc>
          <w:tcPr>
            <w:tcW w:w="889" w:type="dxa"/>
          </w:tcPr>
          <w:p w14:paraId="00BD2F43" w14:textId="77777777" w:rsidR="00C368BE" w:rsidRDefault="00C368BE" w:rsidP="00243572"/>
        </w:tc>
        <w:tc>
          <w:tcPr>
            <w:tcW w:w="4702" w:type="dxa"/>
          </w:tcPr>
          <w:p w14:paraId="76BEB79C" w14:textId="46405AE2" w:rsidR="001C7D42" w:rsidRDefault="001C7D42" w:rsidP="00796674">
            <w:pPr>
              <w:pStyle w:val="ListParagraph"/>
              <w:numPr>
                <w:ilvl w:val="0"/>
                <w:numId w:val="1"/>
              </w:numPr>
              <w:jc w:val="left"/>
              <w:rPr>
                <w:rFonts w:cs="Arial"/>
              </w:rPr>
            </w:pPr>
            <w:r>
              <w:rPr>
                <w:rFonts w:cs="Arial"/>
              </w:rPr>
              <w:t xml:space="preserve">Contents </w:t>
            </w:r>
            <w:r w:rsidR="00E21F92">
              <w:rPr>
                <w:rFonts w:cs="Arial"/>
              </w:rPr>
              <w:t>3.0 – change</w:t>
            </w:r>
            <w:r>
              <w:rPr>
                <w:rFonts w:cs="Arial"/>
              </w:rPr>
              <w:t xml:space="preserve"> to C</w:t>
            </w:r>
            <w:r w:rsidR="005921DA">
              <w:rPr>
                <w:rFonts w:cs="Arial"/>
              </w:rPr>
              <w:t>ommun</w:t>
            </w:r>
            <w:r>
              <w:rPr>
                <w:rFonts w:cs="Arial"/>
              </w:rPr>
              <w:t>ity Mental Health Framework</w:t>
            </w:r>
          </w:p>
          <w:p w14:paraId="1076EE34" w14:textId="4FC6B080" w:rsidR="00C368BE" w:rsidRDefault="00841BB7" w:rsidP="00796674">
            <w:pPr>
              <w:pStyle w:val="ListParagraph"/>
              <w:numPr>
                <w:ilvl w:val="0"/>
                <w:numId w:val="1"/>
              </w:numPr>
              <w:jc w:val="left"/>
              <w:rPr>
                <w:rFonts w:cs="Arial"/>
              </w:rPr>
            </w:pPr>
            <w:r>
              <w:rPr>
                <w:rFonts w:cs="Arial"/>
              </w:rPr>
              <w:t xml:space="preserve">1.4 Added </w:t>
            </w:r>
            <w:r w:rsidR="00362B80">
              <w:rPr>
                <w:rFonts w:cs="Arial"/>
              </w:rPr>
              <w:t>‘</w:t>
            </w:r>
            <w:r>
              <w:rPr>
                <w:rFonts w:cs="Arial"/>
              </w:rPr>
              <w:t xml:space="preserve">Mental Health Act administration Tribunal </w:t>
            </w:r>
            <w:r w:rsidR="00E21F92">
              <w:rPr>
                <w:rFonts w:cs="Arial"/>
              </w:rPr>
              <w:t>SOP</w:t>
            </w:r>
            <w:r w:rsidR="00362B80">
              <w:rPr>
                <w:rFonts w:cs="Arial"/>
              </w:rPr>
              <w:t>’</w:t>
            </w:r>
          </w:p>
          <w:p w14:paraId="06AE0A8E" w14:textId="77777777" w:rsidR="00841BB7" w:rsidRDefault="00841BB7" w:rsidP="00796674">
            <w:pPr>
              <w:pStyle w:val="ListParagraph"/>
              <w:numPr>
                <w:ilvl w:val="0"/>
                <w:numId w:val="1"/>
              </w:numPr>
              <w:jc w:val="left"/>
              <w:rPr>
                <w:rFonts w:cs="Arial"/>
              </w:rPr>
            </w:pPr>
            <w:r>
              <w:rPr>
                <w:rFonts w:cs="Arial"/>
              </w:rPr>
              <w:t>2.1 added ‘Nearest’ before Relatives</w:t>
            </w:r>
          </w:p>
          <w:p w14:paraId="16299E37" w14:textId="2F4FA700" w:rsidR="00841BB7" w:rsidRDefault="00841BB7" w:rsidP="00796674">
            <w:pPr>
              <w:pStyle w:val="ListParagraph"/>
              <w:numPr>
                <w:ilvl w:val="0"/>
                <w:numId w:val="1"/>
              </w:numPr>
              <w:jc w:val="left"/>
              <w:rPr>
                <w:rFonts w:cs="Arial"/>
              </w:rPr>
            </w:pPr>
            <w:r>
              <w:rPr>
                <w:rFonts w:cs="Arial"/>
              </w:rPr>
              <w:t>4.7 Access via Service Users Access to Solicitors SOP</w:t>
            </w:r>
          </w:p>
          <w:p w14:paraId="1DC67914" w14:textId="6F5CEC0D" w:rsidR="00362B80" w:rsidRDefault="00362B80" w:rsidP="00796674">
            <w:pPr>
              <w:pStyle w:val="ListParagraph"/>
              <w:numPr>
                <w:ilvl w:val="0"/>
                <w:numId w:val="1"/>
              </w:numPr>
              <w:jc w:val="left"/>
              <w:rPr>
                <w:rFonts w:cs="Arial"/>
              </w:rPr>
            </w:pPr>
            <w:r>
              <w:rPr>
                <w:rFonts w:cs="Arial"/>
              </w:rPr>
              <w:t>4.9 Change in process to Access to Records</w:t>
            </w:r>
          </w:p>
          <w:p w14:paraId="11FDDCFB" w14:textId="07307229" w:rsidR="00471BD4" w:rsidRDefault="00474296" w:rsidP="00471BD4">
            <w:pPr>
              <w:pStyle w:val="ListParagraph"/>
              <w:numPr>
                <w:ilvl w:val="0"/>
                <w:numId w:val="1"/>
              </w:numPr>
              <w:jc w:val="left"/>
              <w:rPr>
                <w:rFonts w:cs="Arial"/>
              </w:rPr>
            </w:pPr>
            <w:r>
              <w:rPr>
                <w:rFonts w:cs="Arial"/>
              </w:rPr>
              <w:t>4.10 Introduction of Service Users Access to Solicitors SO</w:t>
            </w:r>
            <w:r w:rsidR="00471BD4">
              <w:rPr>
                <w:rFonts w:cs="Arial"/>
              </w:rPr>
              <w:t>P</w:t>
            </w:r>
          </w:p>
          <w:p w14:paraId="68984B49" w14:textId="3D718A43" w:rsidR="00471BD4" w:rsidRDefault="00471BD4" w:rsidP="00471BD4">
            <w:pPr>
              <w:pStyle w:val="ListParagraph"/>
              <w:numPr>
                <w:ilvl w:val="0"/>
                <w:numId w:val="1"/>
              </w:numPr>
              <w:jc w:val="left"/>
              <w:rPr>
                <w:rFonts w:cs="Arial"/>
              </w:rPr>
            </w:pPr>
            <w:r>
              <w:rPr>
                <w:rFonts w:cs="Arial"/>
              </w:rPr>
              <w:t xml:space="preserve">Remove Points 5.2 and 5.3 – </w:t>
            </w:r>
            <w:proofErr w:type="spellStart"/>
            <w:r>
              <w:rPr>
                <w:rFonts w:cs="Arial"/>
              </w:rPr>
              <w:t>superceded</w:t>
            </w:r>
            <w:proofErr w:type="spellEnd"/>
            <w:r>
              <w:rPr>
                <w:rFonts w:cs="Arial"/>
              </w:rPr>
              <w:t xml:space="preserve"> by changes in 5.1 </w:t>
            </w:r>
          </w:p>
          <w:p w14:paraId="47D2026F" w14:textId="77059984" w:rsidR="00904177" w:rsidRDefault="00E21F92" w:rsidP="00471BD4">
            <w:pPr>
              <w:pStyle w:val="ListParagraph"/>
              <w:numPr>
                <w:ilvl w:val="0"/>
                <w:numId w:val="1"/>
              </w:numPr>
              <w:jc w:val="left"/>
              <w:rPr>
                <w:rFonts w:cs="Arial"/>
              </w:rPr>
            </w:pPr>
            <w:r>
              <w:rPr>
                <w:rFonts w:cs="Arial"/>
              </w:rPr>
              <w:t xml:space="preserve">5.10 update </w:t>
            </w:r>
            <w:r w:rsidR="00904177">
              <w:rPr>
                <w:rFonts w:cs="Arial"/>
              </w:rPr>
              <w:t>on Sec 2 report submission</w:t>
            </w:r>
          </w:p>
          <w:p w14:paraId="03343A8B" w14:textId="1BB2AF59" w:rsidR="007C03E8" w:rsidRDefault="007C03E8" w:rsidP="00471BD4">
            <w:pPr>
              <w:pStyle w:val="ListParagraph"/>
              <w:numPr>
                <w:ilvl w:val="0"/>
                <w:numId w:val="1"/>
              </w:numPr>
              <w:jc w:val="left"/>
              <w:rPr>
                <w:rFonts w:cs="Arial"/>
              </w:rPr>
            </w:pPr>
            <w:r>
              <w:rPr>
                <w:rFonts w:cs="Arial"/>
              </w:rPr>
              <w:t>5.11 – change in process, so MHL department email</w:t>
            </w:r>
            <w:r w:rsidR="00E21F92">
              <w:rPr>
                <w:rFonts w:cs="Arial"/>
              </w:rPr>
              <w:t>ed</w:t>
            </w:r>
            <w:r>
              <w:rPr>
                <w:rFonts w:cs="Arial"/>
              </w:rPr>
              <w:t xml:space="preserve"> when reports for hearing are completed</w:t>
            </w:r>
          </w:p>
          <w:p w14:paraId="5AD8D381" w14:textId="0F31F1FC" w:rsidR="007C03E8" w:rsidRDefault="007C03E8" w:rsidP="007C03E8">
            <w:pPr>
              <w:pStyle w:val="ListParagraph"/>
              <w:numPr>
                <w:ilvl w:val="0"/>
                <w:numId w:val="1"/>
              </w:numPr>
              <w:jc w:val="left"/>
              <w:rPr>
                <w:rFonts w:cs="Arial"/>
              </w:rPr>
            </w:pPr>
            <w:r>
              <w:rPr>
                <w:rFonts w:cs="Arial"/>
              </w:rPr>
              <w:t xml:space="preserve">5.17 – introduction of </w:t>
            </w:r>
            <w:r w:rsidR="00E21F92">
              <w:rPr>
                <w:rFonts w:cs="Arial"/>
              </w:rPr>
              <w:t xml:space="preserve">SOP </w:t>
            </w:r>
            <w:r w:rsidRPr="007C03E8">
              <w:rPr>
                <w:rFonts w:cs="Arial"/>
              </w:rPr>
              <w:t>for Preparing Reports and Attending Hearings</w:t>
            </w:r>
            <w:r>
              <w:rPr>
                <w:rFonts w:cs="Arial"/>
              </w:rPr>
              <w:t xml:space="preserve"> to assist with transfers</w:t>
            </w:r>
          </w:p>
          <w:p w14:paraId="7C85C36A" w14:textId="6AFF5F51" w:rsidR="007C03E8" w:rsidRDefault="007C03E8" w:rsidP="007C03E8">
            <w:pPr>
              <w:pStyle w:val="ListParagraph"/>
              <w:numPr>
                <w:ilvl w:val="0"/>
                <w:numId w:val="1"/>
              </w:numPr>
              <w:jc w:val="left"/>
              <w:rPr>
                <w:rFonts w:cs="Arial"/>
              </w:rPr>
            </w:pPr>
            <w:r>
              <w:rPr>
                <w:rFonts w:cs="Arial"/>
              </w:rPr>
              <w:t>5.20 –</w:t>
            </w:r>
            <w:r w:rsidR="00E21F92">
              <w:rPr>
                <w:rFonts w:cs="Arial"/>
              </w:rPr>
              <w:t xml:space="preserve"> </w:t>
            </w:r>
            <w:r>
              <w:rPr>
                <w:rFonts w:cs="Arial"/>
              </w:rPr>
              <w:t>guidance on handling victim representations</w:t>
            </w:r>
          </w:p>
          <w:p w14:paraId="3C264D4D" w14:textId="5781FF44" w:rsidR="0072399A" w:rsidRDefault="0072399A" w:rsidP="007C03E8">
            <w:pPr>
              <w:pStyle w:val="ListParagraph"/>
              <w:numPr>
                <w:ilvl w:val="0"/>
                <w:numId w:val="1"/>
              </w:numPr>
              <w:jc w:val="left"/>
              <w:rPr>
                <w:rFonts w:cs="Arial"/>
              </w:rPr>
            </w:pPr>
            <w:r>
              <w:rPr>
                <w:rFonts w:cs="Arial"/>
              </w:rPr>
              <w:t>6.4 – adjusted date changes by clinicians</w:t>
            </w:r>
          </w:p>
          <w:p w14:paraId="3567E6DC" w14:textId="6E9F7F07" w:rsidR="008C2D17" w:rsidRDefault="00731F40" w:rsidP="007C03E8">
            <w:pPr>
              <w:pStyle w:val="ListParagraph"/>
              <w:numPr>
                <w:ilvl w:val="0"/>
                <w:numId w:val="1"/>
              </w:numPr>
              <w:jc w:val="left"/>
              <w:rPr>
                <w:rFonts w:cs="Arial"/>
              </w:rPr>
            </w:pPr>
            <w:r>
              <w:rPr>
                <w:rFonts w:cs="Arial"/>
              </w:rPr>
              <w:t>8.2 – added in Presidentia</w:t>
            </w:r>
            <w:r w:rsidR="008C2D17">
              <w:rPr>
                <w:rFonts w:cs="Arial"/>
              </w:rPr>
              <w:t>l note on recording and transcribing in hearings</w:t>
            </w:r>
          </w:p>
          <w:p w14:paraId="2DBF2763" w14:textId="28A72205" w:rsidR="00BD6235" w:rsidRDefault="00BD6235" w:rsidP="007C03E8">
            <w:pPr>
              <w:pStyle w:val="ListParagraph"/>
              <w:numPr>
                <w:ilvl w:val="0"/>
                <w:numId w:val="1"/>
              </w:numPr>
              <w:jc w:val="left"/>
              <w:rPr>
                <w:rFonts w:cs="Arial"/>
              </w:rPr>
            </w:pPr>
            <w:r>
              <w:rPr>
                <w:rFonts w:cs="Arial"/>
              </w:rPr>
              <w:t xml:space="preserve">9.1 </w:t>
            </w:r>
            <w:r w:rsidR="00E21F92">
              <w:rPr>
                <w:rFonts w:cs="Arial"/>
              </w:rPr>
              <w:t>Trust staff</w:t>
            </w:r>
            <w:r>
              <w:rPr>
                <w:rFonts w:cs="Arial"/>
              </w:rPr>
              <w:t xml:space="preserve"> to accept decision</w:t>
            </w:r>
          </w:p>
          <w:p w14:paraId="74CABE28" w14:textId="56A35BC1" w:rsidR="00471BD4" w:rsidRPr="00C00BC4" w:rsidRDefault="00473D49">
            <w:pPr>
              <w:pStyle w:val="ListParagraph"/>
              <w:numPr>
                <w:ilvl w:val="0"/>
                <w:numId w:val="1"/>
              </w:numPr>
              <w:jc w:val="left"/>
              <w:rPr>
                <w:rFonts w:cs="Arial"/>
              </w:rPr>
            </w:pPr>
            <w:r>
              <w:rPr>
                <w:rFonts w:cs="Arial"/>
              </w:rPr>
              <w:t xml:space="preserve">Appendix 1 –changes to </w:t>
            </w:r>
            <w:r w:rsidR="00E21F92">
              <w:rPr>
                <w:rFonts w:cs="Arial"/>
              </w:rPr>
              <w:t>contacts</w:t>
            </w:r>
          </w:p>
        </w:tc>
      </w:tr>
      <w:bookmarkEnd w:id="0"/>
      <w:bookmarkEnd w:id="1"/>
    </w:tbl>
    <w:p w14:paraId="63AEDACF" w14:textId="77777777" w:rsidR="006F3719" w:rsidRDefault="006F3719" w:rsidP="006F3719">
      <w:pPr>
        <w:rPr>
          <w:b/>
          <w:sz w:val="28"/>
          <w:szCs w:val="28"/>
        </w:rPr>
      </w:pPr>
    </w:p>
    <w:p w14:paraId="3213BC64" w14:textId="77777777" w:rsidR="002E6812" w:rsidRDefault="002E6812" w:rsidP="002E6812">
      <w:pPr>
        <w:spacing w:after="0"/>
        <w:rPr>
          <w:rFonts w:cs="Arial"/>
          <w:bCs/>
        </w:rPr>
      </w:pPr>
    </w:p>
    <w:p w14:paraId="3E5F694B" w14:textId="0ABA3780" w:rsidR="002E6812" w:rsidRPr="008C3A03" w:rsidRDefault="002E6812" w:rsidP="002E6812">
      <w:pPr>
        <w:spacing w:after="0"/>
        <w:rPr>
          <w:rFonts w:cs="Arial"/>
          <w:b/>
          <w:bCs/>
        </w:rPr>
      </w:pPr>
      <w:r w:rsidRPr="008C3A03">
        <w:rPr>
          <w:rFonts w:cs="Arial"/>
          <w:b/>
          <w:bCs/>
        </w:rPr>
        <w:t>CONTENTS</w:t>
      </w:r>
    </w:p>
    <w:p w14:paraId="6D57394F" w14:textId="58A8812B" w:rsidR="002E6812" w:rsidRDefault="002E6812" w:rsidP="002E6812">
      <w:pPr>
        <w:spacing w:after="0"/>
        <w:rPr>
          <w:rFonts w:cs="Arial"/>
          <w:b/>
          <w:bCs/>
        </w:rPr>
      </w:pPr>
      <w:r>
        <w:rPr>
          <w:rFonts w:cs="Arial"/>
          <w:b/>
          <w:bCs/>
        </w:rPr>
        <w:t>Paragraph</w:t>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sidRPr="008C3A03">
        <w:rPr>
          <w:rFonts w:cs="Arial"/>
          <w:b/>
          <w:bCs/>
        </w:rPr>
        <w:t>Page</w:t>
      </w:r>
    </w:p>
    <w:p w14:paraId="537038F2" w14:textId="253EBD97" w:rsidR="00805F0D" w:rsidRPr="00805F0D" w:rsidRDefault="00805F0D" w:rsidP="002E6812">
      <w:pPr>
        <w:spacing w:after="0"/>
        <w:rPr>
          <w:rFonts w:cs="Arial"/>
          <w:bCs/>
        </w:rPr>
      </w:pPr>
      <w:r>
        <w:rPr>
          <w:rFonts w:cs="Arial"/>
          <w:b/>
          <w:bCs/>
        </w:rPr>
        <w:t xml:space="preserve">            </w:t>
      </w:r>
      <w:r w:rsidRPr="00805F0D">
        <w:rPr>
          <w:rFonts w:cs="Arial"/>
          <w:bCs/>
        </w:rPr>
        <w:t xml:space="preserve">Executive Summary                                                                        </w:t>
      </w:r>
      <w:r>
        <w:rPr>
          <w:rFonts w:cs="Arial"/>
          <w:bCs/>
        </w:rPr>
        <w:t xml:space="preserve">  </w:t>
      </w:r>
      <w:r w:rsidR="00AE56F8">
        <w:rPr>
          <w:rFonts w:cs="Arial"/>
          <w:bCs/>
        </w:rPr>
        <w:t>5</w:t>
      </w:r>
    </w:p>
    <w:p w14:paraId="463E8E73" w14:textId="77777777" w:rsidR="00660615" w:rsidRDefault="00660615" w:rsidP="000B360E">
      <w:pPr>
        <w:pStyle w:val="NoSpacing"/>
      </w:pPr>
    </w:p>
    <w:p w14:paraId="68EBAA44" w14:textId="41B296E4" w:rsidR="002E6812" w:rsidRDefault="002E6812" w:rsidP="000B360E">
      <w:pPr>
        <w:pStyle w:val="NoSpacing"/>
      </w:pPr>
      <w:r w:rsidRPr="00B84CDF">
        <w:t>1.0</w:t>
      </w:r>
      <w:r w:rsidRPr="00B84CDF">
        <w:tab/>
        <w:t>Introduction</w:t>
      </w:r>
      <w:r w:rsidRPr="00B84CDF">
        <w:tab/>
      </w:r>
      <w:r w:rsidRPr="00B84CDF">
        <w:tab/>
      </w:r>
      <w:r w:rsidRPr="00B84CDF">
        <w:tab/>
      </w:r>
      <w:r w:rsidRPr="00B84CDF">
        <w:tab/>
      </w:r>
      <w:r w:rsidRPr="00B84CDF">
        <w:tab/>
      </w:r>
      <w:r w:rsidRPr="00B84CDF">
        <w:tab/>
      </w:r>
      <w:r w:rsidRPr="00B84CDF">
        <w:tab/>
      </w:r>
      <w:r w:rsidRPr="00B84CDF">
        <w:tab/>
      </w:r>
      <w:r w:rsidR="00AE56F8">
        <w:t>5</w:t>
      </w:r>
    </w:p>
    <w:p w14:paraId="437BFD5F" w14:textId="7DD677C1" w:rsidR="00555073" w:rsidRDefault="00555073" w:rsidP="000B360E">
      <w:pPr>
        <w:pStyle w:val="NoSpacing"/>
      </w:pPr>
    </w:p>
    <w:p w14:paraId="27BD12A3" w14:textId="4CD6558B" w:rsidR="00555073" w:rsidRDefault="00555073" w:rsidP="000B360E">
      <w:pPr>
        <w:pStyle w:val="NoSpacing"/>
      </w:pPr>
      <w:r>
        <w:t xml:space="preserve">2.0       Purpose                                                                                            </w:t>
      </w:r>
      <w:r w:rsidR="00AE56F8">
        <w:t>5</w:t>
      </w:r>
    </w:p>
    <w:p w14:paraId="1DE221A1" w14:textId="3F9CF819" w:rsidR="006E65B0" w:rsidRDefault="006E65B0" w:rsidP="000B360E">
      <w:pPr>
        <w:pStyle w:val="NoSpacing"/>
      </w:pPr>
    </w:p>
    <w:p w14:paraId="03E69D4B" w14:textId="3053B533" w:rsidR="006E65B0" w:rsidRPr="00B84CDF" w:rsidRDefault="006E65B0" w:rsidP="000B360E">
      <w:pPr>
        <w:pStyle w:val="NoSpacing"/>
      </w:pPr>
      <w:r>
        <w:t xml:space="preserve">3.0       Duties and Responsibilities                                          </w:t>
      </w:r>
      <w:r w:rsidR="00AE56F8">
        <w:t xml:space="preserve">                    5</w:t>
      </w:r>
    </w:p>
    <w:p w14:paraId="33EFE066" w14:textId="77777777" w:rsidR="002E6812" w:rsidRPr="00B84CDF" w:rsidRDefault="002E6812" w:rsidP="000B360E">
      <w:pPr>
        <w:pStyle w:val="NoSpacing"/>
        <w:rPr>
          <w:b/>
        </w:rPr>
      </w:pPr>
    </w:p>
    <w:p w14:paraId="14807FE6" w14:textId="00781135" w:rsidR="002E6812" w:rsidRPr="00B84CDF" w:rsidRDefault="002E6812" w:rsidP="000B360E">
      <w:pPr>
        <w:pStyle w:val="NoSpacing"/>
        <w:rPr>
          <w:szCs w:val="22"/>
        </w:rPr>
      </w:pPr>
      <w:r w:rsidRPr="00B84CDF">
        <w:rPr>
          <w:szCs w:val="22"/>
        </w:rPr>
        <w:tab/>
        <w:t>Appeals to First Tier Tribunal (Mental Health) – Part II patients</w:t>
      </w:r>
      <w:r w:rsidRPr="00B84CDF">
        <w:rPr>
          <w:szCs w:val="22"/>
        </w:rPr>
        <w:tab/>
      </w:r>
      <w:r w:rsidR="006E65B0">
        <w:rPr>
          <w:szCs w:val="22"/>
        </w:rPr>
        <w:t>7-8</w:t>
      </w:r>
    </w:p>
    <w:p w14:paraId="20B7620A" w14:textId="77777777" w:rsidR="002E6812" w:rsidRPr="00B84CDF" w:rsidRDefault="002E6812" w:rsidP="000B360E">
      <w:pPr>
        <w:pStyle w:val="NoSpacing"/>
      </w:pPr>
    </w:p>
    <w:p w14:paraId="3638D80D" w14:textId="0DB883B1" w:rsidR="002E6812" w:rsidRPr="00B84CDF" w:rsidRDefault="002E6812" w:rsidP="000B360E">
      <w:pPr>
        <w:pStyle w:val="NoSpacing"/>
        <w:rPr>
          <w:szCs w:val="22"/>
        </w:rPr>
      </w:pPr>
      <w:r w:rsidRPr="00B84CDF">
        <w:rPr>
          <w:szCs w:val="22"/>
        </w:rPr>
        <w:tab/>
        <w:t>Appeals to First Tier Tribunal (Men</w:t>
      </w:r>
      <w:r w:rsidR="00660615">
        <w:rPr>
          <w:szCs w:val="22"/>
        </w:rPr>
        <w:t>tal Health) – Part III patients</w:t>
      </w:r>
      <w:r w:rsidR="00660615">
        <w:rPr>
          <w:szCs w:val="22"/>
        </w:rPr>
        <w:tab/>
      </w:r>
      <w:r w:rsidR="006E65B0">
        <w:rPr>
          <w:szCs w:val="22"/>
        </w:rPr>
        <w:t>9-10</w:t>
      </w:r>
    </w:p>
    <w:p w14:paraId="0520DAC1" w14:textId="1A6D2EF1" w:rsidR="002E6812" w:rsidRDefault="002E6812" w:rsidP="000B360E">
      <w:pPr>
        <w:pStyle w:val="NoSpacing"/>
      </w:pPr>
    </w:p>
    <w:p w14:paraId="5874DA6E" w14:textId="6491B372" w:rsidR="002E6812" w:rsidRDefault="00C75AF1" w:rsidP="000B360E">
      <w:pPr>
        <w:pStyle w:val="NoSpacing"/>
      </w:pPr>
      <w:r>
        <w:t>4</w:t>
      </w:r>
      <w:r w:rsidR="002E6812" w:rsidRPr="00B84CDF">
        <w:t>.0</w:t>
      </w:r>
      <w:r w:rsidR="00211FAE">
        <w:tab/>
        <w:t xml:space="preserve">Application to </w:t>
      </w:r>
      <w:r w:rsidR="00211FAE">
        <w:tab/>
      </w:r>
      <w:r w:rsidR="00211FAE" w:rsidRPr="00211FAE">
        <w:t>the First Tier Tribunal (Mental Health)</w:t>
      </w:r>
      <w:r w:rsidR="00660615">
        <w:tab/>
      </w:r>
      <w:r w:rsidR="00660615">
        <w:tab/>
        <w:t>11</w:t>
      </w:r>
    </w:p>
    <w:p w14:paraId="15EC9045" w14:textId="77777777" w:rsidR="002E6812" w:rsidRDefault="002E6812" w:rsidP="000B360E">
      <w:pPr>
        <w:pStyle w:val="NoSpacing"/>
      </w:pPr>
    </w:p>
    <w:p w14:paraId="2F676688" w14:textId="590AECFE" w:rsidR="002E6812" w:rsidRDefault="00C75AF1" w:rsidP="000B360E">
      <w:pPr>
        <w:pStyle w:val="NoSpacing"/>
      </w:pPr>
      <w:r>
        <w:t>5</w:t>
      </w:r>
      <w:r w:rsidR="00211FAE">
        <w:t>.0</w:t>
      </w:r>
      <w:r w:rsidR="00211FAE">
        <w:tab/>
      </w:r>
      <w:r w:rsidR="00211FAE" w:rsidRPr="00211FAE">
        <w:t xml:space="preserve">Section 117 and </w:t>
      </w:r>
      <w:r w:rsidR="001C7D42" w:rsidRPr="004A6163">
        <w:rPr>
          <w:rFonts w:ascii="Helvetica" w:hAnsi="Helvetica"/>
          <w:color w:val="000000" w:themeColor="text1"/>
          <w:shd w:val="clear" w:color="auto" w:fill="F1F2F8"/>
        </w:rPr>
        <w:t>Community Mental Health Framework</w:t>
      </w:r>
      <w:r w:rsidR="00660615">
        <w:tab/>
      </w:r>
      <w:r w:rsidR="00660615">
        <w:tab/>
        <w:t>11</w:t>
      </w:r>
    </w:p>
    <w:p w14:paraId="2CD5437A" w14:textId="77777777" w:rsidR="002E6812" w:rsidRDefault="002E6812" w:rsidP="000B360E">
      <w:pPr>
        <w:pStyle w:val="NoSpacing"/>
      </w:pPr>
    </w:p>
    <w:p w14:paraId="0C8A7185" w14:textId="3E276C0E" w:rsidR="002E6812" w:rsidRDefault="00C75AF1" w:rsidP="000B360E">
      <w:pPr>
        <w:pStyle w:val="NoSpacing"/>
      </w:pPr>
      <w:r>
        <w:t>6</w:t>
      </w:r>
      <w:r w:rsidR="002E6812">
        <w:t>.0</w:t>
      </w:r>
      <w:r w:rsidR="002E6812">
        <w:tab/>
      </w:r>
      <w:r w:rsidR="00962681" w:rsidRPr="00962681">
        <w:t>Legal representation</w:t>
      </w:r>
      <w:r w:rsidR="00660615">
        <w:tab/>
      </w:r>
      <w:r w:rsidR="00660615">
        <w:tab/>
      </w:r>
      <w:r w:rsidR="00660615">
        <w:tab/>
      </w:r>
      <w:r w:rsidR="00660615">
        <w:tab/>
      </w:r>
      <w:r w:rsidR="00660615">
        <w:tab/>
      </w:r>
      <w:r w:rsidR="00660615">
        <w:tab/>
      </w:r>
      <w:r w:rsidR="00660615">
        <w:tab/>
      </w:r>
      <w:r w:rsidR="00211FAE">
        <w:t>11</w:t>
      </w:r>
      <w:r>
        <w:t>-12</w:t>
      </w:r>
    </w:p>
    <w:p w14:paraId="3631B8C2" w14:textId="77777777" w:rsidR="002E6812" w:rsidRDefault="002E6812" w:rsidP="000B360E">
      <w:pPr>
        <w:pStyle w:val="NoSpacing"/>
      </w:pPr>
    </w:p>
    <w:p w14:paraId="2C89C238" w14:textId="347EA8CD" w:rsidR="002E6812" w:rsidRDefault="00C75AF1" w:rsidP="000B360E">
      <w:pPr>
        <w:pStyle w:val="NoSpacing"/>
      </w:pPr>
      <w:r>
        <w:t>7</w:t>
      </w:r>
      <w:r w:rsidR="002E6812">
        <w:t>.0</w:t>
      </w:r>
      <w:r w:rsidR="002E6812">
        <w:tab/>
      </w:r>
      <w:r w:rsidR="00660615">
        <w:t>Reports</w:t>
      </w:r>
      <w:r w:rsidR="00660615">
        <w:tab/>
      </w:r>
      <w:r w:rsidR="00660615">
        <w:tab/>
      </w:r>
      <w:r w:rsidR="00660615">
        <w:tab/>
      </w:r>
      <w:r w:rsidR="00660615">
        <w:tab/>
      </w:r>
      <w:r w:rsidR="00660615">
        <w:tab/>
      </w:r>
      <w:r w:rsidR="00660615">
        <w:tab/>
      </w:r>
      <w:r w:rsidR="00660615">
        <w:tab/>
      </w:r>
      <w:r w:rsidR="00660615">
        <w:tab/>
      </w:r>
      <w:r w:rsidR="002E6812">
        <w:t>1</w:t>
      </w:r>
      <w:r w:rsidR="00660615">
        <w:t>2</w:t>
      </w:r>
      <w:r>
        <w:t>-14</w:t>
      </w:r>
    </w:p>
    <w:p w14:paraId="3BECACB8" w14:textId="77777777" w:rsidR="002E6812" w:rsidRDefault="002E6812" w:rsidP="000B360E">
      <w:pPr>
        <w:pStyle w:val="NoSpacing"/>
      </w:pPr>
    </w:p>
    <w:p w14:paraId="01AAE889" w14:textId="2B2A2BDE" w:rsidR="000B360E" w:rsidRDefault="00C75AF1" w:rsidP="000B360E">
      <w:pPr>
        <w:pStyle w:val="NoSpacing"/>
      </w:pPr>
      <w:r>
        <w:t>8</w:t>
      </w:r>
      <w:r w:rsidR="002E6812">
        <w:t>.0</w:t>
      </w:r>
      <w:r w:rsidR="002E6812">
        <w:tab/>
      </w:r>
      <w:r w:rsidR="00962681" w:rsidRPr="00962681">
        <w:t>Setting Date of Hearing</w:t>
      </w:r>
      <w:r w:rsidR="00660615">
        <w:tab/>
      </w:r>
      <w:r w:rsidR="00660615">
        <w:tab/>
      </w:r>
      <w:r w:rsidR="00660615">
        <w:tab/>
      </w:r>
      <w:r w:rsidR="00660615">
        <w:tab/>
      </w:r>
      <w:r w:rsidR="00660615">
        <w:tab/>
      </w:r>
      <w:r w:rsidR="00660615">
        <w:tab/>
      </w:r>
      <w:r w:rsidR="000B360E">
        <w:t>1</w:t>
      </w:r>
      <w:r w:rsidR="00660615">
        <w:t>4</w:t>
      </w:r>
      <w:r>
        <w:t>-15</w:t>
      </w:r>
    </w:p>
    <w:p w14:paraId="14A79382" w14:textId="77777777" w:rsidR="002E6812" w:rsidRDefault="002E6812" w:rsidP="000B360E">
      <w:pPr>
        <w:pStyle w:val="NoSpacing"/>
      </w:pPr>
    </w:p>
    <w:p w14:paraId="7BD29D7E" w14:textId="26D68886" w:rsidR="002E6812" w:rsidRDefault="00C75AF1" w:rsidP="000B360E">
      <w:pPr>
        <w:pStyle w:val="NoSpacing"/>
      </w:pPr>
      <w:r>
        <w:t>9</w:t>
      </w:r>
      <w:r w:rsidR="002E6812">
        <w:t>.0</w:t>
      </w:r>
      <w:r w:rsidR="002E6812">
        <w:tab/>
      </w:r>
      <w:r w:rsidR="00962681">
        <w:t>Visiting and Examining Patients</w:t>
      </w:r>
      <w:r w:rsidR="00660615">
        <w:tab/>
      </w:r>
      <w:r w:rsidR="00660615">
        <w:tab/>
      </w:r>
      <w:r w:rsidR="00660615">
        <w:tab/>
      </w:r>
      <w:r w:rsidR="00660615">
        <w:tab/>
      </w:r>
      <w:r w:rsidR="00660615">
        <w:tab/>
      </w:r>
      <w:r w:rsidR="000B360E">
        <w:t>1</w:t>
      </w:r>
      <w:r w:rsidR="00660615">
        <w:t>5</w:t>
      </w:r>
    </w:p>
    <w:p w14:paraId="59F0F59D" w14:textId="77777777" w:rsidR="002E6812" w:rsidRDefault="002E6812" w:rsidP="000B360E">
      <w:pPr>
        <w:pStyle w:val="NoSpacing"/>
      </w:pPr>
    </w:p>
    <w:p w14:paraId="0C0B7835" w14:textId="6DB2161B" w:rsidR="002E6812" w:rsidRDefault="00C75AF1" w:rsidP="000B360E">
      <w:pPr>
        <w:pStyle w:val="NoSpacing"/>
      </w:pPr>
      <w:r>
        <w:t>10</w:t>
      </w:r>
      <w:r w:rsidR="002E6812">
        <w:t>.0</w:t>
      </w:r>
      <w:r w:rsidR="002E6812">
        <w:tab/>
      </w:r>
      <w:r w:rsidR="006D1B0F" w:rsidRPr="006D1B0F">
        <w:t>The Hearing</w:t>
      </w:r>
      <w:r w:rsidR="00660615">
        <w:tab/>
      </w:r>
      <w:r w:rsidR="00660615">
        <w:tab/>
      </w:r>
      <w:r w:rsidR="00660615">
        <w:tab/>
      </w:r>
      <w:r w:rsidR="00660615">
        <w:tab/>
      </w:r>
      <w:r w:rsidR="00660615">
        <w:tab/>
      </w:r>
      <w:r w:rsidR="00660615">
        <w:tab/>
      </w:r>
      <w:r w:rsidR="00660615">
        <w:tab/>
      </w:r>
      <w:r w:rsidR="00660615">
        <w:tab/>
      </w:r>
      <w:r w:rsidR="000B360E">
        <w:t>15</w:t>
      </w:r>
      <w:r>
        <w:t>-16</w:t>
      </w:r>
    </w:p>
    <w:p w14:paraId="2F0F3982" w14:textId="77777777" w:rsidR="002E6812" w:rsidRDefault="002E6812" w:rsidP="000B360E">
      <w:pPr>
        <w:pStyle w:val="NoSpacing"/>
      </w:pPr>
    </w:p>
    <w:p w14:paraId="761E092A" w14:textId="438C869E" w:rsidR="002E6812" w:rsidRDefault="00C75AF1" w:rsidP="000B360E">
      <w:pPr>
        <w:pStyle w:val="NoSpacing"/>
      </w:pPr>
      <w:r>
        <w:t>11</w:t>
      </w:r>
      <w:r w:rsidR="002E6812">
        <w:t>.0</w:t>
      </w:r>
      <w:r w:rsidR="002E6812">
        <w:tab/>
      </w:r>
      <w:r w:rsidR="00660615">
        <w:t>The Decision</w:t>
      </w:r>
      <w:r w:rsidR="00660615">
        <w:tab/>
      </w:r>
      <w:r w:rsidR="00660615">
        <w:tab/>
      </w:r>
      <w:r w:rsidR="00660615">
        <w:tab/>
      </w:r>
      <w:r w:rsidR="00660615">
        <w:tab/>
      </w:r>
      <w:r w:rsidR="00660615">
        <w:tab/>
      </w:r>
      <w:r w:rsidR="00660615">
        <w:tab/>
      </w:r>
      <w:r w:rsidR="00660615">
        <w:tab/>
      </w:r>
      <w:r w:rsidR="00660615">
        <w:tab/>
      </w:r>
      <w:r w:rsidR="000B360E">
        <w:t>1</w:t>
      </w:r>
      <w:r w:rsidR="00660615">
        <w:t>6</w:t>
      </w:r>
    </w:p>
    <w:p w14:paraId="79528165" w14:textId="77777777" w:rsidR="00660615" w:rsidRDefault="00660615" w:rsidP="000B360E">
      <w:pPr>
        <w:pStyle w:val="NoSpacing"/>
      </w:pPr>
    </w:p>
    <w:p w14:paraId="6D3B0AAE" w14:textId="78EB8678" w:rsidR="001B5B53" w:rsidRDefault="00C75AF1" w:rsidP="000B360E">
      <w:pPr>
        <w:pStyle w:val="NoSpacing"/>
      </w:pPr>
      <w:r>
        <w:t>12</w:t>
      </w:r>
      <w:r w:rsidR="006D1B0F">
        <w:t xml:space="preserve">.0     </w:t>
      </w:r>
      <w:r w:rsidR="006D1B0F" w:rsidRPr="006D1B0F">
        <w:t>Adjournments and Directions</w:t>
      </w:r>
      <w:r w:rsidR="00660615">
        <w:tab/>
      </w:r>
      <w:r w:rsidR="00660615">
        <w:tab/>
      </w:r>
      <w:r w:rsidR="00660615">
        <w:tab/>
      </w:r>
      <w:r w:rsidR="00660615">
        <w:tab/>
      </w:r>
      <w:r w:rsidR="00660615">
        <w:tab/>
      </w:r>
      <w:r w:rsidR="00660615">
        <w:tab/>
      </w:r>
      <w:r w:rsidR="000B360E">
        <w:t>1</w:t>
      </w:r>
      <w:r w:rsidR="00660615">
        <w:t>6</w:t>
      </w:r>
      <w:r>
        <w:t>-17</w:t>
      </w:r>
    </w:p>
    <w:p w14:paraId="0D15B352" w14:textId="77777777" w:rsidR="00660615" w:rsidRDefault="00660615" w:rsidP="000B360E">
      <w:pPr>
        <w:pStyle w:val="NoSpacing"/>
      </w:pPr>
    </w:p>
    <w:p w14:paraId="148CF8E1" w14:textId="14750A6A" w:rsidR="000B360E" w:rsidRDefault="009F559A" w:rsidP="000B360E">
      <w:pPr>
        <w:pStyle w:val="NoSpacing"/>
      </w:pPr>
      <w:r>
        <w:t>13</w:t>
      </w:r>
      <w:r w:rsidR="000B360E">
        <w:t xml:space="preserve">.0     </w:t>
      </w:r>
      <w:r w:rsidR="000B360E" w:rsidRPr="000B360E">
        <w:t>Challenging decisions of the First Tier Tribunal (Mental Health)</w:t>
      </w:r>
      <w:r w:rsidR="00660615">
        <w:tab/>
      </w:r>
      <w:r w:rsidR="000B360E">
        <w:t>1</w:t>
      </w:r>
      <w:r>
        <w:t>7</w:t>
      </w:r>
    </w:p>
    <w:p w14:paraId="691D2E8A" w14:textId="6B8CBA3B" w:rsidR="009F559A" w:rsidRDefault="009F559A" w:rsidP="000B360E">
      <w:pPr>
        <w:pStyle w:val="NoSpacing"/>
      </w:pPr>
    </w:p>
    <w:p w14:paraId="10D15748" w14:textId="36537EE5" w:rsidR="009F559A" w:rsidRDefault="009F559A" w:rsidP="000B360E">
      <w:pPr>
        <w:pStyle w:val="NoSpacing"/>
      </w:pPr>
      <w:r>
        <w:t>14.0     Monitoring</w:t>
      </w:r>
      <w:r w:rsidR="0012203A">
        <w:t xml:space="preserve">                                                                                         17</w:t>
      </w:r>
    </w:p>
    <w:p w14:paraId="0BC9F889" w14:textId="50F4B678" w:rsidR="009F559A" w:rsidRDefault="009F559A" w:rsidP="000B360E">
      <w:pPr>
        <w:pStyle w:val="NoSpacing"/>
      </w:pPr>
    </w:p>
    <w:p w14:paraId="5708E98B" w14:textId="22A1E9D6" w:rsidR="009F559A" w:rsidRDefault="009F559A" w:rsidP="000B360E">
      <w:pPr>
        <w:pStyle w:val="NoSpacing"/>
      </w:pPr>
      <w:r>
        <w:t>15.0     References</w:t>
      </w:r>
      <w:r w:rsidR="0012203A">
        <w:t xml:space="preserve">                                                                                        17</w:t>
      </w:r>
    </w:p>
    <w:p w14:paraId="4C468B5B" w14:textId="0EC2F23B" w:rsidR="009F559A" w:rsidRDefault="009F559A" w:rsidP="000B360E">
      <w:pPr>
        <w:pStyle w:val="NoSpacing"/>
      </w:pPr>
    </w:p>
    <w:p w14:paraId="67D36B77" w14:textId="5AA6825A" w:rsidR="009F559A" w:rsidRDefault="009F559A" w:rsidP="000B360E">
      <w:pPr>
        <w:pStyle w:val="NoSpacing"/>
      </w:pPr>
      <w:r>
        <w:t>16.0     Associated Documents</w:t>
      </w:r>
      <w:r w:rsidR="0012203A">
        <w:t xml:space="preserve">                                                                      17</w:t>
      </w:r>
    </w:p>
    <w:p w14:paraId="7F348A07" w14:textId="77777777" w:rsidR="00660615" w:rsidRDefault="00660615" w:rsidP="000B360E">
      <w:pPr>
        <w:pStyle w:val="NoSpacing"/>
      </w:pPr>
    </w:p>
    <w:p w14:paraId="1DA03AE3" w14:textId="2E09F35E" w:rsidR="002E6812" w:rsidRPr="00B84CDF" w:rsidRDefault="002E6812" w:rsidP="002E6812">
      <w:pPr>
        <w:pStyle w:val="Heading6"/>
        <w:spacing w:before="0" w:line="240" w:lineRule="auto"/>
        <w:ind w:left="720" w:hanging="720"/>
        <w:rPr>
          <w:rFonts w:ascii="Arial" w:hAnsi="Arial" w:cs="Arial"/>
          <w:i w:val="0"/>
          <w:color w:val="auto"/>
        </w:rPr>
      </w:pPr>
      <w:r w:rsidRPr="00B84CDF">
        <w:rPr>
          <w:rFonts w:ascii="Arial" w:hAnsi="Arial" w:cs="Arial"/>
          <w:i w:val="0"/>
          <w:color w:val="auto"/>
        </w:rPr>
        <w:tab/>
        <w:t>Appendix 1 - Mental Health Law contact details</w:t>
      </w:r>
      <w:r w:rsidR="0012203A">
        <w:rPr>
          <w:rFonts w:ascii="Arial" w:hAnsi="Arial" w:cs="Arial"/>
          <w:i w:val="0"/>
          <w:color w:val="auto"/>
        </w:rPr>
        <w:tab/>
      </w:r>
      <w:r w:rsidR="0012203A">
        <w:rPr>
          <w:rFonts w:ascii="Arial" w:hAnsi="Arial" w:cs="Arial"/>
          <w:i w:val="0"/>
          <w:color w:val="auto"/>
        </w:rPr>
        <w:tab/>
      </w:r>
      <w:r w:rsidR="0012203A">
        <w:rPr>
          <w:rFonts w:ascii="Arial" w:hAnsi="Arial" w:cs="Arial"/>
          <w:i w:val="0"/>
          <w:color w:val="auto"/>
        </w:rPr>
        <w:tab/>
        <w:t>18</w:t>
      </w:r>
    </w:p>
    <w:p w14:paraId="26FFD22F" w14:textId="77777777" w:rsidR="002E6812" w:rsidRPr="008C3A03" w:rsidRDefault="002E6812" w:rsidP="002E6812">
      <w:pPr>
        <w:spacing w:after="0"/>
        <w:ind w:left="720" w:hanging="720"/>
        <w:rPr>
          <w:rFonts w:cs="Arial"/>
          <w:b/>
        </w:rPr>
      </w:pPr>
    </w:p>
    <w:p w14:paraId="3F2F25FF" w14:textId="77777777" w:rsidR="002E6812" w:rsidRPr="008C3A03" w:rsidRDefault="002E6812" w:rsidP="002E6812">
      <w:pPr>
        <w:spacing w:after="0"/>
        <w:ind w:left="720" w:hanging="720"/>
        <w:rPr>
          <w:rFonts w:cs="Arial"/>
          <w:b/>
        </w:rPr>
      </w:pPr>
    </w:p>
    <w:p w14:paraId="0ED18813" w14:textId="77777777" w:rsidR="002E6812" w:rsidRDefault="002E6812" w:rsidP="002E6812">
      <w:pPr>
        <w:spacing w:after="0"/>
        <w:ind w:left="720" w:hanging="720"/>
        <w:rPr>
          <w:rFonts w:cs="Arial"/>
          <w:b/>
        </w:rPr>
      </w:pPr>
    </w:p>
    <w:p w14:paraId="175DEB9D" w14:textId="0578AF37" w:rsidR="000B360E" w:rsidRDefault="000B360E" w:rsidP="002E6812">
      <w:pPr>
        <w:spacing w:after="0"/>
        <w:ind w:left="720" w:hanging="720"/>
        <w:rPr>
          <w:rFonts w:cs="Arial"/>
          <w:b/>
        </w:rPr>
      </w:pPr>
    </w:p>
    <w:p w14:paraId="01E6965E" w14:textId="3FBAACDE" w:rsidR="00D23F1B" w:rsidRDefault="00D23F1B" w:rsidP="002E6812">
      <w:pPr>
        <w:spacing w:after="0"/>
        <w:ind w:left="720" w:hanging="720"/>
        <w:rPr>
          <w:rFonts w:cs="Arial"/>
          <w:b/>
        </w:rPr>
      </w:pPr>
    </w:p>
    <w:p w14:paraId="77868488" w14:textId="59E7DED3" w:rsidR="00D23F1B" w:rsidRDefault="00D23F1B" w:rsidP="002E6812">
      <w:pPr>
        <w:spacing w:after="0"/>
        <w:ind w:left="720" w:hanging="720"/>
        <w:rPr>
          <w:rFonts w:cs="Arial"/>
          <w:b/>
        </w:rPr>
      </w:pPr>
    </w:p>
    <w:p w14:paraId="2F5C241D" w14:textId="77777777" w:rsidR="00D23F1B" w:rsidRDefault="00D23F1B" w:rsidP="002E6812">
      <w:pPr>
        <w:spacing w:after="0"/>
        <w:ind w:left="720" w:hanging="720"/>
        <w:rPr>
          <w:rFonts w:cs="Arial"/>
          <w:b/>
        </w:rPr>
      </w:pPr>
    </w:p>
    <w:p w14:paraId="7DD1FE78" w14:textId="77777777" w:rsidR="004A6163" w:rsidRDefault="00805F0D" w:rsidP="00805F0D">
      <w:pPr>
        <w:spacing w:after="0"/>
        <w:rPr>
          <w:rFonts w:cs="Arial"/>
          <w:b/>
          <w:bCs/>
        </w:rPr>
      </w:pPr>
      <w:r>
        <w:rPr>
          <w:rFonts w:cs="Arial"/>
          <w:b/>
          <w:bCs/>
        </w:rPr>
        <w:t xml:space="preserve">         </w:t>
      </w:r>
    </w:p>
    <w:p w14:paraId="17208ABE" w14:textId="77777777" w:rsidR="004A6163" w:rsidRDefault="004A6163" w:rsidP="00805F0D">
      <w:pPr>
        <w:spacing w:after="0"/>
        <w:rPr>
          <w:rFonts w:cs="Arial"/>
          <w:b/>
          <w:bCs/>
        </w:rPr>
      </w:pPr>
    </w:p>
    <w:p w14:paraId="06AC39E3" w14:textId="5117FF11" w:rsidR="00805F0D" w:rsidRDefault="00805F0D" w:rsidP="004A6163">
      <w:pPr>
        <w:spacing w:after="0"/>
        <w:ind w:firstLine="720"/>
        <w:rPr>
          <w:rFonts w:cs="Arial"/>
          <w:b/>
          <w:bCs/>
        </w:rPr>
      </w:pPr>
      <w:r w:rsidRPr="008C3A03">
        <w:rPr>
          <w:rFonts w:cs="Arial"/>
          <w:b/>
          <w:bCs/>
        </w:rPr>
        <w:t>E</w:t>
      </w:r>
      <w:r>
        <w:rPr>
          <w:rFonts w:cs="Arial"/>
          <w:b/>
          <w:bCs/>
        </w:rPr>
        <w:t>XECUTIVE SUMMARY</w:t>
      </w:r>
    </w:p>
    <w:p w14:paraId="328A1AEC" w14:textId="77777777" w:rsidR="00805F0D" w:rsidRPr="008C3A03" w:rsidRDefault="00805F0D" w:rsidP="00805F0D">
      <w:pPr>
        <w:pStyle w:val="NoSpacing"/>
      </w:pPr>
    </w:p>
    <w:p w14:paraId="5B5D2AF3" w14:textId="77777777" w:rsidR="00805F0D" w:rsidRDefault="00805F0D" w:rsidP="00805F0D">
      <w:pPr>
        <w:pStyle w:val="NoSpacing"/>
      </w:pPr>
      <w:r>
        <w:t xml:space="preserve">           </w:t>
      </w:r>
      <w:r w:rsidRPr="008C3A03">
        <w:t xml:space="preserve">This policy sets out the legal requirements in relation to the First Tier Tribunal </w:t>
      </w:r>
    </w:p>
    <w:p w14:paraId="5AAA6E4F" w14:textId="467906A3" w:rsidR="00805F0D" w:rsidRDefault="00805F0D" w:rsidP="00805F0D">
      <w:pPr>
        <w:pStyle w:val="NoSpacing"/>
      </w:pPr>
      <w:r>
        <w:t xml:space="preserve">           </w:t>
      </w:r>
      <w:r w:rsidRPr="008C3A03">
        <w:t xml:space="preserve">(Mental Health) and what relevant practitioners are required to do to ensure </w:t>
      </w:r>
    </w:p>
    <w:p w14:paraId="4E796AB7" w14:textId="3A0BF462" w:rsidR="000B360E" w:rsidRPr="00805F0D" w:rsidRDefault="004A6163" w:rsidP="00805F0D">
      <w:pPr>
        <w:pStyle w:val="NoSpacing"/>
      </w:pPr>
      <w:r>
        <w:t xml:space="preserve">           </w:t>
      </w:r>
      <w:r w:rsidR="00805F0D" w:rsidRPr="008C3A03">
        <w:t>that the Trust complies with those provisions.</w:t>
      </w:r>
    </w:p>
    <w:p w14:paraId="22FFDAC1" w14:textId="77777777" w:rsidR="002E6812" w:rsidRPr="004C6683" w:rsidRDefault="002E6812" w:rsidP="004C6683">
      <w:pPr>
        <w:spacing w:after="0"/>
        <w:rPr>
          <w:rFonts w:cs="Arial"/>
          <w:b/>
        </w:rPr>
      </w:pPr>
      <w:r w:rsidRPr="008C3A03">
        <w:rPr>
          <w:rFonts w:cs="Arial"/>
          <w:b/>
        </w:rPr>
        <w:t>1.0</w:t>
      </w:r>
      <w:r w:rsidRPr="008C3A03">
        <w:rPr>
          <w:rFonts w:cs="Arial"/>
          <w:b/>
        </w:rPr>
        <w:tab/>
        <w:t>INTRODUCTION</w:t>
      </w:r>
    </w:p>
    <w:p w14:paraId="4C77E3A5" w14:textId="77777777" w:rsidR="004C6683" w:rsidRDefault="002E6812" w:rsidP="007630D7">
      <w:pPr>
        <w:spacing w:after="0"/>
        <w:ind w:left="720" w:hanging="720"/>
        <w:rPr>
          <w:rFonts w:cs="Arial"/>
        </w:rPr>
      </w:pPr>
      <w:r w:rsidRPr="008C3A03">
        <w:rPr>
          <w:rFonts w:cs="Arial"/>
        </w:rPr>
        <w:t>1.1</w:t>
      </w:r>
      <w:r w:rsidRPr="008C3A03">
        <w:rPr>
          <w:rFonts w:cs="Arial"/>
        </w:rPr>
        <w:tab/>
        <w:t>Article 5 of the European Convention for Human Rights:</w:t>
      </w:r>
    </w:p>
    <w:p w14:paraId="2E65205C" w14:textId="77777777" w:rsidR="007630D7" w:rsidRPr="008C3A03" w:rsidRDefault="007630D7" w:rsidP="007630D7">
      <w:pPr>
        <w:spacing w:after="0"/>
        <w:ind w:left="720" w:hanging="720"/>
        <w:rPr>
          <w:rFonts w:cs="Arial"/>
        </w:rPr>
      </w:pPr>
    </w:p>
    <w:p w14:paraId="78974714" w14:textId="77777777" w:rsidR="002E6812" w:rsidRPr="00983376" w:rsidRDefault="002E6812" w:rsidP="00983376">
      <w:pPr>
        <w:pStyle w:val="BodyText3"/>
        <w:spacing w:after="0" w:line="240" w:lineRule="auto"/>
        <w:ind w:left="720"/>
        <w:jc w:val="both"/>
        <w:rPr>
          <w:rFonts w:ascii="Arial" w:hAnsi="Arial" w:cs="Arial"/>
          <w:sz w:val="22"/>
          <w:szCs w:val="22"/>
        </w:rPr>
      </w:pPr>
      <w:r w:rsidRPr="008C3A03">
        <w:rPr>
          <w:rFonts w:ascii="Arial" w:hAnsi="Arial" w:cs="Arial"/>
          <w:sz w:val="22"/>
          <w:szCs w:val="22"/>
        </w:rPr>
        <w:t>“Everyone has the right to liberty and security of person. No one shall be deprived of his liberty save in the following cases and in accordance with a procedure prescribed by law:</w:t>
      </w:r>
    </w:p>
    <w:p w14:paraId="5E8ECC6A" w14:textId="77777777" w:rsidR="002E6812" w:rsidRPr="00983376" w:rsidRDefault="002E6812" w:rsidP="00983376">
      <w:pPr>
        <w:spacing w:after="0"/>
        <w:ind w:firstLine="720"/>
        <w:rPr>
          <w:rFonts w:cs="Arial"/>
          <w:b/>
          <w:i/>
        </w:rPr>
      </w:pPr>
      <w:r w:rsidRPr="00983376">
        <w:rPr>
          <w:rFonts w:cs="Arial"/>
          <w:b/>
          <w:i/>
        </w:rPr>
        <w:t>…..the lawful detention of persons of unsound mind….</w:t>
      </w:r>
    </w:p>
    <w:p w14:paraId="2744EBFB" w14:textId="77777777" w:rsidR="002E6812" w:rsidRPr="00983376" w:rsidRDefault="002E6812" w:rsidP="00983376">
      <w:pPr>
        <w:spacing w:after="0"/>
        <w:ind w:left="720"/>
        <w:rPr>
          <w:rFonts w:cs="Arial"/>
          <w:b/>
        </w:rPr>
      </w:pPr>
      <w:r w:rsidRPr="00983376">
        <w:rPr>
          <w:rFonts w:cs="Arial"/>
          <w:b/>
          <w:i/>
          <w:iCs/>
        </w:rPr>
        <w:t>Everyone who is deprived of his or her liberty by arrest or detention shall be entitled to take proceedings by which the lawfulness of the detention shall be decided speedily by a court and release ordered if the detention is not lawful.”</w:t>
      </w:r>
    </w:p>
    <w:p w14:paraId="1A1DBE20" w14:textId="2158385E" w:rsidR="002E6812" w:rsidRDefault="002E6812" w:rsidP="00983376">
      <w:pPr>
        <w:spacing w:after="0"/>
        <w:ind w:left="720"/>
        <w:rPr>
          <w:rFonts w:cs="Arial"/>
        </w:rPr>
      </w:pPr>
      <w:r w:rsidRPr="008C3A03">
        <w:rPr>
          <w:rFonts w:cs="Arial"/>
        </w:rPr>
        <w:t>The First-Tier Tribunal (Mental Health) is a ‘court’ for the purposes of the European Convention.</w:t>
      </w:r>
    </w:p>
    <w:p w14:paraId="6084D524" w14:textId="6A8B21B2" w:rsidR="007B70BE" w:rsidRPr="007B70BE" w:rsidRDefault="007B70BE" w:rsidP="007B70BE">
      <w:pPr>
        <w:spacing w:after="0"/>
        <w:rPr>
          <w:rFonts w:cs="Arial"/>
          <w:b/>
        </w:rPr>
      </w:pPr>
      <w:r w:rsidRPr="007B70BE">
        <w:rPr>
          <w:rFonts w:cs="Arial"/>
          <w:b/>
        </w:rPr>
        <w:t>2.0      PURPOSE</w:t>
      </w:r>
    </w:p>
    <w:p w14:paraId="02137F1C" w14:textId="549B4EFE" w:rsidR="002E6812" w:rsidRDefault="007B70BE" w:rsidP="00983376">
      <w:pPr>
        <w:tabs>
          <w:tab w:val="left" w:pos="720"/>
        </w:tabs>
        <w:spacing w:after="0"/>
        <w:ind w:left="720" w:right="26" w:hanging="720"/>
        <w:rPr>
          <w:rFonts w:cs="Arial"/>
        </w:rPr>
      </w:pPr>
      <w:r>
        <w:rPr>
          <w:rFonts w:cs="Arial"/>
        </w:rPr>
        <w:t>2.1</w:t>
      </w:r>
      <w:r w:rsidR="002E6812" w:rsidRPr="008C3A03">
        <w:rPr>
          <w:rFonts w:cs="Arial"/>
        </w:rPr>
        <w:tab/>
        <w:t xml:space="preserve">This policy clarifies legislation and </w:t>
      </w:r>
      <w:r w:rsidR="002E6812">
        <w:rPr>
          <w:rFonts w:cs="Arial"/>
        </w:rPr>
        <w:t xml:space="preserve">direction </w:t>
      </w:r>
      <w:r w:rsidR="002E6812" w:rsidRPr="008C3A03">
        <w:rPr>
          <w:rFonts w:cs="Arial"/>
        </w:rPr>
        <w:t>in respect of preparation and participation in the procedures relating to the First Tier Tribunal (Mental Health), hereafter referred to as ‘the Tribunal’.</w:t>
      </w:r>
    </w:p>
    <w:p w14:paraId="65324D73" w14:textId="5A22A7C1" w:rsidR="007B70BE" w:rsidRPr="007B70BE" w:rsidRDefault="007B70BE" w:rsidP="00983376">
      <w:pPr>
        <w:tabs>
          <w:tab w:val="left" w:pos="720"/>
        </w:tabs>
        <w:spacing w:after="0"/>
        <w:ind w:left="720" w:right="26" w:hanging="720"/>
        <w:rPr>
          <w:rFonts w:cs="Arial"/>
          <w:b/>
        </w:rPr>
      </w:pPr>
      <w:r w:rsidRPr="007B70BE">
        <w:rPr>
          <w:rFonts w:cs="Arial"/>
          <w:b/>
        </w:rPr>
        <w:t>3.0      DUTIES AND RESPONSIBILITIES</w:t>
      </w:r>
    </w:p>
    <w:p w14:paraId="41001277" w14:textId="55D7478D" w:rsidR="002E6812" w:rsidRPr="008C3A03" w:rsidRDefault="007B70BE" w:rsidP="00983376">
      <w:pPr>
        <w:tabs>
          <w:tab w:val="left" w:pos="720"/>
        </w:tabs>
        <w:spacing w:after="0"/>
        <w:ind w:left="720" w:right="26" w:hanging="720"/>
        <w:rPr>
          <w:rFonts w:cs="Arial"/>
        </w:rPr>
      </w:pPr>
      <w:r>
        <w:rPr>
          <w:rFonts w:cs="Arial"/>
        </w:rPr>
        <w:t>3.1</w:t>
      </w:r>
      <w:r w:rsidR="002E6812" w:rsidRPr="008C3A03">
        <w:rPr>
          <w:rFonts w:cs="Arial"/>
        </w:rPr>
        <w:tab/>
        <w:t>The policy should be read by Responsible Clinicians, doctors, nurses, occupational therapists, social workers and all others who will potentially be giving written and/or verbal evidence in respect of a patient’s care and treatment.</w:t>
      </w:r>
    </w:p>
    <w:p w14:paraId="05202BE5" w14:textId="27C5FF58" w:rsidR="004C6683" w:rsidRPr="008C3A03" w:rsidRDefault="007B70BE" w:rsidP="00841BB7">
      <w:pPr>
        <w:tabs>
          <w:tab w:val="left" w:pos="720"/>
        </w:tabs>
        <w:spacing w:after="0"/>
        <w:ind w:left="720" w:right="26" w:hanging="720"/>
        <w:rPr>
          <w:rFonts w:cs="Arial"/>
        </w:rPr>
      </w:pPr>
      <w:r>
        <w:rPr>
          <w:rFonts w:cs="Arial"/>
        </w:rPr>
        <w:t>3.2</w:t>
      </w:r>
      <w:r w:rsidR="002E6812" w:rsidRPr="008C3A03">
        <w:rPr>
          <w:rFonts w:cs="Arial"/>
        </w:rPr>
        <w:tab/>
        <w:t>The policy should be read in accordance with:</w:t>
      </w:r>
    </w:p>
    <w:p w14:paraId="3E4099B4" w14:textId="77777777" w:rsidR="002E6812" w:rsidRPr="008C3A03" w:rsidRDefault="002E6812" w:rsidP="002E6812">
      <w:pPr>
        <w:numPr>
          <w:ilvl w:val="0"/>
          <w:numId w:val="2"/>
        </w:numPr>
        <w:spacing w:before="0" w:after="0"/>
        <w:ind w:right="26"/>
        <w:jc w:val="left"/>
        <w:rPr>
          <w:rFonts w:cs="Arial"/>
        </w:rPr>
      </w:pPr>
      <w:r w:rsidRPr="008C3A03">
        <w:rPr>
          <w:rFonts w:cs="Arial"/>
        </w:rPr>
        <w:t>Mental Health Act 1983 and its Code of Practice;</w:t>
      </w:r>
    </w:p>
    <w:p w14:paraId="4F5559FE" w14:textId="77777777" w:rsidR="002E6812" w:rsidRPr="008C3A03" w:rsidRDefault="002E6812" w:rsidP="002E6812">
      <w:pPr>
        <w:numPr>
          <w:ilvl w:val="0"/>
          <w:numId w:val="2"/>
        </w:numPr>
        <w:spacing w:before="0" w:after="0"/>
        <w:ind w:right="26"/>
        <w:jc w:val="left"/>
        <w:rPr>
          <w:rFonts w:cs="Arial"/>
        </w:rPr>
      </w:pPr>
      <w:r w:rsidRPr="008C3A03">
        <w:rPr>
          <w:rFonts w:cs="Arial"/>
        </w:rPr>
        <w:t>Tribunal</w:t>
      </w:r>
      <w:r w:rsidRPr="008C3A03">
        <w:rPr>
          <w:rFonts w:cs="Arial"/>
          <w:color w:val="000000"/>
          <w:kern w:val="36"/>
        </w:rPr>
        <w:t xml:space="preserve"> Procedure Rules 2008;</w:t>
      </w:r>
    </w:p>
    <w:p w14:paraId="186A49AE" w14:textId="77777777" w:rsidR="002E6812" w:rsidRPr="008C3A03" w:rsidRDefault="002E6812" w:rsidP="002E6812">
      <w:pPr>
        <w:numPr>
          <w:ilvl w:val="0"/>
          <w:numId w:val="2"/>
        </w:numPr>
        <w:spacing w:before="0" w:after="0"/>
        <w:ind w:right="26"/>
        <w:jc w:val="left"/>
        <w:rPr>
          <w:rFonts w:cs="Arial"/>
        </w:rPr>
      </w:pPr>
      <w:r w:rsidRPr="008C3A03">
        <w:rPr>
          <w:rFonts w:cs="Arial"/>
          <w:color w:val="000000"/>
          <w:kern w:val="36"/>
        </w:rPr>
        <w:t>Tribunal Procedure (Amendment) Rules 2012;</w:t>
      </w:r>
    </w:p>
    <w:p w14:paraId="40995AF9" w14:textId="77777777" w:rsidR="002E6812" w:rsidRPr="008C3A03" w:rsidRDefault="002E6812" w:rsidP="002E6812">
      <w:pPr>
        <w:numPr>
          <w:ilvl w:val="0"/>
          <w:numId w:val="2"/>
        </w:numPr>
        <w:spacing w:before="0" w:after="0"/>
        <w:ind w:right="26"/>
        <w:jc w:val="left"/>
        <w:rPr>
          <w:rFonts w:cs="Arial"/>
        </w:rPr>
      </w:pPr>
      <w:r w:rsidRPr="008C3A03">
        <w:rPr>
          <w:rFonts w:cs="Arial"/>
        </w:rPr>
        <w:t>Tribunal Rules Practice Directions;</w:t>
      </w:r>
    </w:p>
    <w:p w14:paraId="5643D63A" w14:textId="04981A79" w:rsidR="002E6812" w:rsidRPr="008C3A03" w:rsidRDefault="002E6812" w:rsidP="002E6812">
      <w:pPr>
        <w:numPr>
          <w:ilvl w:val="0"/>
          <w:numId w:val="2"/>
        </w:numPr>
        <w:spacing w:before="0" w:after="0"/>
        <w:ind w:right="26"/>
        <w:jc w:val="left"/>
        <w:rPr>
          <w:rFonts w:cs="Arial"/>
        </w:rPr>
      </w:pPr>
      <w:r w:rsidRPr="494AFF6B">
        <w:rPr>
          <w:rFonts w:cs="Arial"/>
        </w:rPr>
        <w:t>Guidance re Solicitor’s Conduct</w:t>
      </w:r>
      <w:r w:rsidR="78F19965" w:rsidRPr="494AFF6B">
        <w:rPr>
          <w:rFonts w:cs="Arial"/>
        </w:rPr>
        <w:t xml:space="preserve"> </w:t>
      </w:r>
    </w:p>
    <w:p w14:paraId="037E4BC3" w14:textId="77777777" w:rsidR="002E6812" w:rsidRDefault="002E6812" w:rsidP="004C6683">
      <w:pPr>
        <w:numPr>
          <w:ilvl w:val="0"/>
          <w:numId w:val="2"/>
        </w:numPr>
        <w:spacing w:before="0" w:after="0"/>
        <w:ind w:right="26"/>
        <w:jc w:val="left"/>
        <w:rPr>
          <w:rFonts w:cs="Arial"/>
        </w:rPr>
      </w:pPr>
      <w:r w:rsidRPr="008C3A03">
        <w:rPr>
          <w:rFonts w:cs="Arial"/>
        </w:rPr>
        <w:t>Joint Tribunal and Royal College of Psychiatrists Guidance about Medical Evidence</w:t>
      </w:r>
    </w:p>
    <w:p w14:paraId="32584E47" w14:textId="350C846C" w:rsidR="00C2466F" w:rsidRPr="00C2466F" w:rsidRDefault="004C6683" w:rsidP="00C2466F">
      <w:pPr>
        <w:numPr>
          <w:ilvl w:val="0"/>
          <w:numId w:val="2"/>
        </w:numPr>
        <w:tabs>
          <w:tab w:val="left" w:pos="720"/>
        </w:tabs>
        <w:spacing w:before="0" w:after="0"/>
        <w:ind w:right="26"/>
        <w:jc w:val="left"/>
        <w:rPr>
          <w:rFonts w:cs="Arial"/>
          <w:color w:val="000000" w:themeColor="text1"/>
        </w:rPr>
      </w:pPr>
      <w:r w:rsidRPr="494AFF6B">
        <w:rPr>
          <w:rFonts w:cs="Arial"/>
        </w:rPr>
        <w:t>Tribunal Procedure (Coronavirus) (Amendment) Rules 2020</w:t>
      </w:r>
      <w:r w:rsidR="30DE629A" w:rsidRPr="494AFF6B">
        <w:rPr>
          <w:rFonts w:cs="Arial"/>
        </w:rPr>
        <w:t xml:space="preserve"> </w:t>
      </w:r>
      <w:r w:rsidR="00C2466F" w:rsidRPr="00C2466F">
        <w:rPr>
          <w:rFonts w:cs="Arial"/>
          <w:color w:val="000000" w:themeColor="text1"/>
        </w:rPr>
        <w:t>Standard Operating Procedure for FTT for MHL Dept Staff</w:t>
      </w:r>
    </w:p>
    <w:p w14:paraId="6B8CBD70" w14:textId="77777777" w:rsidR="00C2466F" w:rsidRPr="005A0191" w:rsidRDefault="00C2466F" w:rsidP="005A0191">
      <w:pPr>
        <w:spacing w:before="0" w:after="0"/>
        <w:ind w:left="720" w:right="26"/>
        <w:jc w:val="left"/>
        <w:rPr>
          <w:rFonts w:cs="Arial"/>
          <w:color w:val="0000FF"/>
        </w:rPr>
      </w:pPr>
    </w:p>
    <w:p w14:paraId="211A88AA" w14:textId="7B9015A2" w:rsidR="004C6683" w:rsidRDefault="002E6812" w:rsidP="005A0191">
      <w:pPr>
        <w:spacing w:before="0" w:after="0"/>
        <w:ind w:left="720" w:right="26"/>
        <w:jc w:val="left"/>
        <w:rPr>
          <w:rFonts w:cs="Arial"/>
          <w:color w:val="0000FF"/>
        </w:rPr>
      </w:pPr>
      <w:r w:rsidRPr="00C2466F">
        <w:rPr>
          <w:rFonts w:cs="Arial"/>
        </w:rPr>
        <w:t>All of the above are available from the Mental Health Law offices and on the Trust’s Intranet</w:t>
      </w:r>
      <w:r w:rsidR="004C6683" w:rsidRPr="00C2466F">
        <w:rPr>
          <w:rFonts w:cs="Arial"/>
        </w:rPr>
        <w:t xml:space="preserve"> or from </w:t>
      </w:r>
      <w:hyperlink r:id="rId18" w:history="1">
        <w:r w:rsidR="004C6683" w:rsidRPr="00C2466F">
          <w:rPr>
            <w:rStyle w:val="Hyperlink"/>
            <w:rFonts w:cs="Arial"/>
          </w:rPr>
          <w:t>https://www.gov.uk/courts-tribunals/first-tier-tribunal-mental-health</w:t>
        </w:r>
      </w:hyperlink>
      <w:r w:rsidR="556BE457" w:rsidRPr="00C2466F">
        <w:rPr>
          <w:rFonts w:cs="Arial"/>
          <w:color w:val="0000FF"/>
        </w:rPr>
        <w:t xml:space="preserve"> </w:t>
      </w:r>
    </w:p>
    <w:p w14:paraId="619AD638" w14:textId="6686B00C" w:rsidR="004A6163" w:rsidRDefault="004A6163" w:rsidP="005A0191">
      <w:pPr>
        <w:spacing w:before="0" w:after="0"/>
        <w:ind w:left="720" w:right="26"/>
        <w:jc w:val="left"/>
        <w:rPr>
          <w:rFonts w:cs="Arial"/>
          <w:color w:val="0000FF"/>
        </w:rPr>
      </w:pPr>
    </w:p>
    <w:p w14:paraId="581CB1EC" w14:textId="77737C46" w:rsidR="004A6163" w:rsidRDefault="004A6163" w:rsidP="005A0191">
      <w:pPr>
        <w:spacing w:before="0" w:after="0"/>
        <w:ind w:left="720" w:right="26"/>
        <w:jc w:val="left"/>
        <w:rPr>
          <w:rFonts w:cs="Arial"/>
          <w:color w:val="0000FF"/>
        </w:rPr>
      </w:pPr>
    </w:p>
    <w:p w14:paraId="2473909A" w14:textId="328D0369" w:rsidR="004A6163" w:rsidRDefault="004A6163" w:rsidP="005A0191">
      <w:pPr>
        <w:spacing w:before="0" w:after="0"/>
        <w:ind w:left="720" w:right="26"/>
        <w:jc w:val="left"/>
        <w:rPr>
          <w:rFonts w:cs="Arial"/>
          <w:color w:val="0000FF"/>
        </w:rPr>
      </w:pPr>
    </w:p>
    <w:p w14:paraId="66C8A1BE" w14:textId="77777777" w:rsidR="004A6163" w:rsidRPr="00C2466F" w:rsidRDefault="004A6163" w:rsidP="005A0191">
      <w:pPr>
        <w:spacing w:before="0" w:after="0"/>
        <w:ind w:left="720" w:right="26"/>
        <w:jc w:val="left"/>
        <w:rPr>
          <w:rFonts w:cs="Arial"/>
          <w:color w:val="0000FF"/>
        </w:rPr>
      </w:pPr>
    </w:p>
    <w:p w14:paraId="11F997DC" w14:textId="54CABF59" w:rsidR="002E6812" w:rsidRPr="008C3A03" w:rsidRDefault="007B70BE" w:rsidP="002E6812">
      <w:pPr>
        <w:pStyle w:val="Footer"/>
        <w:ind w:left="720" w:hanging="720"/>
        <w:rPr>
          <w:rFonts w:cs="Arial"/>
          <w:i/>
          <w:iCs/>
        </w:rPr>
      </w:pPr>
      <w:r>
        <w:rPr>
          <w:rFonts w:cs="Arial"/>
        </w:rPr>
        <w:t>3.3</w:t>
      </w:r>
      <w:r w:rsidR="002E6812" w:rsidRPr="008C3A03">
        <w:rPr>
          <w:rFonts w:cs="Arial"/>
        </w:rPr>
        <w:tab/>
        <w:t>There are important differences in the appeals and referral procedures dependent upon which section of the Act the patient is subject to. The following tables indicate the position in respect of rights and duties to approach the Tribunal</w:t>
      </w:r>
      <w:r w:rsidR="009100ED">
        <w:rPr>
          <w:rStyle w:val="FootnoteReference"/>
          <w:rFonts w:cs="Arial"/>
        </w:rPr>
        <w:footnoteReference w:id="1"/>
      </w:r>
      <w:r w:rsidR="002E6812" w:rsidRPr="008C3A03">
        <w:rPr>
          <w:rFonts w:cs="Arial"/>
        </w:rPr>
        <w:t>:</w:t>
      </w:r>
    </w:p>
    <w:p w14:paraId="2F438BF2" w14:textId="77777777" w:rsidR="002E6812" w:rsidRPr="008C3A03" w:rsidRDefault="002E6812" w:rsidP="002E6812">
      <w:pPr>
        <w:pStyle w:val="NormalWeb"/>
        <w:spacing w:before="0" w:beforeAutospacing="0" w:after="0" w:afterAutospacing="0"/>
        <w:rPr>
          <w:rFonts w:ascii="Arial" w:hAnsi="Arial" w:cs="Arial"/>
          <w:sz w:val="22"/>
          <w:szCs w:val="22"/>
        </w:rPr>
        <w:sectPr w:rsidR="002E6812" w:rsidRPr="008C3A03" w:rsidSect="00CB1B59">
          <w:footerReference w:type="even" r:id="rId19"/>
          <w:footerReference w:type="default" r:id="rId20"/>
          <w:pgSz w:w="11906" w:h="16838"/>
          <w:pgMar w:top="360" w:right="1800" w:bottom="0" w:left="1800" w:header="708" w:footer="708" w:gutter="0"/>
          <w:cols w:space="708"/>
          <w:docGrid w:linePitch="360"/>
        </w:sectPr>
      </w:pPr>
    </w:p>
    <w:p w14:paraId="4D5C7F28" w14:textId="77777777" w:rsidR="002E6812" w:rsidRPr="0021593E" w:rsidRDefault="002E6812" w:rsidP="002E6812">
      <w:pPr>
        <w:pStyle w:val="Heading4"/>
        <w:spacing w:before="0" w:line="240" w:lineRule="auto"/>
        <w:rPr>
          <w:rFonts w:ascii="Arial" w:hAnsi="Arial" w:cs="Arial"/>
          <w:i w:val="0"/>
          <w:color w:val="auto"/>
          <w:sz w:val="20"/>
          <w:szCs w:val="20"/>
        </w:rPr>
      </w:pPr>
      <w:r w:rsidRPr="0021593E">
        <w:rPr>
          <w:rFonts w:ascii="Arial" w:hAnsi="Arial" w:cs="Arial"/>
          <w:i w:val="0"/>
          <w:color w:val="auto"/>
          <w:sz w:val="20"/>
          <w:szCs w:val="20"/>
        </w:rPr>
        <w:t>APPLICATIONS TO FIRST TIER TRIBUNAL (MENTAL HEALTH) – PART II PATIENTS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3"/>
        <w:gridCol w:w="1521"/>
        <w:gridCol w:w="2476"/>
        <w:gridCol w:w="2355"/>
        <w:gridCol w:w="2611"/>
        <w:gridCol w:w="2522"/>
      </w:tblGrid>
      <w:tr w:rsidR="002E6812" w:rsidRPr="0021593E" w14:paraId="111B257A" w14:textId="77777777" w:rsidTr="00CB1B59">
        <w:tc>
          <w:tcPr>
            <w:tcW w:w="2501" w:type="dxa"/>
            <w:shd w:val="pct12" w:color="auto" w:fill="auto"/>
          </w:tcPr>
          <w:p w14:paraId="7086FCDE" w14:textId="77777777" w:rsidR="002E6812" w:rsidRPr="0021593E" w:rsidRDefault="002E6812" w:rsidP="00CB1B59">
            <w:pPr>
              <w:spacing w:after="0"/>
              <w:jc w:val="center"/>
              <w:rPr>
                <w:rFonts w:cs="Arial"/>
                <w:sz w:val="20"/>
                <w:szCs w:val="20"/>
              </w:rPr>
            </w:pPr>
            <w:r w:rsidRPr="0021593E">
              <w:rPr>
                <w:rFonts w:cs="Arial"/>
                <w:sz w:val="20"/>
                <w:szCs w:val="20"/>
              </w:rPr>
              <w:t>Category of Admission or Circumstance</w:t>
            </w:r>
          </w:p>
          <w:p w14:paraId="059FBA9A" w14:textId="77777777" w:rsidR="002E6812" w:rsidRPr="0021593E" w:rsidRDefault="002E6812" w:rsidP="00CB1B59">
            <w:pPr>
              <w:spacing w:after="0"/>
              <w:jc w:val="center"/>
              <w:rPr>
                <w:rFonts w:cs="Arial"/>
                <w:sz w:val="20"/>
                <w:szCs w:val="20"/>
              </w:rPr>
            </w:pPr>
          </w:p>
        </w:tc>
        <w:tc>
          <w:tcPr>
            <w:tcW w:w="1525" w:type="dxa"/>
            <w:shd w:val="pct12" w:color="auto" w:fill="auto"/>
          </w:tcPr>
          <w:p w14:paraId="5BC6536D" w14:textId="77777777" w:rsidR="002E6812" w:rsidRPr="0021593E" w:rsidRDefault="002E6812" w:rsidP="00CB1B59">
            <w:pPr>
              <w:spacing w:after="0"/>
              <w:jc w:val="center"/>
              <w:rPr>
                <w:rFonts w:cs="Arial"/>
                <w:sz w:val="20"/>
                <w:szCs w:val="20"/>
              </w:rPr>
            </w:pPr>
            <w:r w:rsidRPr="0021593E">
              <w:rPr>
                <w:rFonts w:cs="Arial"/>
                <w:sz w:val="20"/>
                <w:szCs w:val="20"/>
              </w:rPr>
              <w:t>Maximum Duration</w:t>
            </w:r>
          </w:p>
        </w:tc>
        <w:tc>
          <w:tcPr>
            <w:tcW w:w="2526" w:type="dxa"/>
            <w:shd w:val="pct12" w:color="auto" w:fill="auto"/>
          </w:tcPr>
          <w:p w14:paraId="627B6040" w14:textId="77777777" w:rsidR="002E6812" w:rsidRPr="0021593E" w:rsidRDefault="002E6812" w:rsidP="00CB1B59">
            <w:pPr>
              <w:spacing w:after="0"/>
              <w:jc w:val="center"/>
              <w:rPr>
                <w:rFonts w:cs="Arial"/>
                <w:sz w:val="20"/>
                <w:szCs w:val="20"/>
              </w:rPr>
            </w:pPr>
            <w:r w:rsidRPr="0021593E">
              <w:rPr>
                <w:rFonts w:cs="Arial"/>
                <w:sz w:val="20"/>
                <w:szCs w:val="20"/>
              </w:rPr>
              <w:t>Application to Tribunal by Patient</w:t>
            </w:r>
          </w:p>
        </w:tc>
        <w:tc>
          <w:tcPr>
            <w:tcW w:w="2392" w:type="dxa"/>
            <w:shd w:val="pct12" w:color="auto" w:fill="auto"/>
          </w:tcPr>
          <w:p w14:paraId="3228676B" w14:textId="77777777" w:rsidR="002E6812" w:rsidRPr="0021593E" w:rsidRDefault="002E6812" w:rsidP="00CB1B59">
            <w:pPr>
              <w:spacing w:after="0"/>
              <w:jc w:val="center"/>
              <w:rPr>
                <w:rFonts w:cs="Arial"/>
                <w:sz w:val="20"/>
                <w:szCs w:val="20"/>
              </w:rPr>
            </w:pPr>
            <w:r w:rsidRPr="0021593E">
              <w:rPr>
                <w:rFonts w:cs="Arial"/>
                <w:sz w:val="20"/>
                <w:szCs w:val="20"/>
              </w:rPr>
              <w:t>Application to Tribunal by Nearest Relative</w:t>
            </w:r>
          </w:p>
        </w:tc>
        <w:tc>
          <w:tcPr>
            <w:tcW w:w="2666" w:type="dxa"/>
            <w:shd w:val="pct12" w:color="auto" w:fill="auto"/>
          </w:tcPr>
          <w:p w14:paraId="53144A7D" w14:textId="77777777" w:rsidR="002E6812" w:rsidRPr="0021593E" w:rsidRDefault="002E6812" w:rsidP="00CB1B59">
            <w:pPr>
              <w:spacing w:after="0"/>
              <w:jc w:val="center"/>
              <w:rPr>
                <w:rFonts w:cs="Arial"/>
                <w:sz w:val="20"/>
                <w:szCs w:val="20"/>
              </w:rPr>
            </w:pPr>
            <w:r w:rsidRPr="0021593E">
              <w:rPr>
                <w:rFonts w:cs="Arial"/>
                <w:sz w:val="20"/>
                <w:szCs w:val="20"/>
              </w:rPr>
              <w:t>Automatic Reference by the Hospital Managers (delegated to Mental Health Law staff)</w:t>
            </w:r>
          </w:p>
        </w:tc>
        <w:tc>
          <w:tcPr>
            <w:tcW w:w="2564" w:type="dxa"/>
            <w:shd w:val="pct12" w:color="auto" w:fill="auto"/>
          </w:tcPr>
          <w:p w14:paraId="4C7A7659" w14:textId="77777777" w:rsidR="002E6812" w:rsidRPr="0021593E" w:rsidRDefault="002E6812" w:rsidP="00CB1B59">
            <w:pPr>
              <w:spacing w:after="0"/>
              <w:jc w:val="center"/>
              <w:rPr>
                <w:rFonts w:cs="Arial"/>
                <w:sz w:val="20"/>
                <w:szCs w:val="20"/>
              </w:rPr>
            </w:pPr>
            <w:r w:rsidRPr="0021593E">
              <w:rPr>
                <w:rFonts w:cs="Arial"/>
                <w:sz w:val="20"/>
                <w:szCs w:val="20"/>
              </w:rPr>
              <w:t>Comments</w:t>
            </w:r>
          </w:p>
        </w:tc>
      </w:tr>
      <w:tr w:rsidR="002E6812" w:rsidRPr="0021593E" w14:paraId="6C93151A" w14:textId="77777777" w:rsidTr="00CB1B59">
        <w:trPr>
          <w:trHeight w:val="400"/>
        </w:trPr>
        <w:tc>
          <w:tcPr>
            <w:tcW w:w="2501" w:type="dxa"/>
          </w:tcPr>
          <w:p w14:paraId="5979776F" w14:textId="77777777" w:rsidR="002E6812" w:rsidRPr="0021593E" w:rsidRDefault="002E6812" w:rsidP="00CB1B59">
            <w:pPr>
              <w:pStyle w:val="Footer"/>
              <w:jc w:val="center"/>
              <w:rPr>
                <w:rFonts w:cs="Arial"/>
                <w:b/>
                <w:bCs/>
                <w:sz w:val="20"/>
                <w:szCs w:val="20"/>
              </w:rPr>
            </w:pPr>
            <w:r w:rsidRPr="0021593E">
              <w:rPr>
                <w:rFonts w:cs="Arial"/>
                <w:b/>
                <w:bCs/>
                <w:sz w:val="20"/>
                <w:szCs w:val="20"/>
              </w:rPr>
              <w:t>Admission for Assessment (s.2)</w:t>
            </w:r>
          </w:p>
        </w:tc>
        <w:tc>
          <w:tcPr>
            <w:tcW w:w="1525" w:type="dxa"/>
          </w:tcPr>
          <w:p w14:paraId="23E7CD6B" w14:textId="77777777" w:rsidR="002E6812" w:rsidRPr="0021593E" w:rsidRDefault="002E6812" w:rsidP="00CB1B59">
            <w:pPr>
              <w:spacing w:after="0"/>
              <w:jc w:val="center"/>
              <w:rPr>
                <w:rFonts w:cs="Arial"/>
                <w:sz w:val="20"/>
                <w:szCs w:val="20"/>
              </w:rPr>
            </w:pPr>
            <w:r w:rsidRPr="0021593E">
              <w:rPr>
                <w:rFonts w:cs="Arial"/>
                <w:sz w:val="20"/>
                <w:szCs w:val="20"/>
              </w:rPr>
              <w:t>Up to 28 days</w:t>
            </w:r>
          </w:p>
        </w:tc>
        <w:tc>
          <w:tcPr>
            <w:tcW w:w="2526" w:type="dxa"/>
          </w:tcPr>
          <w:p w14:paraId="0EC05186" w14:textId="77777777" w:rsidR="002E6812" w:rsidRPr="0021593E" w:rsidRDefault="002E6812" w:rsidP="00CB1B59">
            <w:pPr>
              <w:spacing w:after="0"/>
              <w:jc w:val="center"/>
              <w:rPr>
                <w:rFonts w:cs="Arial"/>
                <w:sz w:val="20"/>
                <w:szCs w:val="20"/>
              </w:rPr>
            </w:pPr>
            <w:r w:rsidRPr="0021593E">
              <w:rPr>
                <w:rFonts w:cs="Arial"/>
                <w:sz w:val="20"/>
                <w:szCs w:val="20"/>
              </w:rPr>
              <w:t>Once within first 14 days of admission including any period of detention under section 4</w:t>
            </w:r>
          </w:p>
        </w:tc>
        <w:tc>
          <w:tcPr>
            <w:tcW w:w="2392" w:type="dxa"/>
          </w:tcPr>
          <w:p w14:paraId="03043862" w14:textId="77777777" w:rsidR="002E6812" w:rsidRPr="0021593E" w:rsidRDefault="002E6812" w:rsidP="00CB1B59">
            <w:pPr>
              <w:spacing w:after="0"/>
              <w:jc w:val="center"/>
              <w:rPr>
                <w:rFonts w:cs="Arial"/>
                <w:sz w:val="20"/>
                <w:szCs w:val="20"/>
              </w:rPr>
            </w:pPr>
            <w:r w:rsidRPr="0021593E">
              <w:rPr>
                <w:rFonts w:cs="Arial"/>
                <w:sz w:val="20"/>
                <w:szCs w:val="20"/>
              </w:rPr>
              <w:t>No</w:t>
            </w:r>
          </w:p>
        </w:tc>
        <w:tc>
          <w:tcPr>
            <w:tcW w:w="2666" w:type="dxa"/>
          </w:tcPr>
          <w:p w14:paraId="53F3ABA4" w14:textId="77777777" w:rsidR="002E6812" w:rsidRPr="0021593E" w:rsidRDefault="002E6812" w:rsidP="00CB1B59">
            <w:pPr>
              <w:spacing w:after="0"/>
              <w:jc w:val="center"/>
              <w:rPr>
                <w:rFonts w:cs="Arial"/>
                <w:sz w:val="20"/>
                <w:szCs w:val="20"/>
              </w:rPr>
            </w:pPr>
            <w:r w:rsidRPr="0021593E">
              <w:rPr>
                <w:rFonts w:cs="Arial"/>
                <w:sz w:val="20"/>
                <w:szCs w:val="20"/>
              </w:rPr>
              <w:t>No (but see comments)</w:t>
            </w:r>
          </w:p>
        </w:tc>
        <w:tc>
          <w:tcPr>
            <w:tcW w:w="2564" w:type="dxa"/>
          </w:tcPr>
          <w:p w14:paraId="460C9A95" w14:textId="77777777" w:rsidR="002E6812" w:rsidRPr="0021593E" w:rsidRDefault="002E6812" w:rsidP="00CB1B59">
            <w:pPr>
              <w:spacing w:after="0"/>
              <w:rPr>
                <w:rFonts w:cs="Arial"/>
                <w:sz w:val="20"/>
                <w:szCs w:val="20"/>
              </w:rPr>
            </w:pPr>
            <w:r w:rsidRPr="0021593E">
              <w:rPr>
                <w:rFonts w:cs="Arial"/>
                <w:sz w:val="20"/>
                <w:szCs w:val="20"/>
              </w:rPr>
              <w:t>Hospital Managers have a duty to refer after 6 months to the Tribunal those Section 2 patients whose detention has been extended as a result of an application to the County Court for the displacement of the Nearest Relative. Consideration may also need to be given to making a referral earlier</w:t>
            </w:r>
            <w:r>
              <w:rPr>
                <w:rFonts w:cs="Arial"/>
                <w:sz w:val="20"/>
                <w:szCs w:val="20"/>
              </w:rPr>
              <w:t xml:space="preserve"> via the secretary of state</w:t>
            </w:r>
            <w:r w:rsidRPr="0021593E">
              <w:rPr>
                <w:rFonts w:cs="Arial"/>
                <w:sz w:val="20"/>
                <w:szCs w:val="20"/>
              </w:rPr>
              <w:t xml:space="preserve"> if the patient lacks the capacity to decide to appeal.</w:t>
            </w:r>
          </w:p>
        </w:tc>
      </w:tr>
      <w:tr w:rsidR="002E6812" w:rsidRPr="0021593E" w14:paraId="154F0023" w14:textId="77777777" w:rsidTr="00CB1B59">
        <w:trPr>
          <w:trHeight w:val="1072"/>
        </w:trPr>
        <w:tc>
          <w:tcPr>
            <w:tcW w:w="2501" w:type="dxa"/>
          </w:tcPr>
          <w:p w14:paraId="619D7184" w14:textId="77777777" w:rsidR="002E6812" w:rsidRPr="0021593E" w:rsidRDefault="002E6812" w:rsidP="00CB1B59">
            <w:pPr>
              <w:spacing w:after="0"/>
              <w:jc w:val="center"/>
              <w:rPr>
                <w:rFonts w:cs="Arial"/>
                <w:b/>
                <w:bCs/>
                <w:sz w:val="20"/>
                <w:szCs w:val="20"/>
              </w:rPr>
            </w:pPr>
            <w:r w:rsidRPr="0021593E">
              <w:rPr>
                <w:rFonts w:cs="Arial"/>
                <w:b/>
                <w:bCs/>
                <w:sz w:val="20"/>
                <w:szCs w:val="20"/>
              </w:rPr>
              <w:t>Admission for Treatment (s.3)</w:t>
            </w:r>
          </w:p>
          <w:p w14:paraId="7018C485" w14:textId="77777777" w:rsidR="002E6812" w:rsidRPr="0021593E" w:rsidRDefault="002E6812" w:rsidP="00CB1B59">
            <w:pPr>
              <w:spacing w:after="0"/>
              <w:jc w:val="center"/>
              <w:rPr>
                <w:rFonts w:cs="Arial"/>
                <w:b/>
                <w:bCs/>
                <w:sz w:val="20"/>
                <w:szCs w:val="20"/>
              </w:rPr>
            </w:pPr>
          </w:p>
        </w:tc>
        <w:tc>
          <w:tcPr>
            <w:tcW w:w="1525" w:type="dxa"/>
          </w:tcPr>
          <w:p w14:paraId="01380DEB" w14:textId="77777777" w:rsidR="002E6812" w:rsidRPr="0021593E" w:rsidRDefault="002E6812" w:rsidP="00CB1B59">
            <w:pPr>
              <w:spacing w:after="0"/>
              <w:jc w:val="center"/>
              <w:rPr>
                <w:rFonts w:cs="Arial"/>
                <w:sz w:val="20"/>
                <w:szCs w:val="20"/>
              </w:rPr>
            </w:pPr>
            <w:r w:rsidRPr="0021593E">
              <w:rPr>
                <w:rFonts w:cs="Arial"/>
                <w:sz w:val="20"/>
                <w:szCs w:val="20"/>
              </w:rPr>
              <w:t>Up to 6 months, can be renewed for 6 months and 12 months thereafter</w:t>
            </w:r>
          </w:p>
        </w:tc>
        <w:tc>
          <w:tcPr>
            <w:tcW w:w="2526" w:type="dxa"/>
          </w:tcPr>
          <w:p w14:paraId="5E7A9D8D" w14:textId="77777777" w:rsidR="002E6812" w:rsidRPr="0021593E" w:rsidRDefault="002E6812" w:rsidP="00CB1B59">
            <w:pPr>
              <w:spacing w:after="0"/>
              <w:jc w:val="center"/>
              <w:rPr>
                <w:rFonts w:cs="Arial"/>
                <w:sz w:val="20"/>
                <w:szCs w:val="20"/>
              </w:rPr>
            </w:pPr>
            <w:r w:rsidRPr="0021593E">
              <w:rPr>
                <w:rFonts w:cs="Arial"/>
                <w:sz w:val="20"/>
                <w:szCs w:val="20"/>
              </w:rPr>
              <w:t>Once within first 6 months, once within second 6 months and once in each 12 month period thereafter</w:t>
            </w:r>
          </w:p>
        </w:tc>
        <w:tc>
          <w:tcPr>
            <w:tcW w:w="2392" w:type="dxa"/>
          </w:tcPr>
          <w:p w14:paraId="20FB185F" w14:textId="77777777" w:rsidR="002E6812" w:rsidRPr="0021593E" w:rsidRDefault="002E6812" w:rsidP="00CB1B59">
            <w:pPr>
              <w:spacing w:after="0"/>
              <w:jc w:val="center"/>
              <w:rPr>
                <w:rFonts w:cs="Arial"/>
                <w:sz w:val="20"/>
                <w:szCs w:val="20"/>
              </w:rPr>
            </w:pPr>
            <w:r w:rsidRPr="0021593E">
              <w:rPr>
                <w:rFonts w:cs="Arial"/>
                <w:sz w:val="20"/>
                <w:szCs w:val="20"/>
              </w:rPr>
              <w:t>No</w:t>
            </w:r>
          </w:p>
        </w:tc>
        <w:tc>
          <w:tcPr>
            <w:tcW w:w="2666" w:type="dxa"/>
          </w:tcPr>
          <w:p w14:paraId="5BE2B3E6" w14:textId="77777777" w:rsidR="002E6812" w:rsidRPr="0021593E" w:rsidRDefault="002E6812" w:rsidP="00CB1B59">
            <w:pPr>
              <w:spacing w:after="0"/>
              <w:rPr>
                <w:rFonts w:cs="Arial"/>
                <w:sz w:val="20"/>
                <w:szCs w:val="20"/>
              </w:rPr>
            </w:pPr>
            <w:r w:rsidRPr="0021593E">
              <w:rPr>
                <w:rFonts w:cs="Arial"/>
                <w:sz w:val="20"/>
                <w:szCs w:val="20"/>
              </w:rPr>
              <w:t>If Tribunal have not heard case in first 6 months (Including any time under section 2). Also if Tribunal has not heard case for 3 years (1 year if a child under 18)</w:t>
            </w:r>
          </w:p>
        </w:tc>
        <w:tc>
          <w:tcPr>
            <w:tcW w:w="2564" w:type="dxa"/>
          </w:tcPr>
          <w:p w14:paraId="231C7205" w14:textId="77777777" w:rsidR="002E6812" w:rsidRPr="0021593E" w:rsidRDefault="002E6812" w:rsidP="00CB1B59">
            <w:pPr>
              <w:spacing w:after="0"/>
              <w:rPr>
                <w:rFonts w:cs="Arial"/>
                <w:sz w:val="20"/>
                <w:szCs w:val="20"/>
              </w:rPr>
            </w:pPr>
          </w:p>
        </w:tc>
      </w:tr>
      <w:tr w:rsidR="002E6812" w:rsidRPr="0021593E" w14:paraId="6FAB92F3" w14:textId="77777777" w:rsidTr="00C97D86">
        <w:trPr>
          <w:trHeight w:val="865"/>
        </w:trPr>
        <w:tc>
          <w:tcPr>
            <w:tcW w:w="2501" w:type="dxa"/>
          </w:tcPr>
          <w:p w14:paraId="12C4FBC9" w14:textId="77777777" w:rsidR="002E6812" w:rsidRPr="0021593E" w:rsidRDefault="002E6812" w:rsidP="00C97D86">
            <w:pPr>
              <w:spacing w:after="0"/>
              <w:jc w:val="center"/>
              <w:rPr>
                <w:rFonts w:cs="Arial"/>
                <w:b/>
                <w:bCs/>
                <w:sz w:val="20"/>
                <w:szCs w:val="20"/>
              </w:rPr>
            </w:pPr>
            <w:r w:rsidRPr="0021593E">
              <w:rPr>
                <w:rFonts w:cs="Arial"/>
                <w:b/>
                <w:bCs/>
                <w:sz w:val="20"/>
                <w:szCs w:val="20"/>
              </w:rPr>
              <w:t>Emergency admission (s.4)</w:t>
            </w:r>
          </w:p>
        </w:tc>
        <w:tc>
          <w:tcPr>
            <w:tcW w:w="1525" w:type="dxa"/>
          </w:tcPr>
          <w:p w14:paraId="29FC02EC" w14:textId="77777777" w:rsidR="002E6812" w:rsidRPr="0021593E" w:rsidRDefault="002E6812" w:rsidP="00CB1B59">
            <w:pPr>
              <w:spacing w:after="0"/>
              <w:jc w:val="center"/>
              <w:rPr>
                <w:rFonts w:cs="Arial"/>
                <w:sz w:val="20"/>
                <w:szCs w:val="20"/>
              </w:rPr>
            </w:pPr>
            <w:r w:rsidRPr="0021593E">
              <w:rPr>
                <w:rFonts w:cs="Arial"/>
                <w:sz w:val="20"/>
                <w:szCs w:val="20"/>
              </w:rPr>
              <w:t>Up to 72 hours</w:t>
            </w:r>
          </w:p>
        </w:tc>
        <w:tc>
          <w:tcPr>
            <w:tcW w:w="2526" w:type="dxa"/>
          </w:tcPr>
          <w:p w14:paraId="4408D45A" w14:textId="77777777" w:rsidR="002E6812" w:rsidRPr="0021593E" w:rsidRDefault="002E6812" w:rsidP="00CB1B59">
            <w:pPr>
              <w:spacing w:after="0"/>
              <w:jc w:val="center"/>
              <w:rPr>
                <w:rFonts w:cs="Arial"/>
                <w:sz w:val="20"/>
                <w:szCs w:val="20"/>
              </w:rPr>
            </w:pPr>
            <w:r w:rsidRPr="0021593E">
              <w:rPr>
                <w:rFonts w:cs="Arial"/>
                <w:sz w:val="20"/>
                <w:szCs w:val="20"/>
              </w:rPr>
              <w:t>See section 2 above</w:t>
            </w:r>
          </w:p>
        </w:tc>
        <w:tc>
          <w:tcPr>
            <w:tcW w:w="2392" w:type="dxa"/>
          </w:tcPr>
          <w:p w14:paraId="21C75883" w14:textId="77777777" w:rsidR="002E6812" w:rsidRPr="0021593E" w:rsidRDefault="002E6812" w:rsidP="00CB1B59">
            <w:pPr>
              <w:spacing w:after="0"/>
              <w:jc w:val="center"/>
              <w:rPr>
                <w:rFonts w:cs="Arial"/>
                <w:sz w:val="20"/>
                <w:szCs w:val="20"/>
              </w:rPr>
            </w:pPr>
            <w:r w:rsidRPr="0021593E">
              <w:rPr>
                <w:rFonts w:cs="Arial"/>
                <w:sz w:val="20"/>
                <w:szCs w:val="20"/>
              </w:rPr>
              <w:t>No</w:t>
            </w:r>
          </w:p>
        </w:tc>
        <w:tc>
          <w:tcPr>
            <w:tcW w:w="2666" w:type="dxa"/>
          </w:tcPr>
          <w:p w14:paraId="779B6EEE" w14:textId="77777777" w:rsidR="002E6812" w:rsidRPr="0021593E" w:rsidRDefault="002E6812" w:rsidP="00CB1B59">
            <w:pPr>
              <w:spacing w:after="0"/>
              <w:jc w:val="center"/>
              <w:rPr>
                <w:rFonts w:cs="Arial"/>
                <w:sz w:val="20"/>
                <w:szCs w:val="20"/>
              </w:rPr>
            </w:pPr>
            <w:r w:rsidRPr="0021593E">
              <w:rPr>
                <w:rFonts w:cs="Arial"/>
                <w:sz w:val="20"/>
                <w:szCs w:val="20"/>
              </w:rPr>
              <w:t>No</w:t>
            </w:r>
          </w:p>
        </w:tc>
        <w:tc>
          <w:tcPr>
            <w:tcW w:w="2564" w:type="dxa"/>
          </w:tcPr>
          <w:p w14:paraId="20FB9C65" w14:textId="77777777" w:rsidR="002E6812" w:rsidRPr="0021593E" w:rsidRDefault="002E6812" w:rsidP="00CB1B59">
            <w:pPr>
              <w:spacing w:after="0"/>
              <w:rPr>
                <w:rFonts w:cs="Arial"/>
                <w:sz w:val="20"/>
                <w:szCs w:val="20"/>
              </w:rPr>
            </w:pPr>
          </w:p>
        </w:tc>
      </w:tr>
      <w:tr w:rsidR="002E6812" w:rsidRPr="0021593E" w14:paraId="2730F499" w14:textId="77777777" w:rsidTr="00CB1B59">
        <w:trPr>
          <w:trHeight w:val="459"/>
        </w:trPr>
        <w:tc>
          <w:tcPr>
            <w:tcW w:w="2501" w:type="dxa"/>
          </w:tcPr>
          <w:p w14:paraId="24316053" w14:textId="77777777" w:rsidR="002E6812" w:rsidRPr="0021593E" w:rsidRDefault="002E6812" w:rsidP="00CB1B59">
            <w:pPr>
              <w:spacing w:after="0"/>
              <w:jc w:val="center"/>
              <w:rPr>
                <w:rFonts w:cs="Arial"/>
                <w:b/>
                <w:bCs/>
                <w:sz w:val="20"/>
                <w:szCs w:val="20"/>
              </w:rPr>
            </w:pPr>
            <w:r w:rsidRPr="0021593E">
              <w:rPr>
                <w:rFonts w:cs="Arial"/>
                <w:b/>
                <w:bCs/>
                <w:sz w:val="20"/>
                <w:szCs w:val="20"/>
              </w:rPr>
              <w:t>Doctor’s holding power (s.5(2))</w:t>
            </w:r>
          </w:p>
        </w:tc>
        <w:tc>
          <w:tcPr>
            <w:tcW w:w="1525" w:type="dxa"/>
          </w:tcPr>
          <w:p w14:paraId="1549274C" w14:textId="77777777" w:rsidR="002E6812" w:rsidRPr="0021593E" w:rsidRDefault="002E6812" w:rsidP="00CB1B59">
            <w:pPr>
              <w:spacing w:after="0"/>
              <w:jc w:val="center"/>
              <w:rPr>
                <w:rFonts w:cs="Arial"/>
                <w:sz w:val="20"/>
                <w:szCs w:val="20"/>
              </w:rPr>
            </w:pPr>
            <w:r w:rsidRPr="0021593E">
              <w:rPr>
                <w:rFonts w:cs="Arial"/>
                <w:sz w:val="20"/>
                <w:szCs w:val="20"/>
              </w:rPr>
              <w:t>Up to 72 hours</w:t>
            </w:r>
          </w:p>
        </w:tc>
        <w:tc>
          <w:tcPr>
            <w:tcW w:w="2526" w:type="dxa"/>
          </w:tcPr>
          <w:p w14:paraId="32754B9A" w14:textId="77777777" w:rsidR="002E6812" w:rsidRPr="0021593E" w:rsidRDefault="002E6812" w:rsidP="00CB1B59">
            <w:pPr>
              <w:spacing w:after="0"/>
              <w:jc w:val="center"/>
              <w:rPr>
                <w:rFonts w:cs="Arial"/>
                <w:sz w:val="20"/>
                <w:szCs w:val="20"/>
              </w:rPr>
            </w:pPr>
            <w:r w:rsidRPr="0021593E">
              <w:rPr>
                <w:rFonts w:cs="Arial"/>
                <w:sz w:val="20"/>
                <w:szCs w:val="20"/>
              </w:rPr>
              <w:t>No</w:t>
            </w:r>
          </w:p>
        </w:tc>
        <w:tc>
          <w:tcPr>
            <w:tcW w:w="2392" w:type="dxa"/>
          </w:tcPr>
          <w:p w14:paraId="58E2273D" w14:textId="77777777" w:rsidR="002E6812" w:rsidRPr="0021593E" w:rsidRDefault="002E6812" w:rsidP="00CB1B59">
            <w:pPr>
              <w:spacing w:after="0"/>
              <w:jc w:val="center"/>
              <w:rPr>
                <w:rFonts w:cs="Arial"/>
                <w:sz w:val="20"/>
                <w:szCs w:val="20"/>
              </w:rPr>
            </w:pPr>
            <w:r w:rsidRPr="0021593E">
              <w:rPr>
                <w:rFonts w:cs="Arial"/>
                <w:sz w:val="20"/>
                <w:szCs w:val="20"/>
              </w:rPr>
              <w:t>No</w:t>
            </w:r>
          </w:p>
        </w:tc>
        <w:tc>
          <w:tcPr>
            <w:tcW w:w="2666" w:type="dxa"/>
          </w:tcPr>
          <w:p w14:paraId="77083642" w14:textId="77777777" w:rsidR="002E6812" w:rsidRPr="0021593E" w:rsidRDefault="002E6812" w:rsidP="00CB1B59">
            <w:pPr>
              <w:spacing w:after="0"/>
              <w:jc w:val="center"/>
              <w:rPr>
                <w:rFonts w:cs="Arial"/>
                <w:sz w:val="20"/>
                <w:szCs w:val="20"/>
              </w:rPr>
            </w:pPr>
            <w:r w:rsidRPr="0021593E">
              <w:rPr>
                <w:rFonts w:cs="Arial"/>
                <w:sz w:val="20"/>
                <w:szCs w:val="20"/>
              </w:rPr>
              <w:t>No</w:t>
            </w:r>
          </w:p>
        </w:tc>
        <w:tc>
          <w:tcPr>
            <w:tcW w:w="2564" w:type="dxa"/>
          </w:tcPr>
          <w:p w14:paraId="11167FC9" w14:textId="77777777" w:rsidR="002E6812" w:rsidRPr="0021593E" w:rsidRDefault="002E6812" w:rsidP="00CB1B59">
            <w:pPr>
              <w:spacing w:after="0"/>
              <w:rPr>
                <w:rFonts w:cs="Arial"/>
                <w:sz w:val="20"/>
                <w:szCs w:val="20"/>
              </w:rPr>
            </w:pPr>
          </w:p>
        </w:tc>
      </w:tr>
      <w:tr w:rsidR="002E6812" w:rsidRPr="0021593E" w14:paraId="7C10DBEC" w14:textId="77777777" w:rsidTr="00CB1B59">
        <w:trPr>
          <w:trHeight w:val="459"/>
        </w:trPr>
        <w:tc>
          <w:tcPr>
            <w:tcW w:w="2501" w:type="dxa"/>
          </w:tcPr>
          <w:p w14:paraId="1C245C5D" w14:textId="77777777" w:rsidR="002E6812" w:rsidRPr="0021593E" w:rsidRDefault="002E6812" w:rsidP="00CB1B59">
            <w:pPr>
              <w:spacing w:after="0"/>
              <w:jc w:val="center"/>
              <w:rPr>
                <w:rFonts w:cs="Arial"/>
                <w:b/>
                <w:bCs/>
                <w:sz w:val="20"/>
                <w:szCs w:val="20"/>
              </w:rPr>
            </w:pPr>
            <w:r w:rsidRPr="0021593E">
              <w:rPr>
                <w:rFonts w:cs="Arial"/>
                <w:b/>
                <w:bCs/>
                <w:sz w:val="20"/>
                <w:szCs w:val="20"/>
              </w:rPr>
              <w:t>Nurse’s holding power (s.5(4))</w:t>
            </w:r>
          </w:p>
          <w:p w14:paraId="39F819E7" w14:textId="77777777" w:rsidR="002E6812" w:rsidRPr="0021593E" w:rsidRDefault="002E6812" w:rsidP="00CB1B59">
            <w:pPr>
              <w:spacing w:after="0"/>
              <w:jc w:val="center"/>
              <w:rPr>
                <w:rFonts w:cs="Arial"/>
                <w:b/>
                <w:bCs/>
                <w:sz w:val="20"/>
                <w:szCs w:val="20"/>
              </w:rPr>
            </w:pPr>
          </w:p>
        </w:tc>
        <w:tc>
          <w:tcPr>
            <w:tcW w:w="1525" w:type="dxa"/>
          </w:tcPr>
          <w:p w14:paraId="7E067CA5" w14:textId="77777777" w:rsidR="002E6812" w:rsidRPr="0021593E" w:rsidRDefault="002E6812" w:rsidP="00CB1B59">
            <w:pPr>
              <w:spacing w:after="0"/>
              <w:jc w:val="center"/>
              <w:rPr>
                <w:rFonts w:cs="Arial"/>
                <w:sz w:val="20"/>
                <w:szCs w:val="20"/>
              </w:rPr>
            </w:pPr>
            <w:r w:rsidRPr="0021593E">
              <w:rPr>
                <w:rFonts w:cs="Arial"/>
                <w:sz w:val="20"/>
                <w:szCs w:val="20"/>
              </w:rPr>
              <w:t>Up to 6 hours</w:t>
            </w:r>
          </w:p>
        </w:tc>
        <w:tc>
          <w:tcPr>
            <w:tcW w:w="2526" w:type="dxa"/>
          </w:tcPr>
          <w:p w14:paraId="59E8BBF4" w14:textId="77777777" w:rsidR="002E6812" w:rsidRPr="0021593E" w:rsidRDefault="002E6812" w:rsidP="00CB1B59">
            <w:pPr>
              <w:spacing w:after="0"/>
              <w:jc w:val="center"/>
              <w:rPr>
                <w:rFonts w:cs="Arial"/>
                <w:sz w:val="20"/>
                <w:szCs w:val="20"/>
              </w:rPr>
            </w:pPr>
            <w:r w:rsidRPr="0021593E">
              <w:rPr>
                <w:rFonts w:cs="Arial"/>
                <w:sz w:val="20"/>
                <w:szCs w:val="20"/>
              </w:rPr>
              <w:t>No</w:t>
            </w:r>
          </w:p>
        </w:tc>
        <w:tc>
          <w:tcPr>
            <w:tcW w:w="2392" w:type="dxa"/>
          </w:tcPr>
          <w:p w14:paraId="507F5CC7" w14:textId="77777777" w:rsidR="002E6812" w:rsidRPr="0021593E" w:rsidRDefault="002E6812" w:rsidP="00CB1B59">
            <w:pPr>
              <w:spacing w:after="0"/>
              <w:jc w:val="center"/>
              <w:rPr>
                <w:rFonts w:cs="Arial"/>
                <w:sz w:val="20"/>
                <w:szCs w:val="20"/>
              </w:rPr>
            </w:pPr>
            <w:r w:rsidRPr="0021593E">
              <w:rPr>
                <w:rFonts w:cs="Arial"/>
                <w:sz w:val="20"/>
                <w:szCs w:val="20"/>
              </w:rPr>
              <w:t>No</w:t>
            </w:r>
          </w:p>
        </w:tc>
        <w:tc>
          <w:tcPr>
            <w:tcW w:w="2666" w:type="dxa"/>
          </w:tcPr>
          <w:p w14:paraId="41170FAA" w14:textId="77777777" w:rsidR="002E6812" w:rsidRPr="0021593E" w:rsidRDefault="002E6812" w:rsidP="00CB1B59">
            <w:pPr>
              <w:spacing w:after="0"/>
              <w:jc w:val="center"/>
              <w:rPr>
                <w:rFonts w:cs="Arial"/>
                <w:sz w:val="20"/>
                <w:szCs w:val="20"/>
              </w:rPr>
            </w:pPr>
            <w:r w:rsidRPr="0021593E">
              <w:rPr>
                <w:rFonts w:cs="Arial"/>
                <w:sz w:val="20"/>
                <w:szCs w:val="20"/>
              </w:rPr>
              <w:t>No</w:t>
            </w:r>
          </w:p>
        </w:tc>
        <w:tc>
          <w:tcPr>
            <w:tcW w:w="2564" w:type="dxa"/>
          </w:tcPr>
          <w:p w14:paraId="2CC0D0A4" w14:textId="77777777" w:rsidR="002E6812" w:rsidRPr="0021593E" w:rsidRDefault="002E6812" w:rsidP="00CB1B59">
            <w:pPr>
              <w:spacing w:after="0"/>
              <w:rPr>
                <w:rFonts w:cs="Arial"/>
                <w:sz w:val="20"/>
                <w:szCs w:val="20"/>
              </w:rPr>
            </w:pPr>
          </w:p>
        </w:tc>
      </w:tr>
      <w:tr w:rsidR="002E6812" w:rsidRPr="0021593E" w14:paraId="7A6448C6" w14:textId="77777777" w:rsidTr="00CB1B59">
        <w:trPr>
          <w:trHeight w:val="361"/>
        </w:trPr>
        <w:tc>
          <w:tcPr>
            <w:tcW w:w="2501" w:type="dxa"/>
          </w:tcPr>
          <w:p w14:paraId="2DD1DD5A" w14:textId="77777777" w:rsidR="002E6812" w:rsidRPr="0021593E" w:rsidRDefault="002E6812" w:rsidP="00CB1B59">
            <w:pPr>
              <w:spacing w:after="0"/>
              <w:jc w:val="center"/>
              <w:rPr>
                <w:rFonts w:cs="Arial"/>
                <w:b/>
                <w:bCs/>
                <w:sz w:val="20"/>
                <w:szCs w:val="20"/>
              </w:rPr>
            </w:pPr>
            <w:r w:rsidRPr="0021593E">
              <w:rPr>
                <w:rFonts w:cs="Arial"/>
                <w:b/>
                <w:bCs/>
                <w:sz w:val="20"/>
                <w:szCs w:val="20"/>
              </w:rPr>
              <w:t>Guardianship (s.7)</w:t>
            </w:r>
          </w:p>
        </w:tc>
        <w:tc>
          <w:tcPr>
            <w:tcW w:w="1525" w:type="dxa"/>
          </w:tcPr>
          <w:p w14:paraId="67259FD5" w14:textId="77777777" w:rsidR="002E6812" w:rsidRPr="0021593E" w:rsidRDefault="002E6812" w:rsidP="00CB1B59">
            <w:pPr>
              <w:spacing w:after="0"/>
              <w:jc w:val="center"/>
              <w:rPr>
                <w:rFonts w:cs="Arial"/>
                <w:sz w:val="20"/>
                <w:szCs w:val="20"/>
              </w:rPr>
            </w:pPr>
            <w:r w:rsidRPr="0021593E">
              <w:rPr>
                <w:rFonts w:cs="Arial"/>
                <w:sz w:val="20"/>
                <w:szCs w:val="20"/>
              </w:rPr>
              <w:t>Up to 6 months, can be renewed for 6 months and every 12 months thereafter</w:t>
            </w:r>
          </w:p>
        </w:tc>
        <w:tc>
          <w:tcPr>
            <w:tcW w:w="2526" w:type="dxa"/>
          </w:tcPr>
          <w:p w14:paraId="29719BED" w14:textId="77777777" w:rsidR="002E6812" w:rsidRPr="0021593E" w:rsidRDefault="002E6812" w:rsidP="00CB1B59">
            <w:pPr>
              <w:spacing w:after="0"/>
              <w:jc w:val="center"/>
              <w:rPr>
                <w:rFonts w:cs="Arial"/>
                <w:sz w:val="20"/>
                <w:szCs w:val="20"/>
              </w:rPr>
            </w:pPr>
            <w:r w:rsidRPr="0021593E">
              <w:rPr>
                <w:rFonts w:cs="Arial"/>
                <w:sz w:val="20"/>
                <w:szCs w:val="20"/>
              </w:rPr>
              <w:t>Once within first 6 months, once within second 6 months and once in each 12 month period thereafter</w:t>
            </w:r>
          </w:p>
          <w:p w14:paraId="06779C02" w14:textId="77777777" w:rsidR="002E6812" w:rsidRPr="0021593E" w:rsidRDefault="002E6812" w:rsidP="00CB1B59">
            <w:pPr>
              <w:spacing w:after="0"/>
              <w:jc w:val="center"/>
              <w:rPr>
                <w:rFonts w:cs="Arial"/>
                <w:sz w:val="20"/>
                <w:szCs w:val="20"/>
              </w:rPr>
            </w:pPr>
          </w:p>
        </w:tc>
        <w:tc>
          <w:tcPr>
            <w:tcW w:w="2392" w:type="dxa"/>
          </w:tcPr>
          <w:p w14:paraId="35A8A217" w14:textId="77777777" w:rsidR="002E6812" w:rsidRPr="0021593E" w:rsidRDefault="002E6812" w:rsidP="00CB1B59">
            <w:pPr>
              <w:spacing w:after="0"/>
              <w:jc w:val="center"/>
              <w:rPr>
                <w:rFonts w:cs="Arial"/>
                <w:sz w:val="20"/>
                <w:szCs w:val="20"/>
              </w:rPr>
            </w:pPr>
          </w:p>
          <w:p w14:paraId="215F0A06" w14:textId="77777777" w:rsidR="002E6812" w:rsidRPr="0021593E" w:rsidRDefault="002E6812" w:rsidP="00CB1B59">
            <w:pPr>
              <w:spacing w:after="0"/>
              <w:jc w:val="center"/>
              <w:rPr>
                <w:rFonts w:cs="Arial"/>
                <w:sz w:val="20"/>
                <w:szCs w:val="20"/>
              </w:rPr>
            </w:pPr>
            <w:r w:rsidRPr="0021593E">
              <w:rPr>
                <w:rFonts w:cs="Arial"/>
                <w:sz w:val="20"/>
                <w:szCs w:val="20"/>
              </w:rPr>
              <w:t>No</w:t>
            </w:r>
          </w:p>
        </w:tc>
        <w:tc>
          <w:tcPr>
            <w:tcW w:w="2666" w:type="dxa"/>
          </w:tcPr>
          <w:p w14:paraId="56104E76" w14:textId="77777777" w:rsidR="002E6812" w:rsidRPr="0021593E" w:rsidRDefault="002E6812" w:rsidP="00CB1B59">
            <w:pPr>
              <w:spacing w:after="0"/>
              <w:jc w:val="center"/>
              <w:rPr>
                <w:rFonts w:cs="Arial"/>
                <w:sz w:val="20"/>
                <w:szCs w:val="20"/>
              </w:rPr>
            </w:pPr>
          </w:p>
          <w:p w14:paraId="4A9EED3E" w14:textId="77777777" w:rsidR="002E6812" w:rsidRPr="0021593E" w:rsidRDefault="002E6812" w:rsidP="00CB1B59">
            <w:pPr>
              <w:spacing w:after="0"/>
              <w:jc w:val="center"/>
              <w:rPr>
                <w:rFonts w:cs="Arial"/>
                <w:sz w:val="20"/>
                <w:szCs w:val="20"/>
              </w:rPr>
            </w:pPr>
            <w:r w:rsidRPr="0021593E">
              <w:rPr>
                <w:rFonts w:cs="Arial"/>
                <w:sz w:val="20"/>
                <w:szCs w:val="20"/>
              </w:rPr>
              <w:t>No</w:t>
            </w:r>
          </w:p>
        </w:tc>
        <w:tc>
          <w:tcPr>
            <w:tcW w:w="2564" w:type="dxa"/>
          </w:tcPr>
          <w:p w14:paraId="4E003E56" w14:textId="77777777" w:rsidR="002E6812" w:rsidRPr="0021593E" w:rsidRDefault="002E6812" w:rsidP="00CB1B59">
            <w:pPr>
              <w:spacing w:after="0"/>
              <w:rPr>
                <w:rFonts w:cs="Arial"/>
                <w:sz w:val="20"/>
                <w:szCs w:val="20"/>
              </w:rPr>
            </w:pPr>
          </w:p>
        </w:tc>
      </w:tr>
      <w:tr w:rsidR="002E6812" w:rsidRPr="0021593E" w14:paraId="0E035C11" w14:textId="77777777" w:rsidTr="00CB1B59">
        <w:trPr>
          <w:trHeight w:val="878"/>
        </w:trPr>
        <w:tc>
          <w:tcPr>
            <w:tcW w:w="2501" w:type="dxa"/>
          </w:tcPr>
          <w:p w14:paraId="7448C478" w14:textId="77777777" w:rsidR="002E6812" w:rsidRPr="0021593E" w:rsidRDefault="002E6812" w:rsidP="00CB1B59">
            <w:pPr>
              <w:spacing w:after="0"/>
              <w:jc w:val="center"/>
              <w:rPr>
                <w:rFonts w:cs="Arial"/>
                <w:b/>
                <w:bCs/>
                <w:sz w:val="20"/>
                <w:szCs w:val="20"/>
              </w:rPr>
            </w:pPr>
            <w:r w:rsidRPr="0021593E">
              <w:rPr>
                <w:rFonts w:cs="Arial"/>
                <w:b/>
                <w:bCs/>
                <w:sz w:val="20"/>
                <w:szCs w:val="20"/>
              </w:rPr>
              <w:t>Patient transferred from guardianship to hospital (s.19)</w:t>
            </w:r>
          </w:p>
          <w:p w14:paraId="26A62934" w14:textId="77777777" w:rsidR="002E6812" w:rsidRPr="0021593E" w:rsidRDefault="002E6812" w:rsidP="00CB1B59">
            <w:pPr>
              <w:spacing w:after="0"/>
              <w:jc w:val="center"/>
              <w:rPr>
                <w:rFonts w:cs="Arial"/>
                <w:b/>
                <w:bCs/>
                <w:sz w:val="20"/>
                <w:szCs w:val="20"/>
              </w:rPr>
            </w:pPr>
          </w:p>
        </w:tc>
        <w:tc>
          <w:tcPr>
            <w:tcW w:w="1525" w:type="dxa"/>
          </w:tcPr>
          <w:p w14:paraId="4F87823C" w14:textId="77777777" w:rsidR="002E6812" w:rsidRPr="0021593E" w:rsidRDefault="002E6812" w:rsidP="00CB1B59">
            <w:pPr>
              <w:spacing w:after="0"/>
              <w:jc w:val="center"/>
              <w:rPr>
                <w:rFonts w:cs="Arial"/>
                <w:sz w:val="20"/>
                <w:szCs w:val="20"/>
              </w:rPr>
            </w:pPr>
            <w:r w:rsidRPr="0021593E">
              <w:rPr>
                <w:rFonts w:cs="Arial"/>
                <w:sz w:val="20"/>
                <w:szCs w:val="20"/>
              </w:rPr>
              <w:t>Remainder of original duration under Guardianship then as section 3 above</w:t>
            </w:r>
          </w:p>
        </w:tc>
        <w:tc>
          <w:tcPr>
            <w:tcW w:w="2526" w:type="dxa"/>
          </w:tcPr>
          <w:p w14:paraId="1C9C298A" w14:textId="77777777" w:rsidR="002E6812" w:rsidRPr="0021593E" w:rsidRDefault="002E6812" w:rsidP="00CB1B59">
            <w:pPr>
              <w:spacing w:after="0"/>
              <w:jc w:val="center"/>
              <w:rPr>
                <w:rFonts w:cs="Arial"/>
                <w:sz w:val="20"/>
                <w:szCs w:val="20"/>
              </w:rPr>
            </w:pPr>
            <w:r w:rsidRPr="0021593E">
              <w:rPr>
                <w:rFonts w:cs="Arial"/>
                <w:sz w:val="20"/>
                <w:szCs w:val="20"/>
              </w:rPr>
              <w:t>Once within the initial period and once in each period thereafter.</w:t>
            </w:r>
          </w:p>
        </w:tc>
        <w:tc>
          <w:tcPr>
            <w:tcW w:w="2392" w:type="dxa"/>
          </w:tcPr>
          <w:p w14:paraId="2DF262A2" w14:textId="77777777" w:rsidR="002E6812" w:rsidRPr="0021593E" w:rsidRDefault="002E6812" w:rsidP="00CB1B59">
            <w:pPr>
              <w:spacing w:after="0"/>
              <w:jc w:val="center"/>
              <w:rPr>
                <w:rFonts w:cs="Arial"/>
                <w:sz w:val="20"/>
                <w:szCs w:val="20"/>
              </w:rPr>
            </w:pPr>
          </w:p>
          <w:p w14:paraId="46BEAFFA" w14:textId="77777777" w:rsidR="002E6812" w:rsidRPr="0021593E" w:rsidRDefault="002E6812" w:rsidP="00CB1B59">
            <w:pPr>
              <w:spacing w:after="0"/>
              <w:jc w:val="center"/>
              <w:rPr>
                <w:rFonts w:cs="Arial"/>
                <w:sz w:val="20"/>
                <w:szCs w:val="20"/>
              </w:rPr>
            </w:pPr>
            <w:r w:rsidRPr="0021593E">
              <w:rPr>
                <w:rFonts w:cs="Arial"/>
                <w:sz w:val="20"/>
                <w:szCs w:val="20"/>
              </w:rPr>
              <w:t>No</w:t>
            </w:r>
          </w:p>
        </w:tc>
        <w:tc>
          <w:tcPr>
            <w:tcW w:w="2666" w:type="dxa"/>
          </w:tcPr>
          <w:p w14:paraId="1C71DC78" w14:textId="77777777" w:rsidR="002E6812" w:rsidRPr="0021593E" w:rsidRDefault="002E6812" w:rsidP="00CB1B59">
            <w:pPr>
              <w:spacing w:after="0"/>
              <w:rPr>
                <w:rFonts w:cs="Arial"/>
                <w:sz w:val="20"/>
                <w:szCs w:val="20"/>
              </w:rPr>
            </w:pPr>
            <w:r w:rsidRPr="0021593E">
              <w:rPr>
                <w:rFonts w:cs="Arial"/>
                <w:sz w:val="20"/>
                <w:szCs w:val="20"/>
              </w:rPr>
              <w:t>If Tribunal have not heard case in first 6 months. Also if Tribunal has not heard case for 3 years (1 year if a child under 18)</w:t>
            </w:r>
          </w:p>
        </w:tc>
        <w:tc>
          <w:tcPr>
            <w:tcW w:w="2564" w:type="dxa"/>
          </w:tcPr>
          <w:p w14:paraId="5723A87B" w14:textId="77777777" w:rsidR="002E6812" w:rsidRPr="0021593E" w:rsidRDefault="002E6812" w:rsidP="00CB1B59">
            <w:pPr>
              <w:spacing w:after="0"/>
              <w:jc w:val="center"/>
              <w:rPr>
                <w:rFonts w:cs="Arial"/>
                <w:sz w:val="20"/>
                <w:szCs w:val="20"/>
              </w:rPr>
            </w:pPr>
          </w:p>
        </w:tc>
      </w:tr>
      <w:tr w:rsidR="002E6812" w:rsidRPr="0021593E" w14:paraId="6FE20EBE" w14:textId="77777777" w:rsidTr="00CB1B59">
        <w:trPr>
          <w:trHeight w:val="522"/>
        </w:trPr>
        <w:tc>
          <w:tcPr>
            <w:tcW w:w="2501" w:type="dxa"/>
          </w:tcPr>
          <w:p w14:paraId="31EFA270" w14:textId="77777777" w:rsidR="002E6812" w:rsidRPr="0021593E" w:rsidRDefault="002E6812" w:rsidP="00CB1B59">
            <w:pPr>
              <w:spacing w:after="0"/>
              <w:jc w:val="center"/>
              <w:rPr>
                <w:rFonts w:cs="Arial"/>
                <w:b/>
                <w:bCs/>
                <w:sz w:val="20"/>
                <w:szCs w:val="20"/>
              </w:rPr>
            </w:pPr>
            <w:r w:rsidRPr="0021593E">
              <w:rPr>
                <w:rFonts w:cs="Arial"/>
                <w:b/>
                <w:bCs/>
                <w:sz w:val="20"/>
                <w:szCs w:val="20"/>
              </w:rPr>
              <w:t>Nearest relative barred from discharging patient (s.25)</w:t>
            </w:r>
          </w:p>
          <w:p w14:paraId="5137673F" w14:textId="77777777" w:rsidR="002E6812" w:rsidRPr="0021593E" w:rsidRDefault="002E6812" w:rsidP="00CB1B59">
            <w:pPr>
              <w:spacing w:after="0"/>
              <w:jc w:val="center"/>
              <w:rPr>
                <w:rFonts w:cs="Arial"/>
                <w:b/>
                <w:bCs/>
                <w:sz w:val="20"/>
                <w:szCs w:val="20"/>
              </w:rPr>
            </w:pPr>
          </w:p>
        </w:tc>
        <w:tc>
          <w:tcPr>
            <w:tcW w:w="1525" w:type="dxa"/>
          </w:tcPr>
          <w:p w14:paraId="5580BD71" w14:textId="77777777" w:rsidR="002E6812" w:rsidRPr="0021593E" w:rsidRDefault="002E6812" w:rsidP="00CB1B59">
            <w:pPr>
              <w:spacing w:after="0"/>
              <w:jc w:val="center"/>
              <w:rPr>
                <w:rFonts w:cs="Arial"/>
                <w:sz w:val="20"/>
                <w:szCs w:val="20"/>
              </w:rPr>
            </w:pPr>
          </w:p>
        </w:tc>
        <w:tc>
          <w:tcPr>
            <w:tcW w:w="2526" w:type="dxa"/>
          </w:tcPr>
          <w:p w14:paraId="46F084EC" w14:textId="77777777" w:rsidR="002E6812" w:rsidRPr="0021593E" w:rsidRDefault="002E6812" w:rsidP="00CB1B59">
            <w:pPr>
              <w:spacing w:after="0"/>
              <w:jc w:val="center"/>
              <w:rPr>
                <w:rFonts w:cs="Arial"/>
                <w:sz w:val="20"/>
                <w:szCs w:val="20"/>
              </w:rPr>
            </w:pPr>
            <w:r w:rsidRPr="0021593E">
              <w:rPr>
                <w:rFonts w:cs="Arial"/>
                <w:sz w:val="20"/>
                <w:szCs w:val="20"/>
              </w:rPr>
              <w:t>No</w:t>
            </w:r>
          </w:p>
        </w:tc>
        <w:tc>
          <w:tcPr>
            <w:tcW w:w="2392" w:type="dxa"/>
          </w:tcPr>
          <w:p w14:paraId="142828A7" w14:textId="77777777" w:rsidR="002E6812" w:rsidRPr="0021593E" w:rsidRDefault="002E6812" w:rsidP="00CB1B59">
            <w:pPr>
              <w:spacing w:after="0"/>
              <w:jc w:val="center"/>
              <w:rPr>
                <w:rFonts w:cs="Arial"/>
                <w:sz w:val="20"/>
                <w:szCs w:val="20"/>
              </w:rPr>
            </w:pPr>
            <w:r w:rsidRPr="0021593E">
              <w:rPr>
                <w:rFonts w:cs="Arial"/>
                <w:sz w:val="20"/>
                <w:szCs w:val="20"/>
              </w:rPr>
              <w:t>s.2 – No</w:t>
            </w:r>
          </w:p>
          <w:p w14:paraId="63AC5D1E" w14:textId="77777777" w:rsidR="002E6812" w:rsidRPr="0021593E" w:rsidRDefault="002E6812" w:rsidP="00CB1B59">
            <w:pPr>
              <w:spacing w:after="0"/>
              <w:jc w:val="center"/>
              <w:rPr>
                <w:rFonts w:cs="Arial"/>
                <w:sz w:val="20"/>
                <w:szCs w:val="20"/>
              </w:rPr>
            </w:pPr>
            <w:r w:rsidRPr="0021593E">
              <w:rPr>
                <w:rFonts w:cs="Arial"/>
                <w:sz w:val="20"/>
                <w:szCs w:val="20"/>
              </w:rPr>
              <w:t>s.3 – within 28 days of barring report</w:t>
            </w:r>
          </w:p>
        </w:tc>
        <w:tc>
          <w:tcPr>
            <w:tcW w:w="2666" w:type="dxa"/>
          </w:tcPr>
          <w:p w14:paraId="667D288E" w14:textId="77777777" w:rsidR="002E6812" w:rsidRPr="0021593E" w:rsidRDefault="002E6812" w:rsidP="00CB1B59">
            <w:pPr>
              <w:spacing w:after="0"/>
              <w:jc w:val="center"/>
              <w:rPr>
                <w:rFonts w:cs="Arial"/>
                <w:sz w:val="20"/>
                <w:szCs w:val="20"/>
              </w:rPr>
            </w:pPr>
          </w:p>
          <w:p w14:paraId="6A89B590" w14:textId="77777777" w:rsidR="002E6812" w:rsidRPr="0021593E" w:rsidRDefault="002E6812" w:rsidP="00CB1B59">
            <w:pPr>
              <w:spacing w:after="0"/>
              <w:jc w:val="center"/>
              <w:rPr>
                <w:rFonts w:cs="Arial"/>
                <w:sz w:val="20"/>
                <w:szCs w:val="20"/>
              </w:rPr>
            </w:pPr>
            <w:r w:rsidRPr="0021593E">
              <w:rPr>
                <w:rFonts w:cs="Arial"/>
                <w:sz w:val="20"/>
                <w:szCs w:val="20"/>
              </w:rPr>
              <w:t>No</w:t>
            </w:r>
          </w:p>
        </w:tc>
        <w:tc>
          <w:tcPr>
            <w:tcW w:w="2564" w:type="dxa"/>
          </w:tcPr>
          <w:p w14:paraId="40073752" w14:textId="77777777" w:rsidR="002E6812" w:rsidRPr="0021593E" w:rsidRDefault="002E6812" w:rsidP="00CB1B59">
            <w:pPr>
              <w:spacing w:after="0"/>
              <w:jc w:val="center"/>
              <w:rPr>
                <w:rFonts w:cs="Arial"/>
                <w:sz w:val="20"/>
                <w:szCs w:val="20"/>
              </w:rPr>
            </w:pPr>
          </w:p>
        </w:tc>
      </w:tr>
      <w:tr w:rsidR="002E6812" w:rsidRPr="0021593E" w14:paraId="187BE65A" w14:textId="77777777" w:rsidTr="00CB1B59">
        <w:trPr>
          <w:trHeight w:val="692"/>
        </w:trPr>
        <w:tc>
          <w:tcPr>
            <w:tcW w:w="2501" w:type="dxa"/>
          </w:tcPr>
          <w:p w14:paraId="4E5C7394" w14:textId="77777777" w:rsidR="002E6812" w:rsidRPr="0021593E" w:rsidRDefault="002E6812" w:rsidP="00CB1B59">
            <w:pPr>
              <w:spacing w:after="0"/>
              <w:jc w:val="center"/>
              <w:rPr>
                <w:rFonts w:cs="Arial"/>
                <w:b/>
                <w:bCs/>
                <w:sz w:val="20"/>
                <w:szCs w:val="20"/>
              </w:rPr>
            </w:pPr>
            <w:r w:rsidRPr="0021593E">
              <w:rPr>
                <w:rFonts w:cs="Arial"/>
                <w:b/>
                <w:bCs/>
                <w:sz w:val="20"/>
                <w:szCs w:val="20"/>
              </w:rPr>
              <w:t>Nearest Relative displaced by County Court (s.29(3) (c) or (d))</w:t>
            </w:r>
          </w:p>
          <w:p w14:paraId="4BCAC59D" w14:textId="77777777" w:rsidR="002E6812" w:rsidRPr="0021593E" w:rsidRDefault="002E6812" w:rsidP="00CB1B59">
            <w:pPr>
              <w:spacing w:after="0"/>
              <w:jc w:val="center"/>
              <w:rPr>
                <w:rFonts w:cs="Arial"/>
                <w:b/>
                <w:bCs/>
                <w:sz w:val="20"/>
                <w:szCs w:val="20"/>
              </w:rPr>
            </w:pPr>
          </w:p>
        </w:tc>
        <w:tc>
          <w:tcPr>
            <w:tcW w:w="1525" w:type="dxa"/>
          </w:tcPr>
          <w:p w14:paraId="3D0BF180" w14:textId="77777777" w:rsidR="002E6812" w:rsidRPr="0021593E" w:rsidRDefault="002E6812" w:rsidP="00CB1B59">
            <w:pPr>
              <w:spacing w:after="0"/>
              <w:jc w:val="center"/>
              <w:rPr>
                <w:rFonts w:cs="Arial"/>
                <w:sz w:val="20"/>
                <w:szCs w:val="20"/>
              </w:rPr>
            </w:pPr>
          </w:p>
        </w:tc>
        <w:tc>
          <w:tcPr>
            <w:tcW w:w="2526" w:type="dxa"/>
          </w:tcPr>
          <w:p w14:paraId="0E3C90B2" w14:textId="77777777" w:rsidR="002E6812" w:rsidRPr="0021593E" w:rsidRDefault="002E6812" w:rsidP="00CB1B59">
            <w:pPr>
              <w:spacing w:after="0"/>
              <w:jc w:val="center"/>
              <w:rPr>
                <w:rFonts w:cs="Arial"/>
                <w:sz w:val="20"/>
                <w:szCs w:val="20"/>
              </w:rPr>
            </w:pPr>
            <w:r w:rsidRPr="0021593E">
              <w:rPr>
                <w:rFonts w:cs="Arial"/>
                <w:sz w:val="20"/>
                <w:szCs w:val="20"/>
              </w:rPr>
              <w:t>No</w:t>
            </w:r>
          </w:p>
        </w:tc>
        <w:tc>
          <w:tcPr>
            <w:tcW w:w="2392" w:type="dxa"/>
          </w:tcPr>
          <w:p w14:paraId="4487C44C" w14:textId="77777777" w:rsidR="002E6812" w:rsidRPr="0021593E" w:rsidRDefault="002E6812" w:rsidP="00CB1B59">
            <w:pPr>
              <w:spacing w:after="0"/>
              <w:jc w:val="center"/>
              <w:rPr>
                <w:rFonts w:cs="Arial"/>
                <w:sz w:val="20"/>
                <w:szCs w:val="20"/>
              </w:rPr>
            </w:pPr>
            <w:r w:rsidRPr="0021593E">
              <w:rPr>
                <w:rFonts w:cs="Arial"/>
                <w:sz w:val="20"/>
                <w:szCs w:val="20"/>
              </w:rPr>
              <w:t>Once within the first year following displacement and in each subsequent year</w:t>
            </w:r>
          </w:p>
        </w:tc>
        <w:tc>
          <w:tcPr>
            <w:tcW w:w="2666" w:type="dxa"/>
          </w:tcPr>
          <w:p w14:paraId="278263F7" w14:textId="77777777" w:rsidR="002E6812" w:rsidRPr="0021593E" w:rsidRDefault="002E6812" w:rsidP="00CB1B59">
            <w:pPr>
              <w:spacing w:after="0"/>
              <w:jc w:val="center"/>
              <w:rPr>
                <w:rFonts w:cs="Arial"/>
                <w:sz w:val="20"/>
                <w:szCs w:val="20"/>
              </w:rPr>
            </w:pPr>
          </w:p>
          <w:p w14:paraId="5041B1BA" w14:textId="77777777" w:rsidR="002E6812" w:rsidRPr="0021593E" w:rsidRDefault="002E6812" w:rsidP="00CB1B59">
            <w:pPr>
              <w:spacing w:after="0"/>
              <w:jc w:val="center"/>
              <w:rPr>
                <w:rFonts w:cs="Arial"/>
                <w:sz w:val="20"/>
                <w:szCs w:val="20"/>
              </w:rPr>
            </w:pPr>
            <w:r w:rsidRPr="0021593E">
              <w:rPr>
                <w:rFonts w:cs="Arial"/>
                <w:sz w:val="20"/>
                <w:szCs w:val="20"/>
              </w:rPr>
              <w:t>No</w:t>
            </w:r>
          </w:p>
        </w:tc>
        <w:tc>
          <w:tcPr>
            <w:tcW w:w="2564" w:type="dxa"/>
          </w:tcPr>
          <w:p w14:paraId="034C12DA" w14:textId="77777777" w:rsidR="002E6812" w:rsidRPr="0021593E" w:rsidRDefault="002E6812" w:rsidP="00CB1B59">
            <w:pPr>
              <w:spacing w:after="0"/>
              <w:jc w:val="center"/>
              <w:rPr>
                <w:rFonts w:cs="Arial"/>
                <w:sz w:val="20"/>
                <w:szCs w:val="20"/>
              </w:rPr>
            </w:pPr>
          </w:p>
        </w:tc>
      </w:tr>
      <w:tr w:rsidR="002E6812" w:rsidRPr="0021593E" w14:paraId="1B44A811" w14:textId="77777777" w:rsidTr="00C368BE">
        <w:trPr>
          <w:trHeight w:val="1725"/>
        </w:trPr>
        <w:tc>
          <w:tcPr>
            <w:tcW w:w="2501" w:type="dxa"/>
          </w:tcPr>
          <w:p w14:paraId="6440C42A" w14:textId="77777777" w:rsidR="002E6812" w:rsidRPr="0021593E" w:rsidRDefault="002E6812" w:rsidP="00CB1B59">
            <w:pPr>
              <w:spacing w:after="0"/>
              <w:jc w:val="center"/>
              <w:rPr>
                <w:rFonts w:cs="Arial"/>
                <w:b/>
                <w:bCs/>
                <w:sz w:val="20"/>
                <w:szCs w:val="20"/>
              </w:rPr>
            </w:pPr>
            <w:r w:rsidRPr="0021593E">
              <w:rPr>
                <w:rFonts w:cs="Arial"/>
                <w:b/>
                <w:bCs/>
                <w:sz w:val="20"/>
                <w:szCs w:val="20"/>
              </w:rPr>
              <w:t>Patients subject to Community Treatment Orders (s.17A)</w:t>
            </w:r>
          </w:p>
        </w:tc>
        <w:tc>
          <w:tcPr>
            <w:tcW w:w="1525" w:type="dxa"/>
          </w:tcPr>
          <w:p w14:paraId="23B27C51" w14:textId="77777777" w:rsidR="002E6812" w:rsidRPr="0021593E" w:rsidRDefault="002E6812" w:rsidP="00CB1B59">
            <w:pPr>
              <w:spacing w:after="0"/>
              <w:jc w:val="center"/>
              <w:rPr>
                <w:rFonts w:cs="Arial"/>
                <w:sz w:val="20"/>
                <w:szCs w:val="20"/>
              </w:rPr>
            </w:pPr>
            <w:r w:rsidRPr="0021593E">
              <w:rPr>
                <w:rFonts w:cs="Arial"/>
                <w:sz w:val="20"/>
                <w:szCs w:val="20"/>
              </w:rPr>
              <w:t>Up to 6 months, can be renewed for 6 months and every 12 months thereafter</w:t>
            </w:r>
          </w:p>
          <w:p w14:paraId="1157E8F9" w14:textId="77777777" w:rsidR="002E6812" w:rsidRPr="0021593E" w:rsidRDefault="002E6812" w:rsidP="00CB1B59">
            <w:pPr>
              <w:spacing w:after="0"/>
              <w:jc w:val="center"/>
              <w:rPr>
                <w:rFonts w:cs="Arial"/>
                <w:sz w:val="20"/>
                <w:szCs w:val="20"/>
              </w:rPr>
            </w:pPr>
          </w:p>
        </w:tc>
        <w:tc>
          <w:tcPr>
            <w:tcW w:w="2526" w:type="dxa"/>
          </w:tcPr>
          <w:p w14:paraId="74915F1D" w14:textId="77777777" w:rsidR="002E6812" w:rsidRPr="0021593E" w:rsidRDefault="002E6812" w:rsidP="00CB1B59">
            <w:pPr>
              <w:spacing w:after="0"/>
              <w:jc w:val="center"/>
              <w:rPr>
                <w:rFonts w:cs="Arial"/>
                <w:sz w:val="20"/>
                <w:szCs w:val="20"/>
              </w:rPr>
            </w:pPr>
            <w:r w:rsidRPr="0021593E">
              <w:rPr>
                <w:rFonts w:cs="Arial"/>
                <w:sz w:val="20"/>
                <w:szCs w:val="20"/>
              </w:rPr>
              <w:t>Once within first 6 months, once within second 6 months and once in each 12 month period thereafter. If the order is revoked, see section 3.</w:t>
            </w:r>
          </w:p>
        </w:tc>
        <w:tc>
          <w:tcPr>
            <w:tcW w:w="2392" w:type="dxa"/>
          </w:tcPr>
          <w:p w14:paraId="07FAC064" w14:textId="77777777" w:rsidR="002E6812" w:rsidRPr="0021593E" w:rsidRDefault="002E6812" w:rsidP="00CB1B59">
            <w:pPr>
              <w:spacing w:after="0"/>
              <w:jc w:val="center"/>
              <w:rPr>
                <w:rFonts w:cs="Arial"/>
                <w:sz w:val="20"/>
                <w:szCs w:val="20"/>
              </w:rPr>
            </w:pPr>
            <w:r w:rsidRPr="0021593E">
              <w:rPr>
                <w:rFonts w:cs="Arial"/>
                <w:sz w:val="20"/>
                <w:szCs w:val="20"/>
              </w:rPr>
              <w:t>No</w:t>
            </w:r>
          </w:p>
        </w:tc>
        <w:tc>
          <w:tcPr>
            <w:tcW w:w="2666" w:type="dxa"/>
          </w:tcPr>
          <w:p w14:paraId="39B382B0" w14:textId="77777777" w:rsidR="002E6812" w:rsidRPr="0021593E" w:rsidRDefault="002E6812" w:rsidP="00CB1B59">
            <w:pPr>
              <w:spacing w:after="0"/>
              <w:rPr>
                <w:rFonts w:cs="Arial"/>
                <w:sz w:val="20"/>
                <w:szCs w:val="20"/>
              </w:rPr>
            </w:pPr>
            <w:r w:rsidRPr="0021593E">
              <w:rPr>
                <w:rFonts w:cs="Arial"/>
                <w:sz w:val="20"/>
                <w:szCs w:val="20"/>
              </w:rPr>
              <w:t>If the order is revoked</w:t>
            </w:r>
            <w:r>
              <w:rPr>
                <w:rFonts w:cs="Arial"/>
                <w:sz w:val="20"/>
                <w:szCs w:val="20"/>
              </w:rPr>
              <w:t>,</w:t>
            </w:r>
            <w:r w:rsidRPr="0021593E">
              <w:rPr>
                <w:rFonts w:cs="Arial"/>
                <w:sz w:val="20"/>
                <w:szCs w:val="20"/>
              </w:rPr>
              <w:t xml:space="preserve"> or on renewal if Tribunal have not heard case in first 6 months (Including any time under detention). Also if Tribunal has not considered case for 3 years (1 year if a child under 18)</w:t>
            </w:r>
          </w:p>
        </w:tc>
        <w:tc>
          <w:tcPr>
            <w:tcW w:w="2564" w:type="dxa"/>
          </w:tcPr>
          <w:p w14:paraId="36A962EB" w14:textId="77777777" w:rsidR="002E6812" w:rsidRPr="0021593E" w:rsidRDefault="002E6812" w:rsidP="00CB1B59">
            <w:pPr>
              <w:spacing w:after="0"/>
              <w:jc w:val="center"/>
              <w:rPr>
                <w:rFonts w:cs="Arial"/>
                <w:sz w:val="20"/>
                <w:szCs w:val="20"/>
              </w:rPr>
            </w:pPr>
          </w:p>
        </w:tc>
      </w:tr>
    </w:tbl>
    <w:p w14:paraId="33F04DB9" w14:textId="77777777" w:rsidR="002E6812" w:rsidRPr="0021593E" w:rsidRDefault="002E6812" w:rsidP="002E6812">
      <w:pPr>
        <w:pStyle w:val="NormalWeb"/>
        <w:spacing w:before="0" w:beforeAutospacing="0" w:after="0" w:afterAutospacing="0"/>
        <w:rPr>
          <w:rFonts w:ascii="Arial" w:hAnsi="Arial" w:cs="Arial"/>
          <w:b/>
          <w:bCs/>
          <w:sz w:val="20"/>
          <w:szCs w:val="20"/>
        </w:rPr>
        <w:sectPr w:rsidR="002E6812" w:rsidRPr="0021593E" w:rsidSect="00CB1B59">
          <w:footerReference w:type="even" r:id="rId21"/>
          <w:footerReference w:type="default" r:id="rId22"/>
          <w:pgSz w:w="16838" w:h="11906" w:orient="landscape"/>
          <w:pgMar w:top="719" w:right="1440" w:bottom="1797" w:left="1440" w:header="708" w:footer="708" w:gutter="0"/>
          <w:cols w:space="708"/>
          <w:docGrid w:linePitch="360"/>
        </w:sectPr>
      </w:pPr>
    </w:p>
    <w:p w14:paraId="24E278DE" w14:textId="77777777" w:rsidR="002E6812" w:rsidRPr="0021593E" w:rsidRDefault="002E6812" w:rsidP="002E6812">
      <w:pPr>
        <w:pStyle w:val="Heading4"/>
        <w:spacing w:before="0" w:line="240" w:lineRule="auto"/>
        <w:rPr>
          <w:rFonts w:ascii="Arial" w:hAnsi="Arial" w:cs="Arial"/>
          <w:i w:val="0"/>
          <w:color w:val="auto"/>
          <w:sz w:val="20"/>
          <w:szCs w:val="20"/>
        </w:rPr>
      </w:pPr>
      <w:r w:rsidRPr="0021593E">
        <w:rPr>
          <w:rFonts w:ascii="Arial" w:hAnsi="Arial" w:cs="Arial"/>
          <w:i w:val="0"/>
          <w:color w:val="auto"/>
          <w:sz w:val="20"/>
          <w:szCs w:val="20"/>
        </w:rPr>
        <w:t>APPLICATION TO FIRST TIER TRIBUNAL (MENTAL HEALTH) – PART III PATIENTS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6"/>
        <w:gridCol w:w="1938"/>
        <w:gridCol w:w="2622"/>
        <w:gridCol w:w="2452"/>
        <w:gridCol w:w="2280"/>
        <w:gridCol w:w="2260"/>
      </w:tblGrid>
      <w:tr w:rsidR="002E6812" w:rsidRPr="0021593E" w14:paraId="0DF52BBB" w14:textId="77777777" w:rsidTr="00CB1B59">
        <w:tc>
          <w:tcPr>
            <w:tcW w:w="2426" w:type="dxa"/>
            <w:shd w:val="pct12" w:color="auto" w:fill="auto"/>
          </w:tcPr>
          <w:p w14:paraId="1F439B24" w14:textId="77777777" w:rsidR="002E6812" w:rsidRPr="0021593E" w:rsidRDefault="002E6812" w:rsidP="00CB1B59">
            <w:pPr>
              <w:spacing w:after="0"/>
              <w:jc w:val="center"/>
              <w:rPr>
                <w:rFonts w:cs="Arial"/>
                <w:sz w:val="20"/>
                <w:szCs w:val="20"/>
              </w:rPr>
            </w:pPr>
            <w:r w:rsidRPr="0021593E">
              <w:rPr>
                <w:rFonts w:cs="Arial"/>
                <w:sz w:val="20"/>
                <w:szCs w:val="20"/>
              </w:rPr>
              <w:t>Category of Admission</w:t>
            </w:r>
          </w:p>
          <w:p w14:paraId="7FA37A48" w14:textId="77777777" w:rsidR="002E6812" w:rsidRPr="0021593E" w:rsidRDefault="002E6812" w:rsidP="00CB1B59">
            <w:pPr>
              <w:spacing w:after="0"/>
              <w:jc w:val="center"/>
              <w:rPr>
                <w:rFonts w:cs="Arial"/>
                <w:sz w:val="20"/>
                <w:szCs w:val="20"/>
              </w:rPr>
            </w:pPr>
          </w:p>
        </w:tc>
        <w:tc>
          <w:tcPr>
            <w:tcW w:w="1964" w:type="dxa"/>
            <w:shd w:val="pct12" w:color="auto" w:fill="auto"/>
          </w:tcPr>
          <w:p w14:paraId="3D9723ED" w14:textId="77777777" w:rsidR="002E6812" w:rsidRPr="0021593E" w:rsidRDefault="002E6812" w:rsidP="00CB1B59">
            <w:pPr>
              <w:spacing w:after="0"/>
              <w:jc w:val="center"/>
              <w:rPr>
                <w:rFonts w:cs="Arial"/>
                <w:sz w:val="20"/>
                <w:szCs w:val="20"/>
              </w:rPr>
            </w:pPr>
            <w:r w:rsidRPr="0021593E">
              <w:rPr>
                <w:rFonts w:cs="Arial"/>
                <w:sz w:val="20"/>
                <w:szCs w:val="20"/>
              </w:rPr>
              <w:t>Maximum Duration</w:t>
            </w:r>
          </w:p>
        </w:tc>
        <w:tc>
          <w:tcPr>
            <w:tcW w:w="2672" w:type="dxa"/>
            <w:shd w:val="pct12" w:color="auto" w:fill="auto"/>
          </w:tcPr>
          <w:p w14:paraId="6A4A1A08" w14:textId="77777777" w:rsidR="002E6812" w:rsidRPr="0021593E" w:rsidRDefault="002E6812" w:rsidP="00CB1B59">
            <w:pPr>
              <w:spacing w:after="0"/>
              <w:jc w:val="center"/>
              <w:rPr>
                <w:rFonts w:cs="Arial"/>
                <w:sz w:val="20"/>
                <w:szCs w:val="20"/>
              </w:rPr>
            </w:pPr>
            <w:r w:rsidRPr="0021593E">
              <w:rPr>
                <w:rFonts w:cs="Arial"/>
                <w:sz w:val="20"/>
                <w:szCs w:val="20"/>
              </w:rPr>
              <w:t>Application to Tribunal by Patient</w:t>
            </w:r>
          </w:p>
        </w:tc>
        <w:tc>
          <w:tcPr>
            <w:tcW w:w="2496" w:type="dxa"/>
            <w:shd w:val="pct12" w:color="auto" w:fill="auto"/>
          </w:tcPr>
          <w:p w14:paraId="37D58411" w14:textId="77777777" w:rsidR="002E6812" w:rsidRPr="0021593E" w:rsidRDefault="002E6812" w:rsidP="00CB1B59">
            <w:pPr>
              <w:spacing w:after="0"/>
              <w:jc w:val="center"/>
              <w:rPr>
                <w:rFonts w:cs="Arial"/>
                <w:sz w:val="20"/>
                <w:szCs w:val="20"/>
              </w:rPr>
            </w:pPr>
            <w:r w:rsidRPr="0021593E">
              <w:rPr>
                <w:rFonts w:cs="Arial"/>
                <w:sz w:val="20"/>
                <w:szCs w:val="20"/>
              </w:rPr>
              <w:t>Application to Tribunal by Nearest Relative</w:t>
            </w:r>
          </w:p>
        </w:tc>
        <w:tc>
          <w:tcPr>
            <w:tcW w:w="2318" w:type="dxa"/>
            <w:shd w:val="pct12" w:color="auto" w:fill="auto"/>
          </w:tcPr>
          <w:p w14:paraId="15384DE1" w14:textId="77777777" w:rsidR="002E6812" w:rsidRPr="0021593E" w:rsidRDefault="002E6812" w:rsidP="00CB1B59">
            <w:pPr>
              <w:spacing w:after="0"/>
              <w:jc w:val="center"/>
              <w:rPr>
                <w:rFonts w:cs="Arial"/>
                <w:sz w:val="20"/>
                <w:szCs w:val="20"/>
              </w:rPr>
            </w:pPr>
            <w:r w:rsidRPr="0021593E">
              <w:rPr>
                <w:rFonts w:cs="Arial"/>
                <w:sz w:val="20"/>
                <w:szCs w:val="20"/>
              </w:rPr>
              <w:t>Automatic Reference by the Hospital Managers</w:t>
            </w:r>
          </w:p>
        </w:tc>
        <w:tc>
          <w:tcPr>
            <w:tcW w:w="2298" w:type="dxa"/>
            <w:shd w:val="pct12" w:color="auto" w:fill="auto"/>
          </w:tcPr>
          <w:p w14:paraId="2C107214" w14:textId="77777777" w:rsidR="002E6812" w:rsidRPr="0021593E" w:rsidRDefault="002E6812" w:rsidP="00CB1B59">
            <w:pPr>
              <w:spacing w:after="0"/>
              <w:jc w:val="center"/>
              <w:rPr>
                <w:rFonts w:cs="Arial"/>
                <w:sz w:val="20"/>
                <w:szCs w:val="20"/>
              </w:rPr>
            </w:pPr>
            <w:r w:rsidRPr="0021593E">
              <w:rPr>
                <w:rFonts w:cs="Arial"/>
                <w:sz w:val="20"/>
                <w:szCs w:val="20"/>
              </w:rPr>
              <w:t>Comments</w:t>
            </w:r>
          </w:p>
        </w:tc>
      </w:tr>
      <w:tr w:rsidR="002E6812" w:rsidRPr="0021593E" w14:paraId="243FEC89" w14:textId="77777777" w:rsidTr="00CB1B59">
        <w:trPr>
          <w:trHeight w:val="307"/>
        </w:trPr>
        <w:tc>
          <w:tcPr>
            <w:tcW w:w="2426" w:type="dxa"/>
          </w:tcPr>
          <w:p w14:paraId="119B5CD5" w14:textId="77777777" w:rsidR="002E6812" w:rsidRPr="0021593E" w:rsidRDefault="002E6812" w:rsidP="00CB1B59">
            <w:pPr>
              <w:pStyle w:val="Footer"/>
              <w:jc w:val="center"/>
              <w:rPr>
                <w:rFonts w:cs="Arial"/>
                <w:b/>
                <w:bCs/>
                <w:sz w:val="20"/>
                <w:szCs w:val="20"/>
              </w:rPr>
            </w:pPr>
            <w:r w:rsidRPr="0021593E">
              <w:rPr>
                <w:rFonts w:cs="Arial"/>
                <w:b/>
                <w:bCs/>
                <w:sz w:val="20"/>
                <w:szCs w:val="20"/>
              </w:rPr>
              <w:t>Remand, Interim Hospital and Committal Orders (ss. 35, 36, 38, 44)</w:t>
            </w:r>
          </w:p>
          <w:p w14:paraId="10451E30" w14:textId="77777777" w:rsidR="002E6812" w:rsidRPr="0021593E" w:rsidRDefault="002E6812" w:rsidP="00CB1B59">
            <w:pPr>
              <w:pStyle w:val="Footer"/>
              <w:jc w:val="center"/>
              <w:rPr>
                <w:rFonts w:cs="Arial"/>
                <w:b/>
                <w:bCs/>
                <w:sz w:val="20"/>
                <w:szCs w:val="20"/>
              </w:rPr>
            </w:pPr>
          </w:p>
        </w:tc>
        <w:tc>
          <w:tcPr>
            <w:tcW w:w="1964" w:type="dxa"/>
          </w:tcPr>
          <w:p w14:paraId="46A3E3DD" w14:textId="77777777" w:rsidR="002E6812" w:rsidRPr="0021593E" w:rsidRDefault="002E6812" w:rsidP="00CB1B59">
            <w:pPr>
              <w:spacing w:after="0"/>
              <w:jc w:val="center"/>
              <w:rPr>
                <w:rFonts w:cs="Arial"/>
                <w:sz w:val="20"/>
                <w:szCs w:val="20"/>
              </w:rPr>
            </w:pPr>
            <w:r w:rsidRPr="0021593E">
              <w:rPr>
                <w:rFonts w:cs="Arial"/>
                <w:sz w:val="20"/>
                <w:szCs w:val="20"/>
              </w:rPr>
              <w:t>Variable</w:t>
            </w:r>
          </w:p>
          <w:p w14:paraId="1869799E" w14:textId="77777777" w:rsidR="002E6812" w:rsidRPr="0021593E" w:rsidRDefault="002E6812" w:rsidP="00CB1B59">
            <w:pPr>
              <w:spacing w:after="0"/>
              <w:jc w:val="center"/>
              <w:rPr>
                <w:rFonts w:cs="Arial"/>
                <w:sz w:val="20"/>
                <w:szCs w:val="20"/>
              </w:rPr>
            </w:pPr>
          </w:p>
        </w:tc>
        <w:tc>
          <w:tcPr>
            <w:tcW w:w="2672" w:type="dxa"/>
          </w:tcPr>
          <w:p w14:paraId="216B5E32" w14:textId="77777777" w:rsidR="002E6812" w:rsidRPr="0021593E" w:rsidRDefault="002E6812" w:rsidP="00CB1B59">
            <w:pPr>
              <w:spacing w:after="0"/>
              <w:jc w:val="center"/>
              <w:rPr>
                <w:rFonts w:cs="Arial"/>
                <w:sz w:val="20"/>
                <w:szCs w:val="20"/>
              </w:rPr>
            </w:pPr>
            <w:r w:rsidRPr="0021593E">
              <w:rPr>
                <w:rFonts w:cs="Arial"/>
                <w:sz w:val="20"/>
                <w:szCs w:val="20"/>
              </w:rPr>
              <w:t>No</w:t>
            </w:r>
          </w:p>
        </w:tc>
        <w:tc>
          <w:tcPr>
            <w:tcW w:w="2496" w:type="dxa"/>
          </w:tcPr>
          <w:p w14:paraId="2F0955B1" w14:textId="77777777" w:rsidR="002E6812" w:rsidRPr="0021593E" w:rsidRDefault="002E6812" w:rsidP="00CB1B59">
            <w:pPr>
              <w:spacing w:after="0"/>
              <w:jc w:val="center"/>
              <w:rPr>
                <w:rFonts w:cs="Arial"/>
                <w:sz w:val="20"/>
                <w:szCs w:val="20"/>
              </w:rPr>
            </w:pPr>
            <w:r w:rsidRPr="0021593E">
              <w:rPr>
                <w:rFonts w:cs="Arial"/>
                <w:sz w:val="20"/>
                <w:szCs w:val="20"/>
              </w:rPr>
              <w:t>No</w:t>
            </w:r>
          </w:p>
        </w:tc>
        <w:tc>
          <w:tcPr>
            <w:tcW w:w="2318" w:type="dxa"/>
          </w:tcPr>
          <w:p w14:paraId="1429439E" w14:textId="77777777" w:rsidR="002E6812" w:rsidRPr="0021593E" w:rsidRDefault="002E6812" w:rsidP="00CB1B59">
            <w:pPr>
              <w:spacing w:after="0"/>
              <w:jc w:val="center"/>
              <w:rPr>
                <w:rFonts w:cs="Arial"/>
                <w:sz w:val="20"/>
                <w:szCs w:val="20"/>
              </w:rPr>
            </w:pPr>
            <w:r w:rsidRPr="0021593E">
              <w:rPr>
                <w:rFonts w:cs="Arial"/>
                <w:sz w:val="20"/>
                <w:szCs w:val="20"/>
              </w:rPr>
              <w:t>No</w:t>
            </w:r>
          </w:p>
        </w:tc>
        <w:tc>
          <w:tcPr>
            <w:tcW w:w="2298" w:type="dxa"/>
          </w:tcPr>
          <w:p w14:paraId="0E13AF7C" w14:textId="77777777" w:rsidR="002E6812" w:rsidRPr="0021593E" w:rsidRDefault="002E6812" w:rsidP="00CB1B59">
            <w:pPr>
              <w:spacing w:after="0"/>
              <w:jc w:val="center"/>
              <w:rPr>
                <w:rFonts w:cs="Arial"/>
                <w:sz w:val="20"/>
                <w:szCs w:val="20"/>
              </w:rPr>
            </w:pPr>
          </w:p>
        </w:tc>
      </w:tr>
      <w:tr w:rsidR="002E6812" w:rsidRPr="0021593E" w14:paraId="3C4C7331" w14:textId="77777777" w:rsidTr="00CB1B59">
        <w:trPr>
          <w:trHeight w:val="883"/>
        </w:trPr>
        <w:tc>
          <w:tcPr>
            <w:tcW w:w="2426" w:type="dxa"/>
          </w:tcPr>
          <w:p w14:paraId="4361F7FF" w14:textId="77777777" w:rsidR="002E6812" w:rsidRPr="0021593E" w:rsidRDefault="002E6812" w:rsidP="00CB1B59">
            <w:pPr>
              <w:spacing w:after="0"/>
              <w:jc w:val="center"/>
              <w:rPr>
                <w:rFonts w:cs="Arial"/>
                <w:b/>
                <w:bCs/>
                <w:sz w:val="20"/>
                <w:szCs w:val="20"/>
              </w:rPr>
            </w:pPr>
            <w:r w:rsidRPr="0021593E">
              <w:rPr>
                <w:rFonts w:cs="Arial"/>
                <w:b/>
                <w:bCs/>
                <w:sz w:val="20"/>
                <w:szCs w:val="20"/>
              </w:rPr>
              <w:t>Guardianship Order (s.37)</w:t>
            </w:r>
          </w:p>
          <w:p w14:paraId="2073BC44" w14:textId="77777777" w:rsidR="002E6812" w:rsidRPr="0021593E" w:rsidRDefault="002E6812" w:rsidP="00CB1B59">
            <w:pPr>
              <w:spacing w:after="0"/>
              <w:jc w:val="center"/>
              <w:rPr>
                <w:rFonts w:cs="Arial"/>
                <w:b/>
                <w:bCs/>
                <w:sz w:val="20"/>
                <w:szCs w:val="20"/>
              </w:rPr>
            </w:pPr>
          </w:p>
        </w:tc>
        <w:tc>
          <w:tcPr>
            <w:tcW w:w="1964" w:type="dxa"/>
          </w:tcPr>
          <w:p w14:paraId="130A5340" w14:textId="77777777" w:rsidR="002E6812" w:rsidRPr="0021593E" w:rsidRDefault="002E6812" w:rsidP="00CB1B59">
            <w:pPr>
              <w:spacing w:after="0"/>
              <w:jc w:val="center"/>
              <w:rPr>
                <w:rFonts w:cs="Arial"/>
                <w:sz w:val="20"/>
                <w:szCs w:val="20"/>
              </w:rPr>
            </w:pPr>
            <w:r w:rsidRPr="0021593E">
              <w:rPr>
                <w:rFonts w:cs="Arial"/>
                <w:sz w:val="20"/>
                <w:szCs w:val="20"/>
              </w:rPr>
              <w:t>Up to 6 months, can be renewed for 6 months and every 12 months thereafter</w:t>
            </w:r>
          </w:p>
        </w:tc>
        <w:tc>
          <w:tcPr>
            <w:tcW w:w="2672" w:type="dxa"/>
          </w:tcPr>
          <w:p w14:paraId="0E2869DD" w14:textId="77777777" w:rsidR="002E6812" w:rsidRPr="0021593E" w:rsidRDefault="002E6812" w:rsidP="00CB1B59">
            <w:pPr>
              <w:spacing w:after="0"/>
              <w:jc w:val="center"/>
              <w:rPr>
                <w:rFonts w:cs="Arial"/>
                <w:sz w:val="20"/>
                <w:szCs w:val="20"/>
              </w:rPr>
            </w:pPr>
            <w:r w:rsidRPr="0021593E">
              <w:rPr>
                <w:rFonts w:cs="Arial"/>
                <w:sz w:val="20"/>
                <w:szCs w:val="20"/>
              </w:rPr>
              <w:t>Once within first 6 months, once within second 6 months and once in each 12 month period thereafter</w:t>
            </w:r>
          </w:p>
        </w:tc>
        <w:tc>
          <w:tcPr>
            <w:tcW w:w="2496" w:type="dxa"/>
          </w:tcPr>
          <w:p w14:paraId="3F71EBD2" w14:textId="77777777" w:rsidR="002E6812" w:rsidRPr="0021593E" w:rsidRDefault="002E6812" w:rsidP="00CB1B59">
            <w:pPr>
              <w:spacing w:after="0"/>
              <w:jc w:val="center"/>
              <w:rPr>
                <w:rFonts w:cs="Arial"/>
                <w:sz w:val="20"/>
                <w:szCs w:val="20"/>
              </w:rPr>
            </w:pPr>
            <w:r w:rsidRPr="0021593E">
              <w:rPr>
                <w:rFonts w:cs="Arial"/>
                <w:sz w:val="20"/>
                <w:szCs w:val="20"/>
              </w:rPr>
              <w:t>Once within the period of 12 months beginning with the date of the order and once in each 12 month period thereafter</w:t>
            </w:r>
          </w:p>
          <w:p w14:paraId="1070BB66" w14:textId="77777777" w:rsidR="002E6812" w:rsidRPr="0021593E" w:rsidRDefault="002E6812" w:rsidP="00CB1B59">
            <w:pPr>
              <w:spacing w:after="0"/>
              <w:jc w:val="center"/>
              <w:rPr>
                <w:rFonts w:cs="Arial"/>
                <w:sz w:val="20"/>
                <w:szCs w:val="20"/>
              </w:rPr>
            </w:pPr>
          </w:p>
        </w:tc>
        <w:tc>
          <w:tcPr>
            <w:tcW w:w="2318" w:type="dxa"/>
          </w:tcPr>
          <w:p w14:paraId="4FD1DEF1" w14:textId="77777777" w:rsidR="002E6812" w:rsidRPr="0021593E" w:rsidRDefault="002E6812" w:rsidP="00CB1B59">
            <w:pPr>
              <w:spacing w:after="0"/>
              <w:jc w:val="center"/>
              <w:rPr>
                <w:rFonts w:cs="Arial"/>
                <w:sz w:val="20"/>
                <w:szCs w:val="20"/>
              </w:rPr>
            </w:pPr>
          </w:p>
          <w:p w14:paraId="4162A7CE" w14:textId="77777777" w:rsidR="002E6812" w:rsidRPr="0021593E" w:rsidRDefault="002E6812" w:rsidP="00CB1B59">
            <w:pPr>
              <w:spacing w:after="0"/>
              <w:jc w:val="center"/>
              <w:rPr>
                <w:rFonts w:cs="Arial"/>
                <w:sz w:val="20"/>
                <w:szCs w:val="20"/>
              </w:rPr>
            </w:pPr>
            <w:r w:rsidRPr="0021593E">
              <w:rPr>
                <w:rFonts w:cs="Arial"/>
                <w:sz w:val="20"/>
                <w:szCs w:val="20"/>
              </w:rPr>
              <w:t>No</w:t>
            </w:r>
          </w:p>
        </w:tc>
        <w:tc>
          <w:tcPr>
            <w:tcW w:w="2298" w:type="dxa"/>
          </w:tcPr>
          <w:p w14:paraId="00CC6507" w14:textId="77777777" w:rsidR="002E6812" w:rsidRPr="0021593E" w:rsidRDefault="002E6812" w:rsidP="00CB1B59">
            <w:pPr>
              <w:spacing w:after="0"/>
              <w:jc w:val="center"/>
              <w:rPr>
                <w:rFonts w:cs="Arial"/>
                <w:sz w:val="20"/>
                <w:szCs w:val="20"/>
              </w:rPr>
            </w:pPr>
          </w:p>
        </w:tc>
      </w:tr>
      <w:tr w:rsidR="002E6812" w:rsidRPr="0021593E" w14:paraId="7939399B" w14:textId="77777777" w:rsidTr="00CB1B59">
        <w:trPr>
          <w:trHeight w:val="1066"/>
        </w:trPr>
        <w:tc>
          <w:tcPr>
            <w:tcW w:w="2426" w:type="dxa"/>
          </w:tcPr>
          <w:p w14:paraId="5BEBFABD" w14:textId="77777777" w:rsidR="002E6812" w:rsidRPr="0021593E" w:rsidRDefault="002E6812" w:rsidP="00CB1B59">
            <w:pPr>
              <w:spacing w:after="0"/>
              <w:jc w:val="center"/>
              <w:rPr>
                <w:rFonts w:cs="Arial"/>
                <w:b/>
                <w:bCs/>
                <w:sz w:val="20"/>
                <w:szCs w:val="20"/>
              </w:rPr>
            </w:pPr>
            <w:r w:rsidRPr="0021593E">
              <w:rPr>
                <w:rFonts w:cs="Arial"/>
                <w:b/>
                <w:bCs/>
                <w:sz w:val="20"/>
                <w:szCs w:val="20"/>
              </w:rPr>
              <w:t>Hospital Order (s.37)</w:t>
            </w:r>
          </w:p>
          <w:p w14:paraId="06FF0519" w14:textId="77777777" w:rsidR="002E6812" w:rsidRPr="0021593E" w:rsidRDefault="002E6812" w:rsidP="00CB1B59">
            <w:pPr>
              <w:spacing w:after="0"/>
              <w:jc w:val="center"/>
              <w:rPr>
                <w:rFonts w:cs="Arial"/>
                <w:b/>
                <w:bCs/>
                <w:sz w:val="20"/>
                <w:szCs w:val="20"/>
              </w:rPr>
            </w:pPr>
          </w:p>
        </w:tc>
        <w:tc>
          <w:tcPr>
            <w:tcW w:w="1964" w:type="dxa"/>
          </w:tcPr>
          <w:p w14:paraId="00733ACC" w14:textId="77777777" w:rsidR="002E6812" w:rsidRPr="0021593E" w:rsidRDefault="002E6812" w:rsidP="00CB1B59">
            <w:pPr>
              <w:spacing w:after="0"/>
              <w:jc w:val="center"/>
              <w:rPr>
                <w:rFonts w:cs="Arial"/>
                <w:sz w:val="20"/>
                <w:szCs w:val="20"/>
              </w:rPr>
            </w:pPr>
            <w:r w:rsidRPr="0021593E">
              <w:rPr>
                <w:rFonts w:cs="Arial"/>
                <w:sz w:val="20"/>
                <w:szCs w:val="20"/>
              </w:rPr>
              <w:t>Up to 6 months, can be renewed for 6 months and every 12 months thereafter</w:t>
            </w:r>
          </w:p>
        </w:tc>
        <w:tc>
          <w:tcPr>
            <w:tcW w:w="2672" w:type="dxa"/>
          </w:tcPr>
          <w:p w14:paraId="5FA345C0" w14:textId="77777777" w:rsidR="002E6812" w:rsidRPr="0021593E" w:rsidRDefault="002E6812" w:rsidP="00CB1B59">
            <w:pPr>
              <w:spacing w:after="0"/>
              <w:jc w:val="center"/>
              <w:rPr>
                <w:rFonts w:cs="Arial"/>
                <w:sz w:val="20"/>
                <w:szCs w:val="20"/>
              </w:rPr>
            </w:pPr>
            <w:r w:rsidRPr="0021593E">
              <w:rPr>
                <w:rFonts w:cs="Arial"/>
                <w:sz w:val="20"/>
                <w:szCs w:val="20"/>
              </w:rPr>
              <w:t>Once in second 6 months and once in each 12 month period thereafter</w:t>
            </w:r>
          </w:p>
        </w:tc>
        <w:tc>
          <w:tcPr>
            <w:tcW w:w="2496" w:type="dxa"/>
          </w:tcPr>
          <w:p w14:paraId="15B7C5F3" w14:textId="77777777" w:rsidR="002E6812" w:rsidRPr="0021593E" w:rsidRDefault="002E6812" w:rsidP="00CB1B59">
            <w:pPr>
              <w:spacing w:after="0"/>
              <w:jc w:val="center"/>
              <w:rPr>
                <w:rFonts w:cs="Arial"/>
                <w:sz w:val="20"/>
                <w:szCs w:val="20"/>
              </w:rPr>
            </w:pPr>
            <w:r w:rsidRPr="0021593E">
              <w:rPr>
                <w:rFonts w:cs="Arial"/>
                <w:sz w:val="20"/>
                <w:szCs w:val="20"/>
              </w:rPr>
              <w:t>Once in second 6 months and once in each 12 month period thereafter</w:t>
            </w:r>
          </w:p>
        </w:tc>
        <w:tc>
          <w:tcPr>
            <w:tcW w:w="2318" w:type="dxa"/>
          </w:tcPr>
          <w:p w14:paraId="4631A922" w14:textId="77777777" w:rsidR="002E6812" w:rsidRPr="0021593E" w:rsidRDefault="002E6812" w:rsidP="00CB1B59">
            <w:pPr>
              <w:spacing w:after="0"/>
              <w:jc w:val="center"/>
              <w:rPr>
                <w:rFonts w:cs="Arial"/>
                <w:sz w:val="20"/>
                <w:szCs w:val="20"/>
              </w:rPr>
            </w:pPr>
            <w:r w:rsidRPr="0021593E">
              <w:rPr>
                <w:rFonts w:cs="Arial"/>
                <w:sz w:val="20"/>
                <w:szCs w:val="20"/>
              </w:rPr>
              <w:t>If Tribunal have not heard case for 3 years (1 year if a child under 18)</w:t>
            </w:r>
          </w:p>
        </w:tc>
        <w:tc>
          <w:tcPr>
            <w:tcW w:w="2298" w:type="dxa"/>
          </w:tcPr>
          <w:p w14:paraId="7A325D7B" w14:textId="77777777" w:rsidR="002E6812" w:rsidRPr="0021593E" w:rsidRDefault="002E6812" w:rsidP="00CB1B59">
            <w:pPr>
              <w:spacing w:after="0"/>
              <w:jc w:val="center"/>
              <w:rPr>
                <w:rFonts w:cs="Arial"/>
                <w:sz w:val="20"/>
                <w:szCs w:val="20"/>
              </w:rPr>
            </w:pPr>
          </w:p>
        </w:tc>
      </w:tr>
      <w:tr w:rsidR="002E6812" w:rsidRPr="0021593E" w14:paraId="1EA6318A" w14:textId="77777777" w:rsidTr="00CB1B59">
        <w:trPr>
          <w:trHeight w:val="459"/>
        </w:trPr>
        <w:tc>
          <w:tcPr>
            <w:tcW w:w="2426" w:type="dxa"/>
          </w:tcPr>
          <w:p w14:paraId="2363EE50" w14:textId="77777777" w:rsidR="002E6812" w:rsidRPr="0021593E" w:rsidRDefault="002E6812" w:rsidP="00CB1B59">
            <w:pPr>
              <w:spacing w:after="0"/>
              <w:jc w:val="center"/>
              <w:rPr>
                <w:rFonts w:cs="Arial"/>
                <w:b/>
                <w:bCs/>
                <w:sz w:val="20"/>
                <w:szCs w:val="20"/>
              </w:rPr>
            </w:pPr>
            <w:r w:rsidRPr="0021593E">
              <w:rPr>
                <w:rFonts w:cs="Arial"/>
                <w:b/>
                <w:bCs/>
                <w:sz w:val="20"/>
                <w:szCs w:val="20"/>
              </w:rPr>
              <w:t>Hospital Order with Restriction Order (ss.37 &amp; 41)</w:t>
            </w:r>
          </w:p>
        </w:tc>
        <w:tc>
          <w:tcPr>
            <w:tcW w:w="1964" w:type="dxa"/>
          </w:tcPr>
          <w:p w14:paraId="4BBA4868" w14:textId="77777777" w:rsidR="002E6812" w:rsidRPr="0021593E" w:rsidRDefault="002E6812" w:rsidP="00CB1B59">
            <w:pPr>
              <w:spacing w:after="0"/>
              <w:jc w:val="center"/>
              <w:rPr>
                <w:rFonts w:cs="Arial"/>
                <w:sz w:val="20"/>
                <w:szCs w:val="20"/>
              </w:rPr>
            </w:pPr>
            <w:r w:rsidRPr="0021593E">
              <w:rPr>
                <w:rFonts w:cs="Arial"/>
                <w:sz w:val="20"/>
                <w:szCs w:val="20"/>
              </w:rPr>
              <w:t>Without limit of time</w:t>
            </w:r>
          </w:p>
        </w:tc>
        <w:tc>
          <w:tcPr>
            <w:tcW w:w="2672" w:type="dxa"/>
          </w:tcPr>
          <w:p w14:paraId="44789359" w14:textId="77777777" w:rsidR="002E6812" w:rsidRPr="0021593E" w:rsidRDefault="002E6812" w:rsidP="00CB1B59">
            <w:pPr>
              <w:spacing w:after="0"/>
              <w:jc w:val="center"/>
              <w:rPr>
                <w:rFonts w:cs="Arial"/>
                <w:sz w:val="20"/>
                <w:szCs w:val="20"/>
              </w:rPr>
            </w:pPr>
            <w:r w:rsidRPr="0021593E">
              <w:rPr>
                <w:rFonts w:cs="Arial"/>
                <w:sz w:val="20"/>
                <w:szCs w:val="20"/>
              </w:rPr>
              <w:t>Once after 6 months and once every 12 months thereafter</w:t>
            </w:r>
          </w:p>
          <w:p w14:paraId="60B9A7CE" w14:textId="77777777" w:rsidR="002E6812" w:rsidRPr="0021593E" w:rsidRDefault="002E6812" w:rsidP="00CB1B59">
            <w:pPr>
              <w:spacing w:after="0"/>
              <w:jc w:val="center"/>
              <w:rPr>
                <w:rFonts w:cs="Arial"/>
                <w:sz w:val="20"/>
                <w:szCs w:val="20"/>
              </w:rPr>
            </w:pPr>
          </w:p>
        </w:tc>
        <w:tc>
          <w:tcPr>
            <w:tcW w:w="2496" w:type="dxa"/>
          </w:tcPr>
          <w:p w14:paraId="4D6767F2" w14:textId="77777777" w:rsidR="002E6812" w:rsidRPr="0021593E" w:rsidRDefault="002E6812" w:rsidP="00CB1B59">
            <w:pPr>
              <w:spacing w:after="0"/>
              <w:jc w:val="center"/>
              <w:rPr>
                <w:rFonts w:cs="Arial"/>
                <w:sz w:val="20"/>
                <w:szCs w:val="20"/>
              </w:rPr>
            </w:pPr>
            <w:r w:rsidRPr="0021593E">
              <w:rPr>
                <w:rFonts w:cs="Arial"/>
                <w:sz w:val="20"/>
                <w:szCs w:val="20"/>
              </w:rPr>
              <w:t>No</w:t>
            </w:r>
          </w:p>
        </w:tc>
        <w:tc>
          <w:tcPr>
            <w:tcW w:w="2318" w:type="dxa"/>
          </w:tcPr>
          <w:p w14:paraId="130B8E27" w14:textId="77777777" w:rsidR="002E6812" w:rsidRPr="0021593E" w:rsidRDefault="002E6812" w:rsidP="00CB1B59">
            <w:pPr>
              <w:spacing w:after="0"/>
              <w:jc w:val="center"/>
              <w:rPr>
                <w:rFonts w:cs="Arial"/>
                <w:sz w:val="20"/>
                <w:szCs w:val="20"/>
              </w:rPr>
            </w:pPr>
            <w:r w:rsidRPr="0021593E">
              <w:rPr>
                <w:rFonts w:cs="Arial"/>
                <w:sz w:val="20"/>
                <w:szCs w:val="20"/>
              </w:rPr>
              <w:t>No</w:t>
            </w:r>
          </w:p>
        </w:tc>
        <w:tc>
          <w:tcPr>
            <w:tcW w:w="2298" w:type="dxa"/>
          </w:tcPr>
          <w:p w14:paraId="3D591C79" w14:textId="77777777" w:rsidR="002E6812" w:rsidRPr="0021593E" w:rsidRDefault="002E6812" w:rsidP="00CB1B59">
            <w:pPr>
              <w:spacing w:after="0"/>
              <w:jc w:val="center"/>
              <w:rPr>
                <w:rFonts w:cs="Arial"/>
                <w:sz w:val="20"/>
                <w:szCs w:val="20"/>
              </w:rPr>
            </w:pPr>
            <w:r w:rsidRPr="0021593E">
              <w:rPr>
                <w:rFonts w:cs="Arial"/>
                <w:sz w:val="20"/>
                <w:szCs w:val="20"/>
              </w:rPr>
              <w:t>Justice Minister must refer if Tribunal have not heard case for 3 years</w:t>
            </w:r>
          </w:p>
        </w:tc>
      </w:tr>
      <w:tr w:rsidR="002E6812" w:rsidRPr="0021593E" w14:paraId="7D42B916" w14:textId="77777777" w:rsidTr="00CB1B59">
        <w:trPr>
          <w:trHeight w:val="361"/>
        </w:trPr>
        <w:tc>
          <w:tcPr>
            <w:tcW w:w="2426" w:type="dxa"/>
          </w:tcPr>
          <w:p w14:paraId="68C73DF7" w14:textId="77777777" w:rsidR="002E6812" w:rsidRPr="0021593E" w:rsidRDefault="002E6812" w:rsidP="00CB1B59">
            <w:pPr>
              <w:spacing w:after="0"/>
              <w:jc w:val="center"/>
              <w:rPr>
                <w:rFonts w:cs="Arial"/>
                <w:b/>
                <w:bCs/>
                <w:sz w:val="20"/>
                <w:szCs w:val="20"/>
              </w:rPr>
            </w:pPr>
            <w:r w:rsidRPr="0021593E">
              <w:rPr>
                <w:rFonts w:cs="Arial"/>
                <w:b/>
                <w:bCs/>
                <w:sz w:val="20"/>
                <w:szCs w:val="20"/>
              </w:rPr>
              <w:t>Conditionally Discharged Restricted Patient</w:t>
            </w:r>
          </w:p>
        </w:tc>
        <w:tc>
          <w:tcPr>
            <w:tcW w:w="1964" w:type="dxa"/>
          </w:tcPr>
          <w:p w14:paraId="3EA12DD5" w14:textId="77777777" w:rsidR="002E6812" w:rsidRPr="0021593E" w:rsidRDefault="002E6812" w:rsidP="00CB1B59">
            <w:pPr>
              <w:spacing w:after="0"/>
              <w:jc w:val="center"/>
              <w:rPr>
                <w:rFonts w:cs="Arial"/>
                <w:sz w:val="20"/>
                <w:szCs w:val="20"/>
              </w:rPr>
            </w:pPr>
            <w:r w:rsidRPr="0021593E">
              <w:rPr>
                <w:rFonts w:cs="Arial"/>
                <w:sz w:val="20"/>
                <w:szCs w:val="20"/>
              </w:rPr>
              <w:t>Without limit of time</w:t>
            </w:r>
          </w:p>
        </w:tc>
        <w:tc>
          <w:tcPr>
            <w:tcW w:w="2672" w:type="dxa"/>
          </w:tcPr>
          <w:p w14:paraId="48681CF2" w14:textId="77777777" w:rsidR="002E6812" w:rsidRPr="0021593E" w:rsidRDefault="002E6812" w:rsidP="00CB1B59">
            <w:pPr>
              <w:spacing w:after="0"/>
              <w:jc w:val="center"/>
              <w:rPr>
                <w:rFonts w:cs="Arial"/>
                <w:sz w:val="20"/>
                <w:szCs w:val="20"/>
              </w:rPr>
            </w:pPr>
            <w:r w:rsidRPr="0021593E">
              <w:rPr>
                <w:rFonts w:cs="Arial"/>
                <w:sz w:val="20"/>
                <w:szCs w:val="20"/>
              </w:rPr>
              <w:t>Once after 12 months following discharge and once every 2 years thereafter</w:t>
            </w:r>
          </w:p>
          <w:p w14:paraId="5D2B3E36" w14:textId="77777777" w:rsidR="002E6812" w:rsidRPr="0021593E" w:rsidRDefault="002E6812" w:rsidP="00CB1B59">
            <w:pPr>
              <w:spacing w:after="0"/>
              <w:jc w:val="center"/>
              <w:rPr>
                <w:rFonts w:cs="Arial"/>
                <w:sz w:val="20"/>
                <w:szCs w:val="20"/>
              </w:rPr>
            </w:pPr>
            <w:r w:rsidRPr="0021593E">
              <w:rPr>
                <w:rFonts w:cs="Arial"/>
                <w:sz w:val="20"/>
                <w:szCs w:val="20"/>
              </w:rPr>
              <w:t xml:space="preserve">                                                                                                                                 </w:t>
            </w:r>
          </w:p>
        </w:tc>
        <w:tc>
          <w:tcPr>
            <w:tcW w:w="2496" w:type="dxa"/>
          </w:tcPr>
          <w:p w14:paraId="5EFE96B3" w14:textId="77777777" w:rsidR="002E6812" w:rsidRPr="0021593E" w:rsidRDefault="002E6812" w:rsidP="00CB1B59">
            <w:pPr>
              <w:spacing w:after="0"/>
              <w:jc w:val="center"/>
              <w:rPr>
                <w:rFonts w:cs="Arial"/>
                <w:sz w:val="20"/>
                <w:szCs w:val="20"/>
              </w:rPr>
            </w:pPr>
            <w:r w:rsidRPr="0021593E">
              <w:rPr>
                <w:rFonts w:cs="Arial"/>
                <w:sz w:val="20"/>
                <w:szCs w:val="20"/>
              </w:rPr>
              <w:t>No</w:t>
            </w:r>
          </w:p>
        </w:tc>
        <w:tc>
          <w:tcPr>
            <w:tcW w:w="2318" w:type="dxa"/>
          </w:tcPr>
          <w:p w14:paraId="67E83F3F" w14:textId="77777777" w:rsidR="002E6812" w:rsidRPr="0021593E" w:rsidRDefault="002E6812" w:rsidP="00CB1B59">
            <w:pPr>
              <w:spacing w:after="0"/>
              <w:jc w:val="center"/>
              <w:rPr>
                <w:rFonts w:cs="Arial"/>
                <w:sz w:val="20"/>
                <w:szCs w:val="20"/>
              </w:rPr>
            </w:pPr>
            <w:r w:rsidRPr="0021593E">
              <w:rPr>
                <w:rFonts w:cs="Arial"/>
                <w:sz w:val="20"/>
                <w:szCs w:val="20"/>
              </w:rPr>
              <w:t>No</w:t>
            </w:r>
          </w:p>
          <w:p w14:paraId="53CF3525" w14:textId="77777777" w:rsidR="002E6812" w:rsidRPr="0021593E" w:rsidRDefault="002E6812" w:rsidP="00CB1B59">
            <w:pPr>
              <w:spacing w:after="0"/>
              <w:jc w:val="center"/>
              <w:rPr>
                <w:rFonts w:cs="Arial"/>
                <w:sz w:val="20"/>
                <w:szCs w:val="20"/>
              </w:rPr>
            </w:pPr>
          </w:p>
        </w:tc>
        <w:tc>
          <w:tcPr>
            <w:tcW w:w="2298" w:type="dxa"/>
          </w:tcPr>
          <w:p w14:paraId="4F369D70" w14:textId="77777777" w:rsidR="002E6812" w:rsidRPr="0021593E" w:rsidRDefault="002E6812" w:rsidP="00CB1B59">
            <w:pPr>
              <w:spacing w:after="0"/>
              <w:jc w:val="center"/>
              <w:rPr>
                <w:rFonts w:cs="Arial"/>
                <w:sz w:val="20"/>
                <w:szCs w:val="20"/>
              </w:rPr>
            </w:pPr>
          </w:p>
        </w:tc>
      </w:tr>
      <w:tr w:rsidR="002E6812" w:rsidRPr="0021593E" w14:paraId="76EB0EDF" w14:textId="77777777" w:rsidTr="00CB1B59">
        <w:trPr>
          <w:trHeight w:val="485"/>
        </w:trPr>
        <w:tc>
          <w:tcPr>
            <w:tcW w:w="2426" w:type="dxa"/>
          </w:tcPr>
          <w:p w14:paraId="03C37450" w14:textId="77777777" w:rsidR="002E6812" w:rsidRPr="0021593E" w:rsidRDefault="002E6812" w:rsidP="00CB1B59">
            <w:pPr>
              <w:spacing w:after="0"/>
              <w:jc w:val="center"/>
              <w:rPr>
                <w:rFonts w:cs="Arial"/>
                <w:b/>
                <w:bCs/>
                <w:sz w:val="20"/>
                <w:szCs w:val="20"/>
              </w:rPr>
            </w:pPr>
            <w:r w:rsidRPr="0021593E">
              <w:rPr>
                <w:rFonts w:cs="Arial"/>
                <w:b/>
                <w:bCs/>
                <w:sz w:val="20"/>
                <w:szCs w:val="20"/>
              </w:rPr>
              <w:t>Conditionally Discharged Restricted Patient who has been recalled to hospital under s.42 (ss.37 &amp; 41)</w:t>
            </w:r>
          </w:p>
        </w:tc>
        <w:tc>
          <w:tcPr>
            <w:tcW w:w="1964" w:type="dxa"/>
          </w:tcPr>
          <w:p w14:paraId="7C51C327" w14:textId="77777777" w:rsidR="002E6812" w:rsidRPr="0021593E" w:rsidRDefault="002E6812" w:rsidP="00CB1B59">
            <w:pPr>
              <w:spacing w:after="0"/>
              <w:jc w:val="center"/>
              <w:rPr>
                <w:rFonts w:cs="Arial"/>
                <w:sz w:val="20"/>
                <w:szCs w:val="20"/>
              </w:rPr>
            </w:pPr>
            <w:r w:rsidRPr="0021593E">
              <w:rPr>
                <w:rFonts w:cs="Arial"/>
                <w:sz w:val="20"/>
                <w:szCs w:val="20"/>
              </w:rPr>
              <w:t>Without limit of time</w:t>
            </w:r>
          </w:p>
        </w:tc>
        <w:tc>
          <w:tcPr>
            <w:tcW w:w="2672" w:type="dxa"/>
          </w:tcPr>
          <w:p w14:paraId="67B8A1CE" w14:textId="77777777" w:rsidR="002E6812" w:rsidRPr="0021593E" w:rsidRDefault="002E6812" w:rsidP="00CB1B59">
            <w:pPr>
              <w:spacing w:after="0"/>
              <w:jc w:val="center"/>
              <w:rPr>
                <w:rFonts w:cs="Arial"/>
                <w:sz w:val="20"/>
                <w:szCs w:val="20"/>
              </w:rPr>
            </w:pPr>
            <w:r w:rsidRPr="0021593E">
              <w:rPr>
                <w:rFonts w:cs="Arial"/>
                <w:sz w:val="20"/>
                <w:szCs w:val="20"/>
              </w:rPr>
              <w:t>Once after 6 months and once in each 12 month period thereafter</w:t>
            </w:r>
          </w:p>
        </w:tc>
        <w:tc>
          <w:tcPr>
            <w:tcW w:w="2496" w:type="dxa"/>
          </w:tcPr>
          <w:p w14:paraId="312458BE" w14:textId="77777777" w:rsidR="002E6812" w:rsidRPr="0021593E" w:rsidRDefault="002E6812" w:rsidP="00CB1B59">
            <w:pPr>
              <w:spacing w:after="0"/>
              <w:jc w:val="center"/>
              <w:rPr>
                <w:rFonts w:cs="Arial"/>
                <w:sz w:val="20"/>
                <w:szCs w:val="20"/>
              </w:rPr>
            </w:pPr>
            <w:r w:rsidRPr="0021593E">
              <w:rPr>
                <w:rFonts w:cs="Arial"/>
                <w:sz w:val="20"/>
                <w:szCs w:val="20"/>
              </w:rPr>
              <w:t>No</w:t>
            </w:r>
          </w:p>
        </w:tc>
        <w:tc>
          <w:tcPr>
            <w:tcW w:w="2318" w:type="dxa"/>
          </w:tcPr>
          <w:p w14:paraId="5A6D42FE" w14:textId="77777777" w:rsidR="002E6812" w:rsidRPr="0021593E" w:rsidRDefault="002E6812" w:rsidP="00CB1B59">
            <w:pPr>
              <w:spacing w:after="0"/>
              <w:jc w:val="center"/>
              <w:rPr>
                <w:rFonts w:cs="Arial"/>
                <w:sz w:val="20"/>
                <w:szCs w:val="20"/>
              </w:rPr>
            </w:pPr>
            <w:r w:rsidRPr="0021593E">
              <w:rPr>
                <w:rFonts w:cs="Arial"/>
                <w:sz w:val="20"/>
                <w:szCs w:val="20"/>
              </w:rPr>
              <w:t>No</w:t>
            </w:r>
          </w:p>
        </w:tc>
        <w:tc>
          <w:tcPr>
            <w:tcW w:w="2298" w:type="dxa"/>
          </w:tcPr>
          <w:p w14:paraId="2CAFFF8A" w14:textId="77777777" w:rsidR="002E6812" w:rsidRPr="0021593E" w:rsidRDefault="002E6812" w:rsidP="00CB1B59">
            <w:pPr>
              <w:spacing w:after="0"/>
              <w:jc w:val="center"/>
              <w:rPr>
                <w:rFonts w:cs="Arial"/>
                <w:sz w:val="20"/>
                <w:szCs w:val="20"/>
              </w:rPr>
            </w:pPr>
            <w:r w:rsidRPr="0021593E">
              <w:rPr>
                <w:rFonts w:cs="Arial"/>
                <w:sz w:val="20"/>
                <w:szCs w:val="20"/>
              </w:rPr>
              <w:t>Justice Minister must refer to Tribunal within 1 month of recall</w:t>
            </w:r>
          </w:p>
        </w:tc>
      </w:tr>
      <w:tr w:rsidR="002E6812" w:rsidRPr="0021593E" w14:paraId="06C404FF" w14:textId="77777777" w:rsidTr="00CB1B59">
        <w:trPr>
          <w:trHeight w:val="453"/>
        </w:trPr>
        <w:tc>
          <w:tcPr>
            <w:tcW w:w="2426" w:type="dxa"/>
          </w:tcPr>
          <w:p w14:paraId="32A674A1" w14:textId="77777777" w:rsidR="002E6812" w:rsidRPr="0021593E" w:rsidRDefault="002E6812" w:rsidP="00CB1B59">
            <w:pPr>
              <w:spacing w:after="0"/>
              <w:jc w:val="center"/>
              <w:rPr>
                <w:rFonts w:cs="Arial"/>
                <w:b/>
                <w:bCs/>
                <w:sz w:val="20"/>
                <w:szCs w:val="20"/>
              </w:rPr>
            </w:pPr>
            <w:r w:rsidRPr="0021593E">
              <w:rPr>
                <w:rFonts w:cs="Arial"/>
                <w:b/>
                <w:bCs/>
                <w:sz w:val="20"/>
                <w:szCs w:val="20"/>
              </w:rPr>
              <w:t>Hospital Direction (s.45A)</w:t>
            </w:r>
          </w:p>
        </w:tc>
        <w:tc>
          <w:tcPr>
            <w:tcW w:w="1964" w:type="dxa"/>
          </w:tcPr>
          <w:p w14:paraId="36D50274" w14:textId="77777777" w:rsidR="002E6812" w:rsidRPr="0021593E" w:rsidRDefault="002E6812" w:rsidP="00CB1B59">
            <w:pPr>
              <w:spacing w:after="0"/>
              <w:jc w:val="center"/>
              <w:rPr>
                <w:rFonts w:cs="Arial"/>
                <w:sz w:val="20"/>
                <w:szCs w:val="20"/>
              </w:rPr>
            </w:pPr>
            <w:r w:rsidRPr="0021593E">
              <w:rPr>
                <w:rFonts w:cs="Arial"/>
                <w:sz w:val="20"/>
                <w:szCs w:val="20"/>
              </w:rPr>
              <w:t>Dependent on prison sentence</w:t>
            </w:r>
          </w:p>
        </w:tc>
        <w:tc>
          <w:tcPr>
            <w:tcW w:w="2672" w:type="dxa"/>
          </w:tcPr>
          <w:p w14:paraId="24CBFE4C" w14:textId="77777777" w:rsidR="002E6812" w:rsidRPr="0021593E" w:rsidRDefault="002E6812" w:rsidP="00CB1B59">
            <w:pPr>
              <w:spacing w:after="0"/>
              <w:jc w:val="center"/>
              <w:rPr>
                <w:rFonts w:cs="Arial"/>
                <w:sz w:val="20"/>
                <w:szCs w:val="20"/>
              </w:rPr>
            </w:pPr>
            <w:r w:rsidRPr="0021593E">
              <w:rPr>
                <w:rFonts w:cs="Arial"/>
                <w:sz w:val="20"/>
                <w:szCs w:val="20"/>
              </w:rPr>
              <w:t>Once after 6 months and once in each 12 month period thereafter</w:t>
            </w:r>
          </w:p>
          <w:p w14:paraId="40E78180" w14:textId="77777777" w:rsidR="002E6812" w:rsidRPr="0021593E" w:rsidRDefault="002E6812" w:rsidP="00CB1B59">
            <w:pPr>
              <w:spacing w:after="0"/>
              <w:jc w:val="center"/>
              <w:rPr>
                <w:rFonts w:cs="Arial"/>
                <w:sz w:val="20"/>
                <w:szCs w:val="20"/>
              </w:rPr>
            </w:pPr>
          </w:p>
        </w:tc>
        <w:tc>
          <w:tcPr>
            <w:tcW w:w="2496" w:type="dxa"/>
          </w:tcPr>
          <w:p w14:paraId="0C5FE7D1" w14:textId="77777777" w:rsidR="002E6812" w:rsidRPr="0021593E" w:rsidRDefault="002E6812" w:rsidP="00CB1B59">
            <w:pPr>
              <w:spacing w:after="0"/>
              <w:jc w:val="center"/>
              <w:rPr>
                <w:rFonts w:cs="Arial"/>
                <w:sz w:val="20"/>
                <w:szCs w:val="20"/>
              </w:rPr>
            </w:pPr>
            <w:r w:rsidRPr="0021593E">
              <w:rPr>
                <w:rFonts w:cs="Arial"/>
                <w:sz w:val="20"/>
                <w:szCs w:val="20"/>
              </w:rPr>
              <w:t>No</w:t>
            </w:r>
          </w:p>
        </w:tc>
        <w:tc>
          <w:tcPr>
            <w:tcW w:w="2318" w:type="dxa"/>
          </w:tcPr>
          <w:p w14:paraId="564CE802" w14:textId="77777777" w:rsidR="002E6812" w:rsidRPr="0021593E" w:rsidRDefault="002E6812" w:rsidP="00CB1B59">
            <w:pPr>
              <w:spacing w:after="0"/>
              <w:jc w:val="center"/>
              <w:rPr>
                <w:rFonts w:cs="Arial"/>
                <w:sz w:val="20"/>
                <w:szCs w:val="20"/>
              </w:rPr>
            </w:pPr>
            <w:r w:rsidRPr="0021593E">
              <w:rPr>
                <w:rFonts w:cs="Arial"/>
                <w:sz w:val="20"/>
                <w:szCs w:val="20"/>
              </w:rPr>
              <w:t>No</w:t>
            </w:r>
          </w:p>
        </w:tc>
        <w:tc>
          <w:tcPr>
            <w:tcW w:w="2298" w:type="dxa"/>
          </w:tcPr>
          <w:p w14:paraId="5F6D7F93" w14:textId="77777777" w:rsidR="002E6812" w:rsidRPr="0021593E" w:rsidRDefault="002E6812" w:rsidP="00CB1B59">
            <w:pPr>
              <w:spacing w:after="0"/>
              <w:jc w:val="center"/>
              <w:rPr>
                <w:rFonts w:cs="Arial"/>
                <w:sz w:val="20"/>
                <w:szCs w:val="20"/>
              </w:rPr>
            </w:pPr>
            <w:r w:rsidRPr="0021593E">
              <w:rPr>
                <w:rFonts w:cs="Arial"/>
                <w:sz w:val="20"/>
                <w:szCs w:val="20"/>
              </w:rPr>
              <w:t>Justice Minister must refer if Tribunal have not heard case for 3 years</w:t>
            </w:r>
          </w:p>
        </w:tc>
      </w:tr>
      <w:tr w:rsidR="002E6812" w:rsidRPr="0021593E" w14:paraId="60F069B9" w14:textId="77777777" w:rsidTr="00CB1B59">
        <w:trPr>
          <w:trHeight w:val="522"/>
        </w:trPr>
        <w:tc>
          <w:tcPr>
            <w:tcW w:w="2426" w:type="dxa"/>
          </w:tcPr>
          <w:p w14:paraId="29004EE7" w14:textId="77777777" w:rsidR="002E6812" w:rsidRPr="0021593E" w:rsidRDefault="002E6812" w:rsidP="00CB1B59">
            <w:pPr>
              <w:spacing w:after="0"/>
              <w:jc w:val="center"/>
              <w:rPr>
                <w:rFonts w:cs="Arial"/>
                <w:b/>
                <w:bCs/>
                <w:sz w:val="20"/>
                <w:szCs w:val="20"/>
              </w:rPr>
            </w:pPr>
            <w:r w:rsidRPr="0021593E">
              <w:rPr>
                <w:rFonts w:cs="Arial"/>
                <w:b/>
                <w:bCs/>
                <w:sz w:val="20"/>
                <w:szCs w:val="20"/>
              </w:rPr>
              <w:t>Transfer from Prison to Hospital (ss.47 or 48)</w:t>
            </w:r>
          </w:p>
        </w:tc>
        <w:tc>
          <w:tcPr>
            <w:tcW w:w="1964" w:type="dxa"/>
          </w:tcPr>
          <w:p w14:paraId="0BDFCA77" w14:textId="77777777" w:rsidR="002E6812" w:rsidRPr="0021593E" w:rsidRDefault="002E6812" w:rsidP="00CB1B59">
            <w:pPr>
              <w:spacing w:after="0"/>
              <w:jc w:val="center"/>
              <w:rPr>
                <w:rFonts w:cs="Arial"/>
                <w:sz w:val="20"/>
                <w:szCs w:val="20"/>
              </w:rPr>
            </w:pPr>
            <w:r w:rsidRPr="0021593E">
              <w:rPr>
                <w:rFonts w:cs="Arial"/>
                <w:sz w:val="20"/>
                <w:szCs w:val="20"/>
              </w:rPr>
              <w:t>Up to 6 months, renewable for 6 months and 12 months thereafter</w:t>
            </w:r>
          </w:p>
        </w:tc>
        <w:tc>
          <w:tcPr>
            <w:tcW w:w="2672" w:type="dxa"/>
          </w:tcPr>
          <w:p w14:paraId="2366E2D7" w14:textId="77777777" w:rsidR="002E6812" w:rsidRPr="0021593E" w:rsidRDefault="002E6812" w:rsidP="00CB1B59">
            <w:pPr>
              <w:spacing w:after="0"/>
              <w:jc w:val="center"/>
              <w:rPr>
                <w:rFonts w:cs="Arial"/>
                <w:sz w:val="20"/>
                <w:szCs w:val="20"/>
              </w:rPr>
            </w:pPr>
            <w:r w:rsidRPr="0021593E">
              <w:rPr>
                <w:rFonts w:cs="Arial"/>
                <w:sz w:val="20"/>
                <w:szCs w:val="20"/>
              </w:rPr>
              <w:t>Once within first 6 months and once in each 12 month period thereafter</w:t>
            </w:r>
          </w:p>
        </w:tc>
        <w:tc>
          <w:tcPr>
            <w:tcW w:w="2496" w:type="dxa"/>
          </w:tcPr>
          <w:p w14:paraId="3D192101" w14:textId="77777777" w:rsidR="002E6812" w:rsidRPr="0021593E" w:rsidRDefault="002E6812" w:rsidP="00CB1B59">
            <w:pPr>
              <w:spacing w:after="0"/>
              <w:jc w:val="center"/>
              <w:rPr>
                <w:rFonts w:cs="Arial"/>
                <w:sz w:val="20"/>
                <w:szCs w:val="20"/>
              </w:rPr>
            </w:pPr>
            <w:r w:rsidRPr="0021593E">
              <w:rPr>
                <w:rFonts w:cs="Arial"/>
                <w:sz w:val="20"/>
                <w:szCs w:val="20"/>
              </w:rPr>
              <w:t>Once in second 6 months and once in each 12 month period thereafter</w:t>
            </w:r>
          </w:p>
        </w:tc>
        <w:tc>
          <w:tcPr>
            <w:tcW w:w="2318" w:type="dxa"/>
          </w:tcPr>
          <w:p w14:paraId="08140779" w14:textId="77777777" w:rsidR="002E6812" w:rsidRPr="0021593E" w:rsidRDefault="002E6812" w:rsidP="00CB1B59">
            <w:pPr>
              <w:spacing w:after="0"/>
              <w:jc w:val="center"/>
              <w:rPr>
                <w:rFonts w:cs="Arial"/>
                <w:sz w:val="20"/>
                <w:szCs w:val="20"/>
              </w:rPr>
            </w:pPr>
            <w:r w:rsidRPr="0021593E">
              <w:rPr>
                <w:rFonts w:cs="Arial"/>
                <w:sz w:val="20"/>
                <w:szCs w:val="20"/>
              </w:rPr>
              <w:t>If Tribunal have not heard case for 3 years</w:t>
            </w:r>
          </w:p>
        </w:tc>
        <w:tc>
          <w:tcPr>
            <w:tcW w:w="2298" w:type="dxa"/>
          </w:tcPr>
          <w:p w14:paraId="036F53D9" w14:textId="77777777" w:rsidR="002E6812" w:rsidRPr="0021593E" w:rsidRDefault="002E6812" w:rsidP="00CB1B59">
            <w:pPr>
              <w:spacing w:after="0"/>
              <w:jc w:val="center"/>
              <w:rPr>
                <w:rFonts w:cs="Arial"/>
                <w:sz w:val="20"/>
                <w:szCs w:val="20"/>
              </w:rPr>
            </w:pPr>
          </w:p>
        </w:tc>
      </w:tr>
      <w:tr w:rsidR="002E6812" w:rsidRPr="0021593E" w14:paraId="7F987272" w14:textId="77777777" w:rsidTr="00CB1B59">
        <w:trPr>
          <w:trHeight w:val="522"/>
        </w:trPr>
        <w:tc>
          <w:tcPr>
            <w:tcW w:w="2426" w:type="dxa"/>
          </w:tcPr>
          <w:p w14:paraId="0214B966" w14:textId="77777777" w:rsidR="002E6812" w:rsidRPr="0021593E" w:rsidRDefault="002E6812" w:rsidP="00CB1B59">
            <w:pPr>
              <w:spacing w:after="0"/>
              <w:jc w:val="center"/>
              <w:rPr>
                <w:rFonts w:cs="Arial"/>
                <w:b/>
                <w:bCs/>
                <w:sz w:val="20"/>
                <w:szCs w:val="20"/>
              </w:rPr>
            </w:pPr>
            <w:r w:rsidRPr="0021593E">
              <w:rPr>
                <w:rFonts w:cs="Arial"/>
                <w:b/>
                <w:bCs/>
                <w:sz w:val="20"/>
                <w:szCs w:val="20"/>
              </w:rPr>
              <w:t>Transfer from Prison to Hospital with Restrictions (ss.47 or 48 with s.49)</w:t>
            </w:r>
          </w:p>
        </w:tc>
        <w:tc>
          <w:tcPr>
            <w:tcW w:w="1964" w:type="dxa"/>
          </w:tcPr>
          <w:p w14:paraId="701933B3" w14:textId="77777777" w:rsidR="002E6812" w:rsidRPr="0021593E" w:rsidRDefault="002E6812" w:rsidP="00CB1B59">
            <w:pPr>
              <w:spacing w:after="0"/>
              <w:jc w:val="center"/>
              <w:rPr>
                <w:rFonts w:cs="Arial"/>
                <w:sz w:val="20"/>
                <w:szCs w:val="20"/>
              </w:rPr>
            </w:pPr>
            <w:r w:rsidRPr="0021593E">
              <w:rPr>
                <w:rFonts w:cs="Arial"/>
                <w:sz w:val="20"/>
                <w:szCs w:val="20"/>
              </w:rPr>
              <w:t>Without limit of time</w:t>
            </w:r>
          </w:p>
        </w:tc>
        <w:tc>
          <w:tcPr>
            <w:tcW w:w="2672" w:type="dxa"/>
          </w:tcPr>
          <w:p w14:paraId="11E15C55" w14:textId="77777777" w:rsidR="002E6812" w:rsidRPr="0021593E" w:rsidRDefault="002E6812" w:rsidP="00CB1B59">
            <w:pPr>
              <w:spacing w:after="0"/>
              <w:jc w:val="center"/>
              <w:rPr>
                <w:rFonts w:cs="Arial"/>
                <w:sz w:val="20"/>
                <w:szCs w:val="20"/>
              </w:rPr>
            </w:pPr>
            <w:r w:rsidRPr="0021593E">
              <w:rPr>
                <w:rFonts w:cs="Arial"/>
                <w:sz w:val="20"/>
                <w:szCs w:val="20"/>
              </w:rPr>
              <w:t>Once within first 6 months and once in each 12 month period thereafter</w:t>
            </w:r>
          </w:p>
        </w:tc>
        <w:tc>
          <w:tcPr>
            <w:tcW w:w="2496" w:type="dxa"/>
          </w:tcPr>
          <w:p w14:paraId="0D9FEE7E" w14:textId="77777777" w:rsidR="002E6812" w:rsidRPr="0021593E" w:rsidRDefault="002E6812" w:rsidP="00CB1B59">
            <w:pPr>
              <w:spacing w:after="0"/>
              <w:jc w:val="center"/>
              <w:rPr>
                <w:rFonts w:cs="Arial"/>
                <w:sz w:val="20"/>
                <w:szCs w:val="20"/>
              </w:rPr>
            </w:pPr>
            <w:r w:rsidRPr="0021593E">
              <w:rPr>
                <w:rFonts w:cs="Arial"/>
                <w:sz w:val="20"/>
                <w:szCs w:val="20"/>
              </w:rPr>
              <w:t>No</w:t>
            </w:r>
          </w:p>
        </w:tc>
        <w:tc>
          <w:tcPr>
            <w:tcW w:w="2318" w:type="dxa"/>
          </w:tcPr>
          <w:p w14:paraId="4B8D016F" w14:textId="77777777" w:rsidR="002E6812" w:rsidRPr="0021593E" w:rsidRDefault="002E6812" w:rsidP="00CB1B59">
            <w:pPr>
              <w:spacing w:after="0"/>
              <w:jc w:val="center"/>
              <w:rPr>
                <w:rFonts w:cs="Arial"/>
                <w:sz w:val="20"/>
                <w:szCs w:val="20"/>
              </w:rPr>
            </w:pPr>
            <w:r w:rsidRPr="0021593E">
              <w:rPr>
                <w:rFonts w:cs="Arial"/>
                <w:sz w:val="20"/>
                <w:szCs w:val="20"/>
              </w:rPr>
              <w:t>No</w:t>
            </w:r>
          </w:p>
        </w:tc>
        <w:tc>
          <w:tcPr>
            <w:tcW w:w="2298" w:type="dxa"/>
          </w:tcPr>
          <w:p w14:paraId="7B7CD8DC" w14:textId="77777777" w:rsidR="002E6812" w:rsidRPr="0021593E" w:rsidRDefault="002E6812" w:rsidP="00CB1B59">
            <w:pPr>
              <w:spacing w:after="0"/>
              <w:jc w:val="center"/>
              <w:rPr>
                <w:rFonts w:cs="Arial"/>
                <w:sz w:val="20"/>
                <w:szCs w:val="20"/>
              </w:rPr>
            </w:pPr>
            <w:r w:rsidRPr="0021593E">
              <w:rPr>
                <w:rFonts w:cs="Arial"/>
                <w:sz w:val="20"/>
                <w:szCs w:val="20"/>
              </w:rPr>
              <w:t>Justice Minister must refer if Tribunal have not heard case for 3 years</w:t>
            </w:r>
          </w:p>
        </w:tc>
      </w:tr>
      <w:tr w:rsidR="002E6812" w:rsidRPr="0021593E" w14:paraId="2B183649" w14:textId="77777777" w:rsidTr="00CB1B59">
        <w:trPr>
          <w:trHeight w:val="881"/>
        </w:trPr>
        <w:tc>
          <w:tcPr>
            <w:tcW w:w="2426" w:type="dxa"/>
          </w:tcPr>
          <w:p w14:paraId="166B6971" w14:textId="77777777" w:rsidR="002E6812" w:rsidRPr="0021593E" w:rsidRDefault="002E6812" w:rsidP="00CB1B59">
            <w:pPr>
              <w:spacing w:after="0"/>
              <w:jc w:val="center"/>
              <w:rPr>
                <w:rFonts w:cs="Arial"/>
                <w:b/>
                <w:bCs/>
                <w:sz w:val="20"/>
                <w:szCs w:val="20"/>
              </w:rPr>
            </w:pPr>
            <w:r w:rsidRPr="0021593E">
              <w:rPr>
                <w:rFonts w:cs="Arial"/>
                <w:b/>
                <w:bCs/>
                <w:sz w:val="20"/>
                <w:szCs w:val="20"/>
              </w:rPr>
              <w:t>Patients remaining in hospital under ss.37, 47 or 45A on expiry of Restrictions</w:t>
            </w:r>
          </w:p>
          <w:p w14:paraId="31B8C86D" w14:textId="77777777" w:rsidR="002E6812" w:rsidRPr="0021593E" w:rsidRDefault="002E6812" w:rsidP="00CB1B59">
            <w:pPr>
              <w:spacing w:after="0"/>
              <w:jc w:val="center"/>
              <w:rPr>
                <w:rFonts w:cs="Arial"/>
                <w:b/>
                <w:bCs/>
                <w:sz w:val="20"/>
                <w:szCs w:val="20"/>
              </w:rPr>
            </w:pPr>
          </w:p>
        </w:tc>
        <w:tc>
          <w:tcPr>
            <w:tcW w:w="1964" w:type="dxa"/>
          </w:tcPr>
          <w:p w14:paraId="18EDD62A" w14:textId="77777777" w:rsidR="002E6812" w:rsidRPr="0021593E" w:rsidRDefault="002E6812" w:rsidP="00CB1B59">
            <w:pPr>
              <w:spacing w:after="0"/>
              <w:jc w:val="center"/>
              <w:rPr>
                <w:rFonts w:cs="Arial"/>
                <w:sz w:val="20"/>
                <w:szCs w:val="20"/>
              </w:rPr>
            </w:pPr>
            <w:r w:rsidRPr="0021593E">
              <w:rPr>
                <w:rFonts w:cs="Arial"/>
                <w:sz w:val="20"/>
                <w:szCs w:val="20"/>
              </w:rPr>
              <w:t>Up to 6 months, renewable for 6 months and 12 months thereafter</w:t>
            </w:r>
          </w:p>
        </w:tc>
        <w:tc>
          <w:tcPr>
            <w:tcW w:w="2672" w:type="dxa"/>
          </w:tcPr>
          <w:p w14:paraId="773DD78E" w14:textId="77777777" w:rsidR="002E6812" w:rsidRPr="0021593E" w:rsidRDefault="002E6812" w:rsidP="00CB1B59">
            <w:pPr>
              <w:spacing w:after="0"/>
              <w:jc w:val="center"/>
              <w:rPr>
                <w:rFonts w:cs="Arial"/>
                <w:sz w:val="20"/>
                <w:szCs w:val="20"/>
              </w:rPr>
            </w:pPr>
            <w:r w:rsidRPr="0021593E">
              <w:rPr>
                <w:rFonts w:cs="Arial"/>
                <w:sz w:val="20"/>
                <w:szCs w:val="20"/>
              </w:rPr>
              <w:t>Once within first 6 months, once within second 6 months and once in each 12 month period thereafter</w:t>
            </w:r>
          </w:p>
        </w:tc>
        <w:tc>
          <w:tcPr>
            <w:tcW w:w="2496" w:type="dxa"/>
          </w:tcPr>
          <w:p w14:paraId="1A835BAC" w14:textId="77777777" w:rsidR="002E6812" w:rsidRPr="0021593E" w:rsidRDefault="002E6812" w:rsidP="00CB1B59">
            <w:pPr>
              <w:spacing w:after="0"/>
              <w:jc w:val="center"/>
              <w:rPr>
                <w:rFonts w:cs="Arial"/>
                <w:sz w:val="20"/>
                <w:szCs w:val="20"/>
              </w:rPr>
            </w:pPr>
            <w:r w:rsidRPr="0021593E">
              <w:rPr>
                <w:rFonts w:cs="Arial"/>
                <w:sz w:val="20"/>
                <w:szCs w:val="20"/>
              </w:rPr>
              <w:t>Once within first 6 months, once within second 6 months and once in each 12 month period thereafter</w:t>
            </w:r>
          </w:p>
        </w:tc>
        <w:tc>
          <w:tcPr>
            <w:tcW w:w="2318" w:type="dxa"/>
          </w:tcPr>
          <w:p w14:paraId="3C609D57" w14:textId="77777777" w:rsidR="002E6812" w:rsidRPr="0021593E" w:rsidRDefault="002E6812" w:rsidP="00CB1B59">
            <w:pPr>
              <w:spacing w:after="0"/>
              <w:jc w:val="center"/>
              <w:rPr>
                <w:rFonts w:cs="Arial"/>
                <w:sz w:val="20"/>
                <w:szCs w:val="20"/>
              </w:rPr>
            </w:pPr>
            <w:r w:rsidRPr="0021593E">
              <w:rPr>
                <w:rFonts w:cs="Arial"/>
                <w:sz w:val="20"/>
                <w:szCs w:val="20"/>
              </w:rPr>
              <w:t>If Tribunal have not considered case for 3 years</w:t>
            </w:r>
          </w:p>
        </w:tc>
        <w:tc>
          <w:tcPr>
            <w:tcW w:w="2298" w:type="dxa"/>
          </w:tcPr>
          <w:p w14:paraId="6180F3DC" w14:textId="77777777" w:rsidR="002E6812" w:rsidRPr="0021593E" w:rsidRDefault="002E6812" w:rsidP="00CB1B59">
            <w:pPr>
              <w:spacing w:after="0"/>
              <w:jc w:val="center"/>
              <w:rPr>
                <w:rFonts w:cs="Arial"/>
                <w:sz w:val="20"/>
                <w:szCs w:val="20"/>
              </w:rPr>
            </w:pPr>
          </w:p>
        </w:tc>
      </w:tr>
      <w:tr w:rsidR="002E6812" w:rsidRPr="0021593E" w14:paraId="7EAA0DEC" w14:textId="77777777" w:rsidTr="00CB1B59">
        <w:trPr>
          <w:trHeight w:val="881"/>
        </w:trPr>
        <w:tc>
          <w:tcPr>
            <w:tcW w:w="2426" w:type="dxa"/>
          </w:tcPr>
          <w:p w14:paraId="5AE74F8E" w14:textId="77777777" w:rsidR="002E6812" w:rsidRPr="0021593E" w:rsidRDefault="002E6812" w:rsidP="00CB1B59">
            <w:pPr>
              <w:spacing w:after="0"/>
              <w:jc w:val="center"/>
              <w:rPr>
                <w:rFonts w:cs="Arial"/>
                <w:b/>
                <w:bCs/>
                <w:sz w:val="20"/>
                <w:szCs w:val="20"/>
              </w:rPr>
            </w:pPr>
            <w:r w:rsidRPr="0021593E">
              <w:rPr>
                <w:rFonts w:cs="Arial"/>
                <w:b/>
                <w:bCs/>
                <w:sz w:val="20"/>
                <w:szCs w:val="20"/>
              </w:rPr>
              <w:t>Patients subject to Community Treatment Orders via a Part III section (S17A)</w:t>
            </w:r>
          </w:p>
        </w:tc>
        <w:tc>
          <w:tcPr>
            <w:tcW w:w="1964" w:type="dxa"/>
          </w:tcPr>
          <w:p w14:paraId="76E3EDE6" w14:textId="77777777" w:rsidR="002E6812" w:rsidRPr="0021593E" w:rsidRDefault="002E6812" w:rsidP="00CB1B59">
            <w:pPr>
              <w:spacing w:after="0"/>
              <w:jc w:val="center"/>
              <w:rPr>
                <w:rFonts w:cs="Arial"/>
                <w:sz w:val="20"/>
                <w:szCs w:val="20"/>
              </w:rPr>
            </w:pPr>
            <w:r w:rsidRPr="0021593E">
              <w:rPr>
                <w:rFonts w:cs="Arial"/>
                <w:sz w:val="20"/>
                <w:szCs w:val="20"/>
              </w:rPr>
              <w:t>Up to 6 months, renewable for 6 months and 12 months thereafter</w:t>
            </w:r>
          </w:p>
        </w:tc>
        <w:tc>
          <w:tcPr>
            <w:tcW w:w="2672" w:type="dxa"/>
          </w:tcPr>
          <w:p w14:paraId="212A7F4D" w14:textId="77777777" w:rsidR="002E6812" w:rsidRPr="0021593E" w:rsidRDefault="002E6812" w:rsidP="00CB1B59">
            <w:pPr>
              <w:spacing w:after="0"/>
              <w:jc w:val="center"/>
              <w:rPr>
                <w:rFonts w:cs="Arial"/>
                <w:sz w:val="20"/>
                <w:szCs w:val="20"/>
              </w:rPr>
            </w:pPr>
            <w:r w:rsidRPr="0021593E">
              <w:rPr>
                <w:rFonts w:cs="Arial"/>
                <w:sz w:val="20"/>
                <w:szCs w:val="20"/>
              </w:rPr>
              <w:t>Once within first 6 months, once within second 6 months and once in each 12 month period thereafter.  If the order is revoked, within the period of six months starting on the day the order is revoked</w:t>
            </w:r>
          </w:p>
        </w:tc>
        <w:tc>
          <w:tcPr>
            <w:tcW w:w="2496" w:type="dxa"/>
          </w:tcPr>
          <w:p w14:paraId="7662726E" w14:textId="77777777" w:rsidR="002E6812" w:rsidRPr="0021593E" w:rsidRDefault="002E6812" w:rsidP="00CB1B59">
            <w:pPr>
              <w:spacing w:after="0"/>
              <w:jc w:val="center"/>
              <w:rPr>
                <w:rFonts w:cs="Arial"/>
                <w:sz w:val="20"/>
                <w:szCs w:val="20"/>
              </w:rPr>
            </w:pPr>
            <w:r w:rsidRPr="0021593E">
              <w:rPr>
                <w:rFonts w:cs="Arial"/>
                <w:sz w:val="20"/>
                <w:szCs w:val="20"/>
              </w:rPr>
              <w:t>Once within first 6 months, once within second 6 months and once in each 12 month period thereafter.  If the order is revoked, within the period of six months starting on the day the order is revoked</w:t>
            </w:r>
          </w:p>
          <w:p w14:paraId="39CCCE69" w14:textId="77777777" w:rsidR="002E6812" w:rsidRPr="0021593E" w:rsidRDefault="002E6812" w:rsidP="00CB1B59">
            <w:pPr>
              <w:spacing w:after="0"/>
              <w:jc w:val="center"/>
              <w:rPr>
                <w:rFonts w:cs="Arial"/>
                <w:sz w:val="20"/>
                <w:szCs w:val="20"/>
              </w:rPr>
            </w:pPr>
          </w:p>
        </w:tc>
        <w:tc>
          <w:tcPr>
            <w:tcW w:w="2318" w:type="dxa"/>
          </w:tcPr>
          <w:p w14:paraId="01177414" w14:textId="77777777" w:rsidR="002E6812" w:rsidRPr="0021593E" w:rsidRDefault="002E6812" w:rsidP="00CB1B59">
            <w:pPr>
              <w:spacing w:after="0"/>
              <w:jc w:val="center"/>
              <w:rPr>
                <w:rFonts w:cs="Arial"/>
                <w:sz w:val="20"/>
                <w:szCs w:val="20"/>
              </w:rPr>
            </w:pPr>
            <w:r w:rsidRPr="0021593E">
              <w:rPr>
                <w:rFonts w:cs="Arial"/>
                <w:sz w:val="20"/>
                <w:szCs w:val="20"/>
              </w:rPr>
              <w:t>If the order is revoked or if Tribunal have not heard case in first 6 months (Including any time under detention). Also if Tribunal has not heard case for 3 years (1 year if a child under 18)</w:t>
            </w:r>
          </w:p>
        </w:tc>
        <w:tc>
          <w:tcPr>
            <w:tcW w:w="2298" w:type="dxa"/>
          </w:tcPr>
          <w:p w14:paraId="7BCCE640" w14:textId="77777777" w:rsidR="002E6812" w:rsidRPr="0021593E" w:rsidRDefault="002E6812" w:rsidP="00CB1B59">
            <w:pPr>
              <w:spacing w:after="0"/>
              <w:jc w:val="center"/>
              <w:rPr>
                <w:rFonts w:cs="Arial"/>
                <w:sz w:val="20"/>
                <w:szCs w:val="20"/>
              </w:rPr>
            </w:pPr>
          </w:p>
        </w:tc>
      </w:tr>
    </w:tbl>
    <w:p w14:paraId="5BFE4350" w14:textId="6096A31F" w:rsidR="002E6812" w:rsidRPr="008C3A03" w:rsidRDefault="002E6812" w:rsidP="002E6812">
      <w:pPr>
        <w:pStyle w:val="Footer"/>
        <w:rPr>
          <w:rFonts w:cs="Arial"/>
        </w:rPr>
        <w:sectPr w:rsidR="002E6812" w:rsidRPr="008C3A03" w:rsidSect="00CB1B59">
          <w:footerReference w:type="even" r:id="rId23"/>
          <w:footerReference w:type="default" r:id="rId24"/>
          <w:pgSz w:w="16838" w:h="11906" w:orient="landscape"/>
          <w:pgMar w:top="719" w:right="1440" w:bottom="1797" w:left="1440" w:header="709" w:footer="709" w:gutter="0"/>
          <w:cols w:space="708"/>
          <w:docGrid w:linePitch="360"/>
        </w:sectPr>
      </w:pPr>
    </w:p>
    <w:p w14:paraId="4469341F" w14:textId="640002A8" w:rsidR="002E6812" w:rsidRPr="00C97D86" w:rsidRDefault="007B70BE" w:rsidP="00C97D86">
      <w:pPr>
        <w:pStyle w:val="Heading6"/>
        <w:spacing w:before="0" w:line="240" w:lineRule="auto"/>
        <w:jc w:val="both"/>
        <w:rPr>
          <w:rFonts w:ascii="Arial" w:hAnsi="Arial" w:cs="Arial"/>
          <w:b/>
          <w:i w:val="0"/>
          <w:color w:val="auto"/>
        </w:rPr>
      </w:pPr>
      <w:r>
        <w:rPr>
          <w:rFonts w:ascii="Arial" w:hAnsi="Arial" w:cs="Arial"/>
          <w:b/>
          <w:i w:val="0"/>
          <w:color w:val="auto"/>
        </w:rPr>
        <w:t>4</w:t>
      </w:r>
      <w:r w:rsidR="002E6812" w:rsidRPr="0021593E">
        <w:rPr>
          <w:rFonts w:ascii="Arial" w:hAnsi="Arial" w:cs="Arial"/>
          <w:b/>
          <w:i w:val="0"/>
          <w:color w:val="auto"/>
        </w:rPr>
        <w:t>.0</w:t>
      </w:r>
      <w:r w:rsidR="002E6812" w:rsidRPr="0021593E">
        <w:rPr>
          <w:rFonts w:ascii="Arial" w:hAnsi="Arial" w:cs="Arial"/>
          <w:b/>
          <w:i w:val="0"/>
          <w:color w:val="auto"/>
        </w:rPr>
        <w:tab/>
        <w:t>Application to the First Tier Tribunal (Mental Health)</w:t>
      </w:r>
    </w:p>
    <w:p w14:paraId="13015DDC" w14:textId="49C68750" w:rsidR="002E6812" w:rsidRDefault="007B70BE" w:rsidP="00C97D86">
      <w:pPr>
        <w:spacing w:after="0"/>
        <w:ind w:left="720" w:hanging="720"/>
        <w:rPr>
          <w:rFonts w:cs="Arial"/>
        </w:rPr>
      </w:pPr>
      <w:r>
        <w:rPr>
          <w:rFonts w:cs="Arial"/>
        </w:rPr>
        <w:t>4</w:t>
      </w:r>
      <w:r w:rsidR="002E6812" w:rsidRPr="008C3A03">
        <w:rPr>
          <w:rFonts w:cs="Arial"/>
        </w:rPr>
        <w:t>.1</w:t>
      </w:r>
      <w:r w:rsidR="002E6812" w:rsidRPr="008C3A03">
        <w:rPr>
          <w:rFonts w:cs="Arial"/>
        </w:rPr>
        <w:tab/>
        <w:t>An application is made to the Tribunal</w:t>
      </w:r>
      <w:r w:rsidR="00EC0187">
        <w:rPr>
          <w:rFonts w:cs="Arial"/>
        </w:rPr>
        <w:t xml:space="preserve"> by the patient via their legal representative,</w:t>
      </w:r>
      <w:r w:rsidR="002E6812" w:rsidRPr="008C3A03">
        <w:rPr>
          <w:rFonts w:cs="Arial"/>
        </w:rPr>
        <w:t xml:space="preserve"> or directly by the patient </w:t>
      </w:r>
      <w:r w:rsidR="00EC0187">
        <w:rPr>
          <w:rFonts w:cs="Arial"/>
        </w:rPr>
        <w:t xml:space="preserve">themselves, </w:t>
      </w:r>
      <w:r w:rsidR="00C368BE">
        <w:rPr>
          <w:rFonts w:cs="Arial"/>
        </w:rPr>
        <w:t xml:space="preserve">or </w:t>
      </w:r>
      <w:r w:rsidR="00EC0187">
        <w:rPr>
          <w:rFonts w:cs="Arial"/>
        </w:rPr>
        <w:t xml:space="preserve">their </w:t>
      </w:r>
      <w:r w:rsidR="00C368BE">
        <w:rPr>
          <w:rFonts w:cs="Arial"/>
        </w:rPr>
        <w:t>nearest</w:t>
      </w:r>
      <w:r w:rsidR="00EC0187">
        <w:rPr>
          <w:rFonts w:cs="Arial"/>
        </w:rPr>
        <w:t xml:space="preserve"> relative or </w:t>
      </w:r>
      <w:r w:rsidR="00EC0187" w:rsidRPr="00EC0187">
        <w:rPr>
          <w:rFonts w:cs="Arial"/>
        </w:rPr>
        <w:t>via the Trust’s Mental Health Law department</w:t>
      </w:r>
      <w:r w:rsidR="002E6812" w:rsidRPr="008C3A03">
        <w:rPr>
          <w:rFonts w:cs="Arial"/>
        </w:rPr>
        <w:t>.</w:t>
      </w:r>
    </w:p>
    <w:p w14:paraId="367A772C" w14:textId="77777777" w:rsidR="00C97D86" w:rsidRPr="008C3A03" w:rsidRDefault="00C97D86" w:rsidP="00C97D86">
      <w:pPr>
        <w:spacing w:after="0"/>
        <w:ind w:left="720" w:hanging="720"/>
        <w:rPr>
          <w:rFonts w:cs="Arial"/>
        </w:rPr>
      </w:pPr>
    </w:p>
    <w:p w14:paraId="133A99F2" w14:textId="48F9C884" w:rsidR="002E6812" w:rsidRPr="006D172F" w:rsidRDefault="007B70BE" w:rsidP="494AFF6B">
      <w:pPr>
        <w:pStyle w:val="Heading6"/>
        <w:spacing w:before="0" w:line="240" w:lineRule="auto"/>
        <w:jc w:val="both"/>
        <w:rPr>
          <w:rFonts w:ascii="Arial" w:hAnsi="Arial" w:cs="Arial"/>
          <w:b/>
          <w:bCs/>
          <w:i w:val="0"/>
          <w:iCs w:val="0"/>
          <w:color w:val="auto"/>
        </w:rPr>
      </w:pPr>
      <w:r>
        <w:rPr>
          <w:rFonts w:ascii="Arial" w:hAnsi="Arial" w:cs="Arial"/>
          <w:b/>
          <w:bCs/>
          <w:i w:val="0"/>
          <w:iCs w:val="0"/>
          <w:color w:val="auto"/>
        </w:rPr>
        <w:t>5</w:t>
      </w:r>
      <w:r w:rsidR="002E6812" w:rsidRPr="494AFF6B">
        <w:rPr>
          <w:rFonts w:ascii="Arial" w:hAnsi="Arial" w:cs="Arial"/>
          <w:b/>
          <w:bCs/>
          <w:i w:val="0"/>
          <w:iCs w:val="0"/>
          <w:color w:val="auto"/>
        </w:rPr>
        <w:t>.0</w:t>
      </w:r>
      <w:r w:rsidR="002E6812">
        <w:tab/>
      </w:r>
      <w:r w:rsidR="002E6812" w:rsidRPr="494AFF6B">
        <w:rPr>
          <w:rFonts w:ascii="Arial" w:hAnsi="Arial" w:cs="Arial"/>
          <w:b/>
          <w:bCs/>
          <w:i w:val="0"/>
          <w:iCs w:val="0"/>
          <w:color w:val="auto"/>
        </w:rPr>
        <w:t xml:space="preserve">Section 117 and </w:t>
      </w:r>
      <w:r w:rsidR="005921DA">
        <w:rPr>
          <w:rFonts w:ascii="Arial" w:hAnsi="Arial" w:cs="Arial"/>
          <w:b/>
          <w:bCs/>
          <w:i w:val="0"/>
          <w:iCs w:val="0"/>
          <w:color w:val="auto"/>
        </w:rPr>
        <w:t>Community Mental Health Framework</w:t>
      </w:r>
      <w:r w:rsidR="51CFA5B3" w:rsidRPr="494AFF6B">
        <w:rPr>
          <w:rFonts w:ascii="Arial" w:hAnsi="Arial" w:cs="Arial"/>
          <w:b/>
          <w:bCs/>
          <w:i w:val="0"/>
          <w:iCs w:val="0"/>
          <w:color w:val="auto"/>
        </w:rPr>
        <w:t xml:space="preserve"> </w:t>
      </w:r>
    </w:p>
    <w:p w14:paraId="4A308CEA" w14:textId="5D01C3B8" w:rsidR="002E6812" w:rsidRDefault="007B70BE" w:rsidP="006D172F">
      <w:pPr>
        <w:spacing w:after="0"/>
        <w:ind w:left="720" w:hanging="720"/>
        <w:rPr>
          <w:rFonts w:cs="Arial"/>
          <w:b/>
          <w:bCs/>
        </w:rPr>
      </w:pPr>
      <w:r>
        <w:rPr>
          <w:rFonts w:cs="Arial"/>
        </w:rPr>
        <w:t>5</w:t>
      </w:r>
      <w:r w:rsidR="002E6812" w:rsidRPr="008C3A03">
        <w:rPr>
          <w:rFonts w:cs="Arial"/>
        </w:rPr>
        <w:t>.1</w:t>
      </w:r>
      <w:r w:rsidR="002E6812" w:rsidRPr="008C3A03">
        <w:rPr>
          <w:rFonts w:cs="Arial"/>
        </w:rPr>
        <w:tab/>
        <w:t>An after-care planning meeting should take place subsequent to an application being made and preferably prior to the provision of reports. This will have the effect of applying the professionals</w:t>
      </w:r>
      <w:r w:rsidR="006D172F">
        <w:rPr>
          <w:rFonts w:cs="Arial"/>
        </w:rPr>
        <w:t>’</w:t>
      </w:r>
      <w:r w:rsidR="002E6812" w:rsidRPr="008C3A03">
        <w:rPr>
          <w:rFonts w:cs="Arial"/>
        </w:rPr>
        <w:t xml:space="preserve"> minds to the planning and provision of after-care should the patient be released from compulsory powers by the Tribunal. Equally, it will help the process of providing written and oral evidence to the Tribunal, especially where the nature or degree of the patient’s mental disorder is such that the provision of after-care would be unfeasible or likely to prove very difficult.</w:t>
      </w:r>
    </w:p>
    <w:p w14:paraId="439AC918" w14:textId="77777777" w:rsidR="006D172F" w:rsidRPr="006D172F" w:rsidRDefault="006D172F" w:rsidP="006D172F">
      <w:pPr>
        <w:spacing w:after="0"/>
        <w:ind w:left="720" w:hanging="720"/>
        <w:rPr>
          <w:rFonts w:cs="Arial"/>
          <w:b/>
          <w:bCs/>
        </w:rPr>
      </w:pPr>
    </w:p>
    <w:p w14:paraId="242180A0" w14:textId="4F56DA7B" w:rsidR="002E6812" w:rsidRPr="006D172F" w:rsidRDefault="007B70BE" w:rsidP="006D172F">
      <w:pPr>
        <w:pStyle w:val="Heading6"/>
        <w:spacing w:before="0" w:line="240" w:lineRule="auto"/>
        <w:jc w:val="both"/>
        <w:rPr>
          <w:rFonts w:ascii="Arial" w:hAnsi="Arial" w:cs="Arial"/>
          <w:b/>
          <w:i w:val="0"/>
          <w:color w:val="auto"/>
        </w:rPr>
      </w:pPr>
      <w:r>
        <w:rPr>
          <w:rFonts w:ascii="Arial" w:hAnsi="Arial" w:cs="Arial"/>
          <w:b/>
          <w:i w:val="0"/>
          <w:color w:val="auto"/>
        </w:rPr>
        <w:t>6</w:t>
      </w:r>
      <w:r w:rsidR="002E6812" w:rsidRPr="0021593E">
        <w:rPr>
          <w:rFonts w:ascii="Arial" w:hAnsi="Arial" w:cs="Arial"/>
          <w:b/>
          <w:i w:val="0"/>
          <w:color w:val="auto"/>
        </w:rPr>
        <w:t>.0</w:t>
      </w:r>
      <w:r w:rsidR="002E6812" w:rsidRPr="0021593E">
        <w:rPr>
          <w:rFonts w:ascii="Arial" w:hAnsi="Arial" w:cs="Arial"/>
          <w:b/>
          <w:i w:val="0"/>
          <w:color w:val="auto"/>
        </w:rPr>
        <w:tab/>
        <w:t>Legal representation</w:t>
      </w:r>
    </w:p>
    <w:p w14:paraId="34504AF9" w14:textId="77777777" w:rsidR="002E6812" w:rsidRPr="008C3A03" w:rsidRDefault="002E6812" w:rsidP="006D172F">
      <w:pPr>
        <w:spacing w:after="0"/>
        <w:ind w:left="720"/>
        <w:rPr>
          <w:rFonts w:cs="Arial"/>
        </w:rPr>
      </w:pPr>
      <w:r w:rsidRPr="008C3A03">
        <w:rPr>
          <w:rFonts w:cs="Arial"/>
        </w:rPr>
        <w:t>Where the patient intends to make an application to the Tribunal, th</w:t>
      </w:r>
      <w:r w:rsidR="006D172F">
        <w:rPr>
          <w:rFonts w:cs="Arial"/>
        </w:rPr>
        <w:t>e following must be considered:</w:t>
      </w:r>
    </w:p>
    <w:p w14:paraId="07590BED" w14:textId="53351880" w:rsidR="002E6812" w:rsidRPr="008C3A03" w:rsidRDefault="007B70BE" w:rsidP="006D172F">
      <w:pPr>
        <w:spacing w:after="0"/>
        <w:ind w:left="720" w:hanging="720"/>
        <w:rPr>
          <w:rFonts w:cs="Arial"/>
        </w:rPr>
      </w:pPr>
      <w:r>
        <w:rPr>
          <w:rFonts w:cs="Arial"/>
        </w:rPr>
        <w:t>6</w:t>
      </w:r>
      <w:r w:rsidR="002E6812" w:rsidRPr="008C3A03">
        <w:rPr>
          <w:rFonts w:cs="Arial"/>
        </w:rPr>
        <w:t>.1</w:t>
      </w:r>
      <w:r w:rsidR="002E6812" w:rsidRPr="008C3A03">
        <w:rPr>
          <w:rFonts w:cs="Arial"/>
        </w:rPr>
        <w:tab/>
        <w:t>There is a list of solicitors who have been awar</w:t>
      </w:r>
      <w:r w:rsidR="002E6812">
        <w:rPr>
          <w:rFonts w:cs="Arial"/>
        </w:rPr>
        <w:t>ded legal aid contracts by the L</w:t>
      </w:r>
      <w:r w:rsidR="002E6812" w:rsidRPr="008C3A03">
        <w:rPr>
          <w:rFonts w:cs="Arial"/>
        </w:rPr>
        <w:t>egal</w:t>
      </w:r>
      <w:r w:rsidR="002E6812">
        <w:rPr>
          <w:rFonts w:cs="Arial"/>
        </w:rPr>
        <w:t xml:space="preserve"> Aid Agency</w:t>
      </w:r>
      <w:r w:rsidR="002E6812" w:rsidRPr="008C3A03">
        <w:rPr>
          <w:rFonts w:cs="Arial"/>
        </w:rPr>
        <w:t xml:space="preserve"> to act for patients pertaining to their compulsion under the Mental Health Act 1983. A copy of this list </w:t>
      </w:r>
      <w:r w:rsidR="002E6812">
        <w:rPr>
          <w:rFonts w:cs="Arial"/>
        </w:rPr>
        <w:t>with all the solicitors o</w:t>
      </w:r>
      <w:r w:rsidR="002E6812" w:rsidRPr="008C3A03">
        <w:rPr>
          <w:rFonts w:cs="Arial"/>
        </w:rPr>
        <w:t>per</w:t>
      </w:r>
      <w:r w:rsidR="002E6812">
        <w:rPr>
          <w:rFonts w:cs="Arial"/>
        </w:rPr>
        <w:t>a</w:t>
      </w:r>
      <w:r w:rsidR="002E6812" w:rsidRPr="008C3A03">
        <w:rPr>
          <w:rFonts w:cs="Arial"/>
        </w:rPr>
        <w:t xml:space="preserve">ting </w:t>
      </w:r>
      <w:r w:rsidR="002E6812">
        <w:rPr>
          <w:rFonts w:cs="Arial"/>
        </w:rPr>
        <w:t xml:space="preserve">in the </w:t>
      </w:r>
      <w:r w:rsidR="002E6812" w:rsidRPr="006D172F">
        <w:rPr>
          <w:rFonts w:cs="Arial"/>
          <w:color w:val="000000" w:themeColor="text1"/>
        </w:rPr>
        <w:t xml:space="preserve">Local </w:t>
      </w:r>
      <w:r w:rsidR="002E6812" w:rsidRPr="008C3A03">
        <w:rPr>
          <w:rFonts w:cs="Arial"/>
        </w:rPr>
        <w:t>area</w:t>
      </w:r>
      <w:r w:rsidR="002E6812">
        <w:rPr>
          <w:rFonts w:cs="Arial"/>
        </w:rPr>
        <w:t>,</w:t>
      </w:r>
      <w:r w:rsidR="002E6812" w:rsidRPr="008C3A03">
        <w:rPr>
          <w:rFonts w:cs="Arial"/>
        </w:rPr>
        <w:t xml:space="preserve"> is available from</w:t>
      </w:r>
      <w:r w:rsidR="006D172F">
        <w:rPr>
          <w:rFonts w:cs="Arial"/>
        </w:rPr>
        <w:t xml:space="preserve"> each Mental Health Law office.</w:t>
      </w:r>
    </w:p>
    <w:p w14:paraId="7E2B31ED" w14:textId="69AB15E1" w:rsidR="002E6812" w:rsidRPr="008C3A03" w:rsidRDefault="007B70BE" w:rsidP="006D172F">
      <w:pPr>
        <w:spacing w:after="0"/>
        <w:ind w:left="720" w:hanging="720"/>
        <w:rPr>
          <w:rFonts w:cs="Arial"/>
        </w:rPr>
      </w:pPr>
      <w:r>
        <w:rPr>
          <w:rFonts w:cs="Arial"/>
        </w:rPr>
        <w:t>6</w:t>
      </w:r>
      <w:r w:rsidR="002E6812" w:rsidRPr="008C3A03">
        <w:rPr>
          <w:rFonts w:cs="Arial"/>
        </w:rPr>
        <w:t>.2</w:t>
      </w:r>
      <w:r w:rsidR="002E6812" w:rsidRPr="008C3A03">
        <w:rPr>
          <w:rFonts w:cs="Arial"/>
        </w:rPr>
        <w:tab/>
        <w:t>If the patient wants to contact a legal representative directly who is already known to them, where practicable they should be given the o</w:t>
      </w:r>
      <w:r w:rsidR="006D172F">
        <w:rPr>
          <w:rFonts w:cs="Arial"/>
        </w:rPr>
        <w:t>pportunity to do so.</w:t>
      </w:r>
    </w:p>
    <w:p w14:paraId="5A273F17" w14:textId="5CE7799D" w:rsidR="002E6812" w:rsidRPr="006D172F" w:rsidRDefault="007B70BE" w:rsidP="006D172F">
      <w:pPr>
        <w:spacing w:after="0"/>
        <w:ind w:left="720" w:hanging="720"/>
        <w:rPr>
          <w:rFonts w:cs="Arial"/>
          <w:color w:val="FF0000"/>
        </w:rPr>
      </w:pPr>
      <w:r>
        <w:rPr>
          <w:rFonts w:cs="Arial"/>
        </w:rPr>
        <w:t>6</w:t>
      </w:r>
      <w:r w:rsidR="002E6812" w:rsidRPr="008C3A03">
        <w:rPr>
          <w:rFonts w:cs="Arial"/>
        </w:rPr>
        <w:t>.3</w:t>
      </w:r>
      <w:r w:rsidR="002E6812" w:rsidRPr="008C3A03">
        <w:rPr>
          <w:rFonts w:cs="Arial"/>
        </w:rPr>
        <w:tab/>
        <w:t>Where this is not practicable, or the patient asks a member of staff to contact a named legal representative to arrange an appointment, staff should consult the list for contact details and either contact the firm directly or ask a member of the Mental Health Act Law team to do so. If the legal representative’s firm is not listed, advice should be sought fro</w:t>
      </w:r>
      <w:r w:rsidR="002E6812">
        <w:rPr>
          <w:rFonts w:cs="Arial"/>
        </w:rPr>
        <w:t>m the Mental Health Law office</w:t>
      </w:r>
      <w:r w:rsidR="006D172F" w:rsidRPr="00963980">
        <w:rPr>
          <w:rFonts w:cs="Arial"/>
          <w:color w:val="000000" w:themeColor="text1"/>
        </w:rPr>
        <w:t>.</w:t>
      </w:r>
    </w:p>
    <w:p w14:paraId="2EAC4812" w14:textId="5533F7D8" w:rsidR="002E6812" w:rsidRDefault="00963980" w:rsidP="002E6812">
      <w:pPr>
        <w:spacing w:after="0"/>
        <w:ind w:left="720" w:hanging="720"/>
        <w:rPr>
          <w:rFonts w:cs="Arial"/>
        </w:rPr>
      </w:pPr>
      <w:r>
        <w:rPr>
          <w:rFonts w:cs="Arial"/>
        </w:rPr>
        <w:t xml:space="preserve"> </w:t>
      </w:r>
      <w:r w:rsidR="007B70BE">
        <w:rPr>
          <w:rFonts w:cs="Arial"/>
        </w:rPr>
        <w:t>6</w:t>
      </w:r>
      <w:r w:rsidR="002E6812" w:rsidRPr="008C3A03">
        <w:rPr>
          <w:rFonts w:cs="Arial"/>
        </w:rPr>
        <w:t>.4</w:t>
      </w:r>
      <w:r w:rsidR="002E6812" w:rsidRPr="008C3A03">
        <w:rPr>
          <w:rFonts w:cs="Arial"/>
        </w:rPr>
        <w:tab/>
        <w:t>The patient might ask staff to recommend a legal representative. In this situation, the patient should be provided with a copy of the Solicitor list and encouraged to choose one.</w:t>
      </w:r>
    </w:p>
    <w:p w14:paraId="2255B7E7" w14:textId="23A7130D" w:rsidR="002E6812" w:rsidRPr="008C3A03" w:rsidRDefault="007B70BE" w:rsidP="00D52186">
      <w:pPr>
        <w:spacing w:after="0"/>
        <w:ind w:left="720" w:hanging="720"/>
        <w:rPr>
          <w:rFonts w:cs="Arial"/>
        </w:rPr>
      </w:pPr>
      <w:r>
        <w:rPr>
          <w:rFonts w:cs="Arial"/>
        </w:rPr>
        <w:t xml:space="preserve"> 6</w:t>
      </w:r>
      <w:r w:rsidR="00963980">
        <w:rPr>
          <w:rFonts w:cs="Arial"/>
        </w:rPr>
        <w:t>.5</w:t>
      </w:r>
      <w:r w:rsidR="00D52186">
        <w:rPr>
          <w:rFonts w:cs="Arial"/>
        </w:rPr>
        <w:t xml:space="preserve">    </w:t>
      </w:r>
      <w:r w:rsidR="00314B9F">
        <w:rPr>
          <w:rFonts w:cs="Arial"/>
        </w:rPr>
        <w:t xml:space="preserve"> </w:t>
      </w:r>
      <w:r w:rsidR="003F22FC">
        <w:rPr>
          <w:rFonts w:cs="Arial"/>
        </w:rPr>
        <w:t xml:space="preserve"> </w:t>
      </w:r>
      <w:r w:rsidR="002E6812" w:rsidRPr="008C3A03">
        <w:rPr>
          <w:rFonts w:cs="Arial"/>
        </w:rPr>
        <w:t>If the patient refuses</w:t>
      </w:r>
      <w:r w:rsidR="00D52186">
        <w:rPr>
          <w:rFonts w:cs="Arial"/>
        </w:rPr>
        <w:t xml:space="preserve"> and lacks the capacity</w:t>
      </w:r>
      <w:r w:rsidR="002E6812" w:rsidRPr="008C3A03">
        <w:rPr>
          <w:rFonts w:cs="Arial"/>
        </w:rPr>
        <w:t xml:space="preserve"> to choose a legal representative, then staff should refer the matter to the Mental Health Law office</w:t>
      </w:r>
      <w:r w:rsidR="00D52186">
        <w:rPr>
          <w:rFonts w:cs="Arial"/>
        </w:rPr>
        <w:t>.</w:t>
      </w:r>
      <w:r w:rsidR="002E6812" w:rsidRPr="008C3A03">
        <w:rPr>
          <w:rFonts w:cs="Arial"/>
        </w:rPr>
        <w:t xml:space="preserve"> </w:t>
      </w:r>
      <w:r w:rsidR="00D52186">
        <w:rPr>
          <w:rFonts w:cs="Arial"/>
        </w:rPr>
        <w:t>They</w:t>
      </w:r>
      <w:r w:rsidR="002E6812" w:rsidRPr="008C3A03">
        <w:rPr>
          <w:rFonts w:cs="Arial"/>
        </w:rPr>
        <w:t xml:space="preserve"> will then refer the matter to the Tribunal</w:t>
      </w:r>
      <w:r w:rsidR="00D52186">
        <w:rPr>
          <w:rFonts w:cs="Arial"/>
        </w:rPr>
        <w:t>,</w:t>
      </w:r>
      <w:r w:rsidR="002E6812">
        <w:rPr>
          <w:rFonts w:cs="Arial"/>
        </w:rPr>
        <w:t xml:space="preserve"> </w:t>
      </w:r>
      <w:r w:rsidR="002E6812" w:rsidRPr="00D52186">
        <w:rPr>
          <w:rFonts w:cs="Arial"/>
          <w:color w:val="000000" w:themeColor="text1"/>
        </w:rPr>
        <w:t xml:space="preserve">providing a </w:t>
      </w:r>
      <w:r w:rsidR="002E6812" w:rsidRPr="00D52186">
        <w:rPr>
          <w:rFonts w:cs="Arial"/>
          <w:color w:val="000000" w:themeColor="text1"/>
          <w:szCs w:val="22"/>
        </w:rPr>
        <w:t xml:space="preserve">completed </w:t>
      </w:r>
      <w:r w:rsidR="002E6812" w:rsidRPr="00D52186">
        <w:rPr>
          <w:rFonts w:cs="Arial"/>
          <w:color w:val="000000" w:themeColor="text1"/>
        </w:rPr>
        <w:t>MH3 (rule11(7)</w:t>
      </w:r>
      <w:r w:rsidR="008B2DB4">
        <w:rPr>
          <w:rFonts w:cs="Arial"/>
          <w:color w:val="000000" w:themeColor="text1"/>
        </w:rPr>
        <w:t>)</w:t>
      </w:r>
      <w:r w:rsidR="002E6812" w:rsidRPr="00D52186">
        <w:rPr>
          <w:rFonts w:cs="Arial"/>
          <w:color w:val="000000" w:themeColor="text1"/>
        </w:rPr>
        <w:t xml:space="preserve"> </w:t>
      </w:r>
      <w:r w:rsidR="002E6812" w:rsidRPr="00D52186">
        <w:rPr>
          <w:rFonts w:cs="Arial"/>
          <w:color w:val="000000" w:themeColor="text1"/>
          <w:szCs w:val="22"/>
        </w:rPr>
        <w:t xml:space="preserve">by a clinician, </w:t>
      </w:r>
      <w:r w:rsidR="00D52186" w:rsidRPr="00D52186">
        <w:rPr>
          <w:rFonts w:cs="Arial"/>
          <w:color w:val="000000" w:themeColor="text1"/>
          <w:szCs w:val="22"/>
        </w:rPr>
        <w:t xml:space="preserve">who is </w:t>
      </w:r>
      <w:r w:rsidR="002E6812" w:rsidRPr="00D52186">
        <w:rPr>
          <w:rFonts w:cs="Arial"/>
          <w:color w:val="000000" w:themeColor="text1"/>
          <w:szCs w:val="22"/>
        </w:rPr>
        <w:t>familiar with the patient</w:t>
      </w:r>
      <w:r w:rsidR="00D52186" w:rsidRPr="00D52186">
        <w:rPr>
          <w:rFonts w:cs="Arial"/>
          <w:color w:val="000000" w:themeColor="text1"/>
          <w:szCs w:val="22"/>
        </w:rPr>
        <w:t>.</w:t>
      </w:r>
      <w:r w:rsidR="00D52186" w:rsidRPr="00D52186">
        <w:rPr>
          <w:rFonts w:cs="Arial"/>
          <w:b/>
          <w:color w:val="000000" w:themeColor="text1"/>
          <w:szCs w:val="22"/>
        </w:rPr>
        <w:t xml:space="preserve"> </w:t>
      </w:r>
    </w:p>
    <w:p w14:paraId="4D7CD8D5" w14:textId="6D339523" w:rsidR="002E6812" w:rsidRPr="0021593E" w:rsidRDefault="007B70BE" w:rsidP="002E6812">
      <w:pPr>
        <w:spacing w:after="0"/>
        <w:ind w:left="720" w:hanging="720"/>
        <w:rPr>
          <w:rFonts w:cs="Arial"/>
        </w:rPr>
      </w:pPr>
      <w:r>
        <w:rPr>
          <w:rFonts w:cs="Arial"/>
        </w:rPr>
        <w:t>6</w:t>
      </w:r>
      <w:r w:rsidR="002E6812" w:rsidRPr="008C3A03">
        <w:rPr>
          <w:rFonts w:cs="Arial"/>
        </w:rPr>
        <w:t xml:space="preserve">.6 </w:t>
      </w:r>
      <w:r w:rsidR="002E6812" w:rsidRPr="008C3A03">
        <w:rPr>
          <w:rFonts w:cs="Arial"/>
        </w:rPr>
        <w:tab/>
        <w:t>All discussions and actions should be documented in the patient’s medical notes.</w:t>
      </w:r>
    </w:p>
    <w:p w14:paraId="49973AE5" w14:textId="77777777" w:rsidR="002E6812" w:rsidRPr="0021593E" w:rsidRDefault="002E6812" w:rsidP="002E6812">
      <w:pPr>
        <w:pStyle w:val="BodyText"/>
        <w:ind w:left="720" w:hanging="720"/>
        <w:jc w:val="left"/>
        <w:rPr>
          <w:rFonts w:ascii="Arial" w:hAnsi="Arial" w:cs="Arial"/>
          <w:sz w:val="22"/>
          <w:szCs w:val="22"/>
        </w:rPr>
      </w:pPr>
    </w:p>
    <w:p w14:paraId="49BB4306" w14:textId="4DF2533F" w:rsidR="002E6812" w:rsidRPr="00F516B1" w:rsidRDefault="007B70BE" w:rsidP="494AFF6B">
      <w:pPr>
        <w:pStyle w:val="BodyText"/>
        <w:ind w:left="720" w:hanging="720"/>
        <w:jc w:val="left"/>
        <w:rPr>
          <w:rFonts w:ascii="Arial" w:hAnsi="Arial" w:cs="Arial"/>
          <w:color w:val="auto"/>
          <w:sz w:val="22"/>
          <w:szCs w:val="22"/>
          <w:highlight w:val="yellow"/>
        </w:rPr>
      </w:pPr>
      <w:r>
        <w:rPr>
          <w:rFonts w:ascii="Arial" w:hAnsi="Arial" w:cs="Arial"/>
          <w:color w:val="auto"/>
          <w:sz w:val="22"/>
          <w:szCs w:val="22"/>
        </w:rPr>
        <w:t>6</w:t>
      </w:r>
      <w:r w:rsidR="002E6812" w:rsidRPr="494AFF6B">
        <w:rPr>
          <w:rFonts w:ascii="Arial" w:hAnsi="Arial" w:cs="Arial"/>
          <w:color w:val="auto"/>
          <w:sz w:val="22"/>
          <w:szCs w:val="22"/>
        </w:rPr>
        <w:t>.7</w:t>
      </w:r>
      <w:r w:rsidR="002E6812">
        <w:tab/>
      </w:r>
      <w:r w:rsidR="002E6812" w:rsidRPr="494AFF6B">
        <w:rPr>
          <w:rFonts w:ascii="Arial" w:hAnsi="Arial" w:cs="Arial"/>
          <w:color w:val="auto"/>
          <w:sz w:val="22"/>
          <w:szCs w:val="22"/>
        </w:rPr>
        <w:t xml:space="preserve">Once the legal representative has been appointed, s/he will contact the Trust to arrange a time to see the patient. Where practicable, staff should arrange for a suitable room to be available, which is private, safe and that does not contain any confidential information.  </w:t>
      </w:r>
      <w:r w:rsidR="002E6812" w:rsidRPr="00F516B1">
        <w:rPr>
          <w:rFonts w:ascii="Arial" w:hAnsi="Arial" w:cs="Arial"/>
          <w:color w:val="auto"/>
          <w:sz w:val="22"/>
          <w:szCs w:val="22"/>
        </w:rPr>
        <w:t>In the event of a situation where access on to site the trust must adhere to</w:t>
      </w:r>
      <w:r w:rsidR="002E6812" w:rsidRPr="494AFF6B">
        <w:rPr>
          <w:rFonts w:ascii="Arial" w:hAnsi="Arial" w:cs="Arial"/>
          <w:color w:val="auto"/>
          <w:sz w:val="22"/>
          <w:szCs w:val="22"/>
        </w:rPr>
        <w:t xml:space="preserve"> </w:t>
      </w:r>
      <w:r w:rsidR="00841BB7">
        <w:rPr>
          <w:rFonts w:ascii="Arial" w:hAnsi="Arial" w:cs="Arial"/>
          <w:color w:val="auto"/>
          <w:sz w:val="22"/>
          <w:szCs w:val="22"/>
        </w:rPr>
        <w:t xml:space="preserve">the Access for Service Users to Solicitors SOP. </w:t>
      </w:r>
    </w:p>
    <w:p w14:paraId="3007233C" w14:textId="3976B17A" w:rsidR="002E6812" w:rsidRPr="008C3A03" w:rsidRDefault="007B70BE" w:rsidP="00C368BE">
      <w:pPr>
        <w:spacing w:after="0"/>
        <w:ind w:left="720" w:hanging="720"/>
        <w:rPr>
          <w:rFonts w:cs="Arial"/>
        </w:rPr>
      </w:pPr>
      <w:r>
        <w:rPr>
          <w:rFonts w:cs="Arial"/>
        </w:rPr>
        <w:t>6</w:t>
      </w:r>
      <w:r w:rsidR="002E6812" w:rsidRPr="008C3A03">
        <w:rPr>
          <w:rFonts w:cs="Arial"/>
        </w:rPr>
        <w:t>.8</w:t>
      </w:r>
      <w:r w:rsidR="002E6812" w:rsidRPr="008C3A03">
        <w:rPr>
          <w:rFonts w:cs="Arial"/>
        </w:rPr>
        <w:tab/>
        <w:t>Once the patient has instructed the legal representative, s/he will usually give written permission for the legal representative to view their health records to help prepare the case. This written permission will usually be sent to the Mental Health Law office who will upload to the electronic patient record.</w:t>
      </w:r>
    </w:p>
    <w:p w14:paraId="6F838AA7" w14:textId="07369176" w:rsidR="007B70BE" w:rsidRDefault="007B70BE" w:rsidP="007B70BE">
      <w:pPr>
        <w:spacing w:after="0"/>
        <w:ind w:left="720" w:hanging="720"/>
        <w:rPr>
          <w:rFonts w:cs="Arial"/>
        </w:rPr>
      </w:pPr>
      <w:r>
        <w:rPr>
          <w:rFonts w:cs="Arial"/>
        </w:rPr>
        <w:t>6</w:t>
      </w:r>
      <w:r w:rsidR="002E6812" w:rsidRPr="494AFF6B">
        <w:rPr>
          <w:rFonts w:cs="Arial"/>
        </w:rPr>
        <w:t>.9</w:t>
      </w:r>
      <w:r w:rsidR="002E6812">
        <w:tab/>
      </w:r>
      <w:r w:rsidR="001C3D5B">
        <w:rPr>
          <w:rFonts w:cs="Arial"/>
        </w:rPr>
        <w:t>Once received, the</w:t>
      </w:r>
      <w:r w:rsidR="001C3D5B" w:rsidRPr="494AFF6B">
        <w:rPr>
          <w:rFonts w:cs="Arial"/>
        </w:rPr>
        <w:t xml:space="preserve"> </w:t>
      </w:r>
      <w:r w:rsidR="002E6812" w:rsidRPr="494AFF6B">
        <w:rPr>
          <w:rFonts w:cs="Arial"/>
        </w:rPr>
        <w:t>request for access to view records will be</w:t>
      </w:r>
      <w:r w:rsidR="001C3D5B">
        <w:rPr>
          <w:rFonts w:cs="Arial"/>
        </w:rPr>
        <w:t xml:space="preserve"> authorised</w:t>
      </w:r>
      <w:r w:rsidR="002E6812" w:rsidRPr="494AFF6B">
        <w:rPr>
          <w:rFonts w:cs="Arial"/>
        </w:rPr>
        <w:t xml:space="preserve"> by the Mental Health Law office</w:t>
      </w:r>
      <w:r w:rsidR="00D048CD">
        <w:rPr>
          <w:rFonts w:cs="Arial"/>
        </w:rPr>
        <w:t xml:space="preserve"> on confirmation on CNL1</w:t>
      </w:r>
      <w:r w:rsidR="004F78E1">
        <w:rPr>
          <w:rFonts w:cs="Arial"/>
        </w:rPr>
        <w:t xml:space="preserve"> by the Tribunal, that the legal representative is acting</w:t>
      </w:r>
      <w:r w:rsidR="002E6812" w:rsidRPr="494AFF6B">
        <w:rPr>
          <w:rFonts w:cs="Arial"/>
        </w:rPr>
        <w:t xml:space="preserve"> and </w:t>
      </w:r>
      <w:r w:rsidR="00D048CD">
        <w:rPr>
          <w:rStyle w:val="CommentReference"/>
          <w:sz w:val="22"/>
          <w:szCs w:val="22"/>
        </w:rPr>
        <w:t>r</w:t>
      </w:r>
      <w:r w:rsidR="001C3D5B" w:rsidRPr="00C00BC4">
        <w:rPr>
          <w:rStyle w:val="CommentReference"/>
          <w:sz w:val="22"/>
          <w:szCs w:val="22"/>
        </w:rPr>
        <w:t>elevant health records provided to the legal representative via secure email address.</w:t>
      </w:r>
      <w:r w:rsidR="004F78E1">
        <w:rPr>
          <w:rStyle w:val="CommentReference"/>
          <w:sz w:val="22"/>
          <w:szCs w:val="22"/>
        </w:rPr>
        <w:t xml:space="preserve"> In Section 2 cases, when a legal representative requests for records, these are to be provided without delay</w:t>
      </w:r>
      <w:r w:rsidR="00C00BC4">
        <w:rPr>
          <w:rStyle w:val="CommentReference"/>
          <w:sz w:val="22"/>
          <w:szCs w:val="22"/>
        </w:rPr>
        <w:t xml:space="preserve"> – see Tribunal Direction – 27/09/2021.</w:t>
      </w:r>
      <w:hyperlink r:id="rId25" w:history="1">
        <w:r w:rsidRPr="007B70BE">
          <w:rPr>
            <w:rStyle w:val="Hyperlink"/>
            <w:szCs w:val="22"/>
          </w:rPr>
          <w:t>https://www.mentalhealthlaw.co.uk/media/2021-09-27_MHT_medical_records_coronavirus_direction.pdf</w:t>
        </w:r>
      </w:hyperlink>
    </w:p>
    <w:p w14:paraId="785C9197" w14:textId="77777777" w:rsidR="007B70BE" w:rsidRPr="008C3A03" w:rsidRDefault="007B70BE" w:rsidP="007B70BE">
      <w:pPr>
        <w:spacing w:after="0"/>
        <w:ind w:left="720" w:hanging="720"/>
        <w:rPr>
          <w:rFonts w:cs="Arial"/>
        </w:rPr>
      </w:pPr>
    </w:p>
    <w:p w14:paraId="796DA728" w14:textId="3A138FA1" w:rsidR="00E14841" w:rsidRDefault="007B70BE" w:rsidP="000C35BD">
      <w:pPr>
        <w:pStyle w:val="NoSpacing"/>
      </w:pPr>
      <w:r>
        <w:t>6</w:t>
      </w:r>
      <w:r w:rsidR="002E6812" w:rsidRPr="0021593E">
        <w:t>.10</w:t>
      </w:r>
      <w:r w:rsidR="002E6812" w:rsidRPr="0021593E">
        <w:tab/>
        <w:t xml:space="preserve">Legal representatives have been advised that access to patient records </w:t>
      </w:r>
      <w:r w:rsidR="00E14841">
        <w:t xml:space="preserve">is provided via </w:t>
      </w:r>
    </w:p>
    <w:p w14:paraId="05CB00ED" w14:textId="3E5DD434" w:rsidR="00E14841" w:rsidRDefault="00E14841" w:rsidP="000C35BD">
      <w:pPr>
        <w:pStyle w:val="NoSpacing"/>
      </w:pPr>
      <w:r>
        <w:t xml:space="preserve">            secure email</w:t>
      </w:r>
      <w:r w:rsidR="000C35BD">
        <w:t xml:space="preserve"> </w:t>
      </w:r>
      <w:r>
        <w:t xml:space="preserve">following confirmation demonstrating they are acting on behalf of </w:t>
      </w:r>
    </w:p>
    <w:p w14:paraId="391DC97A" w14:textId="77777777" w:rsidR="00E14841" w:rsidRDefault="00E14841" w:rsidP="000C35BD">
      <w:pPr>
        <w:pStyle w:val="NoSpacing"/>
      </w:pPr>
      <w:r>
        <w:t xml:space="preserve">            the </w:t>
      </w:r>
      <w:proofErr w:type="gramStart"/>
      <w:r>
        <w:t>aforementioned patient</w:t>
      </w:r>
      <w:proofErr w:type="gramEnd"/>
      <w:r>
        <w:t>. Legal representatives</w:t>
      </w:r>
      <w:r w:rsidR="002E6812" w:rsidRPr="0021593E">
        <w:t xml:space="preserve"> should not be accessing electronic </w:t>
      </w:r>
    </w:p>
    <w:p w14:paraId="724E1026" w14:textId="77777777" w:rsidR="00E14841" w:rsidRPr="00E14841" w:rsidRDefault="00E14841" w:rsidP="001856A7">
      <w:pPr>
        <w:pStyle w:val="NoSpacing"/>
      </w:pPr>
      <w:r>
        <w:t xml:space="preserve">            </w:t>
      </w:r>
      <w:r w:rsidR="002E6812" w:rsidRPr="0021593E">
        <w:t xml:space="preserve">records in </w:t>
      </w:r>
      <w:r>
        <w:t>hospital</w:t>
      </w:r>
      <w:r w:rsidR="002E6812" w:rsidRPr="0021593E">
        <w:t xml:space="preserve"> unless in </w:t>
      </w:r>
      <w:proofErr w:type="gramStart"/>
      <w:r w:rsidR="002E6812" w:rsidRPr="0021593E">
        <w:t xml:space="preserve">exceptional </w:t>
      </w:r>
      <w:r w:rsidR="00C050E1">
        <w:t xml:space="preserve"> </w:t>
      </w:r>
      <w:r w:rsidR="002E6812" w:rsidRPr="0021593E">
        <w:t>circumstances</w:t>
      </w:r>
      <w:proofErr w:type="gramEnd"/>
      <w:r w:rsidR="002E6812" w:rsidRPr="00D11D2D">
        <w:rPr>
          <w:b/>
        </w:rPr>
        <w:t xml:space="preserve">. </w:t>
      </w:r>
      <w:r w:rsidR="001856A7" w:rsidRPr="00E14841">
        <w:t xml:space="preserve">This is in line with the Trust </w:t>
      </w:r>
    </w:p>
    <w:p w14:paraId="2B9332B4" w14:textId="6A9C755E" w:rsidR="008445E4" w:rsidRDefault="00E14841" w:rsidP="001856A7">
      <w:pPr>
        <w:pStyle w:val="NoSpacing"/>
      </w:pPr>
      <w:r w:rsidRPr="00E14841">
        <w:t xml:space="preserve">            </w:t>
      </w:r>
      <w:r w:rsidR="00A55A58">
        <w:t>Access to Records Policy</w:t>
      </w:r>
      <w:r w:rsidR="001856A7" w:rsidRPr="00E14841">
        <w:t>.</w:t>
      </w:r>
      <w:r w:rsidR="008445E4">
        <w:t xml:space="preserve">  </w:t>
      </w:r>
    </w:p>
    <w:p w14:paraId="151AB649" w14:textId="77777777" w:rsidR="00C050E1" w:rsidRDefault="00C050E1" w:rsidP="000C35BD">
      <w:pPr>
        <w:pStyle w:val="NoSpacing"/>
        <w:rPr>
          <w:b/>
        </w:rPr>
      </w:pPr>
    </w:p>
    <w:p w14:paraId="3CCFC7B1" w14:textId="4AA157F5" w:rsidR="00C050E1" w:rsidRDefault="007B70BE" w:rsidP="000C35BD">
      <w:pPr>
        <w:pStyle w:val="NoSpacing"/>
        <w:rPr>
          <w:color w:val="000000" w:themeColor="text1"/>
        </w:rPr>
      </w:pPr>
      <w:r>
        <w:t>6</w:t>
      </w:r>
      <w:r w:rsidR="00C050E1" w:rsidRPr="00C050E1">
        <w:t>.11</w:t>
      </w:r>
      <w:r w:rsidR="002E6812" w:rsidRPr="00D11D2D">
        <w:rPr>
          <w:b/>
        </w:rPr>
        <w:t xml:space="preserve"> </w:t>
      </w:r>
      <w:r w:rsidR="00C050E1">
        <w:rPr>
          <w:b/>
        </w:rPr>
        <w:t xml:space="preserve">    </w:t>
      </w:r>
      <w:r w:rsidR="002E6812" w:rsidRPr="00C050E1">
        <w:rPr>
          <w:color w:val="000000" w:themeColor="text1"/>
        </w:rPr>
        <w:t>In the event where the legal representative cannot access the premise</w:t>
      </w:r>
      <w:r w:rsidR="00C050E1">
        <w:rPr>
          <w:color w:val="000000" w:themeColor="text1"/>
        </w:rPr>
        <w:t>s</w:t>
      </w:r>
      <w:r w:rsidR="002E6812" w:rsidRPr="00C050E1">
        <w:rPr>
          <w:color w:val="000000" w:themeColor="text1"/>
        </w:rPr>
        <w:t xml:space="preserve"> due to </w:t>
      </w:r>
      <w:r w:rsidR="00C050E1">
        <w:rPr>
          <w:color w:val="000000" w:themeColor="text1"/>
        </w:rPr>
        <w:t xml:space="preserve">  </w:t>
      </w:r>
    </w:p>
    <w:p w14:paraId="0A2C9B7C" w14:textId="4AA76FAA" w:rsidR="00C050E1" w:rsidRDefault="00C050E1" w:rsidP="000C35BD">
      <w:pPr>
        <w:pStyle w:val="NoSpacing"/>
        <w:rPr>
          <w:rFonts w:eastAsia="Verdana"/>
          <w:color w:val="000000" w:themeColor="text1"/>
          <w:szCs w:val="22"/>
        </w:rPr>
      </w:pPr>
      <w:r>
        <w:rPr>
          <w:color w:val="000000" w:themeColor="text1"/>
        </w:rPr>
        <w:t xml:space="preserve">            </w:t>
      </w:r>
      <w:r w:rsidR="002E6812" w:rsidRPr="00C050E1">
        <w:rPr>
          <w:color w:val="000000" w:themeColor="text1"/>
        </w:rPr>
        <w:t>exceptional circumstanc</w:t>
      </w:r>
      <w:r w:rsidR="008445E4">
        <w:rPr>
          <w:color w:val="000000" w:themeColor="text1"/>
        </w:rPr>
        <w:t>es the Trust should follow the T</w:t>
      </w:r>
      <w:r w:rsidR="002E6812" w:rsidRPr="00C050E1">
        <w:rPr>
          <w:color w:val="000000" w:themeColor="text1"/>
        </w:rPr>
        <w:t xml:space="preserve">ribunal </w:t>
      </w:r>
      <w:r w:rsidR="002E6812" w:rsidRPr="00C050E1">
        <w:rPr>
          <w:rFonts w:eastAsia="Verdana"/>
          <w:color w:val="000000" w:themeColor="text1"/>
          <w:szCs w:val="22"/>
        </w:rPr>
        <w:t xml:space="preserve">Direction for disclosure </w:t>
      </w:r>
      <w:r>
        <w:rPr>
          <w:rFonts w:eastAsia="Verdana"/>
          <w:color w:val="000000" w:themeColor="text1"/>
          <w:szCs w:val="22"/>
        </w:rPr>
        <w:t xml:space="preserve"> </w:t>
      </w:r>
    </w:p>
    <w:p w14:paraId="6C5590C7" w14:textId="04CE89AB" w:rsidR="002E6812" w:rsidRPr="001807D0" w:rsidRDefault="00C050E1" w:rsidP="000C35BD">
      <w:pPr>
        <w:pStyle w:val="NoSpacing"/>
        <w:rPr>
          <w:b/>
          <w:color w:val="FF0000"/>
        </w:rPr>
      </w:pPr>
      <w:r>
        <w:rPr>
          <w:rFonts w:eastAsia="Verdana"/>
          <w:color w:val="000000" w:themeColor="text1"/>
          <w:szCs w:val="22"/>
        </w:rPr>
        <w:t xml:space="preserve">            </w:t>
      </w:r>
      <w:r w:rsidR="002E6812" w:rsidRPr="00C050E1">
        <w:rPr>
          <w:rFonts w:eastAsia="Verdana"/>
          <w:color w:val="000000" w:themeColor="text1"/>
          <w:szCs w:val="22"/>
        </w:rPr>
        <w:t xml:space="preserve">(STJ33) </w:t>
      </w:r>
      <w:r>
        <w:rPr>
          <w:rFonts w:eastAsia="Verdana"/>
          <w:color w:val="000000" w:themeColor="text1"/>
          <w:szCs w:val="22"/>
        </w:rPr>
        <w:t xml:space="preserve">of medical records to legal </w:t>
      </w:r>
      <w:r w:rsidR="002E6812" w:rsidRPr="00C050E1">
        <w:rPr>
          <w:rFonts w:eastAsia="Verdana"/>
          <w:color w:val="000000" w:themeColor="text1"/>
          <w:szCs w:val="22"/>
        </w:rPr>
        <w:t>representatives in all cases for the duration</w:t>
      </w:r>
      <w:r w:rsidR="002E6812" w:rsidRPr="001807D0">
        <w:rPr>
          <w:rFonts w:eastAsia="Verdana"/>
          <w:color w:val="000000" w:themeColor="text1"/>
          <w:szCs w:val="22"/>
        </w:rPr>
        <w:t>.</w:t>
      </w:r>
      <w:r w:rsidR="00F24ACE" w:rsidRPr="001807D0">
        <w:rPr>
          <w:rFonts w:eastAsia="Verdana"/>
          <w:color w:val="FF0000"/>
          <w:szCs w:val="22"/>
        </w:rPr>
        <w:t xml:space="preserve"> </w:t>
      </w:r>
    </w:p>
    <w:p w14:paraId="29A00CFE" w14:textId="77777777" w:rsidR="002E6812" w:rsidRPr="0021593E" w:rsidRDefault="002E6812" w:rsidP="002E6812">
      <w:pPr>
        <w:pStyle w:val="BodyText"/>
        <w:ind w:left="720" w:hanging="720"/>
        <w:jc w:val="left"/>
        <w:rPr>
          <w:rFonts w:ascii="Arial" w:hAnsi="Arial" w:cs="Arial"/>
          <w:bCs/>
          <w:color w:val="auto"/>
          <w:sz w:val="22"/>
          <w:szCs w:val="22"/>
        </w:rPr>
      </w:pPr>
    </w:p>
    <w:p w14:paraId="7C1F38EC" w14:textId="77777777" w:rsidR="002E6812" w:rsidRPr="0021593E" w:rsidRDefault="002E6812" w:rsidP="002E6812">
      <w:pPr>
        <w:pStyle w:val="BodyTextIndent"/>
        <w:spacing w:after="0" w:line="240" w:lineRule="auto"/>
        <w:ind w:hanging="720"/>
        <w:jc w:val="both"/>
        <w:rPr>
          <w:rFonts w:ascii="Arial" w:hAnsi="Arial" w:cs="Arial"/>
          <w:bCs/>
        </w:rPr>
      </w:pPr>
    </w:p>
    <w:p w14:paraId="54D7AEF8" w14:textId="35C8BDEF" w:rsidR="002E6812" w:rsidRPr="0021593E" w:rsidRDefault="007B70BE" w:rsidP="002E6812">
      <w:pPr>
        <w:pStyle w:val="BodyTextIndent"/>
        <w:spacing w:after="0" w:line="240" w:lineRule="auto"/>
        <w:ind w:left="720" w:hanging="720"/>
        <w:jc w:val="both"/>
        <w:rPr>
          <w:rFonts w:ascii="Arial" w:hAnsi="Arial" w:cs="Arial"/>
        </w:rPr>
      </w:pPr>
      <w:r>
        <w:rPr>
          <w:rFonts w:ascii="Arial" w:hAnsi="Arial" w:cs="Arial"/>
          <w:bCs/>
        </w:rPr>
        <w:t>6</w:t>
      </w:r>
      <w:r w:rsidR="00C050E1">
        <w:rPr>
          <w:rFonts w:ascii="Arial" w:hAnsi="Arial" w:cs="Arial"/>
          <w:bCs/>
        </w:rPr>
        <w:t>.12</w:t>
      </w:r>
      <w:r w:rsidR="002E6812" w:rsidRPr="0021593E">
        <w:rPr>
          <w:rFonts w:ascii="Arial" w:hAnsi="Arial" w:cs="Arial"/>
          <w:bCs/>
        </w:rPr>
        <w:tab/>
        <w:t>Though the Trust will have witnesses appearing in a clinical and social care capacity, it will not automatically be represented at a Tribunal. Any person who wishes to act as the Trust’s representative must make this known to the Tribunal via the Mental Health Law office as soon as pos</w:t>
      </w:r>
      <w:r w:rsidR="0082545F">
        <w:rPr>
          <w:rFonts w:ascii="Arial" w:hAnsi="Arial" w:cs="Arial"/>
          <w:bCs/>
        </w:rPr>
        <w:t>sible prior to the date of the h</w:t>
      </w:r>
      <w:r w:rsidR="002E6812" w:rsidRPr="0021593E">
        <w:rPr>
          <w:rFonts w:ascii="Arial" w:hAnsi="Arial" w:cs="Arial"/>
          <w:bCs/>
        </w:rPr>
        <w:t>earing. If it is felt that formal legal representation is required because of the complex nature of the case, the Mental Health Law team should be informed as soon as possible and if appropriate they will then arrange, via the Associate Director for Mental Health Law or the Associate Director for Legal Affairs, for engaging a legal representative for the Trust at the hearing.</w:t>
      </w:r>
    </w:p>
    <w:p w14:paraId="71603609" w14:textId="77777777" w:rsidR="002E6812" w:rsidRPr="008C3A03" w:rsidRDefault="002E6812" w:rsidP="002E6812">
      <w:pPr>
        <w:pStyle w:val="BodyTextIndent"/>
        <w:spacing w:after="0" w:line="240" w:lineRule="auto"/>
        <w:ind w:left="0"/>
        <w:jc w:val="both"/>
        <w:rPr>
          <w:rFonts w:ascii="Arial" w:hAnsi="Arial" w:cs="Arial"/>
        </w:rPr>
      </w:pPr>
    </w:p>
    <w:p w14:paraId="1305DE39" w14:textId="3B54DB85" w:rsidR="002E6812" w:rsidRPr="00F956F9" w:rsidRDefault="007B70BE" w:rsidP="00F956F9">
      <w:pPr>
        <w:pStyle w:val="Heading6"/>
        <w:spacing w:before="0" w:line="240" w:lineRule="auto"/>
        <w:jc w:val="both"/>
        <w:rPr>
          <w:rFonts w:ascii="Arial" w:hAnsi="Arial" w:cs="Arial"/>
          <w:b/>
          <w:i w:val="0"/>
          <w:color w:val="auto"/>
        </w:rPr>
      </w:pPr>
      <w:r>
        <w:rPr>
          <w:rFonts w:ascii="Arial" w:hAnsi="Arial" w:cs="Arial"/>
          <w:b/>
          <w:i w:val="0"/>
          <w:color w:val="auto"/>
        </w:rPr>
        <w:t>7</w:t>
      </w:r>
      <w:r w:rsidR="002E6812" w:rsidRPr="0021593E">
        <w:rPr>
          <w:rFonts w:ascii="Arial" w:hAnsi="Arial" w:cs="Arial"/>
          <w:b/>
          <w:i w:val="0"/>
          <w:color w:val="auto"/>
        </w:rPr>
        <w:t>.0</w:t>
      </w:r>
      <w:r w:rsidR="002E6812" w:rsidRPr="0021593E">
        <w:rPr>
          <w:rFonts w:ascii="Arial" w:hAnsi="Arial" w:cs="Arial"/>
          <w:b/>
          <w:i w:val="0"/>
          <w:color w:val="auto"/>
        </w:rPr>
        <w:tab/>
        <w:t>Reports</w:t>
      </w:r>
    </w:p>
    <w:p w14:paraId="632AFA5C" w14:textId="0305728D" w:rsidR="002E6812" w:rsidRDefault="007B70BE" w:rsidP="008E4414">
      <w:pPr>
        <w:spacing w:after="0"/>
        <w:ind w:left="720" w:hanging="720"/>
        <w:rPr>
          <w:rFonts w:cs="Arial"/>
        </w:rPr>
      </w:pPr>
      <w:r>
        <w:rPr>
          <w:rFonts w:cs="Arial"/>
        </w:rPr>
        <w:t>7</w:t>
      </w:r>
      <w:r w:rsidR="002E6812" w:rsidRPr="008C3A03">
        <w:rPr>
          <w:rFonts w:cs="Arial"/>
        </w:rPr>
        <w:t>.1</w:t>
      </w:r>
      <w:r w:rsidR="002E6812" w:rsidRPr="008C3A03">
        <w:rPr>
          <w:rFonts w:cs="Arial"/>
        </w:rPr>
        <w:tab/>
        <w:t>As soon as the Mental Health Law office are made aware of an application to the Tribunal, requests for reports set out in accordance with the Practice Direction referred to above, will be made to the Responsible Clinician, Care co-ordinator, nurse and managers of the relevant teams together with their respect</w:t>
      </w:r>
      <w:r w:rsidR="00F956F9">
        <w:rPr>
          <w:rFonts w:cs="Arial"/>
        </w:rPr>
        <w:t>ive secretaries/administrators.</w:t>
      </w:r>
      <w:r w:rsidR="00AB2337">
        <w:rPr>
          <w:rFonts w:cs="Arial"/>
        </w:rPr>
        <w:t xml:space="preserve"> </w:t>
      </w:r>
      <w:r w:rsidR="00AB2337" w:rsidRPr="00AB2337">
        <w:rPr>
          <w:rFonts w:cs="Arial"/>
        </w:rPr>
        <w:t xml:space="preserve">The practicalities of this </w:t>
      </w:r>
      <w:r w:rsidR="008E4414">
        <w:rPr>
          <w:rFonts w:cs="Arial"/>
        </w:rPr>
        <w:t xml:space="preserve">including if and when disputes arise including resolution </w:t>
      </w:r>
      <w:r w:rsidR="00AB2337" w:rsidRPr="00AB2337">
        <w:rPr>
          <w:rFonts w:cs="Arial"/>
        </w:rPr>
        <w:t>ar</w:t>
      </w:r>
      <w:r w:rsidR="008E4414">
        <w:rPr>
          <w:rFonts w:cs="Arial"/>
        </w:rPr>
        <w:t>e set out within the Trust Standard Operating Procedure for Preparing R</w:t>
      </w:r>
      <w:r w:rsidR="00AB2337" w:rsidRPr="00AB2337">
        <w:rPr>
          <w:rFonts w:cs="Arial"/>
        </w:rPr>
        <w:t>eports and Attending Hearings.</w:t>
      </w:r>
      <w:r w:rsidR="00D34D63">
        <w:rPr>
          <w:rFonts w:cs="Arial"/>
        </w:rPr>
        <w:t xml:space="preserve"> </w:t>
      </w:r>
    </w:p>
    <w:p w14:paraId="5F42248A" w14:textId="4174FA0A" w:rsidR="002E6812" w:rsidRDefault="007B70BE" w:rsidP="00F956F9">
      <w:pPr>
        <w:spacing w:after="0"/>
        <w:ind w:left="720" w:right="26" w:hanging="720"/>
        <w:rPr>
          <w:rFonts w:cs="Arial"/>
        </w:rPr>
      </w:pPr>
      <w:r>
        <w:rPr>
          <w:rFonts w:cs="Arial"/>
        </w:rPr>
        <w:t>7</w:t>
      </w:r>
      <w:r w:rsidR="00182410">
        <w:rPr>
          <w:rFonts w:cs="Arial"/>
        </w:rPr>
        <w:t>.</w:t>
      </w:r>
      <w:r w:rsidR="00641FF8">
        <w:rPr>
          <w:rFonts w:cs="Arial"/>
        </w:rPr>
        <w:t>2</w:t>
      </w:r>
      <w:r w:rsidR="002E6812" w:rsidRPr="008C3A03">
        <w:rPr>
          <w:rFonts w:cs="Arial"/>
        </w:rPr>
        <w:tab/>
        <w:t xml:space="preserve">If they are not the author, it is the responsibility of the Responsible Clinician or consultant psychiatrist to ensure that the reports in respect of medical issues concerning the patient are of sufficient quality, and they should counter-sign the report. See also the Joint Tribunal and Royal College of Psychiatrists Guidance re </w:t>
      </w:r>
      <w:r w:rsidR="00935750">
        <w:rPr>
          <w:rFonts w:cs="Arial"/>
        </w:rPr>
        <w:t xml:space="preserve">junior doctors giving evidence - </w:t>
      </w:r>
      <w:hyperlink r:id="rId26" w:history="1">
        <w:r w:rsidR="00935750" w:rsidRPr="004C00A3">
          <w:rPr>
            <w:rStyle w:val="Hyperlink"/>
            <w:rFonts w:cs="Arial"/>
          </w:rPr>
          <w:t>https://www.rcpsych.ac.uk/docs/default-source/events/presentations/ptc-supported-and-valued/dr-joan-rutherford---the-trainee-guide-to-tribunals.pdf?sfvrsn=e74446c2_0</w:t>
        </w:r>
      </w:hyperlink>
    </w:p>
    <w:p w14:paraId="07809E4A" w14:textId="1CE88BC9" w:rsidR="002E6812" w:rsidRPr="008C3A03" w:rsidRDefault="007B70BE" w:rsidP="00F956F9">
      <w:pPr>
        <w:spacing w:after="0"/>
        <w:ind w:left="720" w:hanging="720"/>
        <w:rPr>
          <w:rFonts w:cs="Arial"/>
        </w:rPr>
      </w:pPr>
      <w:r>
        <w:rPr>
          <w:rFonts w:cs="Arial"/>
        </w:rPr>
        <w:t>7</w:t>
      </w:r>
      <w:r w:rsidR="00182410">
        <w:rPr>
          <w:rFonts w:cs="Arial"/>
        </w:rPr>
        <w:t>.</w:t>
      </w:r>
      <w:r w:rsidR="00641FF8">
        <w:rPr>
          <w:rFonts w:cs="Arial"/>
        </w:rPr>
        <w:t>3</w:t>
      </w:r>
      <w:r w:rsidR="002E6812" w:rsidRPr="008C3A03">
        <w:rPr>
          <w:rFonts w:cs="Arial"/>
        </w:rPr>
        <w:tab/>
        <w:t xml:space="preserve">If they are not the author, it is the responsibility of the </w:t>
      </w:r>
      <w:r w:rsidR="004E34D6">
        <w:rPr>
          <w:rFonts w:cs="Arial"/>
        </w:rPr>
        <w:t>Ward Manager</w:t>
      </w:r>
      <w:r w:rsidR="002E6812" w:rsidRPr="008C3A03">
        <w:rPr>
          <w:rFonts w:cs="Arial"/>
        </w:rPr>
        <w:t xml:space="preserve"> to ensure that nursing reports are of sufficient quality, and they </w:t>
      </w:r>
      <w:r w:rsidR="00F956F9">
        <w:rPr>
          <w:rFonts w:cs="Arial"/>
        </w:rPr>
        <w:t>should counter-sign the report.</w:t>
      </w:r>
    </w:p>
    <w:p w14:paraId="6C45311B" w14:textId="6EF6B732" w:rsidR="002E6812" w:rsidRPr="008C3A03" w:rsidRDefault="007B70BE" w:rsidP="00054EE4">
      <w:pPr>
        <w:spacing w:after="0"/>
        <w:ind w:left="720" w:hanging="720"/>
        <w:rPr>
          <w:rFonts w:cs="Arial"/>
        </w:rPr>
      </w:pPr>
      <w:r>
        <w:rPr>
          <w:rFonts w:cs="Arial"/>
        </w:rPr>
        <w:t>7</w:t>
      </w:r>
      <w:r w:rsidR="00182410">
        <w:rPr>
          <w:rFonts w:cs="Arial"/>
        </w:rPr>
        <w:t>.</w:t>
      </w:r>
      <w:r w:rsidR="00641FF8">
        <w:rPr>
          <w:rFonts w:cs="Arial"/>
        </w:rPr>
        <w:t>4</w:t>
      </w:r>
      <w:r w:rsidR="002E6812" w:rsidRPr="008C3A03">
        <w:rPr>
          <w:rFonts w:cs="Arial"/>
        </w:rPr>
        <w:tab/>
        <w:t xml:space="preserve">If they are not the author, it is the responsibility of the relevant manager to ensure that social circumstance reports are of sufficient quality, and they </w:t>
      </w:r>
      <w:r w:rsidR="00054EE4">
        <w:rPr>
          <w:rFonts w:cs="Arial"/>
        </w:rPr>
        <w:t>should counter-sign the report.</w:t>
      </w:r>
    </w:p>
    <w:p w14:paraId="3579C9CD" w14:textId="15C703E6" w:rsidR="002E6812" w:rsidRPr="008C3A03" w:rsidRDefault="007B70BE" w:rsidP="00054EE4">
      <w:pPr>
        <w:spacing w:after="0"/>
        <w:ind w:left="720" w:hanging="720"/>
        <w:rPr>
          <w:rFonts w:cs="Arial"/>
        </w:rPr>
      </w:pPr>
      <w:r>
        <w:rPr>
          <w:rFonts w:cs="Arial"/>
        </w:rPr>
        <w:t>7</w:t>
      </w:r>
      <w:r w:rsidR="00182410">
        <w:rPr>
          <w:rFonts w:cs="Arial"/>
        </w:rPr>
        <w:t>.</w:t>
      </w:r>
      <w:r w:rsidR="00641FF8">
        <w:rPr>
          <w:rFonts w:cs="Arial"/>
        </w:rPr>
        <w:t>5</w:t>
      </w:r>
      <w:r w:rsidR="00182410">
        <w:rPr>
          <w:rFonts w:cs="Arial"/>
        </w:rPr>
        <w:t xml:space="preserve">     </w:t>
      </w:r>
      <w:r w:rsidR="000E5A4A">
        <w:rPr>
          <w:rFonts w:cs="Arial"/>
        </w:rPr>
        <w:t xml:space="preserve">  </w:t>
      </w:r>
      <w:r w:rsidR="002E6812" w:rsidRPr="008C3A03">
        <w:rPr>
          <w:rFonts w:cs="Arial"/>
        </w:rPr>
        <w:t>If a practitioner is aware of a report (or the need for one) written by a professional other than those mentioned above, which the Tribunal might require, the Mental Healt</w:t>
      </w:r>
      <w:r w:rsidR="00054EE4">
        <w:rPr>
          <w:rFonts w:cs="Arial"/>
        </w:rPr>
        <w:t>h Law office should be advised.</w:t>
      </w:r>
    </w:p>
    <w:p w14:paraId="1C3F9404" w14:textId="32A1A6DC" w:rsidR="002E6812" w:rsidRDefault="007B70BE" w:rsidP="00054EE4">
      <w:pPr>
        <w:spacing w:after="0"/>
        <w:ind w:left="720" w:hanging="720"/>
        <w:rPr>
          <w:rFonts w:cs="Arial"/>
        </w:rPr>
      </w:pPr>
      <w:r>
        <w:rPr>
          <w:rFonts w:cs="Arial"/>
        </w:rPr>
        <w:t>7</w:t>
      </w:r>
      <w:r w:rsidR="00182410">
        <w:rPr>
          <w:rFonts w:cs="Arial"/>
        </w:rPr>
        <w:t>.</w:t>
      </w:r>
      <w:r w:rsidR="00641FF8">
        <w:rPr>
          <w:rFonts w:cs="Arial"/>
        </w:rPr>
        <w:t>6</w:t>
      </w:r>
      <w:r w:rsidR="002E6812" w:rsidRPr="008C3A03">
        <w:rPr>
          <w:rFonts w:cs="Arial"/>
        </w:rPr>
        <w:tab/>
        <w:t>Reports must refer to the relevant statutory criteria for the use of the compulsory powers under the Mental Health Act and guidance on the content and quality of reports can</w:t>
      </w:r>
      <w:r w:rsidR="002E6812">
        <w:rPr>
          <w:rFonts w:cs="Arial"/>
        </w:rPr>
        <w:t xml:space="preserve"> be found on the intranet.</w:t>
      </w:r>
    </w:p>
    <w:p w14:paraId="4E1E2F6D" w14:textId="77777777" w:rsidR="004E34D6" w:rsidRPr="008C3A03" w:rsidRDefault="004E34D6" w:rsidP="00054EE4">
      <w:pPr>
        <w:spacing w:after="0"/>
        <w:ind w:left="720" w:hanging="720"/>
        <w:rPr>
          <w:rFonts w:cs="Arial"/>
        </w:rPr>
      </w:pPr>
    </w:p>
    <w:p w14:paraId="770E377E" w14:textId="17514BAF" w:rsidR="004E34D6" w:rsidRDefault="007B70BE" w:rsidP="004E34D6">
      <w:pPr>
        <w:pStyle w:val="NoSpacing"/>
      </w:pPr>
      <w:r>
        <w:t>7</w:t>
      </w:r>
      <w:r w:rsidR="00182410">
        <w:t>.</w:t>
      </w:r>
      <w:r w:rsidR="00641FF8">
        <w:t>7</w:t>
      </w:r>
      <w:r w:rsidR="002E6812" w:rsidRPr="008C3A03">
        <w:tab/>
        <w:t xml:space="preserve">Apart from cases where the patient is detained under section 2, there is a statutory </w:t>
      </w:r>
      <w:r w:rsidR="004E34D6">
        <w:t xml:space="preserve">    </w:t>
      </w:r>
    </w:p>
    <w:p w14:paraId="7773E73D" w14:textId="77777777" w:rsidR="004E34D6" w:rsidRDefault="004E34D6" w:rsidP="004E34D6">
      <w:pPr>
        <w:pStyle w:val="NoSpacing"/>
      </w:pPr>
      <w:r>
        <w:t xml:space="preserve">            </w:t>
      </w:r>
      <w:r w:rsidR="002E6812" w:rsidRPr="008C3A03">
        <w:t xml:space="preserve">responsibility on the Trust to provide the Tribunal with statements within three weeks </w:t>
      </w:r>
      <w:r>
        <w:t xml:space="preserve"> </w:t>
      </w:r>
    </w:p>
    <w:p w14:paraId="347B02C7" w14:textId="209DCE31" w:rsidR="000072FC" w:rsidRDefault="004E34D6" w:rsidP="00785771">
      <w:pPr>
        <w:pStyle w:val="NoSpacing"/>
      </w:pPr>
      <w:r>
        <w:t xml:space="preserve">            </w:t>
      </w:r>
      <w:r w:rsidR="002E6812" w:rsidRPr="008C3A03">
        <w:t xml:space="preserve">of the receipt of the patient’s application to appeal or the referral notice. </w:t>
      </w:r>
    </w:p>
    <w:p w14:paraId="6E264A42" w14:textId="77777777" w:rsidR="000072FC" w:rsidRDefault="000072FC" w:rsidP="004E34D6">
      <w:pPr>
        <w:pStyle w:val="NoSpacing"/>
      </w:pPr>
    </w:p>
    <w:p w14:paraId="4DFBA822" w14:textId="4601D4F3" w:rsidR="000072FC" w:rsidRDefault="007B70BE" w:rsidP="004E34D6">
      <w:pPr>
        <w:pStyle w:val="NoSpacing"/>
      </w:pPr>
      <w:r>
        <w:t>7</w:t>
      </w:r>
      <w:r w:rsidR="000072FC">
        <w:t>.</w:t>
      </w:r>
      <w:r w:rsidR="00641FF8">
        <w:t>8</w:t>
      </w:r>
      <w:r w:rsidR="000072FC">
        <w:t xml:space="preserve">     </w:t>
      </w:r>
      <w:r w:rsidR="000E5A4A">
        <w:t xml:space="preserve"> </w:t>
      </w:r>
      <w:r w:rsidR="000072FC">
        <w:t>The above</w:t>
      </w:r>
      <w:r w:rsidR="002E6812" w:rsidRPr="008C3A03">
        <w:t xml:space="preserve"> date will be set out in the report request fr</w:t>
      </w:r>
      <w:r w:rsidR="004E34D6">
        <w:t xml:space="preserve">om the Mental Health Law office </w:t>
      </w:r>
      <w:r w:rsidR="000072FC">
        <w:t xml:space="preserve"> </w:t>
      </w:r>
    </w:p>
    <w:p w14:paraId="4A6DF864" w14:textId="77777777" w:rsidR="000072FC" w:rsidRPr="000072FC" w:rsidRDefault="000072FC" w:rsidP="004E34D6">
      <w:pPr>
        <w:pStyle w:val="NoSpacing"/>
        <w:rPr>
          <w:color w:val="000000" w:themeColor="text1"/>
        </w:rPr>
      </w:pPr>
      <w:r>
        <w:t xml:space="preserve">            </w:t>
      </w:r>
      <w:r w:rsidR="004E34D6" w:rsidRPr="000072FC">
        <w:rPr>
          <w:color w:val="000000" w:themeColor="text1"/>
        </w:rPr>
        <w:t>and report</w:t>
      </w:r>
      <w:r w:rsidRPr="000072FC">
        <w:rPr>
          <w:color w:val="000000" w:themeColor="text1"/>
        </w:rPr>
        <w:t xml:space="preserve"> </w:t>
      </w:r>
      <w:r w:rsidR="004E34D6" w:rsidRPr="000072FC">
        <w:rPr>
          <w:color w:val="000000" w:themeColor="text1"/>
        </w:rPr>
        <w:t>a</w:t>
      </w:r>
      <w:r w:rsidR="002E6812" w:rsidRPr="000072FC">
        <w:rPr>
          <w:color w:val="000000" w:themeColor="text1"/>
        </w:rPr>
        <w:t xml:space="preserve">uthors should also upload clinical reports to RIO using code MHRT </w:t>
      </w:r>
      <w:r w:rsidRPr="000072FC">
        <w:rPr>
          <w:color w:val="000000" w:themeColor="text1"/>
        </w:rPr>
        <w:t xml:space="preserve"> </w:t>
      </w:r>
    </w:p>
    <w:p w14:paraId="77DEFE93" w14:textId="77777777" w:rsidR="004E34D6" w:rsidRPr="000072FC" w:rsidRDefault="000072FC" w:rsidP="004E34D6">
      <w:pPr>
        <w:pStyle w:val="NoSpacing"/>
        <w:rPr>
          <w:color w:val="000000" w:themeColor="text1"/>
        </w:rPr>
      </w:pPr>
      <w:r w:rsidRPr="000072FC">
        <w:rPr>
          <w:color w:val="000000" w:themeColor="text1"/>
        </w:rPr>
        <w:t xml:space="preserve">            </w:t>
      </w:r>
      <w:r w:rsidR="002E6812" w:rsidRPr="000072FC">
        <w:rPr>
          <w:color w:val="000000" w:themeColor="text1"/>
        </w:rPr>
        <w:t>Reports</w:t>
      </w:r>
      <w:r w:rsidR="004E34D6" w:rsidRPr="000072FC">
        <w:rPr>
          <w:color w:val="000000" w:themeColor="text1"/>
        </w:rPr>
        <w:t xml:space="preserve">.  </w:t>
      </w:r>
    </w:p>
    <w:p w14:paraId="40D93CF9" w14:textId="77777777" w:rsidR="000072FC" w:rsidRDefault="000072FC" w:rsidP="004E34D6">
      <w:pPr>
        <w:pStyle w:val="NoSpacing"/>
        <w:rPr>
          <w:b/>
          <w:color w:val="FF0000"/>
        </w:rPr>
      </w:pPr>
    </w:p>
    <w:p w14:paraId="6904E1C3" w14:textId="6C75BFFA" w:rsidR="004E34D6" w:rsidRPr="00C00BC4" w:rsidRDefault="007B70BE" w:rsidP="004E34D6">
      <w:pPr>
        <w:pStyle w:val="NoSpacing"/>
        <w:rPr>
          <w:color w:val="000000" w:themeColor="text1"/>
        </w:rPr>
      </w:pPr>
      <w:r>
        <w:rPr>
          <w:color w:val="000000" w:themeColor="text1"/>
        </w:rPr>
        <w:t>7</w:t>
      </w:r>
      <w:r w:rsidR="000072FC" w:rsidRPr="000072FC">
        <w:rPr>
          <w:color w:val="000000" w:themeColor="text1"/>
        </w:rPr>
        <w:t>.</w:t>
      </w:r>
      <w:r w:rsidR="00641FF8">
        <w:rPr>
          <w:color w:val="000000" w:themeColor="text1"/>
        </w:rPr>
        <w:t>9</w:t>
      </w:r>
      <w:r w:rsidR="000072FC" w:rsidRPr="000072FC">
        <w:rPr>
          <w:color w:val="000000" w:themeColor="text1"/>
        </w:rPr>
        <w:t xml:space="preserve">     </w:t>
      </w:r>
      <w:r w:rsidR="00641FF8">
        <w:rPr>
          <w:color w:val="000000" w:themeColor="text1"/>
        </w:rPr>
        <w:t xml:space="preserve"> </w:t>
      </w:r>
      <w:r w:rsidR="004E34D6" w:rsidRPr="00C00BC4">
        <w:rPr>
          <w:color w:val="000000" w:themeColor="text1"/>
        </w:rPr>
        <w:t xml:space="preserve">The clinicians will inform the Mental Health Law department that said report </w:t>
      </w:r>
    </w:p>
    <w:p w14:paraId="7B55F6B7" w14:textId="77777777" w:rsidR="000072FC" w:rsidRPr="00C00BC4" w:rsidRDefault="004E34D6" w:rsidP="004E34D6">
      <w:pPr>
        <w:pStyle w:val="NoSpacing"/>
        <w:rPr>
          <w:color w:val="000000" w:themeColor="text1"/>
        </w:rPr>
      </w:pPr>
      <w:r w:rsidRPr="00C00BC4">
        <w:rPr>
          <w:color w:val="000000" w:themeColor="text1"/>
        </w:rPr>
        <w:t xml:space="preserve">            has been uploaded</w:t>
      </w:r>
      <w:r w:rsidR="000072FC" w:rsidRPr="00C00BC4">
        <w:rPr>
          <w:color w:val="000000" w:themeColor="text1"/>
        </w:rPr>
        <w:t xml:space="preserve"> to RIO and the</w:t>
      </w:r>
      <w:r w:rsidRPr="00C00BC4">
        <w:rPr>
          <w:color w:val="000000" w:themeColor="text1"/>
        </w:rPr>
        <w:t xml:space="preserve"> </w:t>
      </w:r>
      <w:r w:rsidR="002E6812" w:rsidRPr="00C00BC4">
        <w:rPr>
          <w:color w:val="000000" w:themeColor="text1"/>
        </w:rPr>
        <w:t xml:space="preserve">Mental Health Law office will </w:t>
      </w:r>
      <w:r w:rsidR="000072FC" w:rsidRPr="00C00BC4">
        <w:rPr>
          <w:color w:val="000000" w:themeColor="text1"/>
        </w:rPr>
        <w:t xml:space="preserve">send the report  </w:t>
      </w:r>
    </w:p>
    <w:p w14:paraId="5A467CAB" w14:textId="77777777" w:rsidR="00EF52FD" w:rsidRDefault="000072FC" w:rsidP="00A55A58">
      <w:pPr>
        <w:pStyle w:val="NoSpacing"/>
        <w:tabs>
          <w:tab w:val="left" w:pos="6180"/>
        </w:tabs>
        <w:rPr>
          <w:color w:val="000000" w:themeColor="text1"/>
        </w:rPr>
      </w:pPr>
      <w:r w:rsidRPr="00C00BC4">
        <w:rPr>
          <w:color w:val="000000" w:themeColor="text1"/>
        </w:rPr>
        <w:t xml:space="preserve">            </w:t>
      </w:r>
      <w:r w:rsidR="002E6812" w:rsidRPr="00C00BC4">
        <w:rPr>
          <w:color w:val="000000" w:themeColor="text1"/>
        </w:rPr>
        <w:t>to the Tribunal office</w:t>
      </w:r>
      <w:r w:rsidRPr="00C00BC4">
        <w:rPr>
          <w:color w:val="000000" w:themeColor="text1"/>
        </w:rPr>
        <w:t xml:space="preserve"> via </w:t>
      </w:r>
      <w:r w:rsidR="00FB08D1" w:rsidRPr="00C00BC4">
        <w:rPr>
          <w:color w:val="000000" w:themeColor="text1"/>
        </w:rPr>
        <w:t xml:space="preserve">secure </w:t>
      </w:r>
      <w:r w:rsidRPr="00C00BC4">
        <w:rPr>
          <w:color w:val="000000" w:themeColor="text1"/>
        </w:rPr>
        <w:t>email.</w:t>
      </w:r>
    </w:p>
    <w:p w14:paraId="2BE6B481" w14:textId="704D230C" w:rsidR="002E6812" w:rsidRPr="00A55A58" w:rsidRDefault="00F24ACE" w:rsidP="00A55A58">
      <w:pPr>
        <w:pStyle w:val="NoSpacing"/>
        <w:tabs>
          <w:tab w:val="left" w:pos="6180"/>
        </w:tabs>
        <w:rPr>
          <w:color w:val="00B050"/>
        </w:rPr>
      </w:pPr>
      <w:r>
        <w:rPr>
          <w:color w:val="FF0000"/>
        </w:rPr>
        <w:tab/>
        <w:t xml:space="preserve">  </w:t>
      </w:r>
    </w:p>
    <w:p w14:paraId="73F33719" w14:textId="39E87C76" w:rsidR="00EF52FD" w:rsidRDefault="007B70BE" w:rsidP="00EF52FD">
      <w:pPr>
        <w:pStyle w:val="NoSpacing"/>
      </w:pPr>
      <w:r>
        <w:rPr>
          <w:color w:val="000000" w:themeColor="text1"/>
        </w:rPr>
        <w:t>7</w:t>
      </w:r>
      <w:r w:rsidR="00EF52FD" w:rsidRPr="00EF52FD">
        <w:rPr>
          <w:color w:val="000000" w:themeColor="text1"/>
        </w:rPr>
        <w:t xml:space="preserve">.10     </w:t>
      </w:r>
      <w:r w:rsidR="002E6812" w:rsidRPr="000072FC">
        <w:t xml:space="preserve">If reports are not received on time, the relevant practitioner and their </w:t>
      </w:r>
      <w:r w:rsidR="000072FC" w:rsidRPr="000072FC">
        <w:t xml:space="preserve">line manager will </w:t>
      </w:r>
      <w:r w:rsidR="00EF52FD">
        <w:t xml:space="preserve">   </w:t>
      </w:r>
    </w:p>
    <w:p w14:paraId="043818BB" w14:textId="77777777" w:rsidR="00EF52FD" w:rsidRDefault="00EF52FD" w:rsidP="00EF52FD">
      <w:pPr>
        <w:pStyle w:val="NoSpacing"/>
      </w:pPr>
      <w:r>
        <w:t xml:space="preserve">            </w:t>
      </w:r>
      <w:r w:rsidR="000072FC" w:rsidRPr="000072FC">
        <w:t>be contacted.</w:t>
      </w:r>
      <w:r w:rsidR="00785771">
        <w:t xml:space="preserve"> Where the </w:t>
      </w:r>
      <w:r w:rsidR="00785771" w:rsidRPr="00785771">
        <w:t>statutory timeframes are not adhered to the Mental Health</w:t>
      </w:r>
      <w:r w:rsidR="00785771">
        <w:t xml:space="preserve"> </w:t>
      </w:r>
      <w:r>
        <w:t xml:space="preserve"> </w:t>
      </w:r>
    </w:p>
    <w:p w14:paraId="4CA7939A" w14:textId="46D8C40E" w:rsidR="002E6812" w:rsidRPr="00785771" w:rsidRDefault="00EF52FD" w:rsidP="00EF52FD">
      <w:pPr>
        <w:pStyle w:val="NoSpacing"/>
      </w:pPr>
      <w:r>
        <w:t xml:space="preserve">            </w:t>
      </w:r>
      <w:r w:rsidR="00785771">
        <w:t xml:space="preserve">Law offices will initiate the </w:t>
      </w:r>
      <w:r w:rsidR="00785771" w:rsidRPr="00785771">
        <w:t>escalation pathway to non-adherence of Rule 32</w:t>
      </w:r>
    </w:p>
    <w:p w14:paraId="53D65382" w14:textId="60B674E9" w:rsidR="002E6812" w:rsidRPr="008C3A03" w:rsidRDefault="007B70BE" w:rsidP="000072FC">
      <w:pPr>
        <w:autoSpaceDE w:val="0"/>
        <w:autoSpaceDN w:val="0"/>
        <w:adjustRightInd w:val="0"/>
        <w:spacing w:after="0"/>
        <w:ind w:left="720" w:hanging="720"/>
        <w:rPr>
          <w:rFonts w:cs="Arial"/>
        </w:rPr>
      </w:pPr>
      <w:r>
        <w:rPr>
          <w:rFonts w:cs="Arial"/>
        </w:rPr>
        <w:t>7</w:t>
      </w:r>
      <w:r w:rsidR="000072FC" w:rsidRPr="27DBBE1B">
        <w:rPr>
          <w:rFonts w:cs="Arial"/>
        </w:rPr>
        <w:t>.1</w:t>
      </w:r>
      <w:r w:rsidR="00EF52FD">
        <w:rPr>
          <w:rFonts w:cs="Arial"/>
        </w:rPr>
        <w:t>1</w:t>
      </w:r>
      <w:r w:rsidR="000072FC">
        <w:tab/>
      </w:r>
      <w:r w:rsidR="002E6812" w:rsidRPr="27DBBE1B">
        <w:rPr>
          <w:rFonts w:cs="Arial"/>
        </w:rPr>
        <w:t xml:space="preserve">In section 2 cases, the required documents should be prepared as soon as practicable after the patient’s application has been made. In any case, these documents must be made available to the Tribunal panel and the patient’s representative at least </w:t>
      </w:r>
      <w:r w:rsidR="00904177">
        <w:rPr>
          <w:rFonts w:cs="Arial"/>
        </w:rPr>
        <w:t xml:space="preserve">one </w:t>
      </w:r>
      <w:r w:rsidR="002E6812" w:rsidRPr="27DBBE1B">
        <w:rPr>
          <w:rFonts w:cs="Arial"/>
        </w:rPr>
        <w:t>hour befo</w:t>
      </w:r>
      <w:r w:rsidR="000072FC" w:rsidRPr="27DBBE1B">
        <w:rPr>
          <w:rFonts w:cs="Arial"/>
        </w:rPr>
        <w:t>re the hearing is due to start</w:t>
      </w:r>
      <w:r w:rsidR="00904177">
        <w:rPr>
          <w:rFonts w:cs="Arial"/>
        </w:rPr>
        <w:t xml:space="preserve">, as per First Tier </w:t>
      </w:r>
      <w:r w:rsidR="00AF1D56">
        <w:rPr>
          <w:rFonts w:cs="Arial"/>
        </w:rPr>
        <w:t>T</w:t>
      </w:r>
      <w:r w:rsidR="00904177">
        <w:rPr>
          <w:rFonts w:cs="Arial"/>
        </w:rPr>
        <w:t>ribunal, Enforcement Procedure, Directions and Summonses guidance</w:t>
      </w:r>
      <w:r w:rsidR="000072FC" w:rsidRPr="27DBBE1B">
        <w:rPr>
          <w:rFonts w:cs="Arial"/>
        </w:rPr>
        <w:t>.</w:t>
      </w:r>
      <w:r w:rsidR="06CC1266" w:rsidRPr="27DBBE1B">
        <w:rPr>
          <w:rFonts w:cs="Arial"/>
        </w:rPr>
        <w:t xml:space="preserve"> </w:t>
      </w:r>
    </w:p>
    <w:p w14:paraId="604E96E3" w14:textId="546BD76F" w:rsidR="002E6812" w:rsidRPr="008C3A03" w:rsidRDefault="007B70BE" w:rsidP="000072FC">
      <w:pPr>
        <w:spacing w:after="0"/>
        <w:ind w:left="720" w:hanging="720"/>
        <w:rPr>
          <w:rFonts w:cs="Arial"/>
        </w:rPr>
      </w:pPr>
      <w:r>
        <w:rPr>
          <w:rFonts w:cs="Arial"/>
        </w:rPr>
        <w:t>7</w:t>
      </w:r>
      <w:r w:rsidR="000072FC">
        <w:rPr>
          <w:rFonts w:cs="Arial"/>
        </w:rPr>
        <w:t>.1</w:t>
      </w:r>
      <w:r w:rsidR="00EF52FD">
        <w:rPr>
          <w:rFonts w:cs="Arial"/>
        </w:rPr>
        <w:t>2</w:t>
      </w:r>
      <w:r w:rsidR="002E6812" w:rsidRPr="008C3A03">
        <w:rPr>
          <w:rFonts w:cs="Arial"/>
        </w:rPr>
        <w:tab/>
        <w:t>In a Restriction Order case it is essential that copies of all reports are sent directly from the Trust to the Mental Health Unit of the Ministry of Justice; the Trust’s Mental Health Law offices wi</w:t>
      </w:r>
      <w:r w:rsidR="000072FC">
        <w:rPr>
          <w:rFonts w:cs="Arial"/>
        </w:rPr>
        <w:t>ll arrange for this to be done.</w:t>
      </w:r>
    </w:p>
    <w:p w14:paraId="41FF7B8D" w14:textId="7B59BE38" w:rsidR="002E6812" w:rsidRPr="000072FC" w:rsidRDefault="007B70BE" w:rsidP="000072FC">
      <w:pPr>
        <w:spacing w:after="0"/>
        <w:ind w:left="720" w:hanging="720"/>
        <w:rPr>
          <w:rFonts w:cs="Arial"/>
          <w:color w:val="FF0000"/>
        </w:rPr>
      </w:pPr>
      <w:r>
        <w:rPr>
          <w:rFonts w:cs="Arial"/>
        </w:rPr>
        <w:t>7</w:t>
      </w:r>
      <w:r w:rsidR="000072FC">
        <w:rPr>
          <w:rFonts w:cs="Arial"/>
        </w:rPr>
        <w:t>.1</w:t>
      </w:r>
      <w:r w:rsidR="00EF52FD">
        <w:rPr>
          <w:rFonts w:cs="Arial"/>
        </w:rPr>
        <w:t>3</w:t>
      </w:r>
      <w:r w:rsidR="002E6812" w:rsidRPr="008C3A03">
        <w:rPr>
          <w:rFonts w:cs="Arial"/>
        </w:rPr>
        <w:tab/>
        <w:t>Practitioners will be vulnerable to legal directions and summons’s when the statutory time scales for the provision of reports are not met; particularly where the hearing is delayed or adjourned as a result. This could also put the Trust at risk of legal challenge by the patient.</w:t>
      </w:r>
    </w:p>
    <w:p w14:paraId="01339815" w14:textId="23F1F526" w:rsidR="002E6812" w:rsidRPr="008C3A03" w:rsidRDefault="007B70BE" w:rsidP="00CD0846">
      <w:pPr>
        <w:spacing w:after="0"/>
        <w:ind w:left="720" w:hanging="720"/>
        <w:rPr>
          <w:rFonts w:cs="Arial"/>
        </w:rPr>
      </w:pPr>
      <w:r>
        <w:rPr>
          <w:rFonts w:cs="Arial"/>
        </w:rPr>
        <w:t>7</w:t>
      </w:r>
      <w:r w:rsidR="000072FC">
        <w:rPr>
          <w:rFonts w:cs="Arial"/>
        </w:rPr>
        <w:t>.1</w:t>
      </w:r>
      <w:r w:rsidR="00EF52FD">
        <w:rPr>
          <w:rFonts w:cs="Arial"/>
        </w:rPr>
        <w:t>4</w:t>
      </w:r>
      <w:r w:rsidR="002E6812" w:rsidRPr="008C3A03">
        <w:rPr>
          <w:rFonts w:cs="Arial"/>
        </w:rPr>
        <w:tab/>
        <w:t xml:space="preserve">If the author of the </w:t>
      </w:r>
      <w:r w:rsidR="002E6812">
        <w:rPr>
          <w:rFonts w:cs="Arial"/>
        </w:rPr>
        <w:t xml:space="preserve">report </w:t>
      </w:r>
      <w:r w:rsidR="002E6812" w:rsidRPr="008C3A03">
        <w:rPr>
          <w:rFonts w:cs="Arial"/>
        </w:rPr>
        <w:t>believes that some information should not be disclosed to the patient, the author/holder of the information must exclude the relevant document or information from any documents that will be provided to the other party, whilst providing the excluded document or information to the Tribunal, together with the reasons for its exclusion. The Tribunal will then consider making a direction prohibiting the disclosure of a document or information to a person if it is satisfied that disclosure would be likely to cause that person or some other person serious harm, and in having regard to the interests of justice that it is proporti</w:t>
      </w:r>
      <w:r w:rsidR="00CD0846">
        <w:rPr>
          <w:rFonts w:cs="Arial"/>
        </w:rPr>
        <w:t>onate to give such a direction.</w:t>
      </w:r>
    </w:p>
    <w:p w14:paraId="335E1886" w14:textId="137CF948" w:rsidR="002E6812" w:rsidRPr="008C3A03" w:rsidRDefault="007B70BE" w:rsidP="002E6812">
      <w:pPr>
        <w:spacing w:after="0"/>
        <w:ind w:left="720" w:hanging="720"/>
        <w:rPr>
          <w:rFonts w:cs="Arial"/>
        </w:rPr>
      </w:pPr>
      <w:r>
        <w:rPr>
          <w:rFonts w:cs="Arial"/>
        </w:rPr>
        <w:t>7</w:t>
      </w:r>
      <w:r w:rsidR="000072FC">
        <w:rPr>
          <w:rFonts w:cs="Arial"/>
        </w:rPr>
        <w:t>.1</w:t>
      </w:r>
      <w:r w:rsidR="00EF52FD">
        <w:rPr>
          <w:rFonts w:cs="Arial"/>
        </w:rPr>
        <w:t>5</w:t>
      </w:r>
      <w:r w:rsidR="002E6812" w:rsidRPr="008C3A03">
        <w:rPr>
          <w:rFonts w:cs="Arial"/>
        </w:rPr>
        <w:tab/>
        <w:t xml:space="preserve">In considering whether or not to issue a direction to prohibit the disclosure of a report or information contained in it, the Tribunal may convene a ‘disclosure hearing’ prior to the appeal hearing, at which the author of the report must attend. </w:t>
      </w:r>
    </w:p>
    <w:p w14:paraId="3BDF9DAE" w14:textId="77777777" w:rsidR="002E6812" w:rsidRPr="008C3A03" w:rsidRDefault="002E6812" w:rsidP="002E6812">
      <w:pPr>
        <w:spacing w:after="0"/>
        <w:rPr>
          <w:rFonts w:cs="Arial"/>
        </w:rPr>
      </w:pPr>
    </w:p>
    <w:p w14:paraId="0CB0E8C1" w14:textId="6DA9EBD7" w:rsidR="002E6812" w:rsidRPr="00CD0846" w:rsidRDefault="007B70BE" w:rsidP="00CD0846">
      <w:pPr>
        <w:pStyle w:val="BodyText2"/>
        <w:ind w:left="720" w:hanging="720"/>
        <w:jc w:val="both"/>
        <w:rPr>
          <w:rFonts w:ascii="Arial" w:hAnsi="Arial" w:cs="Arial"/>
          <w:bCs/>
          <w:sz w:val="22"/>
          <w:szCs w:val="22"/>
        </w:rPr>
      </w:pPr>
      <w:r>
        <w:rPr>
          <w:rFonts w:ascii="Arial" w:hAnsi="Arial" w:cs="Arial"/>
          <w:sz w:val="22"/>
          <w:szCs w:val="22"/>
        </w:rPr>
        <w:t>7</w:t>
      </w:r>
      <w:r w:rsidR="000072FC">
        <w:rPr>
          <w:rFonts w:ascii="Arial" w:hAnsi="Arial" w:cs="Arial"/>
          <w:sz w:val="22"/>
          <w:szCs w:val="22"/>
        </w:rPr>
        <w:t>.1</w:t>
      </w:r>
      <w:r w:rsidR="00EF52FD">
        <w:rPr>
          <w:rFonts w:ascii="Arial" w:hAnsi="Arial" w:cs="Arial"/>
          <w:sz w:val="22"/>
          <w:szCs w:val="22"/>
        </w:rPr>
        <w:t>6</w:t>
      </w:r>
      <w:r w:rsidR="002E6812" w:rsidRPr="008C3A03">
        <w:rPr>
          <w:rFonts w:ascii="Arial" w:hAnsi="Arial" w:cs="Arial"/>
          <w:sz w:val="22"/>
          <w:szCs w:val="22"/>
        </w:rPr>
        <w:tab/>
        <w:t>If the patient has recently been or is shortly to be transferred between wards/teams or for any other reason has a different practitioner involved their care or there is otherwise some sort of disagreement, this information must be communicated to the Mental Health Law office.</w:t>
      </w:r>
      <w:r w:rsidR="00DC2547">
        <w:rPr>
          <w:rFonts w:ascii="Arial" w:hAnsi="Arial" w:cs="Arial"/>
          <w:sz w:val="22"/>
          <w:szCs w:val="22"/>
        </w:rPr>
        <w:t xml:space="preserve"> The practicalities when internal transfers occur within ELFT about report submission and attendance are dealt within the Standard Operating Procedure Responsibility for Preparing Reports and Attending Hearings. </w:t>
      </w:r>
    </w:p>
    <w:p w14:paraId="79DDE94F" w14:textId="71E7A38C" w:rsidR="002E6812" w:rsidRPr="00641FF8" w:rsidRDefault="007B70BE" w:rsidP="27DBBE1B">
      <w:pPr>
        <w:spacing w:after="0"/>
        <w:ind w:left="720" w:hanging="720"/>
        <w:rPr>
          <w:rFonts w:cs="Arial"/>
          <w:color w:val="FF0000"/>
        </w:rPr>
      </w:pPr>
      <w:r>
        <w:rPr>
          <w:rFonts w:cs="Arial"/>
        </w:rPr>
        <w:t>7</w:t>
      </w:r>
      <w:r w:rsidR="000072FC" w:rsidRPr="27DBBE1B">
        <w:rPr>
          <w:rFonts w:cs="Arial"/>
        </w:rPr>
        <w:t>.1</w:t>
      </w:r>
      <w:r w:rsidR="00EF52FD">
        <w:rPr>
          <w:rFonts w:cs="Arial"/>
        </w:rPr>
        <w:t>7</w:t>
      </w:r>
      <w:r w:rsidR="000072FC">
        <w:tab/>
      </w:r>
      <w:r w:rsidR="002E6812" w:rsidRPr="27DBBE1B">
        <w:rPr>
          <w:rFonts w:cs="Arial"/>
          <w:color w:val="000000" w:themeColor="text1"/>
        </w:rPr>
        <w:t xml:space="preserve">Requests to the Tribunal to extend deadlines for submission of reports </w:t>
      </w:r>
      <w:r w:rsidR="00CD0846" w:rsidRPr="27DBBE1B">
        <w:rPr>
          <w:rFonts w:cs="Arial"/>
          <w:color w:val="000000" w:themeColor="text1"/>
        </w:rPr>
        <w:t xml:space="preserve">and the reasons for the request need to </w:t>
      </w:r>
      <w:r w:rsidR="002E6812" w:rsidRPr="27DBBE1B">
        <w:rPr>
          <w:rFonts w:cs="Arial"/>
          <w:color w:val="000000" w:themeColor="text1"/>
        </w:rPr>
        <w:t xml:space="preserve">be made </w:t>
      </w:r>
      <w:r w:rsidR="00CD0846" w:rsidRPr="27DBBE1B">
        <w:rPr>
          <w:rFonts w:cs="Arial"/>
          <w:color w:val="000000" w:themeColor="text1"/>
        </w:rPr>
        <w:t xml:space="preserve">by the clinician/s and </w:t>
      </w:r>
      <w:r w:rsidR="007C03E8">
        <w:rPr>
          <w:rFonts w:cs="Arial"/>
          <w:color w:val="000000" w:themeColor="text1"/>
        </w:rPr>
        <w:t>sent over to</w:t>
      </w:r>
      <w:r w:rsidR="007C03E8" w:rsidRPr="27DBBE1B">
        <w:rPr>
          <w:rFonts w:cs="Arial"/>
          <w:color w:val="000000" w:themeColor="text1"/>
        </w:rPr>
        <w:t xml:space="preserve"> </w:t>
      </w:r>
      <w:r w:rsidR="002E6812" w:rsidRPr="27DBBE1B">
        <w:rPr>
          <w:rFonts w:cs="Arial"/>
          <w:color w:val="000000" w:themeColor="text1"/>
        </w:rPr>
        <w:t xml:space="preserve">the Mental Health Law office </w:t>
      </w:r>
      <w:r w:rsidR="00CD0846" w:rsidRPr="27DBBE1B">
        <w:rPr>
          <w:rFonts w:cs="Arial"/>
          <w:color w:val="000000" w:themeColor="text1"/>
        </w:rPr>
        <w:t>for</w:t>
      </w:r>
      <w:r w:rsidR="007C03E8">
        <w:rPr>
          <w:rFonts w:cs="Arial"/>
          <w:color w:val="000000" w:themeColor="text1"/>
        </w:rPr>
        <w:t xml:space="preserve"> processing to the Tribunal.</w:t>
      </w:r>
      <w:r w:rsidR="1A05422C" w:rsidRPr="27DBBE1B">
        <w:rPr>
          <w:rFonts w:cs="Arial"/>
          <w:b/>
          <w:bCs/>
          <w:color w:val="FF0000"/>
        </w:rPr>
        <w:t xml:space="preserve"> </w:t>
      </w:r>
    </w:p>
    <w:p w14:paraId="1DDF9992" w14:textId="687A5208" w:rsidR="0063777E" w:rsidRDefault="007B70BE" w:rsidP="0063777E">
      <w:pPr>
        <w:spacing w:after="0"/>
        <w:ind w:left="720" w:hanging="720"/>
        <w:rPr>
          <w:rFonts w:cs="Arial"/>
        </w:rPr>
      </w:pPr>
      <w:r>
        <w:rPr>
          <w:rFonts w:cs="Arial"/>
        </w:rPr>
        <w:t>7</w:t>
      </w:r>
      <w:r w:rsidR="000072FC">
        <w:rPr>
          <w:rFonts w:cs="Arial"/>
        </w:rPr>
        <w:t>.1</w:t>
      </w:r>
      <w:r w:rsidR="00EF52FD">
        <w:rPr>
          <w:rFonts w:cs="Arial"/>
        </w:rPr>
        <w:t>8</w:t>
      </w:r>
      <w:r w:rsidR="002E6812" w:rsidRPr="008C3A03">
        <w:rPr>
          <w:rFonts w:cs="Arial"/>
        </w:rPr>
        <w:tab/>
        <w:t>In some situations, the Tribunal might consider the case on the evidence of the reports only. In such cases the Mental Health Law office will advise relevant clinicians of any further evidence that might be needed.</w:t>
      </w:r>
    </w:p>
    <w:p w14:paraId="7C2AE897" w14:textId="77777777" w:rsidR="0063777E" w:rsidRDefault="0063777E" w:rsidP="0063777E">
      <w:pPr>
        <w:spacing w:after="0"/>
        <w:ind w:left="720" w:hanging="720"/>
        <w:rPr>
          <w:rFonts w:cs="Arial"/>
        </w:rPr>
      </w:pPr>
    </w:p>
    <w:p w14:paraId="7688F238" w14:textId="5D9F0E94" w:rsidR="00641FF8" w:rsidRDefault="007B70BE" w:rsidP="0063777E">
      <w:pPr>
        <w:pStyle w:val="NoSpacing"/>
      </w:pPr>
      <w:r>
        <w:t>7</w:t>
      </w:r>
      <w:r w:rsidR="0063777E">
        <w:t>.</w:t>
      </w:r>
      <w:r w:rsidR="00EF52FD">
        <w:t>19</w:t>
      </w:r>
      <w:r w:rsidR="0063777E">
        <w:t xml:space="preserve">    Further guidance on procedures for handling representations from victims in the</w:t>
      </w:r>
      <w:r w:rsidR="00641FF8">
        <w:t xml:space="preserve">     </w:t>
      </w:r>
    </w:p>
    <w:p w14:paraId="63954A61" w14:textId="762FD239" w:rsidR="00CB0D4A" w:rsidRDefault="00641FF8" w:rsidP="0063777E">
      <w:pPr>
        <w:pStyle w:val="NoSpacing"/>
      </w:pPr>
      <w:r>
        <w:t xml:space="preserve">           </w:t>
      </w:r>
      <w:r w:rsidR="0063777E">
        <w:t>Mental</w:t>
      </w:r>
      <w:r>
        <w:t xml:space="preserve"> </w:t>
      </w:r>
      <w:r w:rsidR="0063777E">
        <w:t xml:space="preserve">Health jurisdiction can be found: </w:t>
      </w:r>
      <w:hyperlink r:id="rId27" w:history="1">
        <w:r w:rsidR="00CB0D4A" w:rsidRPr="00FB510E">
          <w:rPr>
            <w:rStyle w:val="Hyperlink"/>
          </w:rPr>
          <w:t>https://www.judiciary.uk/guidance-and-</w:t>
        </w:r>
      </w:hyperlink>
    </w:p>
    <w:p w14:paraId="3466CF09" w14:textId="631956B2" w:rsidR="00CB0D4A" w:rsidRPr="00CB0D4A" w:rsidRDefault="00CB0D4A" w:rsidP="0063777E">
      <w:pPr>
        <w:pStyle w:val="NoSpacing"/>
        <w:rPr>
          <w:color w:val="0000FF"/>
        </w:rPr>
      </w:pPr>
      <w:r>
        <w:t xml:space="preserve">          </w:t>
      </w:r>
      <w:r w:rsidR="0063777E" w:rsidRPr="00CB0D4A">
        <w:rPr>
          <w:color w:val="0000FF"/>
        </w:rPr>
        <w:t>resources/practice-guidance-procedure-for-handling-representations-from-victims-in-</w:t>
      </w:r>
    </w:p>
    <w:p w14:paraId="59954984" w14:textId="577619BF" w:rsidR="0063777E" w:rsidRPr="00CB0D4A" w:rsidRDefault="00CB0D4A" w:rsidP="0063777E">
      <w:pPr>
        <w:pStyle w:val="NoSpacing"/>
        <w:rPr>
          <w:color w:val="0000FF"/>
        </w:rPr>
      </w:pPr>
      <w:r w:rsidRPr="00CB0D4A">
        <w:rPr>
          <w:color w:val="0000FF"/>
        </w:rPr>
        <w:t xml:space="preserve">          </w:t>
      </w:r>
      <w:r w:rsidR="0063777E" w:rsidRPr="00CB0D4A">
        <w:rPr>
          <w:color w:val="0000FF"/>
        </w:rPr>
        <w:t>the-mental-health-jurisdiction-</w:t>
      </w:r>
      <w:proofErr w:type="spellStart"/>
      <w:r w:rsidR="0063777E" w:rsidRPr="00CB0D4A">
        <w:rPr>
          <w:color w:val="0000FF"/>
        </w:rPr>
        <w:t>hesc</w:t>
      </w:r>
      <w:proofErr w:type="spellEnd"/>
      <w:r w:rsidR="0063777E" w:rsidRPr="00CB0D4A">
        <w:rPr>
          <w:color w:val="0000FF"/>
        </w:rPr>
        <w:t>/</w:t>
      </w:r>
    </w:p>
    <w:p w14:paraId="7E0660FD" w14:textId="77777777" w:rsidR="002E6812" w:rsidRPr="008C3A03" w:rsidRDefault="002E6812" w:rsidP="002E6812">
      <w:pPr>
        <w:pStyle w:val="Heading6"/>
        <w:spacing w:before="0" w:line="240" w:lineRule="auto"/>
        <w:jc w:val="both"/>
        <w:rPr>
          <w:rFonts w:ascii="Arial" w:hAnsi="Arial" w:cs="Arial"/>
        </w:rPr>
      </w:pPr>
    </w:p>
    <w:p w14:paraId="55C3CE15" w14:textId="53F0C5E1" w:rsidR="002E6812" w:rsidRPr="00253B22" w:rsidRDefault="007B70BE" w:rsidP="00253B22">
      <w:pPr>
        <w:pStyle w:val="Heading6"/>
        <w:spacing w:before="0" w:line="240" w:lineRule="auto"/>
        <w:jc w:val="both"/>
        <w:rPr>
          <w:rFonts w:ascii="Arial" w:hAnsi="Arial" w:cs="Arial"/>
          <w:b/>
          <w:i w:val="0"/>
          <w:color w:val="auto"/>
        </w:rPr>
      </w:pPr>
      <w:r>
        <w:rPr>
          <w:rFonts w:ascii="Arial" w:hAnsi="Arial" w:cs="Arial"/>
          <w:b/>
          <w:i w:val="0"/>
          <w:color w:val="auto"/>
        </w:rPr>
        <w:t>8</w:t>
      </w:r>
      <w:r w:rsidR="002E6812" w:rsidRPr="0021593E">
        <w:rPr>
          <w:rFonts w:ascii="Arial" w:hAnsi="Arial" w:cs="Arial"/>
          <w:b/>
          <w:i w:val="0"/>
          <w:color w:val="auto"/>
        </w:rPr>
        <w:t>.0</w:t>
      </w:r>
      <w:r w:rsidR="002E6812" w:rsidRPr="0021593E">
        <w:rPr>
          <w:rFonts w:ascii="Arial" w:hAnsi="Arial" w:cs="Arial"/>
          <w:b/>
          <w:i w:val="0"/>
          <w:color w:val="auto"/>
        </w:rPr>
        <w:tab/>
        <w:t>Setting the Date of the Hearing</w:t>
      </w:r>
    </w:p>
    <w:p w14:paraId="53C5E55A" w14:textId="152B36C9" w:rsidR="002E6812" w:rsidRPr="008C3A03" w:rsidRDefault="007B70BE" w:rsidP="00253B22">
      <w:pPr>
        <w:spacing w:after="0"/>
        <w:ind w:left="720" w:hanging="720"/>
        <w:rPr>
          <w:rFonts w:cs="Arial"/>
        </w:rPr>
      </w:pPr>
      <w:r>
        <w:rPr>
          <w:rFonts w:cs="Arial"/>
        </w:rPr>
        <w:t>8</w:t>
      </w:r>
      <w:r w:rsidR="002E6812" w:rsidRPr="008C3A03">
        <w:rPr>
          <w:rFonts w:cs="Arial"/>
        </w:rPr>
        <w:t>.1</w:t>
      </w:r>
      <w:r w:rsidR="002E6812" w:rsidRPr="008C3A03">
        <w:rPr>
          <w:rFonts w:cs="Arial"/>
        </w:rPr>
        <w:tab/>
        <w:t xml:space="preserve">On receipt of an application from a patient, the Mental Health Law office will submit the application to the Tribunal Applications Team on the day the application is received. The Tribunal Applications Team will identify </w:t>
      </w:r>
      <w:r w:rsidR="002E6812">
        <w:rPr>
          <w:rFonts w:cs="Arial"/>
        </w:rPr>
        <w:t xml:space="preserve">some dates </w:t>
      </w:r>
      <w:r w:rsidR="002E6812" w:rsidRPr="008C3A03">
        <w:rPr>
          <w:rFonts w:cs="Arial"/>
        </w:rPr>
        <w:t xml:space="preserve">and request that the detaining authority submits </w:t>
      </w:r>
      <w:r w:rsidR="002E6812" w:rsidRPr="00253B22">
        <w:rPr>
          <w:rFonts w:cs="Arial"/>
          <w:color w:val="000000" w:themeColor="text1"/>
        </w:rPr>
        <w:t xml:space="preserve">3 full days or 6 half day </w:t>
      </w:r>
      <w:r w:rsidR="002E6812">
        <w:rPr>
          <w:rFonts w:cs="Arial"/>
        </w:rPr>
        <w:t xml:space="preserve">slots </w:t>
      </w:r>
      <w:r w:rsidR="002E6812" w:rsidRPr="008C3A03">
        <w:rPr>
          <w:rFonts w:cs="Arial"/>
        </w:rPr>
        <w:t xml:space="preserve">that the clinicians are available to </w:t>
      </w:r>
      <w:r w:rsidR="002E6812">
        <w:rPr>
          <w:rFonts w:cs="Arial"/>
        </w:rPr>
        <w:t xml:space="preserve">attend </w:t>
      </w:r>
      <w:r w:rsidR="002E6812" w:rsidRPr="008C3A03">
        <w:rPr>
          <w:rFonts w:cs="Arial"/>
        </w:rPr>
        <w:t>the Tri</w:t>
      </w:r>
      <w:r w:rsidR="002E6812">
        <w:rPr>
          <w:rFonts w:cs="Arial"/>
        </w:rPr>
        <w:t>bunal</w:t>
      </w:r>
      <w:r w:rsidR="00253B22">
        <w:rPr>
          <w:rFonts w:cs="Arial"/>
        </w:rPr>
        <w:t>.</w:t>
      </w:r>
    </w:p>
    <w:p w14:paraId="69FC92D9" w14:textId="6F8D9FD5" w:rsidR="002E6812" w:rsidRPr="008C3A03" w:rsidRDefault="007B70BE" w:rsidP="007C1899">
      <w:pPr>
        <w:spacing w:after="0"/>
        <w:ind w:left="720" w:hanging="720"/>
        <w:rPr>
          <w:rFonts w:cs="Arial"/>
        </w:rPr>
      </w:pPr>
      <w:r>
        <w:rPr>
          <w:rFonts w:cs="Arial"/>
        </w:rPr>
        <w:t>8</w:t>
      </w:r>
      <w:r w:rsidR="002E6812" w:rsidRPr="008C3A03">
        <w:rPr>
          <w:rFonts w:cs="Arial"/>
        </w:rPr>
        <w:t>.2</w:t>
      </w:r>
      <w:r w:rsidR="002E6812" w:rsidRPr="008C3A03">
        <w:rPr>
          <w:rFonts w:cs="Arial"/>
        </w:rPr>
        <w:tab/>
        <w:t xml:space="preserve">There is always a deadline for submitting clinician’s availability to the Tribunal and if this deadline is missed, dates will be imposed by the Tribunal and they will </w:t>
      </w:r>
      <w:r w:rsidR="00802BF8" w:rsidRPr="007C1899">
        <w:rPr>
          <w:rFonts w:cs="Arial"/>
          <w:color w:val="000000" w:themeColor="text1"/>
        </w:rPr>
        <w:t>generally</w:t>
      </w:r>
      <w:r w:rsidR="00802BF8" w:rsidRPr="00802BF8">
        <w:rPr>
          <w:rFonts w:cs="Arial"/>
          <w:color w:val="FF0000"/>
        </w:rPr>
        <w:t xml:space="preserve"> </w:t>
      </w:r>
      <w:r w:rsidR="002E6812" w:rsidRPr="008C3A03">
        <w:rPr>
          <w:rFonts w:cs="Arial"/>
        </w:rPr>
        <w:t xml:space="preserve">not be changed. The Mental Health Law office will email the clinicians asking them to identify their availability </w:t>
      </w:r>
      <w:r w:rsidR="002E6812">
        <w:rPr>
          <w:rFonts w:cs="Arial"/>
        </w:rPr>
        <w:t xml:space="preserve">by a </w:t>
      </w:r>
      <w:r w:rsidR="002E6812" w:rsidRPr="008C3A03">
        <w:rPr>
          <w:rFonts w:cs="Arial"/>
        </w:rPr>
        <w:t>specified date. The Mental Health Law office will then forward these dates t</w:t>
      </w:r>
      <w:r w:rsidR="007C1899">
        <w:rPr>
          <w:rFonts w:cs="Arial"/>
        </w:rPr>
        <w:t>o the Tribunal’s Listings team.</w:t>
      </w:r>
    </w:p>
    <w:p w14:paraId="199A70EA" w14:textId="5981A29A" w:rsidR="002E6812" w:rsidRPr="008C3A03" w:rsidRDefault="007B70BE" w:rsidP="007C1899">
      <w:pPr>
        <w:spacing w:after="0"/>
        <w:ind w:left="720" w:hanging="720"/>
        <w:rPr>
          <w:rFonts w:cs="Arial"/>
        </w:rPr>
      </w:pPr>
      <w:r>
        <w:rPr>
          <w:rFonts w:cs="Arial"/>
        </w:rPr>
        <w:t>8</w:t>
      </w:r>
      <w:r w:rsidR="002E6812" w:rsidRPr="008C3A03">
        <w:rPr>
          <w:rFonts w:cs="Arial"/>
        </w:rPr>
        <w:t>.3</w:t>
      </w:r>
      <w:r w:rsidR="002E6812" w:rsidRPr="008C3A03">
        <w:rPr>
          <w:rFonts w:cs="Arial"/>
        </w:rPr>
        <w:tab/>
        <w:t>The Mental Health Law office will ensure that dates submitted to the Listings team do not clash with previously agreed dates for the</w:t>
      </w:r>
      <w:r w:rsidR="002E6812">
        <w:rPr>
          <w:rFonts w:cs="Arial"/>
        </w:rPr>
        <w:t xml:space="preserve"> same clinical team.</w:t>
      </w:r>
    </w:p>
    <w:p w14:paraId="54EA91EE" w14:textId="5B92D94C" w:rsidR="002E6812" w:rsidRDefault="007B70BE" w:rsidP="007C1899">
      <w:pPr>
        <w:spacing w:after="0"/>
        <w:ind w:left="720" w:hanging="720"/>
        <w:rPr>
          <w:rFonts w:cs="Arial"/>
          <w:color w:val="000000" w:themeColor="text1"/>
        </w:rPr>
      </w:pPr>
      <w:r>
        <w:rPr>
          <w:rFonts w:cs="Arial"/>
        </w:rPr>
        <w:t>8</w:t>
      </w:r>
      <w:r w:rsidR="002E6812" w:rsidRPr="008C3A03">
        <w:rPr>
          <w:rFonts w:cs="Arial"/>
        </w:rPr>
        <w:t>.4</w:t>
      </w:r>
      <w:r w:rsidR="002E6812" w:rsidRPr="008C3A03">
        <w:rPr>
          <w:rFonts w:cs="Arial"/>
        </w:rPr>
        <w:tab/>
        <w:t xml:space="preserve">In the event that a date cannot be agreed, the Tribunal Listing Team will identify a date where they have a panel, impose a date and all the parties will be informed accordingly. </w:t>
      </w:r>
      <w:r w:rsidR="002E6812" w:rsidRPr="007C1899">
        <w:rPr>
          <w:rFonts w:cs="Arial"/>
          <w:color w:val="000000" w:themeColor="text1"/>
        </w:rPr>
        <w:t>Should any party wish to ask the T</w:t>
      </w:r>
      <w:r w:rsidR="007C1899" w:rsidRPr="007C1899">
        <w:rPr>
          <w:rFonts w:cs="Arial"/>
          <w:color w:val="000000" w:themeColor="text1"/>
        </w:rPr>
        <w:t>ribunal to change the date, the clinician/s</w:t>
      </w:r>
      <w:r w:rsidR="00AF1D56">
        <w:rPr>
          <w:rFonts w:cs="Arial"/>
          <w:color w:val="000000" w:themeColor="text1"/>
        </w:rPr>
        <w:t xml:space="preserve"> w</w:t>
      </w:r>
      <w:r w:rsidR="00F44A86">
        <w:rPr>
          <w:rFonts w:cs="Arial"/>
          <w:color w:val="000000" w:themeColor="text1"/>
        </w:rPr>
        <w:t>ill have to make the request via the Mental Health Law Office who will forward on the request to the Tribunal and await their decision.</w:t>
      </w:r>
    </w:p>
    <w:p w14:paraId="19DF664A" w14:textId="77777777" w:rsidR="007F2CB6" w:rsidRPr="00F44A86" w:rsidRDefault="007F2CB6" w:rsidP="007C1899">
      <w:pPr>
        <w:spacing w:after="0"/>
        <w:ind w:left="720" w:hanging="720"/>
        <w:rPr>
          <w:rFonts w:cs="Arial"/>
          <w:color w:val="FF0000"/>
        </w:rPr>
      </w:pPr>
    </w:p>
    <w:p w14:paraId="1BB2B38D" w14:textId="05C00CAD" w:rsidR="0093708E" w:rsidRDefault="007B70BE" w:rsidP="007F2CB6">
      <w:pPr>
        <w:pStyle w:val="NoSpacing"/>
      </w:pPr>
      <w:r>
        <w:t>8</w:t>
      </w:r>
      <w:r w:rsidR="002E6812" w:rsidRPr="008C3A03">
        <w:t>.5</w:t>
      </w:r>
      <w:r w:rsidR="002E6812" w:rsidRPr="008C3A03">
        <w:tab/>
        <w:t xml:space="preserve">An application can be withdrawn at any time by the patient/applicant subject to the </w:t>
      </w:r>
      <w:r w:rsidR="0093708E">
        <w:t xml:space="preserve">  </w:t>
      </w:r>
    </w:p>
    <w:p w14:paraId="47BFD6EE" w14:textId="77777777" w:rsidR="007F2CB6" w:rsidRDefault="0093708E" w:rsidP="007F2CB6">
      <w:pPr>
        <w:pStyle w:val="NoSpacing"/>
        <w:rPr>
          <w:color w:val="000000" w:themeColor="text1"/>
        </w:rPr>
      </w:pPr>
      <w:r>
        <w:t xml:space="preserve">            </w:t>
      </w:r>
      <w:r w:rsidR="002E6812" w:rsidRPr="008C3A03">
        <w:t>Tribunal accepting the withdrawal</w:t>
      </w:r>
      <w:r w:rsidR="002E6812">
        <w:t xml:space="preserve"> </w:t>
      </w:r>
      <w:r w:rsidR="002E6812" w:rsidRPr="00AF074D">
        <w:rPr>
          <w:color w:val="000000" w:themeColor="text1"/>
        </w:rPr>
        <w:t>in the case of a referral by the Secretary of State</w:t>
      </w:r>
      <w:r w:rsidR="009C268A">
        <w:rPr>
          <w:color w:val="000000" w:themeColor="text1"/>
        </w:rPr>
        <w:t xml:space="preserve"> </w:t>
      </w:r>
      <w:r w:rsidR="009C268A" w:rsidRPr="007F2CB6">
        <w:rPr>
          <w:color w:val="000000" w:themeColor="text1"/>
        </w:rPr>
        <w:t xml:space="preserve">or </w:t>
      </w:r>
      <w:r>
        <w:rPr>
          <w:color w:val="000000" w:themeColor="text1"/>
        </w:rPr>
        <w:t xml:space="preserve"> </w:t>
      </w:r>
      <w:r w:rsidR="007F2CB6">
        <w:rPr>
          <w:color w:val="000000" w:themeColor="text1"/>
        </w:rPr>
        <w:t xml:space="preserve"> </w:t>
      </w:r>
    </w:p>
    <w:p w14:paraId="6B3DD440" w14:textId="77777777" w:rsidR="007F2CB6" w:rsidRDefault="007F2CB6" w:rsidP="007F2CB6">
      <w:pPr>
        <w:pStyle w:val="NoSpacing"/>
      </w:pPr>
      <w:r>
        <w:rPr>
          <w:color w:val="000000" w:themeColor="text1"/>
        </w:rPr>
        <w:t xml:space="preserve">            </w:t>
      </w:r>
      <w:r w:rsidR="009C268A" w:rsidRPr="007F2CB6">
        <w:rPr>
          <w:color w:val="000000" w:themeColor="text1"/>
        </w:rPr>
        <w:t>Hospital managers</w:t>
      </w:r>
      <w:r w:rsidR="002E6812" w:rsidRPr="0093708E">
        <w:rPr>
          <w:color w:val="000000" w:themeColor="text1"/>
        </w:rPr>
        <w:t xml:space="preserve"> </w:t>
      </w:r>
      <w:r w:rsidR="002E6812" w:rsidRPr="00AF074D">
        <w:rPr>
          <w:color w:val="000000" w:themeColor="text1"/>
        </w:rPr>
        <w:t xml:space="preserve">a withdrawal cannot be requested. </w:t>
      </w:r>
      <w:r w:rsidR="002E6812">
        <w:t xml:space="preserve">On notice of an application to </w:t>
      </w:r>
    </w:p>
    <w:p w14:paraId="4FF59FA9" w14:textId="77777777" w:rsidR="007F2CB6" w:rsidRDefault="007F2CB6" w:rsidP="007F2CB6">
      <w:pPr>
        <w:pStyle w:val="NoSpacing"/>
      </w:pPr>
      <w:r>
        <w:t xml:space="preserve">            </w:t>
      </w:r>
      <w:r w:rsidR="002E6812">
        <w:t>withdraw, the Tribunal may contact the Trust to ask for information and once a decision</w:t>
      </w:r>
      <w:r>
        <w:t xml:space="preserve">     </w:t>
      </w:r>
    </w:p>
    <w:p w14:paraId="1D34EA6F" w14:textId="00BFF2F7" w:rsidR="007F2CB6" w:rsidRDefault="007F2CB6" w:rsidP="007F2CB6">
      <w:pPr>
        <w:pStyle w:val="NoSpacing"/>
        <w:rPr>
          <w:bCs/>
        </w:rPr>
      </w:pPr>
      <w:r>
        <w:t xml:space="preserve">            </w:t>
      </w:r>
      <w:r w:rsidR="002E6812">
        <w:t>has been made, t</w:t>
      </w:r>
      <w:r w:rsidR="002E6812" w:rsidRPr="008C3A03">
        <w:t xml:space="preserve">he Tribunal office will advise </w:t>
      </w:r>
      <w:r w:rsidR="002E6812">
        <w:t xml:space="preserve">if the hearing is to be </w:t>
      </w:r>
      <w:r w:rsidR="002E6812" w:rsidRPr="008C3A03">
        <w:t>cancelled</w:t>
      </w:r>
      <w:r w:rsidR="002E6812">
        <w:t>.</w:t>
      </w:r>
      <w:r w:rsidR="002E6812">
        <w:rPr>
          <w:bCs/>
        </w:rPr>
        <w:t xml:space="preserve"> </w:t>
      </w:r>
    </w:p>
    <w:p w14:paraId="0A191312" w14:textId="77777777" w:rsidR="007F2CB6" w:rsidRDefault="007F2CB6" w:rsidP="007F2CB6">
      <w:pPr>
        <w:pStyle w:val="NoSpacing"/>
      </w:pPr>
      <w:r>
        <w:rPr>
          <w:bCs/>
        </w:rPr>
        <w:t xml:space="preserve">           </w:t>
      </w:r>
      <w:r w:rsidR="002E6812">
        <w:rPr>
          <w:bCs/>
        </w:rPr>
        <w:t>P</w:t>
      </w:r>
      <w:r w:rsidR="002E6812" w:rsidRPr="008C3A03">
        <w:rPr>
          <w:bCs/>
        </w:rPr>
        <w:t>ractitioners</w:t>
      </w:r>
      <w:r w:rsidR="002E6812" w:rsidRPr="008C3A03">
        <w:t xml:space="preserve"> should never assume that the Tribunal hearing is cancelled without </w:t>
      </w:r>
    </w:p>
    <w:p w14:paraId="0C1D81B6" w14:textId="0383FCAE" w:rsidR="000B360E" w:rsidRDefault="007F2CB6" w:rsidP="007F2CB6">
      <w:pPr>
        <w:pStyle w:val="NoSpacing"/>
      </w:pPr>
      <w:r>
        <w:t xml:space="preserve">           </w:t>
      </w:r>
      <w:r w:rsidR="002E6812" w:rsidRPr="008C3A03">
        <w:t xml:space="preserve">notification from the </w:t>
      </w:r>
      <w:r w:rsidR="002E6812">
        <w:t>Tribunal office being received.</w:t>
      </w:r>
    </w:p>
    <w:p w14:paraId="17F5BF22" w14:textId="172AC0BC" w:rsidR="00A445FB" w:rsidRPr="007F2CB6" w:rsidRDefault="00A445FB" w:rsidP="007F2CB6">
      <w:pPr>
        <w:pStyle w:val="NoSpacing"/>
        <w:rPr>
          <w:color w:val="000000" w:themeColor="text1"/>
        </w:rPr>
      </w:pPr>
    </w:p>
    <w:p w14:paraId="6305EBF2" w14:textId="5DD6F92B" w:rsidR="002E6812" w:rsidRPr="008C3A03" w:rsidRDefault="007B70BE" w:rsidP="002E6812">
      <w:pPr>
        <w:spacing w:after="0"/>
        <w:rPr>
          <w:rFonts w:cs="Arial"/>
          <w:b/>
        </w:rPr>
      </w:pPr>
      <w:r>
        <w:rPr>
          <w:rFonts w:cs="Arial"/>
          <w:b/>
        </w:rPr>
        <w:t>9</w:t>
      </w:r>
      <w:r w:rsidR="002E6812" w:rsidRPr="008C3A03">
        <w:rPr>
          <w:rFonts w:cs="Arial"/>
          <w:b/>
        </w:rPr>
        <w:t>.0</w:t>
      </w:r>
      <w:r w:rsidR="002E6812" w:rsidRPr="008C3A03">
        <w:rPr>
          <w:rFonts w:cs="Arial"/>
          <w:b/>
        </w:rPr>
        <w:tab/>
        <w:t>Visiting and examination of patients</w:t>
      </w:r>
    </w:p>
    <w:p w14:paraId="75399208" w14:textId="77777777" w:rsidR="002E6812" w:rsidRPr="008C3A03" w:rsidRDefault="002E6812" w:rsidP="002E6812">
      <w:pPr>
        <w:spacing w:after="0"/>
        <w:rPr>
          <w:rFonts w:cs="Arial"/>
        </w:rPr>
      </w:pPr>
    </w:p>
    <w:p w14:paraId="3CA4250F" w14:textId="3E4E833D" w:rsidR="000820EB" w:rsidRDefault="007B70BE" w:rsidP="000820EB">
      <w:pPr>
        <w:pStyle w:val="NoSpacing"/>
      </w:pPr>
      <w:r>
        <w:t>9</w:t>
      </w:r>
      <w:r w:rsidR="002E6812" w:rsidRPr="008C3A03">
        <w:t>.1</w:t>
      </w:r>
      <w:r w:rsidR="002E6812" w:rsidRPr="008C3A03">
        <w:tab/>
      </w:r>
      <w:r w:rsidR="002E6812" w:rsidRPr="000820EB">
        <w:t>Where the medical panel member of the Tribunal is required to examine the pa</w:t>
      </w:r>
      <w:r w:rsidR="000820EB" w:rsidRPr="000820EB">
        <w:t xml:space="preserve">tient </w:t>
      </w:r>
      <w:r w:rsidR="000820EB">
        <w:t xml:space="preserve"> </w:t>
      </w:r>
    </w:p>
    <w:p w14:paraId="002E7683" w14:textId="77777777" w:rsidR="000820EB" w:rsidRDefault="000820EB" w:rsidP="000820EB">
      <w:pPr>
        <w:pStyle w:val="NoSpacing"/>
      </w:pPr>
      <w:r>
        <w:t xml:space="preserve">            </w:t>
      </w:r>
      <w:r w:rsidRPr="000820EB">
        <w:t>prior to the hearing, s/</w:t>
      </w:r>
      <w:r w:rsidR="002E6812" w:rsidRPr="000820EB">
        <w:t xml:space="preserve">he is entitled to see any patient records as well as taking </w:t>
      </w:r>
      <w:r>
        <w:t xml:space="preserve">          </w:t>
      </w:r>
    </w:p>
    <w:p w14:paraId="11852CB3" w14:textId="77777777" w:rsidR="000820EB" w:rsidRDefault="000820EB" w:rsidP="000820EB">
      <w:pPr>
        <w:pStyle w:val="NoSpacing"/>
      </w:pPr>
      <w:r>
        <w:t xml:space="preserve">            copies of them </w:t>
      </w:r>
      <w:r w:rsidR="002E6812" w:rsidRPr="000820EB">
        <w:t xml:space="preserve">for the purposes of the application/reference.  </w:t>
      </w:r>
    </w:p>
    <w:p w14:paraId="3D108FD8" w14:textId="77777777" w:rsidR="000820EB" w:rsidRDefault="000820EB" w:rsidP="000820EB">
      <w:pPr>
        <w:pStyle w:val="NoSpacing"/>
      </w:pPr>
    </w:p>
    <w:p w14:paraId="3F6B17E2" w14:textId="3B68F118" w:rsidR="000820EB" w:rsidRDefault="007B70BE" w:rsidP="000820EB">
      <w:pPr>
        <w:pStyle w:val="NoSpacing"/>
      </w:pPr>
      <w:r>
        <w:t>9</w:t>
      </w:r>
      <w:r w:rsidR="000820EB">
        <w:t xml:space="preserve">.2       </w:t>
      </w:r>
      <w:r w:rsidR="002E6812" w:rsidRPr="000820EB">
        <w:t xml:space="preserve">In the event where the medical examiner cannot access the premise due to </w:t>
      </w:r>
      <w:r w:rsidR="000820EB">
        <w:t xml:space="preserve"> </w:t>
      </w:r>
    </w:p>
    <w:p w14:paraId="0A8010EC" w14:textId="77777777" w:rsidR="000820EB" w:rsidRDefault="000820EB" w:rsidP="000820EB">
      <w:pPr>
        <w:pStyle w:val="NoSpacing"/>
      </w:pPr>
      <w:r>
        <w:t xml:space="preserve">            </w:t>
      </w:r>
      <w:r w:rsidR="002E6812" w:rsidRPr="000820EB">
        <w:t>exceptional circumstances</w:t>
      </w:r>
      <w:r w:rsidRPr="000820EB">
        <w:t xml:space="preserve"> such as a pandemic,</w:t>
      </w:r>
      <w:r w:rsidR="002E6812" w:rsidRPr="000820EB">
        <w:t xml:space="preserve"> </w:t>
      </w:r>
      <w:r w:rsidRPr="000820EB">
        <w:t>the T</w:t>
      </w:r>
      <w:r w:rsidR="002E6812" w:rsidRPr="000820EB">
        <w:t xml:space="preserve">rust should ensure the patient </w:t>
      </w:r>
      <w:r>
        <w:t xml:space="preserve">           </w:t>
      </w:r>
    </w:p>
    <w:p w14:paraId="6E15DCB6" w14:textId="77777777" w:rsidR="002E6812" w:rsidRPr="009560C7" w:rsidRDefault="000820EB" w:rsidP="009560C7">
      <w:pPr>
        <w:pStyle w:val="NoSpacing"/>
      </w:pPr>
      <w:r>
        <w:t xml:space="preserve">            </w:t>
      </w:r>
      <w:r w:rsidR="002E6812" w:rsidRPr="000820EB">
        <w:t>is available to meet with the examiner virtually at a set</w:t>
      </w:r>
      <w:r>
        <w:t xml:space="preserve"> arranged </w:t>
      </w:r>
      <w:r w:rsidR="002D5E35">
        <w:t xml:space="preserve">date and </w:t>
      </w:r>
      <w:r>
        <w:t>time.</w:t>
      </w:r>
      <w:r w:rsidR="009560C7">
        <w:t xml:space="preserve"> </w:t>
      </w:r>
    </w:p>
    <w:p w14:paraId="57C12E0C" w14:textId="0DFB391E" w:rsidR="002E6812" w:rsidRPr="008C3A03" w:rsidRDefault="007B70BE" w:rsidP="00787BA9">
      <w:pPr>
        <w:spacing w:after="0"/>
        <w:ind w:left="720" w:hanging="720"/>
        <w:rPr>
          <w:rFonts w:cs="Arial"/>
        </w:rPr>
      </w:pPr>
      <w:r>
        <w:rPr>
          <w:rFonts w:cs="Arial"/>
        </w:rPr>
        <w:t>9</w:t>
      </w:r>
      <w:r w:rsidR="00787BA9">
        <w:rPr>
          <w:rFonts w:cs="Arial"/>
        </w:rPr>
        <w:t>.3</w:t>
      </w:r>
      <w:r w:rsidR="002E6812" w:rsidRPr="008C3A03">
        <w:rPr>
          <w:rFonts w:cs="Arial"/>
        </w:rPr>
        <w:tab/>
        <w:t>Section 76 of the Mental Health Act allows for a doctor or Approved Clinician authorised by or on behalf of the patient, to advise on whether an application to the Tribunal should be made, or to provide information on the patient’s condition for the purposes of a Tribunal application. Such a person is also allowed to inspect any records relating to the detention or treatment</w:t>
      </w:r>
      <w:r w:rsidR="00787BA9">
        <w:rPr>
          <w:rFonts w:cs="Arial"/>
        </w:rPr>
        <w:t xml:space="preserve"> of the patient.</w:t>
      </w:r>
    </w:p>
    <w:p w14:paraId="29106CFC" w14:textId="35D0F308" w:rsidR="005F5152" w:rsidRDefault="007B70BE" w:rsidP="000501ED">
      <w:pPr>
        <w:spacing w:after="0"/>
        <w:ind w:left="720" w:hanging="720"/>
        <w:rPr>
          <w:rFonts w:cs="Arial"/>
        </w:rPr>
      </w:pPr>
      <w:r>
        <w:rPr>
          <w:rFonts w:cs="Arial"/>
        </w:rPr>
        <w:t>9</w:t>
      </w:r>
      <w:r w:rsidR="00787BA9">
        <w:rPr>
          <w:rFonts w:cs="Arial"/>
        </w:rPr>
        <w:t>.4</w:t>
      </w:r>
      <w:r w:rsidR="002E6812" w:rsidRPr="008C3A03">
        <w:rPr>
          <w:rFonts w:cs="Arial"/>
        </w:rPr>
        <w:tab/>
        <w:t>A failure to allow the doctor or Approved Clinician to visit the patient and examine him/her at any reasonable time under section 76, could amount t</w:t>
      </w:r>
      <w:r w:rsidR="000501ED">
        <w:rPr>
          <w:rFonts w:cs="Arial"/>
        </w:rPr>
        <w:t>o an offence under section 129.</w:t>
      </w:r>
    </w:p>
    <w:p w14:paraId="7631C53A" w14:textId="77777777" w:rsidR="000501ED" w:rsidRPr="008C3A03" w:rsidRDefault="000501ED" w:rsidP="000501ED">
      <w:pPr>
        <w:spacing w:after="0"/>
        <w:ind w:left="720" w:hanging="720"/>
        <w:rPr>
          <w:rFonts w:cs="Arial"/>
        </w:rPr>
      </w:pPr>
    </w:p>
    <w:p w14:paraId="6E683F6C" w14:textId="3D5F28F2" w:rsidR="002E6812" w:rsidRPr="005F5152" w:rsidRDefault="007B70BE" w:rsidP="005F5152">
      <w:pPr>
        <w:pStyle w:val="Heading6"/>
        <w:spacing w:before="0" w:line="240" w:lineRule="auto"/>
        <w:jc w:val="both"/>
        <w:rPr>
          <w:rFonts w:ascii="Arial" w:hAnsi="Arial" w:cs="Arial"/>
          <w:b/>
          <w:i w:val="0"/>
          <w:color w:val="auto"/>
        </w:rPr>
      </w:pPr>
      <w:r>
        <w:rPr>
          <w:rFonts w:ascii="Arial" w:hAnsi="Arial" w:cs="Arial"/>
          <w:b/>
          <w:i w:val="0"/>
          <w:color w:val="auto"/>
        </w:rPr>
        <w:t>10.0</w:t>
      </w:r>
      <w:r w:rsidR="002E6812" w:rsidRPr="0021593E">
        <w:rPr>
          <w:rFonts w:ascii="Arial" w:hAnsi="Arial" w:cs="Arial"/>
          <w:b/>
          <w:i w:val="0"/>
          <w:color w:val="auto"/>
        </w:rPr>
        <w:tab/>
        <w:t>The Hearing</w:t>
      </w:r>
    </w:p>
    <w:p w14:paraId="30560E18" w14:textId="079AB5AD" w:rsidR="002E6812" w:rsidRPr="008C3A03" w:rsidRDefault="007B70BE" w:rsidP="005F5152">
      <w:pPr>
        <w:spacing w:after="0"/>
        <w:ind w:left="720" w:hanging="720"/>
        <w:rPr>
          <w:rFonts w:cs="Arial"/>
        </w:rPr>
      </w:pPr>
      <w:r>
        <w:rPr>
          <w:rFonts w:cs="Arial"/>
        </w:rPr>
        <w:t>10</w:t>
      </w:r>
      <w:r w:rsidR="002E6812" w:rsidRPr="008C3A03">
        <w:rPr>
          <w:rFonts w:cs="Arial"/>
        </w:rPr>
        <w:t>.1</w:t>
      </w:r>
      <w:r w:rsidR="002E6812" w:rsidRPr="008C3A03">
        <w:rPr>
          <w:rFonts w:cs="Arial"/>
        </w:rPr>
        <w:tab/>
        <w:t>The members of a Tribunal panel are a legally qualified Judge, the medical member who is a qualified</w:t>
      </w:r>
      <w:r w:rsidR="005F5152">
        <w:rPr>
          <w:rFonts w:cs="Arial"/>
        </w:rPr>
        <w:t xml:space="preserve"> psychiatrist and a</w:t>
      </w:r>
      <w:r w:rsidR="004C5580">
        <w:rPr>
          <w:rFonts w:cs="Arial"/>
        </w:rPr>
        <w:t xml:space="preserve"> specialist</w:t>
      </w:r>
      <w:r w:rsidR="005F5152">
        <w:rPr>
          <w:rFonts w:cs="Arial"/>
        </w:rPr>
        <w:t xml:space="preserve"> lay member.</w:t>
      </w:r>
    </w:p>
    <w:p w14:paraId="535F9D7D" w14:textId="765327E5" w:rsidR="001A5A8A" w:rsidRDefault="007B70BE" w:rsidP="001A5A8A">
      <w:pPr>
        <w:spacing w:after="0"/>
        <w:ind w:left="720" w:hanging="720"/>
        <w:rPr>
          <w:rFonts w:cs="Arial"/>
        </w:rPr>
      </w:pPr>
      <w:r>
        <w:rPr>
          <w:rFonts w:cs="Arial"/>
        </w:rPr>
        <w:t>10</w:t>
      </w:r>
      <w:r w:rsidR="002E6812" w:rsidRPr="008C3A03">
        <w:rPr>
          <w:rFonts w:cs="Arial"/>
        </w:rPr>
        <w:t>.2</w:t>
      </w:r>
      <w:r w:rsidR="002E6812" w:rsidRPr="008C3A03">
        <w:rPr>
          <w:rFonts w:cs="Arial"/>
        </w:rPr>
        <w:tab/>
        <w:t xml:space="preserve">The hearing is conducted in private unless the patient requests a public hearing and the Tribunal accepts the request. Normally the patient will be present throughout the hearing, unless one of the parties requests otherwise </w:t>
      </w:r>
      <w:r w:rsidR="002E6812" w:rsidRPr="008C3A03">
        <w:rPr>
          <w:rFonts w:cs="Arial"/>
          <w:bCs/>
          <w:iCs/>
        </w:rPr>
        <w:t>and</w:t>
      </w:r>
      <w:r w:rsidR="002E6812" w:rsidRPr="008C3A03">
        <w:rPr>
          <w:rFonts w:cs="Arial"/>
        </w:rPr>
        <w:t xml:space="preserve"> the Tribunal agree and accept that the presence of the patient at a particular stage will adversely affect the patient’s health or the welfare of the patient or others. The Tribunal has the power to exclude any person from the hearing or part of the hearing if it is in the interes</w:t>
      </w:r>
      <w:r w:rsidR="004C5580">
        <w:rPr>
          <w:rFonts w:cs="Arial"/>
        </w:rPr>
        <w:t>ts of fairness for the patient.</w:t>
      </w:r>
      <w:r w:rsidR="001775E4">
        <w:rPr>
          <w:rFonts w:cs="Arial"/>
        </w:rPr>
        <w:t xml:space="preserve"> </w:t>
      </w:r>
    </w:p>
    <w:p w14:paraId="70676BEF" w14:textId="1C398BBD" w:rsidR="002E6812" w:rsidRPr="008C3A03" w:rsidRDefault="001A5A8A" w:rsidP="004C5580">
      <w:pPr>
        <w:spacing w:after="0"/>
        <w:ind w:left="720" w:hanging="720"/>
        <w:rPr>
          <w:rFonts w:cs="Arial"/>
        </w:rPr>
      </w:pPr>
      <w:r>
        <w:rPr>
          <w:rFonts w:cs="Arial"/>
        </w:rPr>
        <w:t xml:space="preserve">            </w:t>
      </w:r>
      <w:r w:rsidR="001775E4">
        <w:rPr>
          <w:rFonts w:cs="Arial"/>
        </w:rPr>
        <w:t xml:space="preserve">Presidential guidance on Recording of Hearings and Transcriptions of Recordings in HESC can be found via Note No3, 2023 - </w:t>
      </w:r>
      <w:hyperlink r:id="rId28" w:anchor=":~:text=No%20party%2C%20representative%2C%20witness%20or,Contempt%20of%20Court%20Act%201981" w:history="1">
        <w:r w:rsidR="001775E4" w:rsidRPr="00FB510E">
          <w:rPr>
            <w:rStyle w:val="Hyperlink"/>
            <w:rFonts w:cs="Arial"/>
          </w:rPr>
          <w:t>https://www.judiciary.uk/guidance-and-resources/presidential-guidance-recording-of-hearings-and-transcription-of-recordings-in-hesc/#:~:text=No%20party%2C%20representative%2C%20witness%20or,Contempt%20of%20Court%20Act%201981</w:t>
        </w:r>
      </w:hyperlink>
      <w:r w:rsidR="001775E4" w:rsidRPr="001775E4">
        <w:rPr>
          <w:rFonts w:cs="Arial"/>
        </w:rPr>
        <w:t>.)</w:t>
      </w:r>
      <w:r w:rsidR="001775E4">
        <w:rPr>
          <w:rFonts w:cs="Arial"/>
        </w:rPr>
        <w:t xml:space="preserve"> </w:t>
      </w:r>
    </w:p>
    <w:p w14:paraId="4AA49906" w14:textId="2E152EB8" w:rsidR="002E6812" w:rsidRDefault="007B70BE" w:rsidP="004C5580">
      <w:pPr>
        <w:spacing w:after="0"/>
        <w:ind w:left="720" w:hanging="720"/>
        <w:rPr>
          <w:rFonts w:cs="Arial"/>
          <w:color w:val="FF0000"/>
        </w:rPr>
      </w:pPr>
      <w:r>
        <w:rPr>
          <w:rFonts w:cs="Arial"/>
        </w:rPr>
        <w:t>10</w:t>
      </w:r>
      <w:r w:rsidR="002E6812" w:rsidRPr="008C3A03">
        <w:rPr>
          <w:rFonts w:cs="Arial"/>
        </w:rPr>
        <w:t>.3</w:t>
      </w:r>
      <w:r w:rsidR="002E6812" w:rsidRPr="008C3A03">
        <w:rPr>
          <w:rFonts w:cs="Arial"/>
        </w:rPr>
        <w:tab/>
        <w:t>The Tribunal will expect to see the Responsible Clinician or a deputy who knows the patient and in the opinion of the Responsible Clinician has sufficient knowledge and experience of the patient and psychiatry to represent the Responsible Clinician’s case. See also the Joint Tribunal and Royal College of Psychiatrists Guidance re</w:t>
      </w:r>
      <w:r w:rsidR="004C5580">
        <w:rPr>
          <w:rFonts w:cs="Arial"/>
        </w:rPr>
        <w:t xml:space="preserve"> junior doctors giving evidence.</w:t>
      </w:r>
    </w:p>
    <w:p w14:paraId="278F55EB" w14:textId="77777777" w:rsidR="002E6812" w:rsidRPr="004C5580" w:rsidRDefault="004C5580" w:rsidP="004C5580">
      <w:pPr>
        <w:spacing w:after="0"/>
        <w:ind w:left="720" w:hanging="720"/>
      </w:pPr>
      <w:r>
        <w:t xml:space="preserve">           </w:t>
      </w:r>
      <w:hyperlink r:id="rId29" w:history="1">
        <w:r w:rsidRPr="004C00A3">
          <w:rPr>
            <w:rStyle w:val="Hyperlink"/>
          </w:rPr>
          <w:t>https://www.rcpsych.ac.uk/docs/default-source/events/presentations/ptc-supported-and-valued/dr-joan-rutherford---the-trainee-guide-to-tribunals.pdf?sfvrsn=e74446c2_0</w:t>
        </w:r>
      </w:hyperlink>
    </w:p>
    <w:p w14:paraId="40DFF0F0" w14:textId="1BF782B1" w:rsidR="002E6812" w:rsidRPr="008C3A03" w:rsidRDefault="007B70BE" w:rsidP="004C5580">
      <w:pPr>
        <w:spacing w:after="0"/>
        <w:ind w:left="720" w:hanging="720"/>
        <w:rPr>
          <w:rFonts w:cs="Arial"/>
        </w:rPr>
      </w:pPr>
      <w:r>
        <w:rPr>
          <w:rFonts w:cs="Arial"/>
        </w:rPr>
        <w:t>10</w:t>
      </w:r>
      <w:r w:rsidR="002E6812" w:rsidRPr="008C3A03">
        <w:rPr>
          <w:rFonts w:cs="Arial"/>
        </w:rPr>
        <w:t>.4</w:t>
      </w:r>
      <w:r w:rsidR="002E6812" w:rsidRPr="008C3A03">
        <w:rPr>
          <w:rFonts w:cs="Arial"/>
        </w:rPr>
        <w:tab/>
        <w:t xml:space="preserve">It is essential that a nurse and an appropriate professional who </w:t>
      </w:r>
      <w:r w:rsidR="002E6812">
        <w:rPr>
          <w:rFonts w:cs="Arial"/>
        </w:rPr>
        <w:t xml:space="preserve">as far as practicable, </w:t>
      </w:r>
      <w:r w:rsidR="002E6812" w:rsidRPr="008C3A03">
        <w:rPr>
          <w:rFonts w:cs="Arial"/>
        </w:rPr>
        <w:t>knows the patient well</w:t>
      </w:r>
      <w:r w:rsidR="002E6812">
        <w:rPr>
          <w:rFonts w:cs="Arial"/>
        </w:rPr>
        <w:t>,</w:t>
      </w:r>
      <w:r w:rsidR="002E6812" w:rsidRPr="008C3A03">
        <w:rPr>
          <w:rFonts w:cs="Arial"/>
        </w:rPr>
        <w:t xml:space="preserve"> attends the hearing to give further up to date information about the patient, home circumstances and after-care facilities in the event of a decision to discharge. Failure by the hospital to ensure that the appropriate professionals attend the hearing as above, will be treated by the Tribunal as a serious matter, requiring an explanation by a senior manager and potentially directions to or </w:t>
      </w:r>
      <w:r w:rsidR="004C5580">
        <w:rPr>
          <w:rFonts w:cs="Arial"/>
        </w:rPr>
        <w:t>a summons for the absent party.</w:t>
      </w:r>
    </w:p>
    <w:p w14:paraId="6A2AF57C" w14:textId="69788854" w:rsidR="002E6812" w:rsidRPr="008C3A03" w:rsidRDefault="007B70BE" w:rsidP="004C5580">
      <w:pPr>
        <w:spacing w:after="0"/>
        <w:ind w:left="720" w:hanging="720"/>
        <w:rPr>
          <w:rFonts w:cs="Arial"/>
        </w:rPr>
      </w:pPr>
      <w:r>
        <w:rPr>
          <w:rFonts w:cs="Arial"/>
        </w:rPr>
        <w:t>10</w:t>
      </w:r>
      <w:r w:rsidR="002E6812" w:rsidRPr="008C3A03">
        <w:rPr>
          <w:rFonts w:cs="Arial"/>
        </w:rPr>
        <w:t>.5</w:t>
      </w:r>
      <w:r w:rsidR="002E6812" w:rsidRPr="008C3A03">
        <w:rPr>
          <w:rFonts w:cs="Arial"/>
        </w:rPr>
        <w:tab/>
        <w:t xml:space="preserve">Requests by the Trust for people to attend as observers must be made </w:t>
      </w:r>
      <w:r w:rsidR="002E6812" w:rsidRPr="004C5580">
        <w:rPr>
          <w:rFonts w:cs="Arial"/>
          <w:color w:val="000000" w:themeColor="text1"/>
        </w:rPr>
        <w:t xml:space="preserve">to the judge </w:t>
      </w:r>
      <w:r w:rsidR="002E6812" w:rsidRPr="008C3A03">
        <w:rPr>
          <w:rFonts w:cs="Arial"/>
        </w:rPr>
        <w:t>via the Mental Health Law office. The Mental Health Law office will also seek the permission of the patient (via their legal representative where applicable) f</w:t>
      </w:r>
      <w:r w:rsidR="004C5580">
        <w:rPr>
          <w:rFonts w:cs="Arial"/>
        </w:rPr>
        <w:t>or any observers to be present.</w:t>
      </w:r>
      <w:r w:rsidR="009C268A">
        <w:rPr>
          <w:rFonts w:cs="Arial"/>
        </w:rPr>
        <w:t xml:space="preserve"> </w:t>
      </w:r>
      <w:r w:rsidR="00C00BC4" w:rsidRPr="00C00BC4">
        <w:rPr>
          <w:rFonts w:cs="Arial"/>
          <w:color w:val="000000" w:themeColor="text1"/>
        </w:rPr>
        <w:t>T</w:t>
      </w:r>
      <w:r w:rsidR="009C268A" w:rsidRPr="00C00BC4">
        <w:rPr>
          <w:rFonts w:cs="Arial"/>
          <w:color w:val="000000" w:themeColor="text1"/>
        </w:rPr>
        <w:t>he person</w:t>
      </w:r>
      <w:r w:rsidR="00C00BC4" w:rsidRPr="00C00BC4">
        <w:rPr>
          <w:rFonts w:cs="Arial"/>
          <w:color w:val="000000" w:themeColor="text1"/>
        </w:rPr>
        <w:t xml:space="preserve"> wishing to observe</w:t>
      </w:r>
      <w:r w:rsidR="009C268A" w:rsidRPr="00C00BC4">
        <w:rPr>
          <w:rFonts w:cs="Arial"/>
          <w:color w:val="000000" w:themeColor="text1"/>
        </w:rPr>
        <w:t xml:space="preserve"> </w:t>
      </w:r>
      <w:r w:rsidR="00C00BC4" w:rsidRPr="00C00BC4">
        <w:rPr>
          <w:rFonts w:cs="Arial"/>
          <w:color w:val="000000" w:themeColor="text1"/>
        </w:rPr>
        <w:t>must</w:t>
      </w:r>
      <w:r w:rsidR="009C268A" w:rsidRPr="00C00BC4">
        <w:rPr>
          <w:rFonts w:cs="Arial"/>
          <w:color w:val="000000" w:themeColor="text1"/>
        </w:rPr>
        <w:t xml:space="preserve"> </w:t>
      </w:r>
      <w:r w:rsidR="00C00BC4" w:rsidRPr="00C00BC4">
        <w:rPr>
          <w:rFonts w:cs="Arial"/>
          <w:color w:val="000000" w:themeColor="text1"/>
        </w:rPr>
        <w:t xml:space="preserve">also </w:t>
      </w:r>
      <w:r w:rsidR="009C268A" w:rsidRPr="00C00BC4">
        <w:rPr>
          <w:rFonts w:cs="Arial"/>
          <w:color w:val="000000" w:themeColor="text1"/>
        </w:rPr>
        <w:t>seek the permission of the patient</w:t>
      </w:r>
      <w:r w:rsidR="00C00BC4" w:rsidRPr="00C00BC4">
        <w:rPr>
          <w:rFonts w:cs="Arial"/>
          <w:color w:val="000000" w:themeColor="text1"/>
        </w:rPr>
        <w:t>, prior to the start of the hearing</w:t>
      </w:r>
      <w:r w:rsidR="009C268A" w:rsidRPr="00C00BC4">
        <w:rPr>
          <w:rFonts w:cs="Arial"/>
          <w:color w:val="000000" w:themeColor="text1"/>
        </w:rPr>
        <w:t>.</w:t>
      </w:r>
    </w:p>
    <w:p w14:paraId="0D188F22" w14:textId="6A3F16D7" w:rsidR="002E6812" w:rsidRPr="008C3A03" w:rsidRDefault="007B70BE" w:rsidP="004C5580">
      <w:pPr>
        <w:spacing w:after="0"/>
        <w:ind w:left="720" w:hanging="720"/>
        <w:rPr>
          <w:rFonts w:cs="Arial"/>
        </w:rPr>
      </w:pPr>
      <w:r>
        <w:rPr>
          <w:rFonts w:cs="Arial"/>
        </w:rPr>
        <w:t>10</w:t>
      </w:r>
      <w:r w:rsidR="002E6812" w:rsidRPr="008C3A03">
        <w:rPr>
          <w:rFonts w:cs="Arial"/>
        </w:rPr>
        <w:t>.6</w:t>
      </w:r>
      <w:r w:rsidR="002E6812" w:rsidRPr="008C3A03">
        <w:rPr>
          <w:rFonts w:cs="Arial"/>
        </w:rPr>
        <w:tab/>
        <w:t xml:space="preserve">On occasion the Tribunal Service may appoint official observers to the panel such as panel member appraisers, who will </w:t>
      </w:r>
      <w:r w:rsidR="004C5580">
        <w:rPr>
          <w:rFonts w:cs="Arial"/>
        </w:rPr>
        <w:t>not participate in the hearing.</w:t>
      </w:r>
    </w:p>
    <w:p w14:paraId="0237D336" w14:textId="52D47709" w:rsidR="004C5580" w:rsidRDefault="007B70BE" w:rsidP="000501ED">
      <w:pPr>
        <w:spacing w:after="0"/>
        <w:ind w:left="720" w:hanging="720"/>
        <w:rPr>
          <w:rFonts w:cs="Arial"/>
        </w:rPr>
      </w:pPr>
      <w:r>
        <w:rPr>
          <w:rFonts w:cs="Arial"/>
        </w:rPr>
        <w:t>10</w:t>
      </w:r>
      <w:r w:rsidR="002E6812" w:rsidRPr="008C3A03">
        <w:rPr>
          <w:rFonts w:cs="Arial"/>
        </w:rPr>
        <w:t>.7</w:t>
      </w:r>
      <w:r w:rsidR="002E6812" w:rsidRPr="008C3A03">
        <w:rPr>
          <w:rFonts w:cs="Arial"/>
        </w:rPr>
        <w:tab/>
        <w:t>Observers are not allowed</w:t>
      </w:r>
      <w:r w:rsidR="000501ED">
        <w:rPr>
          <w:rFonts w:cs="Arial"/>
        </w:rPr>
        <w:t xml:space="preserve"> to take notes in the Tribunal.</w:t>
      </w:r>
    </w:p>
    <w:p w14:paraId="32AE7983" w14:textId="77777777" w:rsidR="00660615" w:rsidRDefault="00660615" w:rsidP="00660615">
      <w:pPr>
        <w:pStyle w:val="NoSpacing"/>
      </w:pPr>
    </w:p>
    <w:p w14:paraId="6A786796" w14:textId="59E60BE8" w:rsidR="00660615" w:rsidRDefault="007B70BE" w:rsidP="00660615">
      <w:pPr>
        <w:pStyle w:val="NoSpacing"/>
      </w:pPr>
      <w:r>
        <w:t>10</w:t>
      </w:r>
      <w:r w:rsidR="006668B3">
        <w:t xml:space="preserve">.8     </w:t>
      </w:r>
      <w:r w:rsidR="00660615">
        <w:t>Where remote h</w:t>
      </w:r>
      <w:r w:rsidR="00660615" w:rsidRPr="007A5B71">
        <w:t>earings</w:t>
      </w:r>
      <w:r w:rsidR="00660615">
        <w:t xml:space="preserve"> are taking place, services must </w:t>
      </w:r>
      <w:r w:rsidR="00660615" w:rsidRPr="007A5B71">
        <w:t xml:space="preserve">ensure </w:t>
      </w:r>
      <w:r w:rsidR="00660615">
        <w:t xml:space="preserve">that </w:t>
      </w:r>
      <w:r w:rsidR="00660615" w:rsidRPr="00E9569F">
        <w:t xml:space="preserve">the hearing </w:t>
      </w:r>
    </w:p>
    <w:p w14:paraId="282AE3E6" w14:textId="616AF198" w:rsidR="00660615" w:rsidRPr="00660615" w:rsidRDefault="00660615" w:rsidP="00660615">
      <w:pPr>
        <w:pStyle w:val="NoSpacing"/>
        <w:ind w:left="720"/>
      </w:pPr>
      <w:r>
        <w:t xml:space="preserve">proceeds </w:t>
      </w:r>
      <w:r w:rsidRPr="00E9569F">
        <w:t xml:space="preserve">effectively </w:t>
      </w:r>
      <w:r>
        <w:t xml:space="preserve">and </w:t>
      </w:r>
      <w:r w:rsidRPr="00E9569F">
        <w:t>smoothly</w:t>
      </w:r>
      <w:r>
        <w:t xml:space="preserve">, i.e. </w:t>
      </w:r>
      <w:r w:rsidRPr="00E9569F">
        <w:t xml:space="preserve">the necessary IT equipment and </w:t>
      </w:r>
      <w:r w:rsidRPr="007A5B71">
        <w:t>a quiet room</w:t>
      </w:r>
      <w:r>
        <w:t xml:space="preserve"> are available</w:t>
      </w:r>
      <w:r w:rsidRPr="007A5B71">
        <w:t>.</w:t>
      </w:r>
      <w:r>
        <w:t xml:space="preserve"> Services should contact I.T a</w:t>
      </w:r>
      <w:r w:rsidR="003E70BA">
        <w:t>nd/or MHL department if potentia</w:t>
      </w:r>
      <w:r>
        <w:t>l problems are identified.</w:t>
      </w:r>
    </w:p>
    <w:p w14:paraId="1075B271" w14:textId="2399BCB2" w:rsidR="002E6812" w:rsidRPr="004C5580" w:rsidRDefault="007B70BE" w:rsidP="002E6812">
      <w:pPr>
        <w:spacing w:after="0"/>
        <w:rPr>
          <w:rFonts w:cs="Arial"/>
          <w:b/>
          <w:bCs/>
        </w:rPr>
      </w:pPr>
      <w:r>
        <w:rPr>
          <w:rFonts w:cs="Arial"/>
          <w:b/>
          <w:bCs/>
        </w:rPr>
        <w:t>11</w:t>
      </w:r>
      <w:r w:rsidR="004C5580">
        <w:rPr>
          <w:rFonts w:cs="Arial"/>
          <w:b/>
          <w:bCs/>
        </w:rPr>
        <w:t>.0</w:t>
      </w:r>
      <w:r w:rsidR="004C5580">
        <w:rPr>
          <w:rFonts w:cs="Arial"/>
          <w:b/>
          <w:bCs/>
        </w:rPr>
        <w:tab/>
        <w:t>The Decision</w:t>
      </w:r>
    </w:p>
    <w:p w14:paraId="0E4B6242" w14:textId="19D43064" w:rsidR="002E6812" w:rsidRPr="00292341" w:rsidRDefault="007B70BE" w:rsidP="004C5580">
      <w:pPr>
        <w:spacing w:after="0"/>
        <w:ind w:left="720" w:hanging="720"/>
        <w:rPr>
          <w:rFonts w:cs="Arial"/>
          <w:b/>
          <w:color w:val="FF0000"/>
        </w:rPr>
      </w:pPr>
      <w:r>
        <w:rPr>
          <w:rFonts w:cs="Arial"/>
        </w:rPr>
        <w:t>11</w:t>
      </w:r>
      <w:r w:rsidR="002E6812" w:rsidRPr="008C3A03">
        <w:rPr>
          <w:rFonts w:cs="Arial"/>
        </w:rPr>
        <w:t>.1</w:t>
      </w:r>
      <w:r w:rsidR="002E6812" w:rsidRPr="008C3A03">
        <w:rPr>
          <w:rFonts w:cs="Arial"/>
        </w:rPr>
        <w:tab/>
        <w:t>Having deliberated in private, the Tribunal Judge will usually announce the decision immediately after the hearing. On occasions where the patient has gone back to the ward or their community setting, the decision may be conveyed to the solicitor who is expected to communicate th</w:t>
      </w:r>
      <w:r w:rsidR="009241C1">
        <w:rPr>
          <w:rFonts w:cs="Arial"/>
        </w:rPr>
        <w:t xml:space="preserve">is to their client the same day along with a Trust member of staff </w:t>
      </w:r>
      <w:r w:rsidR="00AF1D56">
        <w:rPr>
          <w:rFonts w:cs="Arial"/>
        </w:rPr>
        <w:t xml:space="preserve">who must be present for the decision </w:t>
      </w:r>
      <w:r w:rsidR="009241C1">
        <w:rPr>
          <w:rFonts w:cs="Arial"/>
        </w:rPr>
        <w:t>(to be decided?)</w:t>
      </w:r>
      <w:r w:rsidR="002E6812">
        <w:rPr>
          <w:rFonts w:cs="Arial"/>
        </w:rPr>
        <w:t xml:space="preserve"> </w:t>
      </w:r>
    </w:p>
    <w:p w14:paraId="7D054335" w14:textId="480974B2" w:rsidR="002E6812" w:rsidRPr="00797C2F" w:rsidRDefault="007B70BE" w:rsidP="00797C2F">
      <w:pPr>
        <w:spacing w:after="0"/>
        <w:ind w:left="720" w:hanging="720"/>
        <w:rPr>
          <w:rFonts w:cs="Arial"/>
          <w:b/>
          <w:color w:val="FF0000"/>
        </w:rPr>
      </w:pPr>
      <w:r>
        <w:rPr>
          <w:rFonts w:cs="Arial"/>
        </w:rPr>
        <w:t>11</w:t>
      </w:r>
      <w:r w:rsidR="002E6812" w:rsidRPr="008C3A03">
        <w:rPr>
          <w:rFonts w:cs="Arial"/>
        </w:rPr>
        <w:t>.2</w:t>
      </w:r>
      <w:r w:rsidR="002E6812" w:rsidRPr="008C3A03">
        <w:rPr>
          <w:rFonts w:cs="Arial"/>
        </w:rPr>
        <w:tab/>
      </w:r>
      <w:r w:rsidR="002E6812" w:rsidRPr="00797C2F">
        <w:rPr>
          <w:rFonts w:cs="Arial"/>
          <w:color w:val="000000" w:themeColor="text1"/>
        </w:rPr>
        <w:t>Hospital Managers and all parties to the hearing should receive a copy of the written reasons for the Tribunal decision within three days of a Section 2 hearing, and within seven days for all other cases</w:t>
      </w:r>
      <w:r w:rsidR="00797C2F">
        <w:rPr>
          <w:rFonts w:cs="Arial"/>
          <w:color w:val="000000" w:themeColor="text1"/>
        </w:rPr>
        <w:t xml:space="preserve"> – Tribunal Rule 41(3)(a) and (b)</w:t>
      </w:r>
      <w:r w:rsidR="002E6812" w:rsidRPr="00797C2F">
        <w:rPr>
          <w:rFonts w:cs="Arial"/>
          <w:color w:val="000000" w:themeColor="text1"/>
        </w:rPr>
        <w:t>.  On receipt of the full written decision the Mental Health law office will circulate it to the clinical team and upload it to RIO.</w:t>
      </w:r>
    </w:p>
    <w:p w14:paraId="4DF04229" w14:textId="48B6BB45" w:rsidR="00797C2F" w:rsidRPr="000E5A4A" w:rsidRDefault="007B70BE" w:rsidP="000501ED">
      <w:pPr>
        <w:spacing w:after="0"/>
        <w:ind w:left="720" w:hanging="720"/>
        <w:rPr>
          <w:rFonts w:cs="Arial"/>
          <w:color w:val="FF0000"/>
        </w:rPr>
      </w:pPr>
      <w:r>
        <w:rPr>
          <w:rFonts w:cs="Arial"/>
        </w:rPr>
        <w:t>11</w:t>
      </w:r>
      <w:r w:rsidR="002E6812" w:rsidRPr="008C3A03">
        <w:rPr>
          <w:rFonts w:cs="Arial"/>
        </w:rPr>
        <w:t>.3</w:t>
      </w:r>
      <w:r w:rsidR="002E6812" w:rsidRPr="008C3A03">
        <w:rPr>
          <w:rFonts w:cs="Arial"/>
        </w:rPr>
        <w:tab/>
        <w:t>If the Tribunal makes statutory recommendations with a view to facilitating discharge on a future date e.g. for transfer to another hospital or leave of absence, the hospital is not legally obliged to follow them, but the Tribunal can reconvene at a later stage to find out why their recommendations have not been followed, and re</w:t>
      </w:r>
      <w:r w:rsidR="00797C2F">
        <w:rPr>
          <w:rFonts w:cs="Arial"/>
        </w:rPr>
        <w:t>hear the matter as appropriate.</w:t>
      </w:r>
      <w:r w:rsidR="0077755B">
        <w:rPr>
          <w:rFonts w:cs="Arial"/>
        </w:rPr>
        <w:t xml:space="preserve"> </w:t>
      </w:r>
    </w:p>
    <w:p w14:paraId="15270D1E" w14:textId="77777777" w:rsidR="00660615" w:rsidRDefault="00660615" w:rsidP="000501ED">
      <w:pPr>
        <w:pStyle w:val="Heading6"/>
        <w:spacing w:before="0" w:line="240" w:lineRule="auto"/>
        <w:jc w:val="both"/>
        <w:rPr>
          <w:rFonts w:ascii="Arial" w:hAnsi="Arial" w:cs="Arial"/>
          <w:b/>
          <w:i w:val="0"/>
          <w:color w:val="auto"/>
        </w:rPr>
      </w:pPr>
    </w:p>
    <w:p w14:paraId="162EF2CC" w14:textId="483B3E15" w:rsidR="002E6812" w:rsidRPr="000501ED" w:rsidRDefault="007B70BE" w:rsidP="000501ED">
      <w:pPr>
        <w:pStyle w:val="Heading6"/>
        <w:spacing w:before="0" w:line="240" w:lineRule="auto"/>
        <w:jc w:val="both"/>
        <w:rPr>
          <w:rFonts w:ascii="Arial" w:hAnsi="Arial" w:cs="Arial"/>
          <w:b/>
          <w:i w:val="0"/>
          <w:color w:val="auto"/>
        </w:rPr>
      </w:pPr>
      <w:r>
        <w:rPr>
          <w:rFonts w:ascii="Arial" w:hAnsi="Arial" w:cs="Arial"/>
          <w:b/>
          <w:i w:val="0"/>
          <w:color w:val="auto"/>
        </w:rPr>
        <w:t>12</w:t>
      </w:r>
      <w:r w:rsidR="002E6812" w:rsidRPr="0021593E">
        <w:rPr>
          <w:rFonts w:ascii="Arial" w:hAnsi="Arial" w:cs="Arial"/>
          <w:b/>
          <w:i w:val="0"/>
          <w:color w:val="auto"/>
        </w:rPr>
        <w:t>.0</w:t>
      </w:r>
      <w:r w:rsidR="002E6812" w:rsidRPr="0021593E">
        <w:rPr>
          <w:rFonts w:ascii="Arial" w:hAnsi="Arial" w:cs="Arial"/>
          <w:b/>
          <w:i w:val="0"/>
          <w:color w:val="auto"/>
        </w:rPr>
        <w:tab/>
        <w:t>Adjournments and Directions</w:t>
      </w:r>
    </w:p>
    <w:p w14:paraId="222526BF" w14:textId="3909C1A4" w:rsidR="002E6812" w:rsidRPr="008C3A03" w:rsidRDefault="007B70BE" w:rsidP="00797C2F">
      <w:pPr>
        <w:spacing w:after="0"/>
        <w:ind w:left="720" w:hanging="720"/>
        <w:rPr>
          <w:rFonts w:cs="Arial"/>
        </w:rPr>
      </w:pPr>
      <w:r>
        <w:rPr>
          <w:rFonts w:cs="Arial"/>
        </w:rPr>
        <w:t>12</w:t>
      </w:r>
      <w:r w:rsidR="002E6812" w:rsidRPr="008C3A03">
        <w:rPr>
          <w:rFonts w:cs="Arial"/>
        </w:rPr>
        <w:t>.1</w:t>
      </w:r>
      <w:r w:rsidR="002E6812" w:rsidRPr="008C3A03">
        <w:rPr>
          <w:rFonts w:cs="Arial"/>
        </w:rPr>
        <w:tab/>
        <w:t>The Tribunal has the power to adjourn a hearing. This may be for further information in the form of reports or for a witness to attend a reconvened hearing. Directions may be made as to when and how the information should be provided. A Tribunal cannot adjourn t</w:t>
      </w:r>
      <w:r w:rsidR="00797C2F">
        <w:rPr>
          <w:rFonts w:cs="Arial"/>
        </w:rPr>
        <w:t>o monitor a patient's progress.</w:t>
      </w:r>
    </w:p>
    <w:p w14:paraId="064C2E6E" w14:textId="090B8ACB" w:rsidR="002E6812" w:rsidRPr="00797C2F" w:rsidRDefault="007B70BE" w:rsidP="00797C2F">
      <w:pPr>
        <w:spacing w:after="0"/>
        <w:ind w:left="720" w:hanging="720"/>
        <w:rPr>
          <w:rFonts w:cs="Arial"/>
          <w:color w:val="000000" w:themeColor="text1"/>
        </w:rPr>
      </w:pPr>
      <w:r>
        <w:rPr>
          <w:rFonts w:cs="Arial"/>
          <w:color w:val="000000" w:themeColor="text1"/>
        </w:rPr>
        <w:t>12</w:t>
      </w:r>
      <w:r w:rsidR="002E6812" w:rsidRPr="00797C2F">
        <w:rPr>
          <w:rFonts w:cs="Arial"/>
          <w:color w:val="000000" w:themeColor="text1"/>
        </w:rPr>
        <w:t>.2</w:t>
      </w:r>
      <w:r w:rsidR="002E6812" w:rsidRPr="00797C2F">
        <w:rPr>
          <w:rFonts w:cs="Arial"/>
          <w:color w:val="000000" w:themeColor="text1"/>
        </w:rPr>
        <w:tab/>
        <w:t>If the Tribunal issues Directions, the Mental Health Law Supervisor is responsible for ensuring that the appropriate people are aware of their need to comply, and he/she will also alert th</w:t>
      </w:r>
      <w:r w:rsidR="00797C2F" w:rsidRPr="00797C2F">
        <w:rPr>
          <w:rFonts w:cs="Arial"/>
          <w:color w:val="000000" w:themeColor="text1"/>
        </w:rPr>
        <w:t>at practitioner’s line manager.</w:t>
      </w:r>
    </w:p>
    <w:p w14:paraId="339DD88D" w14:textId="47727211" w:rsidR="002E6812" w:rsidRPr="00797C2F" w:rsidRDefault="007B70BE" w:rsidP="002E6812">
      <w:pPr>
        <w:spacing w:after="0"/>
        <w:ind w:left="720" w:hanging="720"/>
        <w:rPr>
          <w:rFonts w:cs="Arial"/>
          <w:color w:val="000000" w:themeColor="text1"/>
        </w:rPr>
      </w:pPr>
      <w:r>
        <w:rPr>
          <w:rFonts w:cs="Arial"/>
          <w:color w:val="000000" w:themeColor="text1"/>
        </w:rPr>
        <w:t>12</w:t>
      </w:r>
      <w:r w:rsidR="002E6812" w:rsidRPr="00797C2F">
        <w:rPr>
          <w:rFonts w:cs="Arial"/>
          <w:color w:val="000000" w:themeColor="text1"/>
        </w:rPr>
        <w:t>.3</w:t>
      </w:r>
      <w:r w:rsidR="002E6812" w:rsidRPr="00797C2F">
        <w:rPr>
          <w:rFonts w:cs="Arial"/>
          <w:color w:val="000000" w:themeColor="text1"/>
        </w:rPr>
        <w:tab/>
        <w:t xml:space="preserve">Details of Directions will also be kept on record by the Mental Health Law Supervisor for follow-up with the relevant practitioner, for monitoring and for </w:t>
      </w:r>
      <w:r w:rsidR="00797C2F" w:rsidRPr="00797C2F">
        <w:rPr>
          <w:rFonts w:cs="Arial"/>
          <w:color w:val="000000" w:themeColor="text1"/>
        </w:rPr>
        <w:t>identification of common trends, as well as uploading them to RIO.</w:t>
      </w:r>
    </w:p>
    <w:p w14:paraId="4989619A" w14:textId="77777777" w:rsidR="002E6812" w:rsidRPr="008C3A03" w:rsidRDefault="002E6812" w:rsidP="002E6812">
      <w:pPr>
        <w:spacing w:after="0"/>
        <w:rPr>
          <w:rFonts w:cs="Arial"/>
        </w:rPr>
      </w:pPr>
    </w:p>
    <w:p w14:paraId="36723C9E" w14:textId="4E88C08C" w:rsidR="002E6812" w:rsidRPr="00797C2F" w:rsidRDefault="007B70BE" w:rsidP="00797C2F">
      <w:pPr>
        <w:pStyle w:val="Heading5"/>
        <w:spacing w:before="0" w:line="240" w:lineRule="auto"/>
        <w:jc w:val="both"/>
        <w:rPr>
          <w:rFonts w:ascii="Arial" w:hAnsi="Arial" w:cs="Arial"/>
          <w:b/>
          <w:color w:val="auto"/>
        </w:rPr>
      </w:pPr>
      <w:r>
        <w:rPr>
          <w:rFonts w:ascii="Arial" w:hAnsi="Arial" w:cs="Arial"/>
          <w:b/>
          <w:color w:val="auto"/>
        </w:rPr>
        <w:t>13</w:t>
      </w:r>
      <w:r w:rsidR="002E6812" w:rsidRPr="0021593E">
        <w:rPr>
          <w:rFonts w:ascii="Arial" w:hAnsi="Arial" w:cs="Arial"/>
          <w:b/>
          <w:color w:val="auto"/>
        </w:rPr>
        <w:t>.0</w:t>
      </w:r>
      <w:r w:rsidR="002E6812" w:rsidRPr="0021593E">
        <w:rPr>
          <w:rFonts w:ascii="Arial" w:hAnsi="Arial" w:cs="Arial"/>
          <w:b/>
          <w:color w:val="auto"/>
        </w:rPr>
        <w:tab/>
        <w:t>Challenging decisions of the First Tier Tribunal (Mental Health)</w:t>
      </w:r>
    </w:p>
    <w:p w14:paraId="578C53E9" w14:textId="71B01CB1" w:rsidR="002E6812" w:rsidRPr="008C3A03" w:rsidRDefault="007B70BE" w:rsidP="00797C2F">
      <w:pPr>
        <w:spacing w:after="0"/>
        <w:ind w:left="720" w:hanging="720"/>
        <w:rPr>
          <w:rFonts w:cs="Arial"/>
        </w:rPr>
      </w:pPr>
      <w:r>
        <w:rPr>
          <w:rFonts w:cs="Arial"/>
        </w:rPr>
        <w:t>13</w:t>
      </w:r>
      <w:r w:rsidR="002E6812" w:rsidRPr="008C3A03">
        <w:rPr>
          <w:rFonts w:cs="Arial"/>
        </w:rPr>
        <w:t>.1</w:t>
      </w:r>
      <w:r w:rsidR="002E6812" w:rsidRPr="008C3A03">
        <w:rPr>
          <w:rFonts w:cs="Arial"/>
        </w:rPr>
        <w:tab/>
        <w:t>On application from a party, the First-Tier Tribunal has the power to review a decision if it satisfied that there was a</w:t>
      </w:r>
      <w:r w:rsidR="00797C2F">
        <w:rPr>
          <w:rFonts w:cs="Arial"/>
        </w:rPr>
        <w:t>n error of law in the decision.</w:t>
      </w:r>
    </w:p>
    <w:p w14:paraId="3D7BFBAB" w14:textId="129736A7" w:rsidR="002E6812" w:rsidRPr="008C3A03" w:rsidRDefault="007B70BE" w:rsidP="00797C2F">
      <w:pPr>
        <w:spacing w:after="0"/>
        <w:ind w:left="720" w:hanging="720"/>
        <w:rPr>
          <w:rFonts w:cs="Arial"/>
        </w:rPr>
      </w:pPr>
      <w:r>
        <w:rPr>
          <w:rFonts w:cs="Arial"/>
        </w:rPr>
        <w:t>13</w:t>
      </w:r>
      <w:r w:rsidR="002E6812" w:rsidRPr="008C3A03">
        <w:rPr>
          <w:rFonts w:cs="Arial"/>
        </w:rPr>
        <w:t>.2</w:t>
      </w:r>
      <w:r w:rsidR="002E6812" w:rsidRPr="008C3A03">
        <w:rPr>
          <w:rFonts w:cs="Arial"/>
        </w:rPr>
        <w:tab/>
        <w:t>If the Tribunal decides not to review the decision, or reviews the decision and decides to take no action, it will consider whether to give permission to app</w:t>
      </w:r>
      <w:r w:rsidR="00797C2F">
        <w:rPr>
          <w:rFonts w:cs="Arial"/>
        </w:rPr>
        <w:t>eal to the Upper-Tier Tribunal.</w:t>
      </w:r>
    </w:p>
    <w:p w14:paraId="5872A9C8" w14:textId="5CF5FEB5" w:rsidR="002E6812" w:rsidRPr="008C3A03" w:rsidRDefault="007B70BE" w:rsidP="00797C2F">
      <w:pPr>
        <w:spacing w:after="0"/>
        <w:ind w:left="720" w:hanging="720"/>
        <w:rPr>
          <w:rFonts w:cs="Arial"/>
        </w:rPr>
      </w:pPr>
      <w:r>
        <w:rPr>
          <w:rFonts w:cs="Arial"/>
        </w:rPr>
        <w:t>13</w:t>
      </w:r>
      <w:r w:rsidR="002E6812" w:rsidRPr="008C3A03">
        <w:rPr>
          <w:rFonts w:cs="Arial"/>
        </w:rPr>
        <w:t>.3</w:t>
      </w:r>
      <w:r w:rsidR="002E6812" w:rsidRPr="008C3A03">
        <w:rPr>
          <w:rFonts w:cs="Arial"/>
        </w:rPr>
        <w:tab/>
        <w:t>If permission to appeal is refused, an application for permission can be submitted direc</w:t>
      </w:r>
      <w:r w:rsidR="00797C2F">
        <w:rPr>
          <w:rFonts w:cs="Arial"/>
        </w:rPr>
        <w:t>tly to the Upper-Tier Tribunal.</w:t>
      </w:r>
    </w:p>
    <w:p w14:paraId="41E8559E" w14:textId="34F8C5B3" w:rsidR="002E6812" w:rsidRDefault="007B70BE" w:rsidP="005164CC">
      <w:pPr>
        <w:spacing w:after="0"/>
        <w:ind w:left="720" w:hanging="720"/>
        <w:rPr>
          <w:rFonts w:cs="Arial"/>
          <w:color w:val="000000" w:themeColor="text1"/>
        </w:rPr>
      </w:pPr>
      <w:r>
        <w:rPr>
          <w:rFonts w:cs="Arial"/>
        </w:rPr>
        <w:t>13</w:t>
      </w:r>
      <w:r w:rsidR="002E6812" w:rsidRPr="008C3A03">
        <w:rPr>
          <w:rFonts w:cs="Arial"/>
        </w:rPr>
        <w:t>.4</w:t>
      </w:r>
      <w:r w:rsidR="002E6812" w:rsidRPr="008C3A03">
        <w:rPr>
          <w:rFonts w:cs="Arial"/>
        </w:rPr>
        <w:tab/>
        <w:t xml:space="preserve">If a practitioner is considering challenging a decision of the First-Tier Tribunal, before proceeding they should contact and discuss with the </w:t>
      </w:r>
      <w:r w:rsidR="00797C2F" w:rsidRPr="00797C2F">
        <w:rPr>
          <w:rFonts w:cs="Arial"/>
          <w:color w:val="000000" w:themeColor="text1"/>
        </w:rPr>
        <w:t>relevant Mental Health Law Manager for that directorate.</w:t>
      </w:r>
    </w:p>
    <w:p w14:paraId="46C543EF" w14:textId="6A7644C9" w:rsidR="00954E7E" w:rsidRDefault="00954E7E" w:rsidP="005164CC">
      <w:pPr>
        <w:spacing w:after="0"/>
        <w:ind w:left="720" w:hanging="720"/>
        <w:rPr>
          <w:rFonts w:cs="Arial"/>
          <w:b/>
          <w:color w:val="000000" w:themeColor="text1"/>
        </w:rPr>
      </w:pPr>
      <w:r w:rsidRPr="00954E7E">
        <w:rPr>
          <w:rFonts w:cs="Arial"/>
          <w:b/>
          <w:color w:val="000000" w:themeColor="text1"/>
        </w:rPr>
        <w:t>14.0    Monitoring</w:t>
      </w:r>
    </w:p>
    <w:p w14:paraId="5639D000" w14:textId="0348D63E" w:rsidR="0008070B" w:rsidRPr="0008070B" w:rsidRDefault="0008070B" w:rsidP="005164CC">
      <w:pPr>
        <w:spacing w:after="0"/>
        <w:ind w:left="720" w:hanging="720"/>
        <w:rPr>
          <w:rFonts w:cs="Arial"/>
          <w:color w:val="000000" w:themeColor="text1"/>
        </w:rPr>
      </w:pPr>
      <w:r w:rsidRPr="0008070B">
        <w:rPr>
          <w:rFonts w:cs="Arial"/>
          <w:color w:val="000000" w:themeColor="text1"/>
        </w:rPr>
        <w:t>14.1</w:t>
      </w:r>
      <w:r>
        <w:rPr>
          <w:rFonts w:cs="Arial"/>
          <w:color w:val="000000" w:themeColor="text1"/>
        </w:rPr>
        <w:t xml:space="preserve">    Mental Health Act administration to track numbers of Tribunal Hearings by type and outcome (including if virtual or face to face) across all directorates and data to be fed back quarterly to the directorate team management across all localities.</w:t>
      </w:r>
    </w:p>
    <w:p w14:paraId="4A358148" w14:textId="54B07C03" w:rsidR="0008070B" w:rsidRDefault="00167333" w:rsidP="005164CC">
      <w:pPr>
        <w:spacing w:after="0"/>
        <w:ind w:left="720" w:hanging="720"/>
        <w:rPr>
          <w:rFonts w:cs="Arial"/>
          <w:color w:val="000000" w:themeColor="text1"/>
        </w:rPr>
      </w:pPr>
      <w:proofErr w:type="gramStart"/>
      <w:r>
        <w:rPr>
          <w:rFonts w:cs="Arial"/>
          <w:color w:val="000000" w:themeColor="text1"/>
        </w:rPr>
        <w:t>14.2</w:t>
      </w:r>
      <w:r w:rsidR="0008070B" w:rsidRPr="0008070B">
        <w:rPr>
          <w:rFonts w:cs="Arial"/>
          <w:color w:val="000000" w:themeColor="text1"/>
        </w:rPr>
        <w:t xml:space="preserve"> </w:t>
      </w:r>
      <w:r w:rsidR="0008070B">
        <w:rPr>
          <w:rFonts w:cs="Arial"/>
          <w:color w:val="000000" w:themeColor="text1"/>
        </w:rPr>
        <w:t xml:space="preserve"> Mental</w:t>
      </w:r>
      <w:proofErr w:type="gramEnd"/>
      <w:r w:rsidR="0008070B">
        <w:rPr>
          <w:rFonts w:cs="Arial"/>
          <w:color w:val="000000" w:themeColor="text1"/>
        </w:rPr>
        <w:t xml:space="preserve"> Health Act administration offices to log any late report submissions by professionals via In-Phase as an incident. This is to be tracked and monitored on a financial quarterly basis and fed back to the Mental Health Law Monitoring Group</w:t>
      </w:r>
      <w:r w:rsidR="006E21C3">
        <w:rPr>
          <w:rFonts w:cs="Arial"/>
          <w:color w:val="000000" w:themeColor="text1"/>
        </w:rPr>
        <w:t xml:space="preserve"> to reduce the numbers of Tribunal Directions received on behalf of the Trust.</w:t>
      </w:r>
    </w:p>
    <w:p w14:paraId="3D08B9CE" w14:textId="461E5DB0" w:rsidR="0008070B" w:rsidRPr="0008070B" w:rsidRDefault="002F612B" w:rsidP="00AC2EDA">
      <w:pPr>
        <w:spacing w:after="0"/>
        <w:ind w:left="720" w:hanging="720"/>
        <w:rPr>
          <w:rFonts w:cs="Arial"/>
          <w:color w:val="000000" w:themeColor="text1"/>
        </w:rPr>
      </w:pPr>
      <w:r>
        <w:rPr>
          <w:rFonts w:cs="Arial"/>
          <w:color w:val="000000" w:themeColor="text1"/>
        </w:rPr>
        <w:t xml:space="preserve">14.3     Mental </w:t>
      </w:r>
      <w:proofErr w:type="spellStart"/>
      <w:r>
        <w:rPr>
          <w:rFonts w:cs="Arial"/>
          <w:color w:val="000000" w:themeColor="text1"/>
        </w:rPr>
        <w:t>Heath</w:t>
      </w:r>
      <w:proofErr w:type="spellEnd"/>
      <w:r>
        <w:rPr>
          <w:rFonts w:cs="Arial"/>
          <w:color w:val="000000" w:themeColor="text1"/>
        </w:rPr>
        <w:t xml:space="preserve"> Act</w:t>
      </w:r>
      <w:r w:rsidR="00450324">
        <w:rPr>
          <w:rFonts w:cs="Arial"/>
          <w:color w:val="000000" w:themeColor="text1"/>
        </w:rPr>
        <w:t xml:space="preserve"> administration to log any other types of incidents related to Tribunal matters via In-Phase.</w:t>
      </w:r>
      <w:r w:rsidR="00450324" w:rsidRPr="00450324">
        <w:t xml:space="preserve"> </w:t>
      </w:r>
      <w:r w:rsidR="00450324" w:rsidRPr="00450324">
        <w:rPr>
          <w:rFonts w:cs="Arial"/>
          <w:color w:val="000000" w:themeColor="text1"/>
        </w:rPr>
        <w:t>This is to be tracked and monitored on a financial quarterly basis and fed back to the Mental Health Law Monitoring Group to reduce the numbers of Tribunal Directions received on behalf of the Trust.</w:t>
      </w:r>
      <w:r w:rsidR="00450324">
        <w:rPr>
          <w:rFonts w:cs="Arial"/>
          <w:color w:val="000000" w:themeColor="text1"/>
        </w:rPr>
        <w:t xml:space="preserve"> </w:t>
      </w:r>
    </w:p>
    <w:p w14:paraId="57DC2F92" w14:textId="0460E27F" w:rsidR="001D560D" w:rsidRDefault="00954E7E" w:rsidP="00AC2EDA">
      <w:pPr>
        <w:spacing w:after="0"/>
        <w:rPr>
          <w:rFonts w:cs="Arial"/>
          <w:b/>
          <w:color w:val="000000" w:themeColor="text1"/>
        </w:rPr>
      </w:pPr>
      <w:r w:rsidRPr="00954E7E">
        <w:rPr>
          <w:rFonts w:cs="Arial"/>
          <w:b/>
          <w:color w:val="000000" w:themeColor="text1"/>
        </w:rPr>
        <w:t xml:space="preserve">15.0   </w:t>
      </w:r>
      <w:r>
        <w:rPr>
          <w:rFonts w:cs="Arial"/>
          <w:b/>
          <w:color w:val="000000" w:themeColor="text1"/>
        </w:rPr>
        <w:t xml:space="preserve"> </w:t>
      </w:r>
      <w:r w:rsidRPr="00954E7E">
        <w:rPr>
          <w:rFonts w:cs="Arial"/>
          <w:b/>
          <w:color w:val="000000" w:themeColor="text1"/>
        </w:rPr>
        <w:t>References</w:t>
      </w:r>
    </w:p>
    <w:p w14:paraId="13DDD697" w14:textId="77777777" w:rsidR="0009778E" w:rsidRDefault="0009778E" w:rsidP="00AC2EDA">
      <w:pPr>
        <w:spacing w:after="0"/>
        <w:rPr>
          <w:rFonts w:cs="Arial"/>
          <w:b/>
          <w:color w:val="000000" w:themeColor="text1"/>
        </w:rPr>
      </w:pPr>
    </w:p>
    <w:p w14:paraId="2CF573E6" w14:textId="1B05C327" w:rsidR="001D560D" w:rsidRDefault="001D560D" w:rsidP="001D560D">
      <w:pPr>
        <w:pStyle w:val="NoSpacing"/>
      </w:pPr>
      <w:r>
        <w:t xml:space="preserve">15.1    </w:t>
      </w:r>
      <w:r w:rsidRPr="001D560D">
        <w:t>Mental Health Act</w:t>
      </w:r>
      <w:r>
        <w:t xml:space="preserve"> 1983 and its Code of Practice</w:t>
      </w:r>
      <w:r w:rsidR="002F18D5">
        <w:t xml:space="preserve"> and Reference Guide</w:t>
      </w:r>
      <w:r>
        <w:t>;</w:t>
      </w:r>
    </w:p>
    <w:p w14:paraId="049AD887" w14:textId="7D03BD3E" w:rsidR="001D560D" w:rsidRPr="001D560D" w:rsidRDefault="001D560D" w:rsidP="001D560D">
      <w:pPr>
        <w:pStyle w:val="NoSpacing"/>
      </w:pPr>
      <w:r>
        <w:t xml:space="preserve">           </w:t>
      </w:r>
      <w:r w:rsidRPr="001D560D">
        <w:t>Tribunal Procedure Rules 2008;</w:t>
      </w:r>
    </w:p>
    <w:p w14:paraId="4371659F" w14:textId="4B5DFE28" w:rsidR="001D560D" w:rsidRPr="001D560D" w:rsidRDefault="001D560D" w:rsidP="001D560D">
      <w:pPr>
        <w:pStyle w:val="NoSpacing"/>
      </w:pPr>
      <w:r>
        <w:t xml:space="preserve">           </w:t>
      </w:r>
      <w:r w:rsidRPr="001D560D">
        <w:t>Tribunal Procedure (Amendment) Rules 2012;</w:t>
      </w:r>
    </w:p>
    <w:p w14:paraId="70545B09" w14:textId="451652F4" w:rsidR="001D560D" w:rsidRPr="001D560D" w:rsidRDefault="001D560D" w:rsidP="001D560D">
      <w:pPr>
        <w:pStyle w:val="NoSpacing"/>
      </w:pPr>
      <w:r>
        <w:t xml:space="preserve">           </w:t>
      </w:r>
      <w:r w:rsidRPr="001D560D">
        <w:t>Tribunal Rules Practice Directions;</w:t>
      </w:r>
    </w:p>
    <w:p w14:paraId="6F3553CA" w14:textId="1ADE69EA" w:rsidR="001D560D" w:rsidRPr="001D560D" w:rsidRDefault="001D560D" w:rsidP="001D560D">
      <w:pPr>
        <w:pStyle w:val="NoSpacing"/>
      </w:pPr>
      <w:r>
        <w:t xml:space="preserve">           </w:t>
      </w:r>
      <w:r w:rsidRPr="001D560D">
        <w:t xml:space="preserve">Guidance re Solicitor’s Conduct </w:t>
      </w:r>
    </w:p>
    <w:p w14:paraId="6BDC5F65" w14:textId="6C5748E1" w:rsidR="001D560D" w:rsidRPr="001D560D" w:rsidRDefault="001D560D" w:rsidP="001D560D">
      <w:pPr>
        <w:pStyle w:val="NoSpacing"/>
      </w:pPr>
      <w:r>
        <w:t xml:space="preserve">           </w:t>
      </w:r>
      <w:r w:rsidRPr="001D560D">
        <w:t>Joint Tribunal and Royal College of Psychiatrists Guidance about Medical Evidence</w:t>
      </w:r>
    </w:p>
    <w:p w14:paraId="0F64B807" w14:textId="77777777" w:rsidR="001D560D" w:rsidRDefault="001D560D" w:rsidP="001D560D">
      <w:pPr>
        <w:pStyle w:val="NoSpacing"/>
      </w:pPr>
      <w:r>
        <w:t xml:space="preserve">           </w:t>
      </w:r>
      <w:r w:rsidRPr="001D560D">
        <w:t xml:space="preserve">Tribunal Procedure (Coronavirus) (Amendment) Rules 2020 Standard Operating </w:t>
      </w:r>
      <w:r>
        <w:t xml:space="preserve">  </w:t>
      </w:r>
    </w:p>
    <w:p w14:paraId="6AFEDE46" w14:textId="6FA5CD7D" w:rsidR="001D560D" w:rsidRPr="001D560D" w:rsidRDefault="001D560D" w:rsidP="001D560D">
      <w:pPr>
        <w:pStyle w:val="NoSpacing"/>
      </w:pPr>
      <w:r>
        <w:t xml:space="preserve">           </w:t>
      </w:r>
      <w:r w:rsidRPr="001D560D">
        <w:t>Procedure for FTT for MHL Dept Staff</w:t>
      </w:r>
    </w:p>
    <w:p w14:paraId="543CB85F" w14:textId="767DC88F" w:rsidR="00954E7E" w:rsidRDefault="00954E7E" w:rsidP="005164CC">
      <w:pPr>
        <w:spacing w:after="0"/>
        <w:ind w:left="720" w:hanging="720"/>
        <w:rPr>
          <w:rFonts w:cs="Arial"/>
          <w:b/>
          <w:color w:val="000000" w:themeColor="text1"/>
        </w:rPr>
      </w:pPr>
      <w:r w:rsidRPr="00954E7E">
        <w:rPr>
          <w:rFonts w:cs="Arial"/>
          <w:b/>
          <w:color w:val="000000" w:themeColor="text1"/>
        </w:rPr>
        <w:t>16.0   Associated Documents</w:t>
      </w:r>
    </w:p>
    <w:p w14:paraId="52840D76" w14:textId="1198BEE8" w:rsidR="0012203A" w:rsidRPr="0012203A" w:rsidRDefault="0012203A" w:rsidP="005164CC">
      <w:pPr>
        <w:spacing w:after="0"/>
        <w:ind w:left="720" w:hanging="720"/>
        <w:rPr>
          <w:rFonts w:cs="Arial"/>
          <w:color w:val="000000" w:themeColor="text1"/>
        </w:rPr>
      </w:pPr>
      <w:r w:rsidRPr="0012203A">
        <w:rPr>
          <w:rFonts w:cs="Arial"/>
          <w:color w:val="000000" w:themeColor="text1"/>
        </w:rPr>
        <w:t>16.1   www.mentalhealthlaw.co.uk</w:t>
      </w:r>
    </w:p>
    <w:p w14:paraId="092960D3" w14:textId="77777777" w:rsidR="000A2EBA" w:rsidRDefault="000A2EBA" w:rsidP="00797C2F">
      <w:pPr>
        <w:pStyle w:val="NoSpacing"/>
        <w:rPr>
          <w:rFonts w:cs="Arial"/>
        </w:rPr>
      </w:pPr>
    </w:p>
    <w:p w14:paraId="5C97DE78" w14:textId="57BC163B" w:rsidR="0009778E" w:rsidRDefault="0009778E" w:rsidP="009F559A">
      <w:pPr>
        <w:spacing w:after="0"/>
        <w:rPr>
          <w:rFonts w:cs="Arial"/>
          <w:b/>
        </w:rPr>
      </w:pPr>
    </w:p>
    <w:p w14:paraId="3C904BC9" w14:textId="6995F89F" w:rsidR="002E6812" w:rsidRDefault="002E6812" w:rsidP="002E6812">
      <w:pPr>
        <w:spacing w:after="0"/>
        <w:jc w:val="right"/>
        <w:rPr>
          <w:rFonts w:cs="Arial"/>
          <w:b/>
        </w:rPr>
      </w:pPr>
      <w:r>
        <w:rPr>
          <w:rFonts w:cs="Arial"/>
          <w:b/>
        </w:rPr>
        <w:t>Appendix 1</w:t>
      </w:r>
    </w:p>
    <w:p w14:paraId="0A9FC649" w14:textId="77777777" w:rsidR="00EA78B8" w:rsidRDefault="002E6812" w:rsidP="002E6812">
      <w:pPr>
        <w:pStyle w:val="Default"/>
        <w:rPr>
          <w:b/>
        </w:rPr>
      </w:pPr>
      <w:r w:rsidRPr="008C3A03">
        <w:rPr>
          <w:b/>
        </w:rPr>
        <w:t>Mental Health Law contact details</w:t>
      </w:r>
    </w:p>
    <w:p w14:paraId="7283ECDC" w14:textId="77777777" w:rsidR="00EA78B8" w:rsidRDefault="00EA78B8" w:rsidP="002E6812">
      <w:pPr>
        <w:pStyle w:val="Default"/>
        <w:rPr>
          <w:b/>
        </w:rPr>
      </w:pPr>
    </w:p>
    <w:p w14:paraId="32F0FC9C" w14:textId="72564437" w:rsidR="002E6812" w:rsidRPr="00660615" w:rsidRDefault="002E6812" w:rsidP="002E6812">
      <w:pPr>
        <w:pStyle w:val="Default"/>
        <w:rPr>
          <w:b/>
          <w:color w:val="auto"/>
          <w:sz w:val="22"/>
          <w:szCs w:val="22"/>
          <w:u w:val="single"/>
        </w:rPr>
      </w:pPr>
      <w:r w:rsidRPr="00660615">
        <w:rPr>
          <w:b/>
          <w:color w:val="auto"/>
          <w:sz w:val="22"/>
          <w:szCs w:val="22"/>
          <w:u w:val="single"/>
        </w:rPr>
        <w:t>Tower Hamlets</w:t>
      </w:r>
    </w:p>
    <w:p w14:paraId="6217BE6B" w14:textId="77777777" w:rsidR="002E6812" w:rsidRPr="00660615" w:rsidRDefault="002E6812" w:rsidP="002E6812">
      <w:pPr>
        <w:pStyle w:val="Default"/>
        <w:rPr>
          <w:color w:val="auto"/>
          <w:sz w:val="22"/>
          <w:szCs w:val="22"/>
        </w:rPr>
      </w:pPr>
      <w:r w:rsidRPr="00660615">
        <w:rPr>
          <w:color w:val="auto"/>
          <w:sz w:val="22"/>
          <w:szCs w:val="22"/>
        </w:rPr>
        <w:t>Mental Health Law, 1</w:t>
      </w:r>
      <w:r w:rsidRPr="00660615">
        <w:rPr>
          <w:color w:val="auto"/>
          <w:sz w:val="22"/>
          <w:szCs w:val="22"/>
          <w:vertAlign w:val="superscript"/>
        </w:rPr>
        <w:t>st</w:t>
      </w:r>
      <w:r w:rsidRPr="00660615">
        <w:rPr>
          <w:color w:val="auto"/>
          <w:sz w:val="22"/>
          <w:szCs w:val="22"/>
        </w:rPr>
        <w:t xml:space="preserve"> Floor, Tower Hamlets Centre for Mental Health</w:t>
      </w:r>
    </w:p>
    <w:p w14:paraId="43F0EF3B" w14:textId="77777777" w:rsidR="002E6812" w:rsidRPr="00660615" w:rsidRDefault="002E6812" w:rsidP="002E6812">
      <w:pPr>
        <w:pStyle w:val="Default"/>
        <w:rPr>
          <w:color w:val="auto"/>
          <w:sz w:val="22"/>
          <w:szCs w:val="22"/>
        </w:rPr>
      </w:pPr>
      <w:r w:rsidRPr="00660615">
        <w:rPr>
          <w:color w:val="auto"/>
          <w:sz w:val="22"/>
          <w:szCs w:val="22"/>
        </w:rPr>
        <w:t>Mile End Hospital</w:t>
      </w:r>
    </w:p>
    <w:p w14:paraId="0D16748B" w14:textId="77777777" w:rsidR="002E6812" w:rsidRPr="00660615" w:rsidRDefault="002E6812" w:rsidP="002E6812">
      <w:pPr>
        <w:pStyle w:val="Default"/>
        <w:rPr>
          <w:color w:val="auto"/>
          <w:sz w:val="22"/>
          <w:szCs w:val="22"/>
        </w:rPr>
      </w:pPr>
      <w:r w:rsidRPr="00660615">
        <w:rPr>
          <w:color w:val="auto"/>
          <w:sz w:val="22"/>
          <w:szCs w:val="22"/>
        </w:rPr>
        <w:t>Bancroft Road</w:t>
      </w:r>
    </w:p>
    <w:p w14:paraId="31819E43" w14:textId="77777777" w:rsidR="002E6812" w:rsidRPr="00660615" w:rsidRDefault="002E6812" w:rsidP="002E6812">
      <w:pPr>
        <w:pStyle w:val="Default"/>
        <w:rPr>
          <w:color w:val="auto"/>
          <w:sz w:val="22"/>
          <w:szCs w:val="22"/>
        </w:rPr>
      </w:pPr>
      <w:r w:rsidRPr="00660615">
        <w:rPr>
          <w:color w:val="auto"/>
          <w:sz w:val="22"/>
          <w:szCs w:val="22"/>
        </w:rPr>
        <w:t>London E1 4DG</w:t>
      </w:r>
    </w:p>
    <w:p w14:paraId="54A138CB" w14:textId="1130F9C0" w:rsidR="002E6812" w:rsidRPr="001505A2" w:rsidRDefault="002E6812" w:rsidP="002E6812">
      <w:pPr>
        <w:pStyle w:val="Default"/>
        <w:rPr>
          <w:color w:val="auto"/>
          <w:sz w:val="22"/>
          <w:szCs w:val="22"/>
        </w:rPr>
      </w:pPr>
      <w:r w:rsidRPr="00660615">
        <w:rPr>
          <w:color w:val="auto"/>
          <w:sz w:val="22"/>
          <w:szCs w:val="22"/>
        </w:rPr>
        <w:t>Tel:</w:t>
      </w:r>
      <w:r w:rsidRPr="00660615">
        <w:rPr>
          <w:color w:val="auto"/>
          <w:sz w:val="22"/>
          <w:szCs w:val="22"/>
        </w:rPr>
        <w:tab/>
      </w:r>
      <w:r w:rsidR="001505A2">
        <w:rPr>
          <w:color w:val="auto"/>
          <w:sz w:val="22"/>
          <w:szCs w:val="22"/>
        </w:rPr>
        <w:t>07391 861943</w:t>
      </w:r>
    </w:p>
    <w:p w14:paraId="480CB663" w14:textId="12647637" w:rsidR="00882275" w:rsidRPr="001505A2" w:rsidRDefault="002E6812" w:rsidP="00882275">
      <w:pPr>
        <w:pStyle w:val="Default"/>
        <w:rPr>
          <w:color w:val="FF0000"/>
          <w:sz w:val="22"/>
          <w:szCs w:val="22"/>
        </w:rPr>
      </w:pPr>
      <w:r w:rsidRPr="00660615">
        <w:rPr>
          <w:color w:val="auto"/>
          <w:sz w:val="22"/>
          <w:szCs w:val="22"/>
        </w:rPr>
        <w:t>E-Mail:</w:t>
      </w:r>
      <w:r w:rsidR="00882275" w:rsidRPr="001C14D4">
        <w:rPr>
          <w:color w:val="FF0000"/>
        </w:rPr>
        <w:t xml:space="preserve"> </w:t>
      </w:r>
      <w:r w:rsidR="001505A2">
        <w:rPr>
          <w:color w:val="FF0000"/>
        </w:rPr>
        <w:t xml:space="preserve"> </w:t>
      </w:r>
      <w:hyperlink r:id="rId30" w:history="1">
        <w:r w:rsidR="001505A2" w:rsidRPr="00FB510E">
          <w:rPr>
            <w:rStyle w:val="Hyperlink"/>
          </w:rPr>
          <w:t>elft.mhl.tower.hamlets@nhs.net</w:t>
        </w:r>
      </w:hyperlink>
      <w:r w:rsidR="001505A2">
        <w:rPr>
          <w:color w:val="FF0000"/>
        </w:rPr>
        <w:t xml:space="preserve"> </w:t>
      </w:r>
    </w:p>
    <w:p w14:paraId="2ABDCA5C" w14:textId="77777777" w:rsidR="002E6812" w:rsidRPr="001C14D4" w:rsidRDefault="002E6812" w:rsidP="002E6812">
      <w:pPr>
        <w:pStyle w:val="Default"/>
        <w:rPr>
          <w:color w:val="FF0000"/>
          <w:sz w:val="22"/>
          <w:szCs w:val="22"/>
        </w:rPr>
      </w:pPr>
    </w:p>
    <w:p w14:paraId="4E08EF75" w14:textId="77777777" w:rsidR="002E6812" w:rsidRPr="00660615" w:rsidRDefault="002E6812" w:rsidP="002E6812">
      <w:pPr>
        <w:pStyle w:val="Default"/>
        <w:rPr>
          <w:b/>
          <w:color w:val="auto"/>
          <w:sz w:val="22"/>
          <w:szCs w:val="22"/>
          <w:u w:val="single"/>
        </w:rPr>
      </w:pPr>
      <w:r w:rsidRPr="00660615">
        <w:rPr>
          <w:b/>
          <w:color w:val="auto"/>
          <w:sz w:val="22"/>
          <w:szCs w:val="22"/>
          <w:u w:val="single"/>
        </w:rPr>
        <w:t>City &amp; Hackney</w:t>
      </w:r>
    </w:p>
    <w:p w14:paraId="47D732A5" w14:textId="77777777" w:rsidR="002E6812" w:rsidRPr="00660615" w:rsidRDefault="002E6812" w:rsidP="002E6812">
      <w:pPr>
        <w:pStyle w:val="Default"/>
        <w:rPr>
          <w:color w:val="auto"/>
          <w:sz w:val="22"/>
          <w:szCs w:val="22"/>
        </w:rPr>
      </w:pPr>
      <w:r w:rsidRPr="00660615">
        <w:rPr>
          <w:color w:val="auto"/>
          <w:sz w:val="22"/>
          <w:szCs w:val="22"/>
        </w:rPr>
        <w:t>Mental Health Law, 1</w:t>
      </w:r>
      <w:r w:rsidRPr="00660615">
        <w:rPr>
          <w:color w:val="auto"/>
          <w:sz w:val="22"/>
          <w:szCs w:val="22"/>
          <w:vertAlign w:val="superscript"/>
        </w:rPr>
        <w:t>st</w:t>
      </w:r>
      <w:r w:rsidRPr="00660615">
        <w:rPr>
          <w:color w:val="auto"/>
          <w:sz w:val="22"/>
          <w:szCs w:val="22"/>
        </w:rPr>
        <w:t xml:space="preserve"> Floor, City &amp; Hackney Centre for Mental Health</w:t>
      </w:r>
    </w:p>
    <w:p w14:paraId="25BEC74C" w14:textId="77777777" w:rsidR="002E6812" w:rsidRPr="00660615" w:rsidRDefault="002E6812" w:rsidP="002E6812">
      <w:pPr>
        <w:pStyle w:val="Default"/>
        <w:rPr>
          <w:color w:val="auto"/>
          <w:sz w:val="22"/>
          <w:szCs w:val="22"/>
        </w:rPr>
      </w:pPr>
      <w:r w:rsidRPr="00660615">
        <w:rPr>
          <w:color w:val="auto"/>
          <w:sz w:val="22"/>
          <w:szCs w:val="22"/>
        </w:rPr>
        <w:t>Homerton Row</w:t>
      </w:r>
    </w:p>
    <w:p w14:paraId="22F082E8" w14:textId="77777777" w:rsidR="002E6812" w:rsidRPr="00660615" w:rsidRDefault="002E6812" w:rsidP="002E6812">
      <w:pPr>
        <w:pStyle w:val="Default"/>
        <w:rPr>
          <w:color w:val="auto"/>
          <w:sz w:val="22"/>
          <w:szCs w:val="22"/>
        </w:rPr>
      </w:pPr>
      <w:r w:rsidRPr="00660615">
        <w:rPr>
          <w:color w:val="auto"/>
          <w:sz w:val="22"/>
          <w:szCs w:val="22"/>
        </w:rPr>
        <w:t>Hackney</w:t>
      </w:r>
    </w:p>
    <w:p w14:paraId="7FDABF04" w14:textId="77777777" w:rsidR="002E6812" w:rsidRPr="00660615" w:rsidRDefault="002E6812" w:rsidP="002E6812">
      <w:pPr>
        <w:pStyle w:val="Default"/>
        <w:rPr>
          <w:color w:val="auto"/>
          <w:sz w:val="22"/>
          <w:szCs w:val="22"/>
        </w:rPr>
      </w:pPr>
      <w:r w:rsidRPr="00660615">
        <w:rPr>
          <w:color w:val="auto"/>
          <w:sz w:val="22"/>
          <w:szCs w:val="22"/>
        </w:rPr>
        <w:t>London</w:t>
      </w:r>
    </w:p>
    <w:p w14:paraId="05DEFA43" w14:textId="77777777" w:rsidR="002E6812" w:rsidRPr="00660615" w:rsidRDefault="002E6812" w:rsidP="002E6812">
      <w:pPr>
        <w:pStyle w:val="Default"/>
        <w:rPr>
          <w:color w:val="auto"/>
          <w:sz w:val="22"/>
          <w:szCs w:val="22"/>
        </w:rPr>
      </w:pPr>
      <w:r w:rsidRPr="00660615">
        <w:rPr>
          <w:color w:val="auto"/>
          <w:sz w:val="22"/>
          <w:szCs w:val="22"/>
        </w:rPr>
        <w:t>E9 6SR</w:t>
      </w:r>
    </w:p>
    <w:p w14:paraId="56338EEA" w14:textId="77777777" w:rsidR="00882275" w:rsidRPr="00660615" w:rsidRDefault="002E6812" w:rsidP="00882275">
      <w:pPr>
        <w:pStyle w:val="Default"/>
        <w:rPr>
          <w:color w:val="auto"/>
          <w:sz w:val="22"/>
          <w:szCs w:val="22"/>
        </w:rPr>
      </w:pPr>
      <w:r w:rsidRPr="00660615">
        <w:rPr>
          <w:color w:val="auto"/>
          <w:sz w:val="22"/>
          <w:szCs w:val="22"/>
        </w:rPr>
        <w:t>Tel:</w:t>
      </w:r>
      <w:r w:rsidRPr="00660615">
        <w:rPr>
          <w:color w:val="auto"/>
          <w:sz w:val="22"/>
          <w:szCs w:val="22"/>
        </w:rPr>
        <w:tab/>
      </w:r>
      <w:r w:rsidR="00882275" w:rsidRPr="00660615">
        <w:rPr>
          <w:color w:val="auto"/>
          <w:sz w:val="22"/>
          <w:szCs w:val="22"/>
        </w:rPr>
        <w:t>07391861786</w:t>
      </w:r>
    </w:p>
    <w:p w14:paraId="12FE9827" w14:textId="67C18799" w:rsidR="002E6812" w:rsidRPr="001505A2" w:rsidRDefault="002E6812" w:rsidP="002E6812">
      <w:pPr>
        <w:pStyle w:val="Default"/>
      </w:pPr>
      <w:r w:rsidRPr="00660615">
        <w:rPr>
          <w:color w:val="auto"/>
          <w:sz w:val="22"/>
          <w:szCs w:val="22"/>
        </w:rPr>
        <w:t>E-Mail:</w:t>
      </w:r>
      <w:r w:rsidR="001505A2" w:rsidRPr="00BC72D9">
        <w:rPr>
          <w:rStyle w:val="Hyperlink"/>
          <w:u w:val="none"/>
        </w:rPr>
        <w:t xml:space="preserve">  </w:t>
      </w:r>
      <w:r w:rsidR="001505A2">
        <w:rPr>
          <w:rStyle w:val="Hyperlink"/>
        </w:rPr>
        <w:t>elft.mhlchfx@nhs.net</w:t>
      </w:r>
    </w:p>
    <w:p w14:paraId="4C1FCE48" w14:textId="77777777" w:rsidR="002E6812" w:rsidRPr="001C14D4" w:rsidRDefault="002E6812" w:rsidP="002E6812">
      <w:pPr>
        <w:pStyle w:val="Default"/>
        <w:rPr>
          <w:color w:val="FF0000"/>
          <w:sz w:val="22"/>
          <w:szCs w:val="22"/>
        </w:rPr>
      </w:pPr>
    </w:p>
    <w:p w14:paraId="7B39903F" w14:textId="77777777" w:rsidR="002E6812" w:rsidRPr="00660615" w:rsidRDefault="002E6812" w:rsidP="002E6812">
      <w:pPr>
        <w:pStyle w:val="Default"/>
        <w:rPr>
          <w:b/>
          <w:color w:val="auto"/>
          <w:sz w:val="22"/>
          <w:szCs w:val="22"/>
          <w:u w:val="single"/>
        </w:rPr>
      </w:pPr>
      <w:r w:rsidRPr="00660615">
        <w:rPr>
          <w:b/>
          <w:color w:val="auto"/>
          <w:sz w:val="22"/>
          <w:szCs w:val="22"/>
          <w:u w:val="single"/>
        </w:rPr>
        <w:t>John Howard Centre</w:t>
      </w:r>
    </w:p>
    <w:p w14:paraId="6A5FB6E6" w14:textId="77777777" w:rsidR="002E6812" w:rsidRPr="00660615" w:rsidRDefault="002E6812" w:rsidP="002E6812">
      <w:pPr>
        <w:pStyle w:val="Default"/>
        <w:rPr>
          <w:color w:val="auto"/>
          <w:sz w:val="22"/>
          <w:szCs w:val="22"/>
        </w:rPr>
      </w:pPr>
      <w:r w:rsidRPr="00660615">
        <w:rPr>
          <w:color w:val="auto"/>
          <w:sz w:val="22"/>
          <w:szCs w:val="22"/>
        </w:rPr>
        <w:t>Mental Health Law, Beaumont Building, John Howard Centre</w:t>
      </w:r>
    </w:p>
    <w:p w14:paraId="74F872B0" w14:textId="77777777" w:rsidR="002E6812" w:rsidRPr="00660615" w:rsidRDefault="002E6812" w:rsidP="002E6812">
      <w:pPr>
        <w:pStyle w:val="Default"/>
        <w:rPr>
          <w:color w:val="auto"/>
          <w:sz w:val="22"/>
          <w:szCs w:val="22"/>
        </w:rPr>
      </w:pPr>
      <w:r w:rsidRPr="00660615">
        <w:rPr>
          <w:color w:val="auto"/>
          <w:sz w:val="22"/>
          <w:szCs w:val="22"/>
        </w:rPr>
        <w:t>12 Kenworthy Road</w:t>
      </w:r>
    </w:p>
    <w:p w14:paraId="7A54C1AB" w14:textId="77777777" w:rsidR="002E6812" w:rsidRPr="00660615" w:rsidRDefault="002E6812" w:rsidP="002E6812">
      <w:pPr>
        <w:pStyle w:val="Default"/>
        <w:rPr>
          <w:color w:val="auto"/>
          <w:sz w:val="22"/>
          <w:szCs w:val="22"/>
        </w:rPr>
      </w:pPr>
      <w:r w:rsidRPr="00660615">
        <w:rPr>
          <w:color w:val="auto"/>
          <w:sz w:val="22"/>
          <w:szCs w:val="22"/>
        </w:rPr>
        <w:t>London</w:t>
      </w:r>
    </w:p>
    <w:p w14:paraId="2096C784" w14:textId="77777777" w:rsidR="002E6812" w:rsidRPr="00660615" w:rsidRDefault="002E6812" w:rsidP="002E6812">
      <w:pPr>
        <w:pStyle w:val="Default"/>
        <w:rPr>
          <w:color w:val="auto"/>
          <w:sz w:val="22"/>
          <w:szCs w:val="22"/>
        </w:rPr>
      </w:pPr>
      <w:r w:rsidRPr="00660615">
        <w:rPr>
          <w:color w:val="auto"/>
          <w:sz w:val="22"/>
          <w:szCs w:val="22"/>
        </w:rPr>
        <w:t>E9 5TD</w:t>
      </w:r>
    </w:p>
    <w:p w14:paraId="5370D94F" w14:textId="77777777" w:rsidR="002E6812" w:rsidRPr="00660615" w:rsidRDefault="002E6812" w:rsidP="002E6812">
      <w:pPr>
        <w:pStyle w:val="Default"/>
        <w:rPr>
          <w:color w:val="auto"/>
          <w:sz w:val="22"/>
          <w:szCs w:val="22"/>
        </w:rPr>
      </w:pPr>
      <w:r w:rsidRPr="00660615">
        <w:rPr>
          <w:color w:val="auto"/>
          <w:sz w:val="22"/>
          <w:szCs w:val="22"/>
        </w:rPr>
        <w:t xml:space="preserve">Tel: </w:t>
      </w:r>
      <w:r w:rsidRPr="00660615">
        <w:rPr>
          <w:color w:val="auto"/>
          <w:sz w:val="22"/>
          <w:szCs w:val="22"/>
        </w:rPr>
        <w:tab/>
      </w:r>
      <w:r w:rsidR="00882275" w:rsidRPr="00660615">
        <w:rPr>
          <w:color w:val="auto"/>
          <w:sz w:val="22"/>
          <w:szCs w:val="22"/>
        </w:rPr>
        <w:t>07391861786</w:t>
      </w:r>
    </w:p>
    <w:p w14:paraId="2B4D9B0B" w14:textId="3D34C800" w:rsidR="00882275" w:rsidRPr="00BC72D9" w:rsidRDefault="002E6812" w:rsidP="00882275">
      <w:pPr>
        <w:pStyle w:val="Default"/>
        <w:rPr>
          <w:color w:val="FF0000"/>
          <w:sz w:val="22"/>
          <w:szCs w:val="22"/>
        </w:rPr>
      </w:pPr>
      <w:r w:rsidRPr="00660615">
        <w:rPr>
          <w:color w:val="auto"/>
          <w:sz w:val="22"/>
          <w:szCs w:val="22"/>
        </w:rPr>
        <w:t>E-Mai</w:t>
      </w:r>
      <w:r w:rsidRPr="00BC72D9">
        <w:rPr>
          <w:strike/>
          <w:color w:val="auto"/>
          <w:sz w:val="22"/>
          <w:szCs w:val="22"/>
        </w:rPr>
        <w:t>l:</w:t>
      </w:r>
      <w:r w:rsidR="00BC72D9" w:rsidRPr="00BC72D9">
        <w:rPr>
          <w:rStyle w:val="Hyperlink"/>
          <w:sz w:val="22"/>
          <w:szCs w:val="22"/>
          <w:u w:val="none"/>
        </w:rPr>
        <w:t xml:space="preserve">  </w:t>
      </w:r>
      <w:r w:rsidR="00BC72D9" w:rsidRPr="00BC72D9">
        <w:rPr>
          <w:rStyle w:val="Hyperlink"/>
          <w:sz w:val="22"/>
          <w:szCs w:val="22"/>
        </w:rPr>
        <w:t>elft.mhlchfx@nhs.net</w:t>
      </w:r>
    </w:p>
    <w:p w14:paraId="5B41CBB0" w14:textId="77777777" w:rsidR="002E6812" w:rsidRPr="001C14D4" w:rsidRDefault="002E6812" w:rsidP="002E6812">
      <w:pPr>
        <w:pStyle w:val="Default"/>
        <w:rPr>
          <w:color w:val="FF0000"/>
          <w:sz w:val="22"/>
          <w:szCs w:val="22"/>
        </w:rPr>
      </w:pPr>
    </w:p>
    <w:p w14:paraId="062FFED9" w14:textId="77777777" w:rsidR="002E6812" w:rsidRPr="00660615" w:rsidRDefault="002E6812" w:rsidP="002E6812">
      <w:pPr>
        <w:pStyle w:val="Default"/>
        <w:rPr>
          <w:b/>
          <w:color w:val="auto"/>
          <w:sz w:val="22"/>
          <w:szCs w:val="22"/>
          <w:u w:val="single"/>
        </w:rPr>
      </w:pPr>
      <w:r w:rsidRPr="00660615">
        <w:rPr>
          <w:b/>
          <w:color w:val="auto"/>
          <w:sz w:val="22"/>
          <w:szCs w:val="22"/>
          <w:u w:val="single"/>
        </w:rPr>
        <w:t>Wolfson House</w:t>
      </w:r>
    </w:p>
    <w:p w14:paraId="7FEA4D43" w14:textId="5E4A4470" w:rsidR="00882275" w:rsidRPr="00660615" w:rsidRDefault="002E6812" w:rsidP="002634D5">
      <w:pPr>
        <w:pStyle w:val="NoSpacing"/>
      </w:pPr>
      <w:r w:rsidRPr="00660615">
        <w:t>Mental Health Law, Wolfson House</w:t>
      </w:r>
    </w:p>
    <w:p w14:paraId="5AA2F00F" w14:textId="77777777" w:rsidR="002E6812" w:rsidRPr="00660615" w:rsidRDefault="002E6812" w:rsidP="002634D5">
      <w:pPr>
        <w:pStyle w:val="NoSpacing"/>
      </w:pPr>
      <w:r w:rsidRPr="00660615">
        <w:t>311-315 Green Lanes</w:t>
      </w:r>
    </w:p>
    <w:p w14:paraId="37E05EDE" w14:textId="77777777" w:rsidR="002634D5" w:rsidRPr="00660615" w:rsidRDefault="002634D5" w:rsidP="002634D5">
      <w:pPr>
        <w:pStyle w:val="NoSpacing"/>
      </w:pPr>
      <w:r w:rsidRPr="00660615">
        <w:t>London</w:t>
      </w:r>
    </w:p>
    <w:p w14:paraId="35A4484F" w14:textId="77777777" w:rsidR="002E6812" w:rsidRPr="00660615" w:rsidRDefault="002E6812" w:rsidP="002634D5">
      <w:pPr>
        <w:pStyle w:val="NoSpacing"/>
      </w:pPr>
      <w:r w:rsidRPr="00660615">
        <w:rPr>
          <w:rFonts w:cs="Arial"/>
        </w:rPr>
        <w:t>N4 2ES</w:t>
      </w:r>
    </w:p>
    <w:p w14:paraId="7A76DA7C" w14:textId="77777777" w:rsidR="00882275" w:rsidRPr="00660615" w:rsidRDefault="002E6812" w:rsidP="00882275">
      <w:pPr>
        <w:pStyle w:val="Default"/>
        <w:rPr>
          <w:color w:val="auto"/>
          <w:sz w:val="22"/>
          <w:szCs w:val="22"/>
        </w:rPr>
      </w:pPr>
      <w:r w:rsidRPr="00660615">
        <w:rPr>
          <w:color w:val="auto"/>
        </w:rPr>
        <w:t>Tel:</w:t>
      </w:r>
      <w:r w:rsidRPr="00660615">
        <w:rPr>
          <w:color w:val="auto"/>
        </w:rPr>
        <w:tab/>
      </w:r>
      <w:r w:rsidR="00882275" w:rsidRPr="00660615">
        <w:rPr>
          <w:color w:val="auto"/>
          <w:sz w:val="22"/>
          <w:szCs w:val="22"/>
        </w:rPr>
        <w:t>07391861786</w:t>
      </w:r>
    </w:p>
    <w:p w14:paraId="3CA8B471" w14:textId="433CD169" w:rsidR="00882275" w:rsidRPr="00BC72D9" w:rsidRDefault="002E6812" w:rsidP="00882275">
      <w:pPr>
        <w:pStyle w:val="Default"/>
      </w:pPr>
      <w:r w:rsidRPr="00660615">
        <w:rPr>
          <w:color w:val="auto"/>
          <w:sz w:val="22"/>
          <w:szCs w:val="22"/>
        </w:rPr>
        <w:t>E-Mail:</w:t>
      </w:r>
      <w:r w:rsidR="0012203A">
        <w:rPr>
          <w:rStyle w:val="Hyperlink"/>
          <w:u w:val="none"/>
        </w:rPr>
        <w:t xml:space="preserve"> </w:t>
      </w:r>
      <w:hyperlink r:id="rId31" w:history="1">
        <w:r w:rsidR="0012203A" w:rsidRPr="007154F8">
          <w:rPr>
            <w:rStyle w:val="Hyperlink"/>
          </w:rPr>
          <w:t>elft.mhlchfx@nhs.net</w:t>
        </w:r>
      </w:hyperlink>
      <w:r w:rsidR="0012203A">
        <w:rPr>
          <w:rStyle w:val="Hyperlink"/>
          <w:u w:val="none"/>
        </w:rPr>
        <w:t xml:space="preserve"> </w:t>
      </w:r>
    </w:p>
    <w:p w14:paraId="471736A9" w14:textId="1A45FBE3" w:rsidR="00954E7E" w:rsidRPr="001C14D4" w:rsidRDefault="00954E7E" w:rsidP="002E6812">
      <w:pPr>
        <w:spacing w:after="0"/>
        <w:rPr>
          <w:rFonts w:cs="Arial"/>
          <w:color w:val="FF0000"/>
        </w:rPr>
      </w:pPr>
    </w:p>
    <w:p w14:paraId="5B296B91" w14:textId="77777777" w:rsidR="002E6812" w:rsidRPr="00660615" w:rsidRDefault="002E6812" w:rsidP="002E6812">
      <w:pPr>
        <w:pStyle w:val="Default"/>
        <w:rPr>
          <w:color w:val="auto"/>
          <w:sz w:val="22"/>
          <w:szCs w:val="22"/>
        </w:rPr>
      </w:pPr>
      <w:r w:rsidRPr="00660615">
        <w:rPr>
          <w:b/>
          <w:color w:val="auto"/>
          <w:sz w:val="22"/>
          <w:szCs w:val="22"/>
          <w:u w:val="single"/>
        </w:rPr>
        <w:t>Newham</w:t>
      </w:r>
    </w:p>
    <w:p w14:paraId="5F107CF4" w14:textId="77777777" w:rsidR="002E6812" w:rsidRPr="00660615" w:rsidRDefault="002E6812" w:rsidP="002E6812">
      <w:pPr>
        <w:pStyle w:val="Default"/>
        <w:rPr>
          <w:color w:val="auto"/>
          <w:sz w:val="22"/>
          <w:szCs w:val="22"/>
        </w:rPr>
      </w:pPr>
      <w:r w:rsidRPr="00660615">
        <w:rPr>
          <w:color w:val="auto"/>
          <w:sz w:val="22"/>
          <w:szCs w:val="22"/>
        </w:rPr>
        <w:t>Mental Health Law, Newham Centre for Mental Health</w:t>
      </w:r>
    </w:p>
    <w:p w14:paraId="16969055" w14:textId="77777777" w:rsidR="002E6812" w:rsidRPr="00660615" w:rsidRDefault="002E6812" w:rsidP="002E6812">
      <w:pPr>
        <w:pStyle w:val="Default"/>
        <w:rPr>
          <w:color w:val="auto"/>
          <w:sz w:val="22"/>
          <w:szCs w:val="22"/>
        </w:rPr>
      </w:pPr>
      <w:r w:rsidRPr="00660615">
        <w:rPr>
          <w:color w:val="auto"/>
          <w:sz w:val="22"/>
          <w:szCs w:val="22"/>
        </w:rPr>
        <w:t>Glen Road</w:t>
      </w:r>
    </w:p>
    <w:p w14:paraId="292BD1BD" w14:textId="77777777" w:rsidR="002E6812" w:rsidRPr="00660615" w:rsidRDefault="002E6812" w:rsidP="002E6812">
      <w:pPr>
        <w:pStyle w:val="Default"/>
        <w:rPr>
          <w:color w:val="auto"/>
          <w:sz w:val="22"/>
          <w:szCs w:val="22"/>
        </w:rPr>
      </w:pPr>
      <w:r w:rsidRPr="00660615">
        <w:rPr>
          <w:color w:val="auto"/>
          <w:sz w:val="22"/>
          <w:szCs w:val="22"/>
        </w:rPr>
        <w:t>London</w:t>
      </w:r>
    </w:p>
    <w:p w14:paraId="111A16BB" w14:textId="77777777" w:rsidR="002E6812" w:rsidRPr="00660615" w:rsidRDefault="002E6812" w:rsidP="002E6812">
      <w:pPr>
        <w:pStyle w:val="Default"/>
        <w:rPr>
          <w:color w:val="auto"/>
          <w:sz w:val="22"/>
          <w:szCs w:val="22"/>
        </w:rPr>
      </w:pPr>
      <w:r w:rsidRPr="00660615">
        <w:rPr>
          <w:color w:val="auto"/>
          <w:sz w:val="22"/>
          <w:szCs w:val="22"/>
        </w:rPr>
        <w:t>E13 8SP</w:t>
      </w:r>
    </w:p>
    <w:p w14:paraId="30E6B9F5" w14:textId="29C6D08C" w:rsidR="002E6812" w:rsidRPr="00660615" w:rsidRDefault="002E6812" w:rsidP="002E6812">
      <w:pPr>
        <w:pStyle w:val="Default"/>
        <w:rPr>
          <w:color w:val="auto"/>
          <w:sz w:val="22"/>
          <w:szCs w:val="22"/>
        </w:rPr>
      </w:pPr>
      <w:r w:rsidRPr="00660615">
        <w:rPr>
          <w:color w:val="auto"/>
          <w:sz w:val="22"/>
          <w:szCs w:val="22"/>
        </w:rPr>
        <w:t>Tel:</w:t>
      </w:r>
      <w:r w:rsidRPr="00660615">
        <w:rPr>
          <w:color w:val="auto"/>
          <w:sz w:val="22"/>
          <w:szCs w:val="22"/>
        </w:rPr>
        <w:tab/>
      </w:r>
      <w:r w:rsidR="001B0F7E">
        <w:rPr>
          <w:color w:val="auto"/>
          <w:sz w:val="22"/>
          <w:szCs w:val="22"/>
        </w:rPr>
        <w:t>07767 788779</w:t>
      </w:r>
    </w:p>
    <w:p w14:paraId="1E78C46C" w14:textId="55C80F00" w:rsidR="00882275" w:rsidRPr="001B0F7E" w:rsidRDefault="002E6812" w:rsidP="00882275">
      <w:pPr>
        <w:pStyle w:val="Default"/>
      </w:pPr>
      <w:r w:rsidRPr="00660615">
        <w:rPr>
          <w:color w:val="auto"/>
          <w:sz w:val="22"/>
          <w:szCs w:val="22"/>
        </w:rPr>
        <w:t>E-Mail:</w:t>
      </w:r>
      <w:r w:rsidR="001B0F7E" w:rsidRPr="001B0F7E">
        <w:rPr>
          <w:rStyle w:val="Hyperlink"/>
          <w:u w:val="none"/>
        </w:rPr>
        <w:t xml:space="preserve"> </w:t>
      </w:r>
      <w:r w:rsidR="001B0F7E">
        <w:rPr>
          <w:rStyle w:val="Hyperlink"/>
          <w:u w:val="none"/>
        </w:rPr>
        <w:t xml:space="preserve"> </w:t>
      </w:r>
      <w:hyperlink r:id="rId32" w:history="1">
        <w:r w:rsidR="001B0F7E" w:rsidRPr="00FB510E">
          <w:rPr>
            <w:rStyle w:val="Hyperlink"/>
          </w:rPr>
          <w:t>elft.mhlnewham@nhs.net</w:t>
        </w:r>
      </w:hyperlink>
      <w:r w:rsidR="001B0F7E">
        <w:rPr>
          <w:rStyle w:val="Hyperlink"/>
          <w:u w:val="none"/>
        </w:rPr>
        <w:t xml:space="preserve"> </w:t>
      </w:r>
    </w:p>
    <w:p w14:paraId="6488D38B" w14:textId="295A463C" w:rsidR="00EA78B8" w:rsidRPr="001C14D4" w:rsidRDefault="00EA78B8" w:rsidP="002E6812">
      <w:pPr>
        <w:pStyle w:val="Default"/>
        <w:rPr>
          <w:b/>
          <w:color w:val="FF0000"/>
          <w:sz w:val="22"/>
          <w:szCs w:val="22"/>
        </w:rPr>
      </w:pPr>
    </w:p>
    <w:p w14:paraId="3B77E4F8" w14:textId="5A2E71A9" w:rsidR="002E6812" w:rsidRPr="00660615" w:rsidRDefault="002E6812" w:rsidP="002E6812">
      <w:pPr>
        <w:pStyle w:val="Default"/>
        <w:rPr>
          <w:b/>
          <w:color w:val="auto"/>
          <w:sz w:val="22"/>
          <w:szCs w:val="22"/>
          <w:u w:val="single"/>
        </w:rPr>
      </w:pPr>
      <w:r w:rsidRPr="00660615">
        <w:rPr>
          <w:b/>
          <w:color w:val="auto"/>
          <w:sz w:val="22"/>
          <w:szCs w:val="22"/>
          <w:u w:val="single"/>
        </w:rPr>
        <w:t>Luton</w:t>
      </w:r>
      <w:r w:rsidR="00954E7E">
        <w:rPr>
          <w:b/>
          <w:color w:val="auto"/>
          <w:sz w:val="22"/>
          <w:szCs w:val="22"/>
          <w:u w:val="single"/>
        </w:rPr>
        <w:t xml:space="preserve"> and Bedfordshire</w:t>
      </w:r>
    </w:p>
    <w:p w14:paraId="0197C009" w14:textId="77777777" w:rsidR="002E6812" w:rsidRPr="00660615" w:rsidRDefault="002E6812" w:rsidP="002634D5">
      <w:pPr>
        <w:pStyle w:val="NoSpacing"/>
      </w:pPr>
      <w:r w:rsidRPr="00660615">
        <w:t>Luton and Central Bedfordshire Mental Health Unit</w:t>
      </w:r>
    </w:p>
    <w:p w14:paraId="35AEC6C1" w14:textId="77777777" w:rsidR="002E6812" w:rsidRPr="00660615" w:rsidRDefault="002E6812" w:rsidP="002634D5">
      <w:pPr>
        <w:pStyle w:val="NoSpacing"/>
      </w:pPr>
      <w:proofErr w:type="spellStart"/>
      <w:r w:rsidRPr="00660615">
        <w:t>Calnwood</w:t>
      </w:r>
      <w:proofErr w:type="spellEnd"/>
      <w:r w:rsidRPr="00660615">
        <w:t xml:space="preserve"> Road</w:t>
      </w:r>
    </w:p>
    <w:p w14:paraId="0D0B9769" w14:textId="77777777" w:rsidR="002E6812" w:rsidRPr="00660615" w:rsidRDefault="002E6812" w:rsidP="002634D5">
      <w:pPr>
        <w:pStyle w:val="NoSpacing"/>
      </w:pPr>
      <w:r w:rsidRPr="00660615">
        <w:t>Luton</w:t>
      </w:r>
    </w:p>
    <w:p w14:paraId="10BC460E" w14:textId="77777777" w:rsidR="002E6812" w:rsidRPr="00660615" w:rsidRDefault="002E6812" w:rsidP="002634D5">
      <w:pPr>
        <w:pStyle w:val="NoSpacing"/>
      </w:pPr>
      <w:r w:rsidRPr="00660615">
        <w:t>LU4 0FB</w:t>
      </w:r>
    </w:p>
    <w:p w14:paraId="21D82F53" w14:textId="4521FEF0" w:rsidR="002E6812" w:rsidRPr="00660615" w:rsidRDefault="002E6812" w:rsidP="002634D5">
      <w:pPr>
        <w:pStyle w:val="NoSpacing"/>
      </w:pPr>
      <w:r w:rsidRPr="00660615">
        <w:rPr>
          <w:bCs/>
        </w:rPr>
        <w:t>Tel:</w:t>
      </w:r>
      <w:r w:rsidRPr="00660615">
        <w:rPr>
          <w:bCs/>
        </w:rPr>
        <w:tab/>
      </w:r>
      <w:r w:rsidR="001B0F7E" w:rsidRPr="001B0F7E">
        <w:t>07776 681056/07776 633764</w:t>
      </w:r>
    </w:p>
    <w:p w14:paraId="7D9C4B61" w14:textId="6BEE25CD" w:rsidR="002634D5" w:rsidRPr="002634D5" w:rsidRDefault="002E6812" w:rsidP="002E6812">
      <w:pPr>
        <w:spacing w:after="0"/>
        <w:rPr>
          <w:rFonts w:eastAsiaTheme="majorEastAsia" w:cs="Arial"/>
          <w:color w:val="FF0000"/>
          <w:u w:val="single"/>
        </w:rPr>
      </w:pPr>
      <w:r w:rsidRPr="00660615">
        <w:rPr>
          <w:rFonts w:cs="Arial"/>
        </w:rPr>
        <w:t>E-mail:</w:t>
      </w:r>
      <w:r w:rsidR="001B0F7E" w:rsidRPr="001B0F7E">
        <w:rPr>
          <w:rStyle w:val="Hyperlink"/>
          <w:rFonts w:eastAsiaTheme="majorEastAsia" w:cs="Arial"/>
          <w:u w:val="none"/>
        </w:rPr>
        <w:t xml:space="preserve"> </w:t>
      </w:r>
      <w:r w:rsidR="001B0F7E">
        <w:rPr>
          <w:rStyle w:val="Hyperlink"/>
          <w:rFonts w:eastAsiaTheme="majorEastAsia" w:cs="Arial"/>
          <w:u w:val="none"/>
        </w:rPr>
        <w:t xml:space="preserve"> </w:t>
      </w:r>
      <w:hyperlink r:id="rId33" w:history="1">
        <w:r w:rsidR="004C0700" w:rsidRPr="00811B77">
          <w:rPr>
            <w:rStyle w:val="Hyperlink"/>
            <w:rFonts w:eastAsiaTheme="majorEastAsia" w:cs="Arial"/>
          </w:rPr>
          <w:t>elft.mhlbedsandluton@nhs.net</w:t>
        </w:r>
      </w:hyperlink>
      <w:r w:rsidR="004C0700">
        <w:rPr>
          <w:rStyle w:val="Hyperlink"/>
          <w:rFonts w:eastAsiaTheme="majorEastAsia" w:cs="Arial"/>
          <w:u w:val="none"/>
        </w:rPr>
        <w:t xml:space="preserve"> </w:t>
      </w:r>
    </w:p>
    <w:sectPr w:rsidR="002634D5" w:rsidRPr="002634D5" w:rsidSect="00662E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63CD9D" w14:textId="77777777" w:rsidR="004A6163" w:rsidRDefault="004A6163" w:rsidP="006F3719">
      <w:pPr>
        <w:spacing w:before="0" w:after="0"/>
      </w:pPr>
      <w:r>
        <w:separator/>
      </w:r>
    </w:p>
  </w:endnote>
  <w:endnote w:type="continuationSeparator" w:id="0">
    <w:p w14:paraId="418730FE" w14:textId="77777777" w:rsidR="004A6163" w:rsidRDefault="004A6163" w:rsidP="006F371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52829" w14:textId="77777777" w:rsidR="004A6163" w:rsidRDefault="004A6163" w:rsidP="00CB1B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02A0BD" w14:textId="77777777" w:rsidR="004A6163" w:rsidRDefault="004A6163" w:rsidP="00CB1B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EAA8B" w14:textId="77777777" w:rsidR="004A6163" w:rsidRDefault="004A6163" w:rsidP="00CB1B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E18192" w14:textId="77777777" w:rsidR="004A6163" w:rsidRDefault="004A6163" w:rsidP="00CB1B59">
    <w:pPr>
      <w:pStyle w:val="Footer"/>
      <w:tabs>
        <w:tab w:val="clear" w:pos="4153"/>
        <w:tab w:val="clear" w:pos="830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7FDA6" w14:textId="42127F1A" w:rsidR="004A6163" w:rsidRDefault="004A6163" w:rsidP="00CB1B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E56F8">
      <w:rPr>
        <w:rStyle w:val="PageNumber"/>
        <w:noProof/>
      </w:rPr>
      <w:t>1</w:t>
    </w:r>
    <w:r>
      <w:rPr>
        <w:rStyle w:val="PageNumber"/>
      </w:rPr>
      <w:fldChar w:fldCharType="end"/>
    </w:r>
  </w:p>
  <w:p w14:paraId="3B2AA2FF" w14:textId="77777777" w:rsidR="004A6163" w:rsidRDefault="004A6163" w:rsidP="00CB1B5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F2224" w14:textId="77777777" w:rsidR="004A6163" w:rsidRDefault="004A61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5DB2FD" w14:textId="77777777" w:rsidR="004A6163" w:rsidRDefault="004A6163">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895780"/>
      <w:docPartObj>
        <w:docPartGallery w:val="Page Numbers (Bottom of Page)"/>
        <w:docPartUnique/>
      </w:docPartObj>
    </w:sdtPr>
    <w:sdtEndPr/>
    <w:sdtContent>
      <w:p w14:paraId="19440E7D" w14:textId="7C28D4EB" w:rsidR="004A6163" w:rsidRDefault="004A6163">
        <w:pPr>
          <w:pStyle w:val="Footer"/>
          <w:jc w:val="right"/>
        </w:pPr>
        <w:r>
          <w:fldChar w:fldCharType="begin"/>
        </w:r>
        <w:r>
          <w:instrText xml:space="preserve"> PAGE   \* MERGEFORMAT </w:instrText>
        </w:r>
        <w:r>
          <w:fldChar w:fldCharType="separate"/>
        </w:r>
        <w:r w:rsidR="00AE56F8">
          <w:rPr>
            <w:noProof/>
          </w:rPr>
          <w:t>6</w:t>
        </w:r>
        <w:r>
          <w:rPr>
            <w:noProof/>
          </w:rPr>
          <w:fldChar w:fldCharType="end"/>
        </w:r>
      </w:p>
    </w:sdtContent>
  </w:sdt>
  <w:p w14:paraId="62EC9691" w14:textId="77777777" w:rsidR="004A6163" w:rsidRDefault="004A616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B184D" w14:textId="77777777" w:rsidR="004A6163" w:rsidRDefault="004A61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101BE3" w14:textId="77777777" w:rsidR="004A6163" w:rsidRDefault="004A6163">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95D13" w14:textId="341376A8" w:rsidR="004A6163" w:rsidRDefault="004A61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E56F8">
      <w:rPr>
        <w:rStyle w:val="PageNumber"/>
        <w:noProof/>
      </w:rPr>
      <w:t>8</w:t>
    </w:r>
    <w:r>
      <w:rPr>
        <w:rStyle w:val="PageNumber"/>
      </w:rPr>
      <w:fldChar w:fldCharType="end"/>
    </w:r>
  </w:p>
  <w:p w14:paraId="65F49703" w14:textId="77777777" w:rsidR="004A6163" w:rsidRDefault="004A6163" w:rsidP="00C368BE">
    <w:pPr>
      <w:pStyle w:val="Footer"/>
      <w:tabs>
        <w:tab w:val="clear" w:pos="8306"/>
        <w:tab w:val="left" w:pos="4153"/>
      </w:tabs>
      <w:ind w:right="360"/>
    </w:pPr>
    <w: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58B41" w14:textId="77777777" w:rsidR="004A6163" w:rsidRDefault="004A61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BC2031" w14:textId="77777777" w:rsidR="004A6163" w:rsidRDefault="004A6163">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610438"/>
      <w:docPartObj>
        <w:docPartGallery w:val="Page Numbers (Bottom of Page)"/>
        <w:docPartUnique/>
      </w:docPartObj>
    </w:sdtPr>
    <w:sdtEndPr>
      <w:rPr>
        <w:noProof/>
      </w:rPr>
    </w:sdtEndPr>
    <w:sdtContent>
      <w:p w14:paraId="046397BE" w14:textId="4C4B1E1F" w:rsidR="004A6163" w:rsidRDefault="004A6163">
        <w:pPr>
          <w:pStyle w:val="Footer"/>
          <w:jc w:val="center"/>
        </w:pPr>
        <w:r>
          <w:fldChar w:fldCharType="begin"/>
        </w:r>
        <w:r>
          <w:instrText xml:space="preserve"> PAGE   \* MERGEFORMAT </w:instrText>
        </w:r>
        <w:r>
          <w:fldChar w:fldCharType="separate"/>
        </w:r>
        <w:r w:rsidR="00AE56F8">
          <w:rPr>
            <w:noProof/>
          </w:rPr>
          <w:t>18</w:t>
        </w:r>
        <w:r>
          <w:rPr>
            <w:noProof/>
          </w:rPr>
          <w:fldChar w:fldCharType="end"/>
        </w:r>
      </w:p>
    </w:sdtContent>
  </w:sdt>
  <w:p w14:paraId="7BC10639" w14:textId="77777777" w:rsidR="004A6163" w:rsidRDefault="004A61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D197D7" w14:textId="77777777" w:rsidR="004A6163" w:rsidRDefault="004A6163" w:rsidP="006F3719">
      <w:pPr>
        <w:spacing w:before="0" w:after="0"/>
      </w:pPr>
      <w:r>
        <w:separator/>
      </w:r>
    </w:p>
  </w:footnote>
  <w:footnote w:type="continuationSeparator" w:id="0">
    <w:p w14:paraId="63BE67F1" w14:textId="77777777" w:rsidR="004A6163" w:rsidRDefault="004A6163" w:rsidP="006F3719">
      <w:pPr>
        <w:spacing w:before="0" w:after="0"/>
      </w:pPr>
      <w:r>
        <w:continuationSeparator/>
      </w:r>
    </w:p>
  </w:footnote>
  <w:footnote w:id="1">
    <w:p w14:paraId="7E13C54B" w14:textId="77777777" w:rsidR="004A6163" w:rsidRDefault="004A6163">
      <w:pPr>
        <w:pStyle w:val="FootnoteText"/>
      </w:pPr>
      <w:r>
        <w:rPr>
          <w:rStyle w:val="FootnoteReference"/>
        </w:rPr>
        <w:footnoteRef/>
      </w:r>
      <w:r>
        <w:t xml:space="preserve"> Chapter 6 of the Mental Health Act Reference Guide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26140" w14:textId="77777777" w:rsidR="004A6163" w:rsidRDefault="004A6163" w:rsidP="00742373">
    <w:pPr>
      <w:pStyle w:val="Header"/>
      <w:tabs>
        <w:tab w:val="clear" w:pos="4513"/>
        <w:tab w:val="clear" w:pos="9026"/>
        <w:tab w:val="left" w:pos="6420"/>
      </w:tabs>
    </w:pPr>
    <w:r>
      <w:tab/>
    </w:r>
    <w:r>
      <w:rPr>
        <w:noProof/>
      </w:rPr>
      <w:drawing>
        <wp:inline distT="0" distB="0" distL="0" distR="0" wp14:anchorId="053FED87" wp14:editId="00880AD2">
          <wp:extent cx="1638300" cy="929640"/>
          <wp:effectExtent l="0" t="0" r="0" b="3810"/>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E845DD"/>
    <w:multiLevelType w:val="hybridMultilevel"/>
    <w:tmpl w:val="3D9839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056707D"/>
    <w:multiLevelType w:val="hybridMultilevel"/>
    <w:tmpl w:val="F8D8FE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19626422">
    <w:abstractNumId w:val="1"/>
  </w:num>
  <w:num w:numId="2" w16cid:durableId="369576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719"/>
    <w:rsid w:val="00004DBE"/>
    <w:rsid w:val="000072FC"/>
    <w:rsid w:val="000354FA"/>
    <w:rsid w:val="000501ED"/>
    <w:rsid w:val="00054EE4"/>
    <w:rsid w:val="0008070B"/>
    <w:rsid w:val="000820EB"/>
    <w:rsid w:val="0009778E"/>
    <w:rsid w:val="000A2EBA"/>
    <w:rsid w:val="000A4959"/>
    <w:rsid w:val="000A4F93"/>
    <w:rsid w:val="000B360E"/>
    <w:rsid w:val="000C35BD"/>
    <w:rsid w:val="000E5A4A"/>
    <w:rsid w:val="00103FC6"/>
    <w:rsid w:val="00121F13"/>
    <w:rsid w:val="0012203A"/>
    <w:rsid w:val="001505A2"/>
    <w:rsid w:val="00167333"/>
    <w:rsid w:val="00175286"/>
    <w:rsid w:val="001775E4"/>
    <w:rsid w:val="001807D0"/>
    <w:rsid w:val="00182410"/>
    <w:rsid w:val="001856A7"/>
    <w:rsid w:val="00190634"/>
    <w:rsid w:val="001A5A8A"/>
    <w:rsid w:val="001B0F7E"/>
    <w:rsid w:val="001B5B53"/>
    <w:rsid w:val="001C14D4"/>
    <w:rsid w:val="001C3D5B"/>
    <w:rsid w:val="001C7D42"/>
    <w:rsid w:val="001D33C2"/>
    <w:rsid w:val="001D560D"/>
    <w:rsid w:val="001D6BA1"/>
    <w:rsid w:val="001E6836"/>
    <w:rsid w:val="002029B1"/>
    <w:rsid w:val="00211FAE"/>
    <w:rsid w:val="002408E9"/>
    <w:rsid w:val="00243572"/>
    <w:rsid w:val="00253B22"/>
    <w:rsid w:val="00262655"/>
    <w:rsid w:val="002634D5"/>
    <w:rsid w:val="00292341"/>
    <w:rsid w:val="002C3458"/>
    <w:rsid w:val="002C6211"/>
    <w:rsid w:val="002D03D9"/>
    <w:rsid w:val="002D5E35"/>
    <w:rsid w:val="002E6812"/>
    <w:rsid w:val="002F068F"/>
    <w:rsid w:val="002F18D5"/>
    <w:rsid w:val="002F612B"/>
    <w:rsid w:val="00305DAD"/>
    <w:rsid w:val="00314B9F"/>
    <w:rsid w:val="00324200"/>
    <w:rsid w:val="00362B80"/>
    <w:rsid w:val="003C4408"/>
    <w:rsid w:val="003D38E2"/>
    <w:rsid w:val="003E70BA"/>
    <w:rsid w:val="003F22FC"/>
    <w:rsid w:val="004139E7"/>
    <w:rsid w:val="00417270"/>
    <w:rsid w:val="004407B2"/>
    <w:rsid w:val="00450324"/>
    <w:rsid w:val="00453BEE"/>
    <w:rsid w:val="00471BD4"/>
    <w:rsid w:val="00473D49"/>
    <w:rsid w:val="00474296"/>
    <w:rsid w:val="00495DEB"/>
    <w:rsid w:val="004A6163"/>
    <w:rsid w:val="004B765B"/>
    <w:rsid w:val="004C0700"/>
    <w:rsid w:val="004C5580"/>
    <w:rsid w:val="004C6683"/>
    <w:rsid w:val="004E34D6"/>
    <w:rsid w:val="004F78E1"/>
    <w:rsid w:val="005164CC"/>
    <w:rsid w:val="005312A2"/>
    <w:rsid w:val="00531E6A"/>
    <w:rsid w:val="00555073"/>
    <w:rsid w:val="00571A76"/>
    <w:rsid w:val="00587278"/>
    <w:rsid w:val="005921DA"/>
    <w:rsid w:val="005A0191"/>
    <w:rsid w:val="005A5C5D"/>
    <w:rsid w:val="005D3E51"/>
    <w:rsid w:val="005F30C7"/>
    <w:rsid w:val="005F5152"/>
    <w:rsid w:val="0063777E"/>
    <w:rsid w:val="00641FF8"/>
    <w:rsid w:val="00660615"/>
    <w:rsid w:val="00662EA3"/>
    <w:rsid w:val="006668B3"/>
    <w:rsid w:val="006671B8"/>
    <w:rsid w:val="00691772"/>
    <w:rsid w:val="006B2665"/>
    <w:rsid w:val="006B6A7C"/>
    <w:rsid w:val="006C5BA0"/>
    <w:rsid w:val="006C7F8B"/>
    <w:rsid w:val="006D172F"/>
    <w:rsid w:val="006D1B0F"/>
    <w:rsid w:val="006D6E97"/>
    <w:rsid w:val="006E21C3"/>
    <w:rsid w:val="006E65B0"/>
    <w:rsid w:val="006F3719"/>
    <w:rsid w:val="0072399A"/>
    <w:rsid w:val="00731F40"/>
    <w:rsid w:val="00742373"/>
    <w:rsid w:val="00742D27"/>
    <w:rsid w:val="0075297B"/>
    <w:rsid w:val="007600AB"/>
    <w:rsid w:val="007630D7"/>
    <w:rsid w:val="0077755B"/>
    <w:rsid w:val="00785771"/>
    <w:rsid w:val="00787BA9"/>
    <w:rsid w:val="00796674"/>
    <w:rsid w:val="00797C2F"/>
    <w:rsid w:val="007B70BE"/>
    <w:rsid w:val="007C03E8"/>
    <w:rsid w:val="007C1899"/>
    <w:rsid w:val="007C5D79"/>
    <w:rsid w:val="007F2CB6"/>
    <w:rsid w:val="0080179B"/>
    <w:rsid w:val="00802BF8"/>
    <w:rsid w:val="00805F0D"/>
    <w:rsid w:val="0082545F"/>
    <w:rsid w:val="00841BB7"/>
    <w:rsid w:val="008445E4"/>
    <w:rsid w:val="0084474D"/>
    <w:rsid w:val="008720D8"/>
    <w:rsid w:val="00882275"/>
    <w:rsid w:val="008928BD"/>
    <w:rsid w:val="00896BB1"/>
    <w:rsid w:val="008B2DB4"/>
    <w:rsid w:val="008C2D17"/>
    <w:rsid w:val="008E2E98"/>
    <w:rsid w:val="008E4414"/>
    <w:rsid w:val="00904177"/>
    <w:rsid w:val="009100ED"/>
    <w:rsid w:val="009241C1"/>
    <w:rsid w:val="00935750"/>
    <w:rsid w:val="0093708E"/>
    <w:rsid w:val="00954E7E"/>
    <w:rsid w:val="009560C7"/>
    <w:rsid w:val="00957A6C"/>
    <w:rsid w:val="00962681"/>
    <w:rsid w:val="00963980"/>
    <w:rsid w:val="00965693"/>
    <w:rsid w:val="009816FC"/>
    <w:rsid w:val="00983376"/>
    <w:rsid w:val="009A7CDF"/>
    <w:rsid w:val="009C268A"/>
    <w:rsid w:val="009F559A"/>
    <w:rsid w:val="009F705B"/>
    <w:rsid w:val="00A01AF8"/>
    <w:rsid w:val="00A1403F"/>
    <w:rsid w:val="00A262C5"/>
    <w:rsid w:val="00A4192F"/>
    <w:rsid w:val="00A41DAA"/>
    <w:rsid w:val="00A445FB"/>
    <w:rsid w:val="00A55A58"/>
    <w:rsid w:val="00A67C3D"/>
    <w:rsid w:val="00A95E52"/>
    <w:rsid w:val="00AB2337"/>
    <w:rsid w:val="00AC2EDA"/>
    <w:rsid w:val="00AE56F8"/>
    <w:rsid w:val="00AF074D"/>
    <w:rsid w:val="00AF1D56"/>
    <w:rsid w:val="00B66A3A"/>
    <w:rsid w:val="00BC72D9"/>
    <w:rsid w:val="00BD6235"/>
    <w:rsid w:val="00BE7E6F"/>
    <w:rsid w:val="00C00BC4"/>
    <w:rsid w:val="00C050E1"/>
    <w:rsid w:val="00C2466F"/>
    <w:rsid w:val="00C368BE"/>
    <w:rsid w:val="00C462D5"/>
    <w:rsid w:val="00C63CC0"/>
    <w:rsid w:val="00C75AF1"/>
    <w:rsid w:val="00C92D3F"/>
    <w:rsid w:val="00C97D86"/>
    <w:rsid w:val="00CA77B7"/>
    <w:rsid w:val="00CB0D4A"/>
    <w:rsid w:val="00CB1B59"/>
    <w:rsid w:val="00CB50C7"/>
    <w:rsid w:val="00CB53DA"/>
    <w:rsid w:val="00CC195F"/>
    <w:rsid w:val="00CD0846"/>
    <w:rsid w:val="00CE1C3C"/>
    <w:rsid w:val="00CF2550"/>
    <w:rsid w:val="00CF3422"/>
    <w:rsid w:val="00D048CD"/>
    <w:rsid w:val="00D113E3"/>
    <w:rsid w:val="00D23F1B"/>
    <w:rsid w:val="00D34D63"/>
    <w:rsid w:val="00D43CD7"/>
    <w:rsid w:val="00D52186"/>
    <w:rsid w:val="00D52D90"/>
    <w:rsid w:val="00D700EF"/>
    <w:rsid w:val="00D819C8"/>
    <w:rsid w:val="00D8340D"/>
    <w:rsid w:val="00DC2547"/>
    <w:rsid w:val="00E14841"/>
    <w:rsid w:val="00E17533"/>
    <w:rsid w:val="00E1779C"/>
    <w:rsid w:val="00E20289"/>
    <w:rsid w:val="00E21F92"/>
    <w:rsid w:val="00E346D5"/>
    <w:rsid w:val="00E47ACB"/>
    <w:rsid w:val="00E90D80"/>
    <w:rsid w:val="00EA78B8"/>
    <w:rsid w:val="00EB79F2"/>
    <w:rsid w:val="00EC0187"/>
    <w:rsid w:val="00ED4845"/>
    <w:rsid w:val="00EF52FD"/>
    <w:rsid w:val="00F072D0"/>
    <w:rsid w:val="00F12BD0"/>
    <w:rsid w:val="00F15D7D"/>
    <w:rsid w:val="00F24ACE"/>
    <w:rsid w:val="00F40F0C"/>
    <w:rsid w:val="00F44A86"/>
    <w:rsid w:val="00F50F6D"/>
    <w:rsid w:val="00F516B1"/>
    <w:rsid w:val="00F6453D"/>
    <w:rsid w:val="00F956F9"/>
    <w:rsid w:val="00FB08D1"/>
    <w:rsid w:val="04F30E9F"/>
    <w:rsid w:val="06CC1266"/>
    <w:rsid w:val="0D244936"/>
    <w:rsid w:val="1A05422C"/>
    <w:rsid w:val="265E9DB6"/>
    <w:rsid w:val="27DBBE1B"/>
    <w:rsid w:val="30DE629A"/>
    <w:rsid w:val="3410BD86"/>
    <w:rsid w:val="465F9B98"/>
    <w:rsid w:val="494AFF6B"/>
    <w:rsid w:val="50E28E13"/>
    <w:rsid w:val="51CFA5B3"/>
    <w:rsid w:val="53C91A28"/>
    <w:rsid w:val="5431BEAA"/>
    <w:rsid w:val="556BE457"/>
    <w:rsid w:val="659C7457"/>
    <w:rsid w:val="68B764B1"/>
    <w:rsid w:val="6A0607D2"/>
    <w:rsid w:val="78F199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CF7579"/>
  <w15:docId w15:val="{D2A4C411-876F-4F02-8A63-ECC8BC98D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719"/>
    <w:pPr>
      <w:spacing w:before="200" w:line="240" w:lineRule="auto"/>
      <w:jc w:val="both"/>
    </w:pPr>
    <w:rPr>
      <w:rFonts w:ascii="Arial" w:eastAsia="Times New Roman" w:hAnsi="Arial" w:cs="Times New Roman"/>
      <w:szCs w:val="24"/>
      <w:lang w:eastAsia="en-GB"/>
    </w:rPr>
  </w:style>
  <w:style w:type="paragraph" w:styleId="Heading1">
    <w:name w:val="heading 1"/>
    <w:basedOn w:val="Normal"/>
    <w:next w:val="Normal"/>
    <w:link w:val="Heading1Char"/>
    <w:uiPriority w:val="9"/>
    <w:qFormat/>
    <w:rsid w:val="00742D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nhideWhenUsed/>
    <w:qFormat/>
    <w:rsid w:val="002E6812"/>
    <w:pPr>
      <w:keepNext/>
      <w:keepLines/>
      <w:spacing w:after="0" w:line="276" w:lineRule="auto"/>
      <w:jc w:val="left"/>
      <w:outlineLvl w:val="3"/>
    </w:pPr>
    <w:rPr>
      <w:rFonts w:asciiTheme="majorHAnsi" w:eastAsiaTheme="majorEastAsia" w:hAnsiTheme="majorHAnsi" w:cstheme="majorBidi"/>
      <w:b/>
      <w:bCs/>
      <w:i/>
      <w:iCs/>
      <w:color w:val="4F81BD" w:themeColor="accent1"/>
      <w:szCs w:val="22"/>
      <w:lang w:eastAsia="en-US"/>
    </w:rPr>
  </w:style>
  <w:style w:type="paragraph" w:styleId="Heading5">
    <w:name w:val="heading 5"/>
    <w:basedOn w:val="Normal"/>
    <w:next w:val="Normal"/>
    <w:link w:val="Heading5Char"/>
    <w:unhideWhenUsed/>
    <w:qFormat/>
    <w:rsid w:val="002E6812"/>
    <w:pPr>
      <w:keepNext/>
      <w:keepLines/>
      <w:spacing w:after="0" w:line="276" w:lineRule="auto"/>
      <w:jc w:val="left"/>
      <w:outlineLvl w:val="4"/>
    </w:pPr>
    <w:rPr>
      <w:rFonts w:asciiTheme="majorHAnsi" w:eastAsiaTheme="majorEastAsia" w:hAnsiTheme="majorHAnsi" w:cstheme="majorBidi"/>
      <w:color w:val="243F60" w:themeColor="accent1" w:themeShade="7F"/>
      <w:szCs w:val="22"/>
      <w:lang w:eastAsia="en-US"/>
    </w:rPr>
  </w:style>
  <w:style w:type="paragraph" w:styleId="Heading6">
    <w:name w:val="heading 6"/>
    <w:basedOn w:val="Normal"/>
    <w:next w:val="Normal"/>
    <w:link w:val="Heading6Char"/>
    <w:unhideWhenUsed/>
    <w:qFormat/>
    <w:rsid w:val="002E6812"/>
    <w:pPr>
      <w:keepNext/>
      <w:keepLines/>
      <w:spacing w:after="0" w:line="276" w:lineRule="auto"/>
      <w:jc w:val="left"/>
      <w:outlineLvl w:val="5"/>
    </w:pPr>
    <w:rPr>
      <w:rFonts w:asciiTheme="majorHAnsi" w:eastAsiaTheme="majorEastAsia" w:hAnsiTheme="majorHAnsi" w:cstheme="majorBidi"/>
      <w:i/>
      <w:iCs/>
      <w:color w:val="243F60" w:themeColor="accent1" w:themeShade="7F"/>
      <w:szCs w:val="22"/>
      <w:lang w:eastAsia="en-US"/>
    </w:rPr>
  </w:style>
  <w:style w:type="paragraph" w:styleId="Heading7">
    <w:name w:val="heading 7"/>
    <w:basedOn w:val="Normal"/>
    <w:next w:val="Normal"/>
    <w:link w:val="Heading7Char"/>
    <w:qFormat/>
    <w:rsid w:val="002E6812"/>
    <w:pPr>
      <w:spacing w:before="240" w:after="60"/>
      <w:jc w:val="left"/>
      <w:outlineLvl w:val="6"/>
    </w:pPr>
    <w:rPr>
      <w:rFonts w:ascii="Times New Roman" w:hAnsi="Times New Roman"/>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F3719"/>
    <w:pPr>
      <w:tabs>
        <w:tab w:val="center" w:pos="4153"/>
        <w:tab w:val="right" w:pos="8306"/>
      </w:tabs>
    </w:pPr>
  </w:style>
  <w:style w:type="character" w:customStyle="1" w:styleId="FooterChar">
    <w:name w:val="Footer Char"/>
    <w:basedOn w:val="DefaultParagraphFont"/>
    <w:link w:val="Footer"/>
    <w:uiPriority w:val="99"/>
    <w:rsid w:val="006F3719"/>
    <w:rPr>
      <w:rFonts w:ascii="Arial" w:eastAsia="Times New Roman" w:hAnsi="Arial" w:cs="Times New Roman"/>
      <w:szCs w:val="24"/>
      <w:lang w:eastAsia="en-GB"/>
    </w:rPr>
  </w:style>
  <w:style w:type="character" w:styleId="PageNumber">
    <w:name w:val="page number"/>
    <w:basedOn w:val="DefaultParagraphFont"/>
    <w:rsid w:val="006F3719"/>
    <w:rPr>
      <w:rFonts w:ascii="Arial" w:hAnsi="Arial"/>
      <w:sz w:val="18"/>
    </w:rPr>
  </w:style>
  <w:style w:type="paragraph" w:styleId="Header">
    <w:name w:val="header"/>
    <w:basedOn w:val="Normal"/>
    <w:link w:val="HeaderChar"/>
    <w:uiPriority w:val="99"/>
    <w:unhideWhenUsed/>
    <w:rsid w:val="006F3719"/>
    <w:pPr>
      <w:tabs>
        <w:tab w:val="center" w:pos="4513"/>
        <w:tab w:val="right" w:pos="9026"/>
      </w:tabs>
      <w:spacing w:before="0" w:after="0"/>
    </w:pPr>
  </w:style>
  <w:style w:type="character" w:customStyle="1" w:styleId="HeaderChar">
    <w:name w:val="Header Char"/>
    <w:basedOn w:val="DefaultParagraphFont"/>
    <w:link w:val="Header"/>
    <w:uiPriority w:val="99"/>
    <w:rsid w:val="006F3719"/>
    <w:rPr>
      <w:rFonts w:ascii="Arial" w:eastAsia="Times New Roman" w:hAnsi="Arial" w:cs="Times New Roman"/>
      <w:szCs w:val="24"/>
      <w:lang w:eastAsia="en-GB"/>
    </w:rPr>
  </w:style>
  <w:style w:type="paragraph" w:styleId="BalloonText">
    <w:name w:val="Balloon Text"/>
    <w:basedOn w:val="Normal"/>
    <w:link w:val="BalloonTextChar"/>
    <w:uiPriority w:val="99"/>
    <w:semiHidden/>
    <w:unhideWhenUsed/>
    <w:rsid w:val="002408E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8E9"/>
    <w:rPr>
      <w:rFonts w:ascii="Tahoma" w:eastAsia="Times New Roman" w:hAnsi="Tahoma" w:cs="Tahoma"/>
      <w:sz w:val="16"/>
      <w:szCs w:val="16"/>
      <w:lang w:eastAsia="en-GB"/>
    </w:rPr>
  </w:style>
  <w:style w:type="table" w:styleId="TableGrid">
    <w:name w:val="Table Grid"/>
    <w:basedOn w:val="TableNormal"/>
    <w:uiPriority w:val="59"/>
    <w:rsid w:val="00240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2E681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2E681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2E681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sid w:val="002E6812"/>
    <w:rPr>
      <w:rFonts w:ascii="Times New Roman" w:eastAsia="Times New Roman" w:hAnsi="Times New Roman" w:cs="Times New Roman"/>
      <w:sz w:val="24"/>
      <w:szCs w:val="24"/>
      <w:lang w:val="en-US"/>
    </w:rPr>
  </w:style>
  <w:style w:type="paragraph" w:customStyle="1" w:styleId="Default">
    <w:name w:val="Default"/>
    <w:rsid w:val="002E6812"/>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nhideWhenUsed/>
    <w:rsid w:val="002E6812"/>
    <w:pPr>
      <w:spacing w:before="100" w:beforeAutospacing="1" w:after="100" w:afterAutospacing="1"/>
      <w:jc w:val="left"/>
    </w:pPr>
    <w:rPr>
      <w:rFonts w:ascii="Times New Roman" w:hAnsi="Times New Roman"/>
      <w:sz w:val="24"/>
    </w:rPr>
  </w:style>
  <w:style w:type="character" w:styleId="Hyperlink">
    <w:name w:val="Hyperlink"/>
    <w:basedOn w:val="DefaultParagraphFont"/>
    <w:unhideWhenUsed/>
    <w:rsid w:val="002E6812"/>
    <w:rPr>
      <w:color w:val="0000FF"/>
      <w:u w:val="single"/>
    </w:rPr>
  </w:style>
  <w:style w:type="paragraph" w:styleId="BodyText">
    <w:name w:val="Body Text"/>
    <w:basedOn w:val="Normal"/>
    <w:link w:val="BodyTextChar"/>
    <w:rsid w:val="002E6812"/>
    <w:pPr>
      <w:spacing w:before="0" w:after="0"/>
      <w:jc w:val="center"/>
    </w:pPr>
    <w:rPr>
      <w:rFonts w:ascii="Tahoma" w:hAnsi="Tahoma" w:cs="Tahoma"/>
      <w:color w:val="FF0000"/>
      <w:sz w:val="20"/>
      <w:lang w:eastAsia="en-US"/>
    </w:rPr>
  </w:style>
  <w:style w:type="character" w:customStyle="1" w:styleId="BodyTextChar">
    <w:name w:val="Body Text Char"/>
    <w:basedOn w:val="DefaultParagraphFont"/>
    <w:link w:val="BodyText"/>
    <w:rsid w:val="002E6812"/>
    <w:rPr>
      <w:rFonts w:ascii="Tahoma" w:eastAsia="Times New Roman" w:hAnsi="Tahoma" w:cs="Tahoma"/>
      <w:color w:val="FF0000"/>
      <w:sz w:val="20"/>
      <w:szCs w:val="24"/>
    </w:rPr>
  </w:style>
  <w:style w:type="paragraph" w:styleId="BodyText2">
    <w:name w:val="Body Text 2"/>
    <w:basedOn w:val="Normal"/>
    <w:link w:val="BodyText2Char"/>
    <w:rsid w:val="002E6812"/>
    <w:pPr>
      <w:spacing w:before="0" w:after="0"/>
      <w:jc w:val="center"/>
    </w:pPr>
    <w:rPr>
      <w:rFonts w:ascii="Tahoma" w:hAnsi="Tahoma" w:cs="Tahoma"/>
      <w:sz w:val="18"/>
      <w:lang w:eastAsia="en-US"/>
    </w:rPr>
  </w:style>
  <w:style w:type="character" w:customStyle="1" w:styleId="BodyText2Char">
    <w:name w:val="Body Text 2 Char"/>
    <w:basedOn w:val="DefaultParagraphFont"/>
    <w:link w:val="BodyText2"/>
    <w:rsid w:val="002E6812"/>
    <w:rPr>
      <w:rFonts w:ascii="Tahoma" w:eastAsia="Times New Roman" w:hAnsi="Tahoma" w:cs="Tahoma"/>
      <w:sz w:val="18"/>
      <w:szCs w:val="24"/>
    </w:rPr>
  </w:style>
  <w:style w:type="paragraph" w:styleId="BodyText3">
    <w:name w:val="Body Text 3"/>
    <w:basedOn w:val="Normal"/>
    <w:link w:val="BodyText3Char"/>
    <w:unhideWhenUsed/>
    <w:rsid w:val="002E6812"/>
    <w:pPr>
      <w:spacing w:before="0" w:after="120" w:line="276" w:lineRule="auto"/>
      <w:jc w:val="left"/>
    </w:pPr>
    <w:rPr>
      <w:rFonts w:asciiTheme="minorHAnsi" w:eastAsiaTheme="minorHAnsi" w:hAnsiTheme="minorHAnsi" w:cstheme="minorBidi"/>
      <w:sz w:val="16"/>
      <w:szCs w:val="16"/>
      <w:lang w:eastAsia="en-US"/>
    </w:rPr>
  </w:style>
  <w:style w:type="character" w:customStyle="1" w:styleId="BodyText3Char">
    <w:name w:val="Body Text 3 Char"/>
    <w:basedOn w:val="DefaultParagraphFont"/>
    <w:link w:val="BodyText3"/>
    <w:rsid w:val="002E6812"/>
    <w:rPr>
      <w:sz w:val="16"/>
      <w:szCs w:val="16"/>
    </w:rPr>
  </w:style>
  <w:style w:type="paragraph" w:styleId="BodyTextIndent">
    <w:name w:val="Body Text Indent"/>
    <w:basedOn w:val="Normal"/>
    <w:link w:val="BodyTextIndentChar"/>
    <w:unhideWhenUsed/>
    <w:rsid w:val="002E6812"/>
    <w:pPr>
      <w:spacing w:before="0" w:after="120" w:line="276" w:lineRule="auto"/>
      <w:ind w:left="283"/>
      <w:jc w:val="left"/>
    </w:pPr>
    <w:rPr>
      <w:rFonts w:asciiTheme="minorHAnsi" w:eastAsiaTheme="minorHAnsi" w:hAnsiTheme="minorHAnsi" w:cstheme="minorBidi"/>
      <w:szCs w:val="22"/>
      <w:lang w:eastAsia="en-US"/>
    </w:rPr>
  </w:style>
  <w:style w:type="character" w:customStyle="1" w:styleId="BodyTextIndentChar">
    <w:name w:val="Body Text Indent Char"/>
    <w:basedOn w:val="DefaultParagraphFont"/>
    <w:link w:val="BodyTextIndent"/>
    <w:rsid w:val="002E6812"/>
  </w:style>
  <w:style w:type="paragraph" w:customStyle="1" w:styleId="TPBSubTitle">
    <w:name w:val="TPB Sub Title"/>
    <w:basedOn w:val="Normal"/>
    <w:rsid w:val="002E6812"/>
    <w:pPr>
      <w:spacing w:before="0" w:after="60"/>
      <w:jc w:val="left"/>
    </w:pPr>
    <w:rPr>
      <w:rFonts w:ascii="Verdana" w:eastAsia="MS Mincho" w:hAnsi="Verdana" w:cs="Verdana"/>
      <w:sz w:val="21"/>
      <w:szCs w:val="21"/>
      <w:lang w:eastAsia="ja-JP"/>
    </w:rPr>
  </w:style>
  <w:style w:type="character" w:customStyle="1" w:styleId="Heading1Char">
    <w:name w:val="Heading 1 Char"/>
    <w:basedOn w:val="DefaultParagraphFont"/>
    <w:link w:val="Heading1"/>
    <w:uiPriority w:val="9"/>
    <w:rsid w:val="00742D27"/>
    <w:rPr>
      <w:rFonts w:asciiTheme="majorHAnsi" w:eastAsiaTheme="majorEastAsia" w:hAnsiTheme="majorHAnsi" w:cstheme="majorBidi"/>
      <w:color w:val="365F91" w:themeColor="accent1" w:themeShade="BF"/>
      <w:sz w:val="32"/>
      <w:szCs w:val="32"/>
      <w:lang w:eastAsia="en-GB"/>
    </w:rPr>
  </w:style>
  <w:style w:type="character" w:styleId="FollowedHyperlink">
    <w:name w:val="FollowedHyperlink"/>
    <w:basedOn w:val="DefaultParagraphFont"/>
    <w:uiPriority w:val="99"/>
    <w:semiHidden/>
    <w:unhideWhenUsed/>
    <w:rsid w:val="00802BF8"/>
    <w:rPr>
      <w:color w:val="800080" w:themeColor="followedHyperlink"/>
      <w:u w:val="single"/>
    </w:rPr>
  </w:style>
  <w:style w:type="paragraph" w:styleId="FootnoteText">
    <w:name w:val="footnote text"/>
    <w:basedOn w:val="Normal"/>
    <w:link w:val="FootnoteTextChar"/>
    <w:uiPriority w:val="99"/>
    <w:semiHidden/>
    <w:unhideWhenUsed/>
    <w:rsid w:val="009100ED"/>
    <w:pPr>
      <w:spacing w:before="0" w:after="0"/>
    </w:pPr>
    <w:rPr>
      <w:sz w:val="20"/>
      <w:szCs w:val="20"/>
    </w:rPr>
  </w:style>
  <w:style w:type="character" w:customStyle="1" w:styleId="FootnoteTextChar">
    <w:name w:val="Footnote Text Char"/>
    <w:basedOn w:val="DefaultParagraphFont"/>
    <w:link w:val="FootnoteText"/>
    <w:uiPriority w:val="99"/>
    <w:semiHidden/>
    <w:rsid w:val="009100ED"/>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9100ED"/>
    <w:rPr>
      <w:vertAlign w:val="superscript"/>
    </w:rPr>
  </w:style>
  <w:style w:type="paragraph" w:styleId="NoSpacing">
    <w:name w:val="No Spacing"/>
    <w:uiPriority w:val="1"/>
    <w:qFormat/>
    <w:rsid w:val="000C35BD"/>
    <w:pPr>
      <w:spacing w:after="0" w:line="240" w:lineRule="auto"/>
      <w:jc w:val="both"/>
    </w:pPr>
    <w:rPr>
      <w:rFonts w:ascii="Arial" w:eastAsia="Times New Roman" w:hAnsi="Arial" w:cs="Times New Roman"/>
      <w:szCs w:val="24"/>
      <w:lang w:eastAsia="en-GB"/>
    </w:rPr>
  </w:style>
  <w:style w:type="paragraph" w:styleId="ListParagraph">
    <w:name w:val="List Paragraph"/>
    <w:basedOn w:val="Normal"/>
    <w:uiPriority w:val="34"/>
    <w:qFormat/>
    <w:rsid w:val="007630D7"/>
    <w:pPr>
      <w:ind w:left="720"/>
      <w:contextualSpacing/>
    </w:pPr>
  </w:style>
  <w:style w:type="character" w:styleId="CommentReference">
    <w:name w:val="annotation reference"/>
    <w:basedOn w:val="DefaultParagraphFont"/>
    <w:uiPriority w:val="99"/>
    <w:semiHidden/>
    <w:unhideWhenUsed/>
    <w:rsid w:val="00C368BE"/>
    <w:rPr>
      <w:sz w:val="16"/>
      <w:szCs w:val="16"/>
    </w:rPr>
  </w:style>
  <w:style w:type="paragraph" w:styleId="CommentText">
    <w:name w:val="annotation text"/>
    <w:basedOn w:val="Normal"/>
    <w:link w:val="CommentTextChar"/>
    <w:uiPriority w:val="99"/>
    <w:semiHidden/>
    <w:unhideWhenUsed/>
    <w:rsid w:val="00C368BE"/>
    <w:rPr>
      <w:sz w:val="20"/>
      <w:szCs w:val="20"/>
    </w:rPr>
  </w:style>
  <w:style w:type="character" w:customStyle="1" w:styleId="CommentTextChar">
    <w:name w:val="Comment Text Char"/>
    <w:basedOn w:val="DefaultParagraphFont"/>
    <w:link w:val="CommentText"/>
    <w:uiPriority w:val="99"/>
    <w:semiHidden/>
    <w:rsid w:val="00C368B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368BE"/>
    <w:rPr>
      <w:b/>
      <w:bCs/>
    </w:rPr>
  </w:style>
  <w:style w:type="character" w:customStyle="1" w:styleId="CommentSubjectChar">
    <w:name w:val="Comment Subject Char"/>
    <w:basedOn w:val="CommentTextChar"/>
    <w:link w:val="CommentSubject"/>
    <w:uiPriority w:val="99"/>
    <w:semiHidden/>
    <w:rsid w:val="00C368BE"/>
    <w:rPr>
      <w:rFonts w:ascii="Arial" w:eastAsia="Times New Roman" w:hAnsi="Arial" w:cs="Times New Roman"/>
      <w:b/>
      <w:bCs/>
      <w:sz w:val="20"/>
      <w:szCs w:val="20"/>
      <w:lang w:eastAsia="en-GB"/>
    </w:rPr>
  </w:style>
  <w:style w:type="paragraph" w:styleId="Revision">
    <w:name w:val="Revision"/>
    <w:hidden/>
    <w:uiPriority w:val="99"/>
    <w:semiHidden/>
    <w:rsid w:val="00C368BE"/>
    <w:pPr>
      <w:spacing w:after="0" w:line="240" w:lineRule="auto"/>
    </w:pPr>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gov.uk/courts-tribunals/first-tier-tribunal-mental-health" TargetMode="External"/><Relationship Id="rId26" Type="http://schemas.openxmlformats.org/officeDocument/2006/relationships/hyperlink" Target="https://www.rcpsych.ac.uk/docs/default-source/events/presentations/ptc-supported-and-valued/dr-joan-rutherford---the-trainee-guide-to-tribunals.pdf?sfvrsn=e74446c2_0" TargetMode="Externa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rcpsych.ac.uk/docs/default-source/events/presentations/ptc-supported-and-valued/dr-joan-rutherford---the-trainee-guide-to-tribunals.pdf?sfvrsn=e74446c2_0" TargetMode="External"/><Relationship Id="rId25" Type="http://schemas.openxmlformats.org/officeDocument/2006/relationships/hyperlink" Target="https://www.mentalhealthlaw.co.uk/media/2021-09-27_MHT_medical_records_coronavirus_direction.pdf" TargetMode="External"/><Relationship Id="rId33" Type="http://schemas.openxmlformats.org/officeDocument/2006/relationships/hyperlink" Target="mailto:elft.mhlbedsandluton@nhs.net" TargetMode="External"/><Relationship Id="rId2" Type="http://schemas.openxmlformats.org/officeDocument/2006/relationships/customXml" Target="../customXml/item2.xml"/><Relationship Id="rId16" Type="http://schemas.openxmlformats.org/officeDocument/2006/relationships/hyperlink" Target="https://www.rcpsych.ac.uk/docs/default-source/events/presentations/ptc-supported-and-valued/dr-joan-rutherford---the-trainee-guide-to-tribunals.pdf?sfvrsn=e74446c2_0" TargetMode="External"/><Relationship Id="rId20" Type="http://schemas.openxmlformats.org/officeDocument/2006/relationships/footer" Target="footer5.xml"/><Relationship Id="rId29" Type="http://schemas.openxmlformats.org/officeDocument/2006/relationships/hyperlink" Target="https://www.rcpsych.ac.uk/docs/default-source/events/presentations/ptc-supported-and-valued/dr-joan-rutherford---the-trainee-guide-to-tribunals.pdf?sfvrsn=e74446c2_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9.xml"/><Relationship Id="rId32" Type="http://schemas.openxmlformats.org/officeDocument/2006/relationships/hyperlink" Target="mailto:elft.mhlnewham@nhs.net" TargetMode="External"/><Relationship Id="rId5" Type="http://schemas.openxmlformats.org/officeDocument/2006/relationships/numbering" Target="numbering.xml"/><Relationship Id="rId15" Type="http://schemas.openxmlformats.org/officeDocument/2006/relationships/hyperlink" Target="https://www.gov.uk/courts-tribunals/first-tier-tribunal-mental-health" TargetMode="External"/><Relationship Id="rId23" Type="http://schemas.openxmlformats.org/officeDocument/2006/relationships/footer" Target="footer8.xml"/><Relationship Id="rId28" Type="http://schemas.openxmlformats.org/officeDocument/2006/relationships/hyperlink" Target="https://www.judiciary.uk/guidance-and-resources/presidential-guidance-recording-of-hearings-and-transcription-of-recordings-in-hesc/"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mailto:elft.mhlchfx@nh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yperlink" Target="https://www.judiciary.uk/guidance-and-" TargetMode="External"/><Relationship Id="rId30" Type="http://schemas.openxmlformats.org/officeDocument/2006/relationships/hyperlink" Target="mailto:elft.mhl.tower.hamlets@nhs.net"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E8CF13D7DA398429D8C222531BDE310" ma:contentTypeVersion="16" ma:contentTypeDescription="Create a new document." ma:contentTypeScope="" ma:versionID="2fe6f69a175d2201bdc8cbe2a249ec1a">
  <xsd:schema xmlns:xsd="http://www.w3.org/2001/XMLSchema" xmlns:xs="http://www.w3.org/2001/XMLSchema" xmlns:p="http://schemas.microsoft.com/office/2006/metadata/properties" xmlns:ns1="http://schemas.microsoft.com/sharepoint/v3" xmlns:ns2="347aaad6-2731-4754-beca-8d8bf358c969" xmlns:ns3="31818d1d-c324-4af4-97bf-e61c083cdbef" targetNamespace="http://schemas.microsoft.com/office/2006/metadata/properties" ma:root="true" ma:fieldsID="bf3e03cded6deddd3d90ab216a2ce7eb" ns1:_="" ns2:_="" ns3:_="">
    <xsd:import namespace="http://schemas.microsoft.com/sharepoint/v3"/>
    <xsd:import namespace="347aaad6-2731-4754-beca-8d8bf358c969"/>
    <xsd:import namespace="31818d1d-c324-4af4-97bf-e61c083cdb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7aaad6-2731-4754-beca-8d8bf358c9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818d1d-c324-4af4-97bf-e61c083cdbe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A743C-C091-4F8D-8868-35A0A34A4972}">
  <ds:schemaRefs>
    <ds:schemaRef ds:uri="http://purl.org/dc/elements/1.1/"/>
    <ds:schemaRef ds:uri="http://schemas.openxmlformats.org/package/2006/metadata/core-properties"/>
    <ds:schemaRef ds:uri="http://purl.org/dc/dcmitype/"/>
    <ds:schemaRef ds:uri="http://purl.org/dc/terms/"/>
    <ds:schemaRef ds:uri="http://schemas.microsoft.com/office/2006/documentManagement/types"/>
    <ds:schemaRef ds:uri="http://schemas.microsoft.com/office/2006/metadata/properties"/>
    <ds:schemaRef ds:uri="http://schemas.microsoft.com/office/infopath/2007/PartnerControls"/>
    <ds:schemaRef ds:uri="31818d1d-c324-4af4-97bf-e61c083cdbef"/>
    <ds:schemaRef ds:uri="347aaad6-2731-4754-beca-8d8bf358c969"/>
    <ds:schemaRef ds:uri="http://schemas.microsoft.com/sharepoint/v3"/>
    <ds:schemaRef ds:uri="http://www.w3.org/XML/1998/namespace"/>
  </ds:schemaRefs>
</ds:datastoreItem>
</file>

<file path=customXml/itemProps2.xml><?xml version="1.0" encoding="utf-8"?>
<ds:datastoreItem xmlns:ds="http://schemas.openxmlformats.org/officeDocument/2006/customXml" ds:itemID="{4950CC3A-8B3F-4B69-A206-E91A5F0BBDAA}">
  <ds:schemaRefs>
    <ds:schemaRef ds:uri="http://schemas.openxmlformats.org/officeDocument/2006/bibliography"/>
  </ds:schemaRefs>
</ds:datastoreItem>
</file>

<file path=customXml/itemProps3.xml><?xml version="1.0" encoding="utf-8"?>
<ds:datastoreItem xmlns:ds="http://schemas.openxmlformats.org/officeDocument/2006/customXml" ds:itemID="{AA5BB732-3739-4FA2-9A28-BF63F2CB6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7aaad6-2731-4754-beca-8d8bf358c969"/>
    <ds:schemaRef ds:uri="31818d1d-c324-4af4-97bf-e61c083cdb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B10380-E2F1-45DF-B764-AD282D12B4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18</Pages>
  <Words>5642</Words>
  <Characters>32164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37731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fitzgeraldm</dc:creator>
  <cp:lastModifiedBy>KHATUN, Rashida (EAST LONDON NHS FOUNDATION TRUST)</cp:lastModifiedBy>
  <cp:revision>2</cp:revision>
  <dcterms:created xsi:type="dcterms:W3CDTF">2024-09-27T14:45:00Z</dcterms:created>
  <dcterms:modified xsi:type="dcterms:W3CDTF">2024-09-27T14:45:00Z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0x010100CE8CF13D7DA398429D8C222531BDE310</vt:lpwstr>
  </property>
</Properties>
</file>