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00309B" w14:textId="77777777" w:rsidR="0088356E" w:rsidRPr="00815124" w:rsidRDefault="00577FA3">
      <w:pPr>
        <w:rPr>
          <w:rFonts w:ascii="Arial" w:hAnsi="Arial" w:cs="Arial"/>
          <w:b/>
          <w:u w:val="single"/>
        </w:rPr>
      </w:pPr>
      <w:r w:rsidRPr="00815124">
        <w:rPr>
          <w:rFonts w:ascii="Arial" w:hAnsi="Arial" w:cs="Arial"/>
          <w:b/>
          <w:u w:val="single"/>
        </w:rPr>
        <w:t>Policy in a Nutshell</w:t>
      </w:r>
    </w:p>
    <w:p w14:paraId="29558C17" w14:textId="77777777" w:rsidR="00577FA3" w:rsidRPr="007E5E37" w:rsidRDefault="00577FA3" w:rsidP="00577FA3">
      <w:pPr>
        <w:rPr>
          <w:rFonts w:ascii="Arial" w:hAnsi="Arial" w:cs="Arial"/>
        </w:rPr>
      </w:pPr>
      <w:r w:rsidRPr="007E5E37">
        <w:rPr>
          <w:rFonts w:ascii="Arial" w:hAnsi="Arial" w:cs="Arial"/>
        </w:rPr>
        <w:t xml:space="preserve">The following policies were ratified or extended recently by the Quality Committee </w:t>
      </w:r>
    </w:p>
    <w:p w14:paraId="432F217A" w14:textId="423B1863" w:rsidR="00ED586B" w:rsidRPr="007E5E37" w:rsidRDefault="00577FA3" w:rsidP="00945F61">
      <w:pPr>
        <w:rPr>
          <w:rFonts w:ascii="Arial" w:hAnsi="Arial" w:cs="Arial"/>
          <w:b/>
          <w:u w:val="single"/>
        </w:rPr>
      </w:pPr>
      <w:r w:rsidRPr="007E5E37">
        <w:rPr>
          <w:rFonts w:ascii="Arial" w:hAnsi="Arial" w:cs="Arial"/>
          <w:b/>
          <w:u w:val="single"/>
        </w:rPr>
        <w:t>Policies Ratified</w:t>
      </w:r>
    </w:p>
    <w:p w14:paraId="66A8B832" w14:textId="77777777" w:rsidR="006C67E1" w:rsidRPr="006C67E1" w:rsidRDefault="00577FA3" w:rsidP="006C67E1">
      <w:pPr>
        <w:spacing w:after="200" w:line="276" w:lineRule="auto"/>
        <w:contextualSpacing/>
        <w:jc w:val="both"/>
        <w:rPr>
          <w:rFonts w:ascii="Arial" w:eastAsia="Calibri" w:hAnsi="Arial" w:cs="Arial"/>
        </w:rPr>
      </w:pPr>
      <w:r w:rsidRPr="007E5E37">
        <w:rPr>
          <w:rFonts w:ascii="Arial" w:eastAsia="Calibri" w:hAnsi="Arial" w:cs="Arial"/>
        </w:rPr>
        <w:t>The</w:t>
      </w:r>
      <w:r w:rsidRPr="007E5E37">
        <w:rPr>
          <w:rFonts w:ascii="Arial" w:eastAsia="Calibri" w:hAnsi="Arial" w:cs="Arial"/>
          <w:b/>
        </w:rPr>
        <w:t xml:space="preserve"> </w:t>
      </w:r>
      <w:r w:rsidR="006C67E1" w:rsidRPr="006C67E1">
        <w:rPr>
          <w:rFonts w:ascii="Arial" w:eastAsia="Calibri" w:hAnsi="Arial" w:cs="Arial"/>
          <w:b/>
        </w:rPr>
        <w:t xml:space="preserve">Mental Capacity Act Policy </w:t>
      </w:r>
      <w:r w:rsidR="006C67E1" w:rsidRPr="006C67E1">
        <w:rPr>
          <w:rFonts w:ascii="Arial" w:eastAsia="Calibri" w:hAnsi="Arial" w:cs="Arial"/>
        </w:rPr>
        <w:t>sets out how East London NHS Foundation Trust (ELFT) implements the provisions of the Mental Capacity Act 2005, the associated Code of Practice and any other relevant framework in respect of all service users to whom the legislation applies. The policy aims to provide clear guidance and processes for all staff within the Trust who work with service users who lack the capacity to consent to care and treatment.</w:t>
      </w:r>
    </w:p>
    <w:p w14:paraId="71AF413C" w14:textId="77777777" w:rsidR="006C67E1" w:rsidRPr="006C67E1" w:rsidRDefault="006C67E1" w:rsidP="006C67E1">
      <w:pPr>
        <w:spacing w:after="200" w:line="276" w:lineRule="auto"/>
        <w:contextualSpacing/>
        <w:jc w:val="both"/>
        <w:rPr>
          <w:rFonts w:ascii="Arial" w:eastAsia="Calibri" w:hAnsi="Arial" w:cs="Arial"/>
        </w:rPr>
      </w:pPr>
    </w:p>
    <w:p w14:paraId="65D1F8C7" w14:textId="6B668A4A" w:rsidR="00577FA3" w:rsidRDefault="006C67E1" w:rsidP="006C67E1">
      <w:pPr>
        <w:spacing w:after="200" w:line="276" w:lineRule="auto"/>
        <w:contextualSpacing/>
        <w:jc w:val="both"/>
        <w:rPr>
          <w:rFonts w:ascii="Arial" w:eastAsia="Calibri" w:hAnsi="Arial" w:cs="Arial"/>
        </w:rPr>
      </w:pPr>
      <w:r w:rsidRPr="006C67E1">
        <w:rPr>
          <w:rFonts w:ascii="Arial" w:eastAsia="Calibri" w:hAnsi="Arial" w:cs="Arial"/>
        </w:rPr>
        <w:t>This policy was reviewed and brought in line with changes in caselaw.</w:t>
      </w:r>
    </w:p>
    <w:p w14:paraId="7F7D0254" w14:textId="77777777" w:rsidR="006C67E1" w:rsidRPr="007E5E37" w:rsidRDefault="006C67E1" w:rsidP="006C67E1">
      <w:pPr>
        <w:spacing w:after="200" w:line="276" w:lineRule="auto"/>
        <w:contextualSpacing/>
        <w:jc w:val="both"/>
        <w:rPr>
          <w:rFonts w:ascii="Arial" w:eastAsia="Calibri" w:hAnsi="Arial" w:cs="Arial"/>
        </w:rPr>
      </w:pPr>
    </w:p>
    <w:p w14:paraId="565D19AC" w14:textId="77777777" w:rsidR="006C67E1" w:rsidRPr="006C67E1" w:rsidRDefault="00577FA3" w:rsidP="006C67E1">
      <w:pPr>
        <w:spacing w:after="200" w:line="276" w:lineRule="auto"/>
        <w:contextualSpacing/>
        <w:jc w:val="both"/>
        <w:rPr>
          <w:rFonts w:ascii="Arial" w:eastAsia="Calibri" w:hAnsi="Arial" w:cs="Arial"/>
        </w:rPr>
      </w:pPr>
      <w:r w:rsidRPr="007E5E37">
        <w:rPr>
          <w:rFonts w:ascii="Arial" w:eastAsia="Calibri" w:hAnsi="Arial" w:cs="Arial"/>
        </w:rPr>
        <w:t xml:space="preserve">The </w:t>
      </w:r>
      <w:r w:rsidR="006C67E1" w:rsidRPr="006C67E1">
        <w:rPr>
          <w:rFonts w:ascii="Arial" w:eastAsia="Calibri" w:hAnsi="Arial" w:cs="Arial"/>
          <w:b/>
        </w:rPr>
        <w:t>Patient Property Policy</w:t>
      </w:r>
      <w:r w:rsidR="006C67E1">
        <w:rPr>
          <w:rFonts w:ascii="Arial" w:eastAsia="Calibri" w:hAnsi="Arial" w:cs="Arial"/>
          <w:b/>
        </w:rPr>
        <w:t xml:space="preserve"> </w:t>
      </w:r>
      <w:r w:rsidR="006C67E1" w:rsidRPr="006C67E1">
        <w:rPr>
          <w:rFonts w:ascii="Arial" w:eastAsia="Calibri" w:hAnsi="Arial" w:cs="Arial"/>
        </w:rPr>
        <w:t xml:space="preserve">is designed to clarify the requirements of all staff members who manage the property of patients as part of their work within the organisation.  </w:t>
      </w:r>
    </w:p>
    <w:p w14:paraId="4CAEC68E" w14:textId="77777777" w:rsidR="006C67E1" w:rsidRPr="006C67E1" w:rsidRDefault="006C67E1" w:rsidP="006C67E1">
      <w:pPr>
        <w:spacing w:after="200" w:line="276" w:lineRule="auto"/>
        <w:contextualSpacing/>
        <w:jc w:val="both"/>
        <w:rPr>
          <w:rFonts w:ascii="Arial" w:eastAsia="Calibri" w:hAnsi="Arial" w:cs="Arial"/>
        </w:rPr>
      </w:pPr>
    </w:p>
    <w:p w14:paraId="68042514" w14:textId="2CBC915F" w:rsidR="006C67E1" w:rsidRPr="006C67E1" w:rsidRDefault="006C67E1" w:rsidP="006C67E1">
      <w:pPr>
        <w:spacing w:after="200" w:line="276" w:lineRule="auto"/>
        <w:contextualSpacing/>
        <w:jc w:val="both"/>
        <w:rPr>
          <w:rFonts w:ascii="Arial" w:eastAsia="Calibri" w:hAnsi="Arial" w:cs="Arial"/>
        </w:rPr>
      </w:pPr>
      <w:r w:rsidRPr="006C67E1">
        <w:rPr>
          <w:rFonts w:ascii="Arial" w:eastAsia="Calibri" w:hAnsi="Arial" w:cs="Arial"/>
        </w:rPr>
        <w:t>The Trust has a responsibility to provide safe custody for money and other personal property either handed in by patients or in the possession of confused patients or found to be in the possession of patients in our care. As a provider of long-term care, the Trust also has a responsibility to provide a stewardship function for managing patient’s property during their episode of care with the Trust. This policy explains how to deal with patients' property, both of a valuable and non-valuable nature while under the care of ELFT</w:t>
      </w:r>
      <w:r w:rsidR="00420AF1">
        <w:rPr>
          <w:rFonts w:ascii="Arial" w:eastAsia="Calibri" w:hAnsi="Arial" w:cs="Arial"/>
        </w:rPr>
        <w:t>.</w:t>
      </w:r>
      <w:r w:rsidRPr="006C67E1">
        <w:rPr>
          <w:rFonts w:ascii="Arial" w:eastAsia="Calibri" w:hAnsi="Arial" w:cs="Arial"/>
        </w:rPr>
        <w:t xml:space="preserve"> </w:t>
      </w:r>
    </w:p>
    <w:p w14:paraId="07CC7007" w14:textId="77777777" w:rsidR="001C3DD9" w:rsidRPr="007E5E37" w:rsidRDefault="001C3DD9" w:rsidP="00577FA3">
      <w:pPr>
        <w:spacing w:after="200" w:line="276" w:lineRule="auto"/>
        <w:contextualSpacing/>
        <w:jc w:val="both"/>
        <w:rPr>
          <w:rFonts w:ascii="Arial" w:eastAsia="Calibri" w:hAnsi="Arial" w:cs="Arial"/>
        </w:rPr>
      </w:pPr>
    </w:p>
    <w:p w14:paraId="3255796A" w14:textId="41B6C583" w:rsidR="006C67E1" w:rsidRPr="006C67E1" w:rsidRDefault="00313085" w:rsidP="006C67E1">
      <w:pPr>
        <w:spacing w:after="200" w:line="276" w:lineRule="auto"/>
        <w:contextualSpacing/>
        <w:rPr>
          <w:rFonts w:ascii="Arial" w:eastAsia="Calibri" w:hAnsi="Arial" w:cs="Arial"/>
          <w:bCs/>
        </w:rPr>
      </w:pPr>
      <w:r w:rsidRPr="007E5E37">
        <w:rPr>
          <w:rFonts w:ascii="Arial" w:eastAsia="Calibri" w:hAnsi="Arial" w:cs="Arial"/>
        </w:rPr>
        <w:t xml:space="preserve">The </w:t>
      </w:r>
      <w:r w:rsidR="006C67E1" w:rsidRPr="006C67E1">
        <w:rPr>
          <w:rFonts w:ascii="Arial" w:eastAsia="Calibri" w:hAnsi="Arial" w:cs="Arial"/>
          <w:b/>
        </w:rPr>
        <w:t>Mobile Phones Policy for Service Users and Visitors</w:t>
      </w:r>
      <w:r w:rsidR="006C67E1">
        <w:rPr>
          <w:rFonts w:ascii="Arial" w:eastAsia="Calibri" w:hAnsi="Arial" w:cs="Arial"/>
          <w:b/>
        </w:rPr>
        <w:t xml:space="preserve"> </w:t>
      </w:r>
      <w:r w:rsidR="006C67E1" w:rsidRPr="006C67E1">
        <w:rPr>
          <w:rFonts w:ascii="Arial" w:eastAsia="Calibri" w:hAnsi="Arial" w:cs="Arial"/>
          <w:bCs/>
        </w:rPr>
        <w:t>outlines the principles guiding the use of mobile phones by service users, visitors, and staff. It aims to strike a balance between the need for communication and the imperative to protect individuals from potential misuse of technology. The policy emphasizes:</w:t>
      </w:r>
    </w:p>
    <w:p w14:paraId="141F9720" w14:textId="77777777" w:rsidR="006C67E1" w:rsidRPr="006C67E1" w:rsidRDefault="006C67E1" w:rsidP="006C67E1">
      <w:pPr>
        <w:spacing w:after="200" w:line="276" w:lineRule="auto"/>
        <w:contextualSpacing/>
        <w:rPr>
          <w:rFonts w:ascii="Arial" w:eastAsia="Calibri" w:hAnsi="Arial" w:cs="Arial"/>
          <w:bCs/>
        </w:rPr>
      </w:pPr>
    </w:p>
    <w:p w14:paraId="462D96CC" w14:textId="77777777" w:rsidR="00585518" w:rsidRDefault="006C67E1" w:rsidP="006C67E1">
      <w:pPr>
        <w:pStyle w:val="ListParagraph"/>
        <w:numPr>
          <w:ilvl w:val="0"/>
          <w:numId w:val="8"/>
        </w:numPr>
        <w:spacing w:after="200" w:line="276" w:lineRule="auto"/>
        <w:rPr>
          <w:rFonts w:ascii="Arial" w:eastAsia="Calibri" w:hAnsi="Arial" w:cs="Arial"/>
          <w:bCs/>
        </w:rPr>
      </w:pPr>
      <w:r w:rsidRPr="00585518">
        <w:rPr>
          <w:rFonts w:ascii="Arial" w:eastAsia="Calibri" w:hAnsi="Arial" w:cs="Arial"/>
          <w:bCs/>
        </w:rPr>
        <w:t>Promoting positive contact with family and friends</w:t>
      </w:r>
    </w:p>
    <w:p w14:paraId="76CD0632" w14:textId="77777777" w:rsidR="00585518" w:rsidRDefault="006C67E1" w:rsidP="006C67E1">
      <w:pPr>
        <w:pStyle w:val="ListParagraph"/>
        <w:numPr>
          <w:ilvl w:val="0"/>
          <w:numId w:val="8"/>
        </w:numPr>
        <w:spacing w:after="200" w:line="276" w:lineRule="auto"/>
        <w:rPr>
          <w:rFonts w:ascii="Arial" w:eastAsia="Calibri" w:hAnsi="Arial" w:cs="Arial"/>
          <w:bCs/>
        </w:rPr>
      </w:pPr>
      <w:r w:rsidRPr="00585518">
        <w:rPr>
          <w:rFonts w:ascii="Arial" w:eastAsia="Calibri" w:hAnsi="Arial" w:cs="Arial"/>
          <w:bCs/>
        </w:rPr>
        <w:t>Creating a therapeutic environment</w:t>
      </w:r>
    </w:p>
    <w:p w14:paraId="6EAA1BC0" w14:textId="77777777" w:rsidR="00585518" w:rsidRDefault="006C67E1" w:rsidP="006C67E1">
      <w:pPr>
        <w:pStyle w:val="ListParagraph"/>
        <w:numPr>
          <w:ilvl w:val="0"/>
          <w:numId w:val="8"/>
        </w:numPr>
        <w:spacing w:after="200" w:line="276" w:lineRule="auto"/>
        <w:rPr>
          <w:rFonts w:ascii="Arial" w:eastAsia="Calibri" w:hAnsi="Arial" w:cs="Arial"/>
          <w:bCs/>
        </w:rPr>
      </w:pPr>
      <w:r w:rsidRPr="00585518">
        <w:rPr>
          <w:rFonts w:ascii="Arial" w:eastAsia="Calibri" w:hAnsi="Arial" w:cs="Arial"/>
          <w:bCs/>
        </w:rPr>
        <w:t>Protecting individual rights and confidentiality</w:t>
      </w:r>
    </w:p>
    <w:p w14:paraId="5B476915" w14:textId="77777777" w:rsidR="00585518" w:rsidRDefault="006C67E1" w:rsidP="006C67E1">
      <w:pPr>
        <w:pStyle w:val="ListParagraph"/>
        <w:numPr>
          <w:ilvl w:val="0"/>
          <w:numId w:val="8"/>
        </w:numPr>
        <w:spacing w:after="200" w:line="276" w:lineRule="auto"/>
        <w:rPr>
          <w:rFonts w:ascii="Arial" w:eastAsia="Calibri" w:hAnsi="Arial" w:cs="Arial"/>
          <w:bCs/>
        </w:rPr>
      </w:pPr>
      <w:r w:rsidRPr="00585518">
        <w:rPr>
          <w:rFonts w:ascii="Arial" w:eastAsia="Calibri" w:hAnsi="Arial" w:cs="Arial"/>
          <w:bCs/>
        </w:rPr>
        <w:t>Preventing abuse and promoting recovery</w:t>
      </w:r>
    </w:p>
    <w:p w14:paraId="6C9F0724" w14:textId="065DE5D9" w:rsidR="006C67E1" w:rsidRPr="00585518" w:rsidRDefault="006C67E1" w:rsidP="006C67E1">
      <w:pPr>
        <w:pStyle w:val="ListParagraph"/>
        <w:numPr>
          <w:ilvl w:val="0"/>
          <w:numId w:val="8"/>
        </w:numPr>
        <w:spacing w:after="200" w:line="276" w:lineRule="auto"/>
        <w:rPr>
          <w:rFonts w:ascii="Arial" w:eastAsia="Calibri" w:hAnsi="Arial" w:cs="Arial"/>
          <w:bCs/>
        </w:rPr>
      </w:pPr>
      <w:r w:rsidRPr="00585518">
        <w:rPr>
          <w:rFonts w:ascii="Arial" w:eastAsia="Calibri" w:hAnsi="Arial" w:cs="Arial"/>
          <w:bCs/>
        </w:rPr>
        <w:t>Establishing acceptable behaviour standards</w:t>
      </w:r>
    </w:p>
    <w:p w14:paraId="2BE1F3E1" w14:textId="77777777" w:rsidR="006C67E1" w:rsidRPr="006C67E1" w:rsidRDefault="006C67E1" w:rsidP="006C67E1">
      <w:pPr>
        <w:spacing w:after="200" w:line="276" w:lineRule="auto"/>
        <w:contextualSpacing/>
        <w:rPr>
          <w:rFonts w:ascii="Arial" w:eastAsia="Calibri" w:hAnsi="Arial" w:cs="Arial"/>
          <w:bCs/>
        </w:rPr>
      </w:pPr>
    </w:p>
    <w:p w14:paraId="42B2FBD1" w14:textId="1655C5B3" w:rsidR="0082470C" w:rsidRDefault="006C67E1" w:rsidP="006C67E1">
      <w:pPr>
        <w:spacing w:after="200" w:line="276" w:lineRule="auto"/>
        <w:contextualSpacing/>
        <w:rPr>
          <w:rFonts w:ascii="Arial" w:eastAsia="Calibri" w:hAnsi="Arial" w:cs="Arial"/>
          <w:bCs/>
        </w:rPr>
      </w:pPr>
      <w:r w:rsidRPr="006C67E1">
        <w:rPr>
          <w:rFonts w:ascii="Arial" w:eastAsia="Calibri" w:hAnsi="Arial" w:cs="Arial"/>
          <w:bCs/>
        </w:rPr>
        <w:t>This policy was reviewed to add guidelines for staff use of mobile devices whilst at work.</w:t>
      </w:r>
    </w:p>
    <w:p w14:paraId="4A48F334" w14:textId="77777777" w:rsidR="006C67E1" w:rsidRDefault="006C67E1" w:rsidP="006C67E1">
      <w:pPr>
        <w:spacing w:after="200" w:line="276" w:lineRule="auto"/>
        <w:contextualSpacing/>
        <w:rPr>
          <w:rFonts w:ascii="Arial" w:eastAsia="Calibri" w:hAnsi="Arial" w:cs="Arial"/>
          <w:bCs/>
        </w:rPr>
      </w:pPr>
    </w:p>
    <w:p w14:paraId="12EAE755" w14:textId="08CAC32F" w:rsidR="006C67E1" w:rsidRDefault="006C67E1" w:rsidP="006C67E1">
      <w:pPr>
        <w:spacing w:after="200" w:line="276" w:lineRule="auto"/>
        <w:contextualSpacing/>
        <w:rPr>
          <w:rFonts w:ascii="Arial" w:eastAsia="Calibri" w:hAnsi="Arial" w:cs="Arial"/>
          <w:bCs/>
        </w:rPr>
      </w:pPr>
      <w:r>
        <w:rPr>
          <w:rFonts w:ascii="Arial" w:eastAsia="Calibri" w:hAnsi="Arial" w:cs="Arial"/>
          <w:bCs/>
        </w:rPr>
        <w:t xml:space="preserve">The </w:t>
      </w:r>
      <w:r w:rsidRPr="006C67E1">
        <w:rPr>
          <w:rFonts w:ascii="Arial" w:eastAsia="Calibri" w:hAnsi="Arial" w:cs="Arial"/>
          <w:b/>
        </w:rPr>
        <w:t>Resuscitation policy</w:t>
      </w:r>
      <w:r>
        <w:rPr>
          <w:rFonts w:ascii="Arial" w:eastAsia="Calibri" w:hAnsi="Arial" w:cs="Arial"/>
          <w:bCs/>
        </w:rPr>
        <w:t xml:space="preserve"> outlines </w:t>
      </w:r>
      <w:r w:rsidRPr="006C67E1">
        <w:rPr>
          <w:rFonts w:ascii="Arial" w:eastAsia="Calibri" w:hAnsi="Arial" w:cs="Arial"/>
          <w:bCs/>
        </w:rPr>
        <w:t>the resuscitation protocols within ELFT, emphasizing the importance of staff familiarity and adherence to its guidelines. It aligns with national quality standards for mental health inpatient care, including equipment and drug protocols.</w:t>
      </w:r>
    </w:p>
    <w:p w14:paraId="77F67982" w14:textId="77777777" w:rsidR="006C67E1" w:rsidRDefault="006C67E1" w:rsidP="006C67E1">
      <w:pPr>
        <w:spacing w:after="200" w:line="276" w:lineRule="auto"/>
        <w:contextualSpacing/>
        <w:rPr>
          <w:rFonts w:ascii="Arial" w:eastAsia="Calibri" w:hAnsi="Arial" w:cs="Arial"/>
          <w:bCs/>
        </w:rPr>
      </w:pPr>
    </w:p>
    <w:p w14:paraId="194DAE6D" w14:textId="77777777" w:rsidR="00585518" w:rsidRDefault="006C67E1" w:rsidP="006C67E1">
      <w:pPr>
        <w:spacing w:after="200" w:line="276" w:lineRule="auto"/>
        <w:contextualSpacing/>
        <w:rPr>
          <w:rFonts w:ascii="Arial" w:eastAsia="Calibri" w:hAnsi="Arial" w:cs="Arial"/>
          <w:bCs/>
        </w:rPr>
      </w:pPr>
      <w:r w:rsidRPr="006C67E1">
        <w:rPr>
          <w:rFonts w:ascii="Arial" w:eastAsia="Calibri" w:hAnsi="Arial" w:cs="Arial"/>
          <w:bCs/>
        </w:rPr>
        <w:t>This policy has undergone major revisions including:</w:t>
      </w:r>
    </w:p>
    <w:p w14:paraId="31C96072" w14:textId="77777777" w:rsidR="00585518" w:rsidRDefault="006C67E1" w:rsidP="006C67E1">
      <w:pPr>
        <w:pStyle w:val="ListParagraph"/>
        <w:numPr>
          <w:ilvl w:val="0"/>
          <w:numId w:val="9"/>
        </w:numPr>
        <w:spacing w:after="200" w:line="276" w:lineRule="auto"/>
        <w:rPr>
          <w:rFonts w:ascii="Arial" w:eastAsia="Calibri" w:hAnsi="Arial" w:cs="Arial"/>
          <w:bCs/>
        </w:rPr>
      </w:pPr>
      <w:r w:rsidRPr="00585518">
        <w:rPr>
          <w:rFonts w:ascii="Arial" w:eastAsia="Calibri" w:hAnsi="Arial" w:cs="Arial"/>
          <w:bCs/>
        </w:rPr>
        <w:t>Definitions have been clarified to ensure better understanding</w:t>
      </w:r>
    </w:p>
    <w:p w14:paraId="20D97FDD" w14:textId="775FD05C" w:rsidR="006C67E1" w:rsidRPr="00585518" w:rsidRDefault="006C67E1" w:rsidP="006C67E1">
      <w:pPr>
        <w:pStyle w:val="ListParagraph"/>
        <w:numPr>
          <w:ilvl w:val="0"/>
          <w:numId w:val="9"/>
        </w:numPr>
        <w:spacing w:after="200" w:line="276" w:lineRule="auto"/>
        <w:rPr>
          <w:rFonts w:ascii="Arial" w:eastAsia="Calibri" w:hAnsi="Arial" w:cs="Arial"/>
          <w:bCs/>
        </w:rPr>
      </w:pPr>
      <w:r w:rsidRPr="00585518">
        <w:rPr>
          <w:rFonts w:ascii="Arial" w:eastAsia="Calibri" w:hAnsi="Arial" w:cs="Arial"/>
          <w:bCs/>
        </w:rPr>
        <w:t xml:space="preserve">Resuscitation Committee's Terms of Reference have been updated. </w:t>
      </w:r>
    </w:p>
    <w:p w14:paraId="530B0C83" w14:textId="04AE51F6" w:rsidR="006C67E1" w:rsidRPr="00585518" w:rsidRDefault="006C67E1" w:rsidP="00585518">
      <w:pPr>
        <w:pStyle w:val="ListParagraph"/>
        <w:numPr>
          <w:ilvl w:val="0"/>
          <w:numId w:val="9"/>
        </w:numPr>
        <w:spacing w:after="200" w:line="276" w:lineRule="auto"/>
        <w:rPr>
          <w:rFonts w:ascii="Arial" w:eastAsia="Calibri" w:hAnsi="Arial" w:cs="Arial"/>
          <w:bCs/>
        </w:rPr>
      </w:pPr>
      <w:r w:rsidRPr="00585518">
        <w:rPr>
          <w:rFonts w:ascii="Arial" w:eastAsia="Calibri" w:hAnsi="Arial" w:cs="Arial"/>
          <w:bCs/>
        </w:rPr>
        <w:t xml:space="preserve">The section previously titled "Training &amp; Development" has been renamed to "Learning &amp; Development" to reflect a broader scope. </w:t>
      </w:r>
    </w:p>
    <w:p w14:paraId="69EBE583" w14:textId="335CFE10" w:rsidR="006C67E1" w:rsidRPr="00585518" w:rsidRDefault="006C67E1" w:rsidP="00585518">
      <w:pPr>
        <w:pStyle w:val="ListParagraph"/>
        <w:numPr>
          <w:ilvl w:val="0"/>
          <w:numId w:val="9"/>
        </w:numPr>
        <w:spacing w:after="200" w:line="276" w:lineRule="auto"/>
        <w:rPr>
          <w:rFonts w:ascii="Arial" w:eastAsia="Calibri" w:hAnsi="Arial" w:cs="Arial"/>
          <w:bCs/>
        </w:rPr>
      </w:pPr>
      <w:r w:rsidRPr="00585518">
        <w:rPr>
          <w:rFonts w:ascii="Arial" w:eastAsia="Calibri" w:hAnsi="Arial" w:cs="Arial"/>
          <w:bCs/>
        </w:rPr>
        <w:lastRenderedPageBreak/>
        <w:t xml:space="preserve">Duplicated and contradictory information has been removed for conciseness. </w:t>
      </w:r>
    </w:p>
    <w:p w14:paraId="70F00A84" w14:textId="77777777" w:rsidR="00585518" w:rsidRDefault="006C67E1" w:rsidP="006C67E1">
      <w:pPr>
        <w:pStyle w:val="ListParagraph"/>
        <w:numPr>
          <w:ilvl w:val="0"/>
          <w:numId w:val="9"/>
        </w:numPr>
        <w:spacing w:after="200" w:line="276" w:lineRule="auto"/>
        <w:rPr>
          <w:rFonts w:ascii="Arial" w:eastAsia="Calibri" w:hAnsi="Arial" w:cs="Arial"/>
          <w:bCs/>
        </w:rPr>
      </w:pPr>
      <w:r w:rsidRPr="00585518">
        <w:rPr>
          <w:rFonts w:ascii="Arial" w:eastAsia="Calibri" w:hAnsi="Arial" w:cs="Arial"/>
          <w:bCs/>
        </w:rPr>
        <w:t xml:space="preserve">Provisions for addressing pandemics and other public health emergencies have been added. </w:t>
      </w:r>
    </w:p>
    <w:p w14:paraId="586BC7DC" w14:textId="77777777" w:rsidR="00585518" w:rsidRDefault="006C67E1" w:rsidP="006C67E1">
      <w:pPr>
        <w:pStyle w:val="ListParagraph"/>
        <w:numPr>
          <w:ilvl w:val="0"/>
          <w:numId w:val="9"/>
        </w:numPr>
        <w:spacing w:after="200" w:line="276" w:lineRule="auto"/>
        <w:rPr>
          <w:rFonts w:ascii="Arial" w:eastAsia="Calibri" w:hAnsi="Arial" w:cs="Arial"/>
          <w:bCs/>
        </w:rPr>
      </w:pPr>
      <w:r w:rsidRPr="00585518">
        <w:rPr>
          <w:rFonts w:ascii="Arial" w:eastAsia="Calibri" w:hAnsi="Arial" w:cs="Arial"/>
          <w:bCs/>
        </w:rPr>
        <w:t>Roles and responsibilities have been updated to align with current practices</w:t>
      </w:r>
    </w:p>
    <w:p w14:paraId="377338CB" w14:textId="1D10BE20" w:rsidR="006C67E1" w:rsidRPr="00585518" w:rsidRDefault="006C67E1" w:rsidP="006C67E1">
      <w:pPr>
        <w:pStyle w:val="ListParagraph"/>
        <w:numPr>
          <w:ilvl w:val="0"/>
          <w:numId w:val="9"/>
        </w:numPr>
        <w:spacing w:after="200" w:line="276" w:lineRule="auto"/>
        <w:rPr>
          <w:rFonts w:ascii="Arial" w:eastAsia="Calibri" w:hAnsi="Arial" w:cs="Arial"/>
          <w:bCs/>
        </w:rPr>
      </w:pPr>
      <w:r w:rsidRPr="00585518">
        <w:rPr>
          <w:rFonts w:ascii="Arial" w:eastAsia="Calibri" w:hAnsi="Arial" w:cs="Arial"/>
          <w:bCs/>
        </w:rPr>
        <w:t>Formatting changes have been made to improve overall clarity.</w:t>
      </w:r>
    </w:p>
    <w:p w14:paraId="26CAE677" w14:textId="7F37D616" w:rsidR="006C67E1" w:rsidRPr="006C67E1" w:rsidRDefault="00313085" w:rsidP="006C67E1">
      <w:pPr>
        <w:spacing w:after="200" w:line="276" w:lineRule="auto"/>
        <w:contextualSpacing/>
        <w:rPr>
          <w:rFonts w:ascii="Arial" w:eastAsia="Calibri" w:hAnsi="Arial" w:cs="Arial"/>
        </w:rPr>
      </w:pPr>
      <w:r w:rsidRPr="007E5E37">
        <w:rPr>
          <w:rFonts w:ascii="Arial" w:eastAsia="Calibri" w:hAnsi="Arial" w:cs="Arial"/>
        </w:rPr>
        <w:t xml:space="preserve">The </w:t>
      </w:r>
      <w:bookmarkStart w:id="0" w:name="_Hlk179186339"/>
      <w:r w:rsidR="006C67E1" w:rsidRPr="006C67E1">
        <w:rPr>
          <w:rFonts w:ascii="Arial" w:eastAsia="Calibri" w:hAnsi="Arial" w:cs="Arial"/>
          <w:b/>
          <w:bCs/>
        </w:rPr>
        <w:t>Locked Door Policy</w:t>
      </w:r>
      <w:r w:rsidR="006C67E1">
        <w:rPr>
          <w:rFonts w:ascii="Arial" w:eastAsia="Calibri" w:hAnsi="Arial" w:cs="Arial"/>
        </w:rPr>
        <w:t xml:space="preserve"> </w:t>
      </w:r>
      <w:r w:rsidR="006C67E1" w:rsidRPr="006C67E1">
        <w:rPr>
          <w:rFonts w:ascii="Arial" w:eastAsia="Calibri" w:hAnsi="Arial" w:cs="Arial"/>
        </w:rPr>
        <w:t>sets out the approach to be taken by the Trust in respect of locked ward doors.  The Trust operates a locked door policy across all services and expects all staff to ensure patients are aware of their rights, the reasons for the locked door and options for access and exit are made clear to both patients and visitors.</w:t>
      </w:r>
    </w:p>
    <w:p w14:paraId="50F837AD" w14:textId="77777777" w:rsidR="006C67E1" w:rsidRPr="006C67E1" w:rsidRDefault="006C67E1" w:rsidP="006C67E1">
      <w:pPr>
        <w:spacing w:after="200" w:line="276" w:lineRule="auto"/>
        <w:contextualSpacing/>
        <w:rPr>
          <w:rFonts w:ascii="Arial" w:eastAsia="Calibri" w:hAnsi="Arial" w:cs="Arial"/>
        </w:rPr>
      </w:pPr>
    </w:p>
    <w:p w14:paraId="5D7CB685" w14:textId="77777777" w:rsidR="006C67E1" w:rsidRDefault="006C67E1" w:rsidP="006C67E1">
      <w:pPr>
        <w:spacing w:after="200" w:line="276" w:lineRule="auto"/>
        <w:contextualSpacing/>
        <w:rPr>
          <w:rFonts w:ascii="Arial" w:eastAsia="Calibri" w:hAnsi="Arial" w:cs="Arial"/>
        </w:rPr>
      </w:pPr>
      <w:r w:rsidRPr="006C67E1">
        <w:rPr>
          <w:rFonts w:ascii="Arial" w:eastAsia="Calibri" w:hAnsi="Arial" w:cs="Arial"/>
        </w:rPr>
        <w:t>Key features of this policy are the provision of information, engagement with patients and carers, escalation procedures and minimum expectancies for the above. This includes the Trust observation and application of the relevant legislation and consistently seeking to improve the patient experience through research and development in the approach to locked doors on Mental Health wards.</w:t>
      </w:r>
    </w:p>
    <w:p w14:paraId="225363F2" w14:textId="77777777" w:rsidR="006C67E1" w:rsidRDefault="006C67E1" w:rsidP="006C67E1">
      <w:pPr>
        <w:spacing w:after="200" w:line="276" w:lineRule="auto"/>
        <w:contextualSpacing/>
        <w:rPr>
          <w:rFonts w:ascii="Arial" w:eastAsia="Calibri" w:hAnsi="Arial" w:cs="Arial"/>
        </w:rPr>
      </w:pPr>
    </w:p>
    <w:p w14:paraId="7A5D9B1E" w14:textId="05C3FE37" w:rsidR="006C67E1" w:rsidRPr="006C67E1" w:rsidRDefault="006C67E1" w:rsidP="006C67E1">
      <w:pPr>
        <w:spacing w:after="200" w:line="276" w:lineRule="auto"/>
        <w:contextualSpacing/>
        <w:rPr>
          <w:rFonts w:ascii="Arial" w:eastAsia="Calibri" w:hAnsi="Arial" w:cs="Arial"/>
        </w:rPr>
      </w:pPr>
      <w:r w:rsidRPr="006C67E1">
        <w:rPr>
          <w:rFonts w:ascii="Arial" w:eastAsia="Calibri" w:hAnsi="Arial" w:cs="Arial"/>
        </w:rPr>
        <w:t>Th</w:t>
      </w:r>
      <w:r>
        <w:rPr>
          <w:rFonts w:ascii="Arial" w:eastAsia="Calibri" w:hAnsi="Arial" w:cs="Arial"/>
        </w:rPr>
        <w:t xml:space="preserve">e </w:t>
      </w:r>
      <w:r w:rsidRPr="006C67E1">
        <w:rPr>
          <w:rFonts w:ascii="Arial" w:eastAsia="Calibri" w:hAnsi="Arial" w:cs="Arial"/>
          <w:b/>
          <w:bCs/>
        </w:rPr>
        <w:t xml:space="preserve">Heatwave Plan </w:t>
      </w:r>
      <w:r w:rsidRPr="006C67E1">
        <w:rPr>
          <w:rFonts w:ascii="Arial" w:eastAsia="Calibri" w:hAnsi="Arial" w:cs="Arial"/>
        </w:rPr>
        <w:t xml:space="preserve">outlines the response of ELFT to a heat wave or period of high temperature which may cause increased risks to public health.  The Department of Health publication ‘Heatwave – Advice for Health and Social Care Professionals’ outlines the roles and responsibilities of health and social care organisations during the annual heat wave monitoring period from 1 June to 15 September.  </w:t>
      </w:r>
    </w:p>
    <w:p w14:paraId="7414C375" w14:textId="77777777" w:rsidR="006C67E1" w:rsidRPr="006C67E1" w:rsidRDefault="006C67E1" w:rsidP="006C67E1">
      <w:pPr>
        <w:spacing w:after="200" w:line="276" w:lineRule="auto"/>
        <w:contextualSpacing/>
        <w:rPr>
          <w:rFonts w:ascii="Arial" w:eastAsia="Calibri" w:hAnsi="Arial" w:cs="Arial"/>
        </w:rPr>
      </w:pPr>
    </w:p>
    <w:p w14:paraId="5B9B5F8E" w14:textId="77777777" w:rsidR="006C67E1" w:rsidRPr="006C67E1" w:rsidRDefault="006C67E1" w:rsidP="006C67E1">
      <w:pPr>
        <w:spacing w:after="200" w:line="276" w:lineRule="auto"/>
        <w:contextualSpacing/>
        <w:rPr>
          <w:rFonts w:ascii="Arial" w:eastAsia="Calibri" w:hAnsi="Arial" w:cs="Arial"/>
        </w:rPr>
      </w:pPr>
      <w:r w:rsidRPr="006C67E1">
        <w:rPr>
          <w:rFonts w:ascii="Arial" w:eastAsia="Calibri" w:hAnsi="Arial" w:cs="Arial"/>
        </w:rPr>
        <w:t>The key aim of this policy is to</w:t>
      </w:r>
    </w:p>
    <w:p w14:paraId="01706905" w14:textId="77777777" w:rsidR="00585518" w:rsidRDefault="006C67E1" w:rsidP="00585518">
      <w:pPr>
        <w:pStyle w:val="ListParagraph"/>
        <w:numPr>
          <w:ilvl w:val="0"/>
          <w:numId w:val="10"/>
        </w:numPr>
        <w:spacing w:after="200" w:line="276" w:lineRule="auto"/>
        <w:rPr>
          <w:rFonts w:ascii="Arial" w:eastAsia="Calibri" w:hAnsi="Arial" w:cs="Arial"/>
        </w:rPr>
      </w:pPr>
      <w:r w:rsidRPr="00585518">
        <w:rPr>
          <w:rFonts w:ascii="Arial" w:eastAsia="Calibri" w:hAnsi="Arial" w:cs="Arial"/>
        </w:rPr>
        <w:t>Outline the actions which may need to be taken by ELFT during a period of high temperature or official heat wave to</w:t>
      </w:r>
    </w:p>
    <w:p w14:paraId="2463BE5E" w14:textId="2DB48573" w:rsidR="006C67E1" w:rsidRPr="00585518" w:rsidRDefault="006C67E1" w:rsidP="00585518">
      <w:pPr>
        <w:pStyle w:val="ListParagraph"/>
        <w:numPr>
          <w:ilvl w:val="0"/>
          <w:numId w:val="10"/>
        </w:numPr>
        <w:spacing w:after="200" w:line="276" w:lineRule="auto"/>
        <w:rPr>
          <w:rFonts w:ascii="Arial" w:eastAsia="Calibri" w:hAnsi="Arial" w:cs="Arial"/>
        </w:rPr>
      </w:pPr>
      <w:r w:rsidRPr="00585518">
        <w:rPr>
          <w:rFonts w:ascii="Arial" w:eastAsia="Calibri" w:hAnsi="Arial" w:cs="Arial"/>
        </w:rPr>
        <w:t>Reduce the health risks to mental health service users and community health service users within Newham.</w:t>
      </w:r>
    </w:p>
    <w:p w14:paraId="4DACA68D" w14:textId="77777777" w:rsidR="006C67E1" w:rsidRDefault="006C67E1" w:rsidP="006C67E1">
      <w:pPr>
        <w:spacing w:after="200" w:line="276" w:lineRule="auto"/>
        <w:contextualSpacing/>
        <w:rPr>
          <w:rFonts w:ascii="Arial" w:eastAsia="Calibri" w:hAnsi="Arial" w:cs="Arial"/>
        </w:rPr>
      </w:pPr>
    </w:p>
    <w:p w14:paraId="67BD1B6B" w14:textId="4875490B" w:rsidR="006C67E1" w:rsidRDefault="006C67E1" w:rsidP="006C67E1">
      <w:pPr>
        <w:spacing w:after="200" w:line="276" w:lineRule="auto"/>
        <w:contextualSpacing/>
        <w:rPr>
          <w:rFonts w:ascii="Arial" w:eastAsia="Calibri" w:hAnsi="Arial" w:cs="Arial"/>
        </w:rPr>
      </w:pPr>
      <w:r w:rsidRPr="006C67E1">
        <w:rPr>
          <w:rFonts w:ascii="Arial" w:eastAsia="Calibri" w:hAnsi="Arial" w:cs="Arial"/>
        </w:rPr>
        <w:t>Th</w:t>
      </w:r>
      <w:r>
        <w:rPr>
          <w:rFonts w:ascii="Arial" w:eastAsia="Calibri" w:hAnsi="Arial" w:cs="Arial"/>
        </w:rPr>
        <w:t xml:space="preserve">e </w:t>
      </w:r>
      <w:r w:rsidRPr="006C67E1">
        <w:rPr>
          <w:rFonts w:ascii="Arial" w:eastAsia="Calibri" w:hAnsi="Arial" w:cs="Arial"/>
          <w:b/>
          <w:bCs/>
        </w:rPr>
        <w:t>Lockdown Policy</w:t>
      </w:r>
      <w:r>
        <w:rPr>
          <w:rFonts w:ascii="Arial" w:eastAsia="Calibri" w:hAnsi="Arial" w:cs="Arial"/>
        </w:rPr>
        <w:t xml:space="preserve"> </w:t>
      </w:r>
      <w:r w:rsidRPr="006C67E1">
        <w:rPr>
          <w:rFonts w:ascii="Arial" w:eastAsia="Calibri" w:hAnsi="Arial" w:cs="Arial"/>
        </w:rPr>
        <w:t>provides guidance on what steps should be undertaken to develop a robust plan in order to meet the various states of “lock down”.</w:t>
      </w:r>
    </w:p>
    <w:p w14:paraId="0A09A31D" w14:textId="77777777" w:rsidR="006C67E1" w:rsidRDefault="006C67E1" w:rsidP="006C67E1">
      <w:pPr>
        <w:spacing w:after="200" w:line="276" w:lineRule="auto"/>
        <w:contextualSpacing/>
        <w:rPr>
          <w:rFonts w:ascii="Arial" w:eastAsia="Calibri" w:hAnsi="Arial" w:cs="Arial"/>
        </w:rPr>
      </w:pPr>
    </w:p>
    <w:bookmarkEnd w:id="0"/>
    <w:p w14:paraId="12EAC072" w14:textId="0DD0F88D" w:rsidR="00313085" w:rsidRPr="007E5E37" w:rsidRDefault="006C67E1" w:rsidP="00313085">
      <w:pPr>
        <w:spacing w:after="200" w:line="276" w:lineRule="auto"/>
        <w:contextualSpacing/>
        <w:rPr>
          <w:rFonts w:ascii="Arial" w:eastAsia="Calibri" w:hAnsi="Arial" w:cs="Arial"/>
        </w:rPr>
      </w:pPr>
      <w:r w:rsidRPr="006C67E1">
        <w:rPr>
          <w:rFonts w:ascii="Arial" w:eastAsia="Calibri" w:hAnsi="Arial" w:cs="Arial"/>
        </w:rPr>
        <w:t>Lockdown is the process of controlling the movement and access – both entry and exit – of people (NHS staff, patients and visitors) around a trust site or other specific building/area in response to an identified risk, threat or hazard that might impact on the security of patients, staff and assets or, indeed the capacity of that facility to continue to operate. A lockdown is achieved through a combination of physical and electrical security measures which may be supported by personnel such as security staff.</w:t>
      </w:r>
    </w:p>
    <w:p w14:paraId="0FB9CEC6" w14:textId="77777777" w:rsidR="006C67E1" w:rsidRDefault="006C67E1" w:rsidP="006C67E1">
      <w:pPr>
        <w:spacing w:after="0" w:line="240" w:lineRule="auto"/>
        <w:rPr>
          <w:rFonts w:ascii="Arial" w:eastAsia="Times New Roman" w:hAnsi="Arial" w:cs="Arial"/>
          <w:lang w:eastAsia="en-GB"/>
        </w:rPr>
      </w:pPr>
    </w:p>
    <w:p w14:paraId="7EFD8122" w14:textId="28A33278" w:rsidR="006C67E1" w:rsidRDefault="006C67E1" w:rsidP="006C67E1">
      <w:pPr>
        <w:spacing w:after="0" w:line="240" w:lineRule="auto"/>
        <w:rPr>
          <w:rFonts w:ascii="Arial" w:eastAsia="Times New Roman" w:hAnsi="Arial" w:cs="Arial"/>
          <w:lang w:eastAsia="en-GB"/>
        </w:rPr>
      </w:pPr>
      <w:r>
        <w:rPr>
          <w:rFonts w:ascii="Arial" w:eastAsia="Times New Roman" w:hAnsi="Arial" w:cs="Arial"/>
          <w:lang w:eastAsia="en-GB"/>
        </w:rPr>
        <w:t xml:space="preserve">The aim of the </w:t>
      </w:r>
      <w:r w:rsidRPr="006C67E1">
        <w:rPr>
          <w:rFonts w:ascii="Arial" w:eastAsia="Times New Roman" w:hAnsi="Arial" w:cs="Arial"/>
          <w:b/>
          <w:bCs/>
          <w:lang w:eastAsia="en-GB"/>
        </w:rPr>
        <w:t>Emergency Preparedness, Resilience and Response Policy EPRR</w:t>
      </w:r>
      <w:r>
        <w:rPr>
          <w:rFonts w:ascii="Arial" w:eastAsia="Times New Roman" w:hAnsi="Arial" w:cs="Arial"/>
          <w:b/>
          <w:bCs/>
          <w:lang w:eastAsia="en-GB"/>
        </w:rPr>
        <w:t xml:space="preserve"> </w:t>
      </w:r>
      <w:r w:rsidRPr="006C67E1">
        <w:rPr>
          <w:rFonts w:ascii="Arial" w:eastAsia="Times New Roman" w:hAnsi="Arial" w:cs="Arial"/>
          <w:lang w:eastAsia="en-GB"/>
        </w:rPr>
        <w:t>is to outline how the Trust will develop and maintain prepared and resilient services that meet the statutory and mandatory duties as set out in the Civil Contingencies Act (2004) and all current NHS England Emergency Preparedness Frameworks and guidance</w:t>
      </w:r>
      <w:r w:rsidR="00585518">
        <w:rPr>
          <w:rFonts w:ascii="Arial" w:eastAsia="Times New Roman" w:hAnsi="Arial" w:cs="Arial"/>
          <w:lang w:eastAsia="en-GB"/>
        </w:rPr>
        <w:t>.</w:t>
      </w:r>
    </w:p>
    <w:p w14:paraId="39EA0348" w14:textId="77777777" w:rsidR="00585518" w:rsidRDefault="00585518" w:rsidP="006C67E1">
      <w:pPr>
        <w:spacing w:after="0" w:line="240" w:lineRule="auto"/>
        <w:rPr>
          <w:rFonts w:ascii="Arial" w:eastAsia="Times New Roman" w:hAnsi="Arial" w:cs="Arial"/>
          <w:lang w:eastAsia="en-GB"/>
        </w:rPr>
      </w:pPr>
    </w:p>
    <w:p w14:paraId="700B2D81" w14:textId="02D282E5" w:rsidR="00585518" w:rsidRDefault="00585518" w:rsidP="006C67E1">
      <w:pPr>
        <w:spacing w:after="0" w:line="240" w:lineRule="auto"/>
        <w:rPr>
          <w:rFonts w:ascii="Arial" w:eastAsia="Times New Roman" w:hAnsi="Arial" w:cs="Arial"/>
          <w:lang w:eastAsia="en-GB"/>
        </w:rPr>
      </w:pPr>
      <w:r w:rsidRPr="00585518">
        <w:rPr>
          <w:rFonts w:ascii="Arial" w:eastAsia="Times New Roman" w:hAnsi="Arial" w:cs="Arial"/>
          <w:lang w:eastAsia="en-GB"/>
        </w:rPr>
        <w:t>This Policy, along with ELFT’s Incident Response Plan, the Trust wide Business Continuity Plan and ELFT’s EPRR Strategy, is part of the Trust’s on-going programme to increase the resilience of the Trust so that it can respond to Major Incidents and business disruptions, regardless of source, whilst continuing to deliver the critical services that its stakeholders and community rely upon.</w:t>
      </w:r>
    </w:p>
    <w:p w14:paraId="60F43CF1" w14:textId="77777777" w:rsidR="00420AF1" w:rsidRDefault="00420AF1" w:rsidP="006C67E1">
      <w:pPr>
        <w:spacing w:after="0" w:line="240" w:lineRule="auto"/>
        <w:rPr>
          <w:rFonts w:ascii="Arial" w:eastAsia="Times New Roman" w:hAnsi="Arial" w:cs="Arial"/>
          <w:lang w:eastAsia="en-GB"/>
        </w:rPr>
      </w:pPr>
    </w:p>
    <w:p w14:paraId="130375E1" w14:textId="0C6E1306" w:rsidR="00585518" w:rsidRDefault="00585518" w:rsidP="006C67E1">
      <w:pPr>
        <w:spacing w:after="0" w:line="240" w:lineRule="auto"/>
        <w:rPr>
          <w:rFonts w:ascii="Arial" w:eastAsia="Times New Roman" w:hAnsi="Arial" w:cs="Arial"/>
          <w:lang w:eastAsia="en-GB"/>
        </w:rPr>
      </w:pPr>
      <w:r w:rsidRPr="00585518">
        <w:rPr>
          <w:rFonts w:ascii="Arial" w:eastAsia="Times New Roman" w:hAnsi="Arial" w:cs="Arial"/>
          <w:lang w:eastAsia="en-GB"/>
        </w:rPr>
        <w:t xml:space="preserve">The primary aim of </w:t>
      </w:r>
      <w:r w:rsidRPr="00585518">
        <w:rPr>
          <w:rFonts w:ascii="Arial" w:eastAsia="Times New Roman" w:hAnsi="Arial" w:cs="Arial"/>
          <w:b/>
          <w:bCs/>
          <w:lang w:eastAsia="en-GB"/>
        </w:rPr>
        <w:t>Identifying Vulnerable People in Crisis Plan</w:t>
      </w:r>
      <w:r>
        <w:rPr>
          <w:rFonts w:ascii="Arial" w:eastAsia="Times New Roman" w:hAnsi="Arial" w:cs="Arial"/>
          <w:lang w:eastAsia="en-GB"/>
        </w:rPr>
        <w:t xml:space="preserve"> </w:t>
      </w:r>
      <w:r w:rsidRPr="00585518">
        <w:rPr>
          <w:rFonts w:ascii="Arial" w:eastAsia="Times New Roman" w:hAnsi="Arial" w:cs="Arial"/>
          <w:lang w:eastAsia="en-GB"/>
        </w:rPr>
        <w:t>is to ensure the timely and accurate provision of lists of vulnerable service users to local authorities during emergencies. The Trust commits to delivering this information within two hours of a request, under the condition that an emergency is underway.</w:t>
      </w:r>
    </w:p>
    <w:p w14:paraId="287130FF" w14:textId="77777777" w:rsidR="00585518" w:rsidRDefault="00585518" w:rsidP="006C67E1">
      <w:pPr>
        <w:spacing w:after="0" w:line="240" w:lineRule="auto"/>
        <w:rPr>
          <w:rFonts w:ascii="Arial" w:eastAsia="Times New Roman" w:hAnsi="Arial" w:cs="Arial"/>
          <w:lang w:eastAsia="en-GB"/>
        </w:rPr>
      </w:pPr>
    </w:p>
    <w:p w14:paraId="30103460" w14:textId="33052582" w:rsidR="00585518" w:rsidRPr="007E5E37" w:rsidRDefault="00585518" w:rsidP="006C67E1">
      <w:pPr>
        <w:spacing w:after="0" w:line="240" w:lineRule="auto"/>
        <w:rPr>
          <w:rFonts w:ascii="Arial" w:eastAsia="Times New Roman" w:hAnsi="Arial" w:cs="Arial"/>
          <w:lang w:eastAsia="en-GB"/>
        </w:rPr>
      </w:pPr>
      <w:r w:rsidRPr="00585518">
        <w:rPr>
          <w:rFonts w:ascii="Arial" w:eastAsia="Times New Roman" w:hAnsi="Arial" w:cs="Arial"/>
          <w:lang w:eastAsia="en-GB"/>
        </w:rPr>
        <w:t>Th</w:t>
      </w:r>
      <w:r>
        <w:rPr>
          <w:rFonts w:ascii="Arial" w:eastAsia="Times New Roman" w:hAnsi="Arial" w:cs="Arial"/>
          <w:lang w:eastAsia="en-GB"/>
        </w:rPr>
        <w:t xml:space="preserve">e </w:t>
      </w:r>
      <w:r w:rsidRPr="00585518">
        <w:rPr>
          <w:rFonts w:ascii="Arial" w:eastAsia="Times New Roman" w:hAnsi="Arial" w:cs="Arial"/>
          <w:lang w:eastAsia="en-GB"/>
        </w:rPr>
        <w:t>policy outlines the Trust's commitment to supporting vulnerable individuals during emergencies, in accordance with the Civil Contingencies Act 2004. As a Category 1 Responder, the Trust recognizes its duty to plan for and respond to the needs of those who may struggle in crisis situations, particularly considering lessons learned from past disasters such as Hurricane Katrina.</w:t>
      </w:r>
    </w:p>
    <w:p w14:paraId="4EF2665F" w14:textId="77777777" w:rsidR="00313085" w:rsidRPr="007E5E37" w:rsidRDefault="00313085" w:rsidP="00313085">
      <w:pPr>
        <w:spacing w:after="200" w:line="276" w:lineRule="auto"/>
        <w:contextualSpacing/>
        <w:rPr>
          <w:rFonts w:ascii="Arial" w:eastAsia="Calibri" w:hAnsi="Arial" w:cs="Arial"/>
        </w:rPr>
      </w:pPr>
    </w:p>
    <w:p w14:paraId="068A4EB7" w14:textId="541CF4E0" w:rsidR="00945F61" w:rsidRDefault="00585518" w:rsidP="00577FA3">
      <w:pPr>
        <w:rPr>
          <w:rFonts w:ascii="Arial" w:hAnsi="Arial" w:cs="Arial"/>
          <w:bCs/>
        </w:rPr>
      </w:pPr>
      <w:r w:rsidRPr="00585518">
        <w:rPr>
          <w:rFonts w:ascii="Arial" w:hAnsi="Arial" w:cs="Arial"/>
          <w:bCs/>
        </w:rPr>
        <w:t xml:space="preserve">The </w:t>
      </w:r>
      <w:r w:rsidRPr="00585518">
        <w:rPr>
          <w:rFonts w:ascii="Arial" w:hAnsi="Arial" w:cs="Arial"/>
          <w:b/>
        </w:rPr>
        <w:t>Severe Weather Plan</w:t>
      </w:r>
      <w:r w:rsidRPr="00585518">
        <w:rPr>
          <w:rFonts w:ascii="Arial" w:hAnsi="Arial" w:cs="Arial"/>
          <w:bCs/>
        </w:rPr>
        <w:t xml:space="preserve"> outlines a comprehensive response framework for the Trust in the event of severe weather incidents, as identified by weather warnings from the Met Office. Effective emergency response hinges on the early and accurate assessment of such incidents, which may include severe gales, heavy snow, heavy rain, or fog. Flooding and heatwaves are addressed in separate plans, ensuring a well-rounded approach to all weather-related emergencies.</w:t>
      </w:r>
    </w:p>
    <w:p w14:paraId="41ED6A0E" w14:textId="14D2DAC6" w:rsidR="00522CD4" w:rsidRDefault="00585518" w:rsidP="00577FA3">
      <w:pPr>
        <w:rPr>
          <w:rFonts w:ascii="Arial" w:hAnsi="Arial" w:cs="Arial"/>
          <w:bCs/>
        </w:rPr>
      </w:pPr>
      <w:r w:rsidRPr="00585518">
        <w:rPr>
          <w:rFonts w:ascii="Arial" w:hAnsi="Arial" w:cs="Arial"/>
          <w:bCs/>
        </w:rPr>
        <w:t>The primary aim of this plan is to establish a coordinated management response to severe weather threats, ensuring that the Trust can respond effectively and efficiently to emergencies arising from these conditions.</w:t>
      </w:r>
    </w:p>
    <w:p w14:paraId="781F93A6" w14:textId="77777777" w:rsidR="00420AF1" w:rsidRPr="007E5E37" w:rsidRDefault="00420AF1" w:rsidP="00577FA3">
      <w:pPr>
        <w:rPr>
          <w:rFonts w:ascii="Arial" w:hAnsi="Arial" w:cs="Arial"/>
          <w:bCs/>
        </w:rPr>
      </w:pPr>
    </w:p>
    <w:p w14:paraId="078444E3" w14:textId="77777777" w:rsidR="00945F61" w:rsidRPr="00815124" w:rsidRDefault="00945F61" w:rsidP="00577FA3">
      <w:pPr>
        <w:rPr>
          <w:rFonts w:ascii="Arial" w:hAnsi="Arial" w:cs="Arial"/>
          <w:b/>
          <w:u w:val="single"/>
        </w:rPr>
      </w:pPr>
      <w:r w:rsidRPr="00815124">
        <w:rPr>
          <w:rFonts w:ascii="Arial" w:hAnsi="Arial" w:cs="Arial"/>
          <w:b/>
          <w:u w:val="single"/>
        </w:rPr>
        <w:t>Existing policies which have been extended whilst under review</w:t>
      </w:r>
    </w:p>
    <w:tbl>
      <w:tblPr>
        <w:tblStyle w:val="TableGrid"/>
        <w:tblW w:w="9555" w:type="dxa"/>
        <w:tblLook w:val="04A0" w:firstRow="1" w:lastRow="0" w:firstColumn="1" w:lastColumn="0" w:noHBand="0" w:noVBand="1"/>
      </w:tblPr>
      <w:tblGrid>
        <w:gridCol w:w="5533"/>
        <w:gridCol w:w="4022"/>
      </w:tblGrid>
      <w:tr w:rsidR="00945F61" w:rsidRPr="007E5E37" w14:paraId="18646E34" w14:textId="77777777" w:rsidTr="00945F61">
        <w:tc>
          <w:tcPr>
            <w:tcW w:w="5533" w:type="dxa"/>
          </w:tcPr>
          <w:p w14:paraId="78537767" w14:textId="77777777" w:rsidR="00945F61" w:rsidRPr="00585518" w:rsidRDefault="00945F61" w:rsidP="00BC09C0">
            <w:pPr>
              <w:rPr>
                <w:rFonts w:ascii="Arial" w:eastAsia="Calibri" w:hAnsi="Arial" w:cs="Arial"/>
                <w:b/>
                <w:sz w:val="22"/>
                <w:szCs w:val="22"/>
              </w:rPr>
            </w:pPr>
            <w:r w:rsidRPr="00585518">
              <w:rPr>
                <w:rFonts w:ascii="Arial" w:eastAsia="Calibri" w:hAnsi="Arial" w:cs="Arial"/>
                <w:b/>
                <w:sz w:val="22"/>
                <w:szCs w:val="22"/>
              </w:rPr>
              <w:t>Policy Name</w:t>
            </w:r>
          </w:p>
          <w:p w14:paraId="35189A70" w14:textId="77777777" w:rsidR="00945F61" w:rsidRPr="00585518" w:rsidRDefault="00945F61" w:rsidP="00BC09C0">
            <w:pPr>
              <w:rPr>
                <w:rFonts w:ascii="Arial" w:eastAsia="Calibri" w:hAnsi="Arial" w:cs="Arial"/>
                <w:b/>
                <w:sz w:val="22"/>
                <w:szCs w:val="22"/>
              </w:rPr>
            </w:pPr>
          </w:p>
        </w:tc>
        <w:tc>
          <w:tcPr>
            <w:tcW w:w="4022" w:type="dxa"/>
          </w:tcPr>
          <w:p w14:paraId="0BE98372" w14:textId="77777777" w:rsidR="00945F61" w:rsidRPr="00585518" w:rsidRDefault="00945F61" w:rsidP="00BC09C0">
            <w:pPr>
              <w:rPr>
                <w:rFonts w:ascii="Arial" w:eastAsia="Calibri" w:hAnsi="Arial" w:cs="Arial"/>
                <w:b/>
                <w:sz w:val="22"/>
                <w:szCs w:val="22"/>
              </w:rPr>
            </w:pPr>
            <w:r w:rsidRPr="00585518">
              <w:rPr>
                <w:rFonts w:ascii="Arial" w:eastAsia="Calibri" w:hAnsi="Arial" w:cs="Arial"/>
                <w:b/>
                <w:sz w:val="22"/>
                <w:szCs w:val="22"/>
              </w:rPr>
              <w:t>Extension Agreed</w:t>
            </w:r>
          </w:p>
        </w:tc>
      </w:tr>
      <w:tr w:rsidR="00945F61" w:rsidRPr="007E5E37" w14:paraId="69E911C8" w14:textId="77777777" w:rsidTr="00945F61">
        <w:tc>
          <w:tcPr>
            <w:tcW w:w="5533" w:type="dxa"/>
          </w:tcPr>
          <w:p w14:paraId="5FE486CC" w14:textId="5DD03547" w:rsidR="00945F61" w:rsidRPr="00585518" w:rsidRDefault="00585518" w:rsidP="00BC09C0">
            <w:pPr>
              <w:rPr>
                <w:rFonts w:ascii="Arial" w:eastAsia="Calibri" w:hAnsi="Arial" w:cs="Arial"/>
                <w:sz w:val="22"/>
                <w:szCs w:val="22"/>
              </w:rPr>
            </w:pPr>
            <w:r w:rsidRPr="00585518">
              <w:rPr>
                <w:rFonts w:ascii="Arial" w:eastAsia="Calibri" w:hAnsi="Arial" w:cs="Arial"/>
                <w:sz w:val="22"/>
                <w:szCs w:val="22"/>
              </w:rPr>
              <w:t>Physical Healthcare Policy</w:t>
            </w:r>
          </w:p>
        </w:tc>
        <w:tc>
          <w:tcPr>
            <w:tcW w:w="4022" w:type="dxa"/>
          </w:tcPr>
          <w:p w14:paraId="5D142C01" w14:textId="5FD65D13" w:rsidR="00945F61" w:rsidRPr="00585518" w:rsidRDefault="00585518" w:rsidP="00BC09C0">
            <w:pPr>
              <w:rPr>
                <w:rFonts w:ascii="Arial" w:eastAsia="Calibri" w:hAnsi="Arial" w:cs="Arial"/>
                <w:sz w:val="22"/>
                <w:szCs w:val="22"/>
              </w:rPr>
            </w:pPr>
            <w:r w:rsidRPr="00585518">
              <w:rPr>
                <w:rFonts w:ascii="Arial" w:eastAsia="Calibri" w:hAnsi="Arial" w:cs="Arial"/>
                <w:sz w:val="22"/>
                <w:szCs w:val="22"/>
              </w:rPr>
              <w:t>Jan</w:t>
            </w:r>
            <w:r w:rsidR="00945F61" w:rsidRPr="00585518">
              <w:rPr>
                <w:rFonts w:ascii="Arial" w:eastAsia="Calibri" w:hAnsi="Arial" w:cs="Arial"/>
                <w:sz w:val="22"/>
                <w:szCs w:val="22"/>
              </w:rPr>
              <w:t>uary 2025</w:t>
            </w:r>
          </w:p>
        </w:tc>
      </w:tr>
      <w:tr w:rsidR="00585518" w:rsidRPr="007E5E37" w14:paraId="71790303" w14:textId="77777777" w:rsidTr="00945F61">
        <w:tc>
          <w:tcPr>
            <w:tcW w:w="5533" w:type="dxa"/>
          </w:tcPr>
          <w:p w14:paraId="2D5C0351" w14:textId="4B407E15" w:rsidR="00585518" w:rsidRPr="00585518" w:rsidRDefault="00585518" w:rsidP="00585518">
            <w:pPr>
              <w:rPr>
                <w:rFonts w:ascii="Arial" w:eastAsia="Calibri" w:hAnsi="Arial" w:cs="Arial"/>
                <w:sz w:val="22"/>
                <w:szCs w:val="22"/>
              </w:rPr>
            </w:pPr>
            <w:r w:rsidRPr="00585518">
              <w:rPr>
                <w:rFonts w:ascii="Arial" w:hAnsi="Arial" w:cs="Arial"/>
                <w:sz w:val="22"/>
                <w:szCs w:val="22"/>
              </w:rPr>
              <w:t>Observation Policy</w:t>
            </w:r>
          </w:p>
        </w:tc>
        <w:tc>
          <w:tcPr>
            <w:tcW w:w="4022" w:type="dxa"/>
          </w:tcPr>
          <w:p w14:paraId="3DF81637" w14:textId="6D1E0C65" w:rsidR="00585518" w:rsidRPr="00585518" w:rsidRDefault="00585518" w:rsidP="00585518">
            <w:pPr>
              <w:rPr>
                <w:rFonts w:ascii="Arial" w:eastAsia="Calibri" w:hAnsi="Arial" w:cs="Arial"/>
                <w:sz w:val="22"/>
                <w:szCs w:val="22"/>
              </w:rPr>
            </w:pPr>
            <w:r w:rsidRPr="00585518">
              <w:rPr>
                <w:rFonts w:ascii="Arial" w:eastAsia="Calibri" w:hAnsi="Arial" w:cs="Arial"/>
                <w:sz w:val="22"/>
                <w:szCs w:val="22"/>
              </w:rPr>
              <w:t>January 2025</w:t>
            </w:r>
          </w:p>
        </w:tc>
      </w:tr>
      <w:tr w:rsidR="00585518" w:rsidRPr="007E5E37" w14:paraId="3EDCF5AE" w14:textId="77777777" w:rsidTr="00945F61">
        <w:tc>
          <w:tcPr>
            <w:tcW w:w="5533" w:type="dxa"/>
          </w:tcPr>
          <w:p w14:paraId="4A756B6C" w14:textId="026915AD" w:rsidR="00585518" w:rsidRPr="00585518" w:rsidRDefault="00585518" w:rsidP="00585518">
            <w:pPr>
              <w:rPr>
                <w:rFonts w:ascii="Arial" w:eastAsia="Calibri" w:hAnsi="Arial" w:cs="Arial"/>
                <w:sz w:val="22"/>
                <w:szCs w:val="22"/>
              </w:rPr>
            </w:pPr>
            <w:r w:rsidRPr="00585518">
              <w:rPr>
                <w:rFonts w:ascii="Arial" w:hAnsi="Arial" w:cs="Arial"/>
                <w:sz w:val="22"/>
                <w:szCs w:val="22"/>
              </w:rPr>
              <w:t>Safe Environment and search policy</w:t>
            </w:r>
          </w:p>
        </w:tc>
        <w:tc>
          <w:tcPr>
            <w:tcW w:w="4022" w:type="dxa"/>
          </w:tcPr>
          <w:p w14:paraId="15A6E647" w14:textId="71262617" w:rsidR="00585518" w:rsidRPr="00585518" w:rsidRDefault="00585518" w:rsidP="00585518">
            <w:pPr>
              <w:rPr>
                <w:rFonts w:ascii="Arial" w:eastAsia="Calibri" w:hAnsi="Arial" w:cs="Arial"/>
                <w:sz w:val="22"/>
                <w:szCs w:val="22"/>
              </w:rPr>
            </w:pPr>
            <w:r w:rsidRPr="00585518">
              <w:rPr>
                <w:rFonts w:ascii="Arial" w:eastAsia="Calibri" w:hAnsi="Arial" w:cs="Arial"/>
                <w:sz w:val="22"/>
                <w:szCs w:val="22"/>
              </w:rPr>
              <w:t>January 2025</w:t>
            </w:r>
          </w:p>
        </w:tc>
      </w:tr>
      <w:tr w:rsidR="00585518" w:rsidRPr="007E5E37" w14:paraId="29C33A5B" w14:textId="77777777" w:rsidTr="00945F61">
        <w:tc>
          <w:tcPr>
            <w:tcW w:w="5533" w:type="dxa"/>
          </w:tcPr>
          <w:p w14:paraId="3DC9DD6B" w14:textId="5A5F223F" w:rsidR="00585518" w:rsidRPr="00585518" w:rsidRDefault="00585518" w:rsidP="00585518">
            <w:pPr>
              <w:rPr>
                <w:rFonts w:ascii="Arial" w:eastAsia="Calibri" w:hAnsi="Arial" w:cs="Arial"/>
                <w:sz w:val="22"/>
                <w:szCs w:val="22"/>
              </w:rPr>
            </w:pPr>
            <w:r w:rsidRPr="00585518">
              <w:rPr>
                <w:rFonts w:ascii="Arial" w:hAnsi="Arial" w:cs="Arial"/>
                <w:sz w:val="22"/>
                <w:szCs w:val="22"/>
              </w:rPr>
              <w:t>Leave for informal patients</w:t>
            </w:r>
          </w:p>
        </w:tc>
        <w:tc>
          <w:tcPr>
            <w:tcW w:w="4022" w:type="dxa"/>
          </w:tcPr>
          <w:p w14:paraId="0440171C" w14:textId="3AECEC6D" w:rsidR="00585518" w:rsidRPr="00585518" w:rsidRDefault="00585518" w:rsidP="00585518">
            <w:pPr>
              <w:rPr>
                <w:rFonts w:ascii="Arial" w:eastAsia="Calibri" w:hAnsi="Arial" w:cs="Arial"/>
                <w:sz w:val="22"/>
                <w:szCs w:val="22"/>
              </w:rPr>
            </w:pPr>
            <w:r w:rsidRPr="00585518">
              <w:rPr>
                <w:rFonts w:ascii="Arial" w:eastAsia="Calibri" w:hAnsi="Arial" w:cs="Arial"/>
                <w:sz w:val="22"/>
                <w:szCs w:val="22"/>
              </w:rPr>
              <w:t>January 2025</w:t>
            </w:r>
          </w:p>
        </w:tc>
      </w:tr>
    </w:tbl>
    <w:p w14:paraId="12B8353B" w14:textId="77777777" w:rsidR="001042D1" w:rsidRPr="00815124" w:rsidRDefault="001042D1" w:rsidP="00577FA3">
      <w:pPr>
        <w:rPr>
          <w:rFonts w:ascii="Arial" w:hAnsi="Arial" w:cs="Arial"/>
          <w:b/>
          <w:u w:val="single"/>
        </w:rPr>
      </w:pPr>
    </w:p>
    <w:p w14:paraId="3FDEC28B" w14:textId="713F3678" w:rsidR="00945F61" w:rsidRPr="00815124" w:rsidRDefault="00945F61" w:rsidP="00577FA3">
      <w:pPr>
        <w:rPr>
          <w:rFonts w:ascii="Arial" w:hAnsi="Arial" w:cs="Arial"/>
          <w:b/>
          <w:u w:val="single"/>
        </w:rPr>
      </w:pPr>
      <w:r w:rsidRPr="00815124">
        <w:rPr>
          <w:rFonts w:ascii="Arial" w:hAnsi="Arial" w:cs="Arial"/>
          <w:b/>
          <w:u w:val="single"/>
        </w:rPr>
        <w:t>Additional Updates - The following</w:t>
      </w:r>
      <w:r w:rsidR="001042D1" w:rsidRPr="00815124">
        <w:rPr>
          <w:rFonts w:ascii="Arial" w:hAnsi="Arial" w:cs="Arial"/>
          <w:b/>
          <w:u w:val="single"/>
        </w:rPr>
        <w:t xml:space="preserve"> </w:t>
      </w:r>
      <w:r w:rsidR="00420AF1">
        <w:rPr>
          <w:rFonts w:ascii="Arial" w:hAnsi="Arial" w:cs="Arial"/>
          <w:b/>
          <w:u w:val="single"/>
        </w:rPr>
        <w:t xml:space="preserve">policies and guidance documents </w:t>
      </w:r>
      <w:r w:rsidR="001042D1" w:rsidRPr="00815124">
        <w:rPr>
          <w:rFonts w:ascii="Arial" w:hAnsi="Arial" w:cs="Arial"/>
          <w:b/>
          <w:u w:val="single"/>
        </w:rPr>
        <w:t>were made redundant this month</w:t>
      </w:r>
    </w:p>
    <w:tbl>
      <w:tblPr>
        <w:tblStyle w:val="TableGrid"/>
        <w:tblW w:w="0" w:type="auto"/>
        <w:tblLook w:val="04A0" w:firstRow="1" w:lastRow="0" w:firstColumn="1" w:lastColumn="0" w:noHBand="0" w:noVBand="1"/>
      </w:tblPr>
      <w:tblGrid>
        <w:gridCol w:w="4530"/>
        <w:gridCol w:w="4486"/>
      </w:tblGrid>
      <w:tr w:rsidR="00945F61" w:rsidRPr="007E5E37" w14:paraId="059D15CF" w14:textId="77777777" w:rsidTr="00585518">
        <w:tc>
          <w:tcPr>
            <w:tcW w:w="4530" w:type="dxa"/>
          </w:tcPr>
          <w:p w14:paraId="5FDA2B7B" w14:textId="77777777" w:rsidR="00945F61" w:rsidRPr="00585518" w:rsidRDefault="00945F61" w:rsidP="00945F61">
            <w:pPr>
              <w:jc w:val="both"/>
              <w:rPr>
                <w:rFonts w:ascii="Arial" w:hAnsi="Arial" w:cs="Arial"/>
                <w:b/>
                <w:bCs/>
                <w:sz w:val="22"/>
                <w:szCs w:val="22"/>
              </w:rPr>
            </w:pPr>
            <w:r w:rsidRPr="00585518">
              <w:rPr>
                <w:rFonts w:ascii="Arial" w:hAnsi="Arial" w:cs="Arial"/>
                <w:b/>
                <w:bCs/>
                <w:sz w:val="22"/>
                <w:szCs w:val="22"/>
              </w:rPr>
              <w:t>Name of Policy</w:t>
            </w:r>
          </w:p>
        </w:tc>
        <w:tc>
          <w:tcPr>
            <w:tcW w:w="4486" w:type="dxa"/>
          </w:tcPr>
          <w:p w14:paraId="4FC2F77B" w14:textId="77777777" w:rsidR="00945F61" w:rsidRPr="00585518" w:rsidRDefault="00945F61" w:rsidP="00945F61">
            <w:pPr>
              <w:jc w:val="both"/>
              <w:rPr>
                <w:rFonts w:ascii="Arial" w:hAnsi="Arial" w:cs="Arial"/>
                <w:b/>
                <w:bCs/>
                <w:sz w:val="22"/>
                <w:szCs w:val="22"/>
              </w:rPr>
            </w:pPr>
            <w:r w:rsidRPr="00585518">
              <w:rPr>
                <w:rFonts w:ascii="Arial" w:hAnsi="Arial" w:cs="Arial"/>
                <w:b/>
                <w:bCs/>
                <w:sz w:val="22"/>
                <w:szCs w:val="22"/>
              </w:rPr>
              <w:t>Rationale for being made redundant</w:t>
            </w:r>
          </w:p>
        </w:tc>
      </w:tr>
      <w:tr w:rsidR="00585518" w:rsidRPr="007E5E37" w14:paraId="76FF3F00" w14:textId="77777777" w:rsidTr="00585518">
        <w:tc>
          <w:tcPr>
            <w:tcW w:w="4530" w:type="dxa"/>
          </w:tcPr>
          <w:p w14:paraId="03CD2C69" w14:textId="200B1E93" w:rsidR="00585518" w:rsidRPr="00585518" w:rsidRDefault="00585518" w:rsidP="00585518">
            <w:pPr>
              <w:rPr>
                <w:rFonts w:ascii="Arial" w:hAnsi="Arial" w:cs="Arial"/>
                <w:bCs/>
                <w:sz w:val="22"/>
                <w:szCs w:val="22"/>
              </w:rPr>
            </w:pPr>
            <w:r w:rsidRPr="00585518">
              <w:rPr>
                <w:rFonts w:ascii="Arial" w:hAnsi="Arial" w:cs="Arial"/>
                <w:sz w:val="22"/>
                <w:szCs w:val="22"/>
              </w:rPr>
              <w:t>Guidance for Pharmacy staff on the Use of Digital Platforms</w:t>
            </w:r>
          </w:p>
        </w:tc>
        <w:tc>
          <w:tcPr>
            <w:tcW w:w="4486" w:type="dxa"/>
          </w:tcPr>
          <w:p w14:paraId="712D6EC4" w14:textId="1518CE71" w:rsidR="00585518" w:rsidRPr="00585518" w:rsidRDefault="00585518" w:rsidP="00585518">
            <w:pPr>
              <w:jc w:val="both"/>
              <w:rPr>
                <w:rFonts w:ascii="Arial" w:hAnsi="Arial" w:cs="Arial"/>
                <w:bCs/>
                <w:sz w:val="22"/>
                <w:szCs w:val="22"/>
              </w:rPr>
            </w:pPr>
            <w:r w:rsidRPr="00585518">
              <w:rPr>
                <w:rFonts w:ascii="Arial" w:hAnsi="Arial" w:cs="Arial"/>
                <w:sz w:val="22"/>
                <w:szCs w:val="22"/>
              </w:rPr>
              <w:t>It is now confirmed the end support of ACCURX and Attend Anywhere but ELFT but to only use Microsoft Teams for patient interaction of which there is already guidance available on the intranet</w:t>
            </w:r>
          </w:p>
        </w:tc>
      </w:tr>
      <w:tr w:rsidR="00585518" w:rsidRPr="007E5E37" w14:paraId="73029176" w14:textId="77777777" w:rsidTr="00585518">
        <w:tc>
          <w:tcPr>
            <w:tcW w:w="4530" w:type="dxa"/>
          </w:tcPr>
          <w:p w14:paraId="3920CF1F" w14:textId="60709094" w:rsidR="00585518" w:rsidRPr="00585518" w:rsidRDefault="00585518" w:rsidP="00585518">
            <w:pPr>
              <w:jc w:val="both"/>
              <w:rPr>
                <w:rFonts w:ascii="Arial" w:hAnsi="Arial" w:cs="Arial"/>
                <w:bCs/>
                <w:sz w:val="22"/>
                <w:szCs w:val="22"/>
              </w:rPr>
            </w:pPr>
            <w:r w:rsidRPr="00585518">
              <w:rPr>
                <w:rFonts w:ascii="Arial" w:hAnsi="Arial" w:cs="Arial"/>
                <w:sz w:val="22"/>
                <w:szCs w:val="22"/>
              </w:rPr>
              <w:t xml:space="preserve">Guidelines for the Use of </w:t>
            </w:r>
            <w:proofErr w:type="spellStart"/>
            <w:r w:rsidRPr="00585518">
              <w:rPr>
                <w:rFonts w:ascii="Arial" w:hAnsi="Arial" w:cs="Arial"/>
                <w:sz w:val="22"/>
                <w:szCs w:val="22"/>
              </w:rPr>
              <w:t>Melperone</w:t>
            </w:r>
            <w:proofErr w:type="spellEnd"/>
          </w:p>
        </w:tc>
        <w:tc>
          <w:tcPr>
            <w:tcW w:w="4486" w:type="dxa"/>
          </w:tcPr>
          <w:p w14:paraId="5390BF2A" w14:textId="73B47DEB" w:rsidR="00585518" w:rsidRPr="00585518" w:rsidRDefault="00585518" w:rsidP="00585518">
            <w:pPr>
              <w:jc w:val="both"/>
              <w:rPr>
                <w:rFonts w:ascii="Arial" w:hAnsi="Arial" w:cs="Arial"/>
                <w:bCs/>
                <w:sz w:val="22"/>
                <w:szCs w:val="22"/>
              </w:rPr>
            </w:pPr>
            <w:r w:rsidRPr="00585518">
              <w:rPr>
                <w:rFonts w:ascii="Arial" w:hAnsi="Arial" w:cs="Arial"/>
                <w:sz w:val="22"/>
                <w:szCs w:val="22"/>
              </w:rPr>
              <w:t>No longer required</w:t>
            </w:r>
          </w:p>
        </w:tc>
      </w:tr>
    </w:tbl>
    <w:p w14:paraId="5A2433A8" w14:textId="77777777" w:rsidR="00945F61" w:rsidRPr="00815124" w:rsidRDefault="00945F61" w:rsidP="00577FA3">
      <w:pPr>
        <w:rPr>
          <w:rFonts w:ascii="Arial" w:hAnsi="Arial" w:cs="Arial"/>
          <w:b/>
          <w:u w:val="single"/>
        </w:rPr>
      </w:pPr>
    </w:p>
    <w:sectPr w:rsidR="00945F61" w:rsidRPr="008151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AE5413"/>
    <w:multiLevelType w:val="multilevel"/>
    <w:tmpl w:val="09880A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0B2A4E"/>
    <w:multiLevelType w:val="multilevel"/>
    <w:tmpl w:val="407C2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FD3467"/>
    <w:multiLevelType w:val="hybridMultilevel"/>
    <w:tmpl w:val="09B0F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E63F0D"/>
    <w:multiLevelType w:val="hybridMultilevel"/>
    <w:tmpl w:val="486CD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4F6F5E"/>
    <w:multiLevelType w:val="hybridMultilevel"/>
    <w:tmpl w:val="66A8CC7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5" w15:restartNumberingAfterBreak="0">
    <w:nsid w:val="565C4F2D"/>
    <w:multiLevelType w:val="hybridMultilevel"/>
    <w:tmpl w:val="96B2B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1E73EF"/>
    <w:multiLevelType w:val="hybridMultilevel"/>
    <w:tmpl w:val="E66EC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296BDE"/>
    <w:multiLevelType w:val="hybridMultilevel"/>
    <w:tmpl w:val="DA069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510F4B"/>
    <w:multiLevelType w:val="hybridMultilevel"/>
    <w:tmpl w:val="A28A1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F5E0A58"/>
    <w:multiLevelType w:val="hybridMultilevel"/>
    <w:tmpl w:val="21F894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19416874">
    <w:abstractNumId w:val="3"/>
  </w:num>
  <w:num w:numId="2" w16cid:durableId="1956793114">
    <w:abstractNumId w:val="9"/>
  </w:num>
  <w:num w:numId="3" w16cid:durableId="1199245016">
    <w:abstractNumId w:val="6"/>
  </w:num>
  <w:num w:numId="4" w16cid:durableId="228227667">
    <w:abstractNumId w:val="1"/>
  </w:num>
  <w:num w:numId="5" w16cid:durableId="592009960">
    <w:abstractNumId w:val="0"/>
  </w:num>
  <w:num w:numId="6" w16cid:durableId="2054309935">
    <w:abstractNumId w:val="8"/>
  </w:num>
  <w:num w:numId="7" w16cid:durableId="863983454">
    <w:abstractNumId w:val="4"/>
  </w:num>
  <w:num w:numId="8" w16cid:durableId="1668089922">
    <w:abstractNumId w:val="7"/>
  </w:num>
  <w:num w:numId="9" w16cid:durableId="1013845489">
    <w:abstractNumId w:val="5"/>
  </w:num>
  <w:num w:numId="10" w16cid:durableId="11605822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FA3"/>
    <w:rsid w:val="000261C4"/>
    <w:rsid w:val="001042D1"/>
    <w:rsid w:val="001C3DD9"/>
    <w:rsid w:val="002E45F5"/>
    <w:rsid w:val="00313085"/>
    <w:rsid w:val="003414A8"/>
    <w:rsid w:val="00393862"/>
    <w:rsid w:val="003E7FE0"/>
    <w:rsid w:val="00420AF1"/>
    <w:rsid w:val="004B1DF3"/>
    <w:rsid w:val="004B59D0"/>
    <w:rsid w:val="004C2643"/>
    <w:rsid w:val="00522CD4"/>
    <w:rsid w:val="00577FA3"/>
    <w:rsid w:val="00585518"/>
    <w:rsid w:val="005D18D7"/>
    <w:rsid w:val="005D24CE"/>
    <w:rsid w:val="006C67E1"/>
    <w:rsid w:val="007347FF"/>
    <w:rsid w:val="007E5E37"/>
    <w:rsid w:val="007F0887"/>
    <w:rsid w:val="00815124"/>
    <w:rsid w:val="0082470C"/>
    <w:rsid w:val="008824B3"/>
    <w:rsid w:val="0088356E"/>
    <w:rsid w:val="00945F61"/>
    <w:rsid w:val="00ED586B"/>
    <w:rsid w:val="00F51B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34602"/>
  <w15:chartTrackingRefBased/>
  <w15:docId w15:val="{9BBD5E12-F864-439A-9A00-CC660B488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45F6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24B3"/>
    <w:pPr>
      <w:ind w:left="720"/>
      <w:contextualSpacing/>
    </w:pPr>
  </w:style>
  <w:style w:type="character" w:styleId="CommentReference">
    <w:name w:val="annotation reference"/>
    <w:basedOn w:val="DefaultParagraphFont"/>
    <w:uiPriority w:val="99"/>
    <w:semiHidden/>
    <w:unhideWhenUsed/>
    <w:rsid w:val="00ED586B"/>
    <w:rPr>
      <w:sz w:val="16"/>
      <w:szCs w:val="16"/>
    </w:rPr>
  </w:style>
  <w:style w:type="paragraph" w:styleId="CommentText">
    <w:name w:val="annotation text"/>
    <w:basedOn w:val="Normal"/>
    <w:link w:val="CommentTextChar"/>
    <w:uiPriority w:val="99"/>
    <w:semiHidden/>
    <w:unhideWhenUsed/>
    <w:rsid w:val="00ED586B"/>
    <w:pPr>
      <w:spacing w:line="240" w:lineRule="auto"/>
    </w:pPr>
    <w:rPr>
      <w:sz w:val="20"/>
      <w:szCs w:val="20"/>
    </w:rPr>
  </w:style>
  <w:style w:type="character" w:customStyle="1" w:styleId="CommentTextChar">
    <w:name w:val="Comment Text Char"/>
    <w:basedOn w:val="DefaultParagraphFont"/>
    <w:link w:val="CommentText"/>
    <w:uiPriority w:val="99"/>
    <w:semiHidden/>
    <w:rsid w:val="00ED586B"/>
    <w:rPr>
      <w:sz w:val="20"/>
      <w:szCs w:val="20"/>
    </w:rPr>
  </w:style>
  <w:style w:type="paragraph" w:styleId="CommentSubject">
    <w:name w:val="annotation subject"/>
    <w:basedOn w:val="CommentText"/>
    <w:next w:val="CommentText"/>
    <w:link w:val="CommentSubjectChar"/>
    <w:uiPriority w:val="99"/>
    <w:semiHidden/>
    <w:unhideWhenUsed/>
    <w:rsid w:val="00ED586B"/>
    <w:rPr>
      <w:b/>
      <w:bCs/>
    </w:rPr>
  </w:style>
  <w:style w:type="character" w:customStyle="1" w:styleId="CommentSubjectChar">
    <w:name w:val="Comment Subject Char"/>
    <w:basedOn w:val="CommentTextChar"/>
    <w:link w:val="CommentSubject"/>
    <w:uiPriority w:val="99"/>
    <w:semiHidden/>
    <w:rsid w:val="00ED586B"/>
    <w:rPr>
      <w:b/>
      <w:bCs/>
      <w:sz w:val="20"/>
      <w:szCs w:val="20"/>
    </w:rPr>
  </w:style>
  <w:style w:type="paragraph" w:styleId="BalloonText">
    <w:name w:val="Balloon Text"/>
    <w:basedOn w:val="Normal"/>
    <w:link w:val="BalloonTextChar"/>
    <w:uiPriority w:val="99"/>
    <w:semiHidden/>
    <w:unhideWhenUsed/>
    <w:rsid w:val="00ED58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586B"/>
    <w:rPr>
      <w:rFonts w:ascii="Segoe UI" w:hAnsi="Segoe UI" w:cs="Segoe UI"/>
      <w:sz w:val="18"/>
      <w:szCs w:val="18"/>
    </w:rPr>
  </w:style>
  <w:style w:type="paragraph" w:styleId="Revision">
    <w:name w:val="Revision"/>
    <w:hidden/>
    <w:uiPriority w:val="99"/>
    <w:semiHidden/>
    <w:rsid w:val="003E7F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1156</Words>
  <Characters>6591</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Khatun Rashida</dc:creator>
  <cp:keywords/>
  <dc:description/>
  <cp:lastModifiedBy>KHATUN, Rashida (EAST LONDON NHS FOUNDATION TRUST)</cp:lastModifiedBy>
  <cp:revision>2</cp:revision>
  <dcterms:created xsi:type="dcterms:W3CDTF">2024-11-08T13:08:00Z</dcterms:created>
  <dcterms:modified xsi:type="dcterms:W3CDTF">2024-11-08T13:08:00Z</dcterms:modified>
</cp:coreProperties>
</file>