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3563" w14:textId="77777777" w:rsidR="006F3719" w:rsidRDefault="006F3719" w:rsidP="006F3719">
      <w:pPr>
        <w:jc w:val="center"/>
        <w:rPr>
          <w:sz w:val="40"/>
          <w:szCs w:val="40"/>
        </w:rPr>
      </w:pPr>
    </w:p>
    <w:p w14:paraId="1531DBFA" w14:textId="77777777" w:rsidR="006F3719" w:rsidRDefault="00606568" w:rsidP="006F3719">
      <w:pPr>
        <w:jc w:val="center"/>
      </w:pPr>
      <w:r>
        <w:rPr>
          <w:sz w:val="40"/>
          <w:szCs w:val="40"/>
        </w:rPr>
        <w:t>Antimicrobial Stewardship</w:t>
      </w:r>
      <w:r w:rsidR="007600AB">
        <w:rPr>
          <w:sz w:val="40"/>
          <w:szCs w:val="40"/>
        </w:rPr>
        <w:t xml:space="preserve"> </w:t>
      </w:r>
      <w:r w:rsidR="006D6E97">
        <w:rPr>
          <w:sz w:val="40"/>
          <w:szCs w:val="40"/>
        </w:rPr>
        <w:t>Policy</w:t>
      </w:r>
      <w:r>
        <w:rPr>
          <w:sz w:val="40"/>
          <w:szCs w:val="40"/>
        </w:rPr>
        <w:t xml:space="preserve"> </w:t>
      </w:r>
    </w:p>
    <w:p w14:paraId="34D0C476" w14:textId="77777777" w:rsidR="006F3719" w:rsidRDefault="006F3719" w:rsidP="006F3719"/>
    <w:p w14:paraId="480DB703" w14:textId="77777777" w:rsidR="006F3719" w:rsidRDefault="006F3719" w:rsidP="006F3719"/>
    <w:p w14:paraId="5132C741" w14:textId="77777777" w:rsidR="001105E2" w:rsidRDefault="001105E2" w:rsidP="006F3719"/>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752"/>
      </w:tblGrid>
      <w:tr w:rsidR="0084474D" w14:paraId="6BD8416C" w14:textId="77777777" w:rsidTr="00051A13">
        <w:tc>
          <w:tcPr>
            <w:tcW w:w="4248" w:type="dxa"/>
          </w:tcPr>
          <w:p w14:paraId="2412E84C" w14:textId="77777777" w:rsidR="0084474D" w:rsidRDefault="0084474D" w:rsidP="0084474D">
            <w:pPr>
              <w:spacing w:before="40" w:after="40"/>
            </w:pPr>
            <w:r>
              <w:t>Version number :</w:t>
            </w:r>
          </w:p>
        </w:tc>
        <w:tc>
          <w:tcPr>
            <w:tcW w:w="4752" w:type="dxa"/>
          </w:tcPr>
          <w:p w14:paraId="046683BB" w14:textId="4B43C1CF" w:rsidR="0084474D" w:rsidRDefault="00606568" w:rsidP="0084474D">
            <w:pPr>
              <w:spacing w:before="40" w:after="40"/>
            </w:pPr>
            <w:r>
              <w:t>1</w:t>
            </w:r>
            <w:r w:rsidR="00FC5E7C">
              <w:t>.</w:t>
            </w:r>
            <w:r w:rsidR="004B4F71">
              <w:t>2</w:t>
            </w:r>
          </w:p>
        </w:tc>
      </w:tr>
      <w:tr w:rsidR="0084474D" w14:paraId="0F2AECD8" w14:textId="77777777" w:rsidTr="00051A13">
        <w:tc>
          <w:tcPr>
            <w:tcW w:w="4248" w:type="dxa"/>
          </w:tcPr>
          <w:p w14:paraId="6252B7AE" w14:textId="77777777" w:rsidR="0084474D" w:rsidRDefault="0084474D" w:rsidP="0084474D">
            <w:pPr>
              <w:spacing w:before="40" w:after="40"/>
            </w:pPr>
            <w:r>
              <w:t xml:space="preserve">Consultation Groups </w:t>
            </w:r>
          </w:p>
        </w:tc>
        <w:tc>
          <w:tcPr>
            <w:tcW w:w="4752" w:type="dxa"/>
          </w:tcPr>
          <w:p w14:paraId="1A5D7A56" w14:textId="77777777" w:rsidR="0084474D" w:rsidRDefault="00606568" w:rsidP="0084474D">
            <w:pPr>
              <w:spacing w:before="40" w:after="40"/>
            </w:pPr>
            <w:r>
              <w:t>Medicines Committee, Infection Control</w:t>
            </w:r>
            <w:r w:rsidR="00FF6EC9">
              <w:t xml:space="preserve"> team, Pharmacy team, NMP Lead N</w:t>
            </w:r>
            <w:r>
              <w:t>urse</w:t>
            </w:r>
          </w:p>
        </w:tc>
      </w:tr>
      <w:tr w:rsidR="0084474D" w14:paraId="4CE0C258" w14:textId="77777777" w:rsidTr="00051A13">
        <w:tc>
          <w:tcPr>
            <w:tcW w:w="4248" w:type="dxa"/>
          </w:tcPr>
          <w:p w14:paraId="7CCCC566" w14:textId="77777777" w:rsidR="0084474D" w:rsidRDefault="0084474D" w:rsidP="0084474D">
            <w:pPr>
              <w:spacing w:before="40" w:after="40"/>
            </w:pPr>
            <w:r>
              <w:t>Approved by (Sponsor Group)</w:t>
            </w:r>
          </w:p>
        </w:tc>
        <w:tc>
          <w:tcPr>
            <w:tcW w:w="4752" w:type="dxa"/>
          </w:tcPr>
          <w:p w14:paraId="56BDDD54" w14:textId="77777777" w:rsidR="0084474D" w:rsidRDefault="00606568" w:rsidP="0084474D">
            <w:pPr>
              <w:spacing w:before="40" w:after="40"/>
            </w:pPr>
            <w:r>
              <w:t>Medicines Committee</w:t>
            </w:r>
            <w:r w:rsidR="00FC3FA6">
              <w:t xml:space="preserve"> </w:t>
            </w:r>
            <w:r w:rsidR="00FC3FA6" w:rsidRPr="00CE155C">
              <w:rPr>
                <w:szCs w:val="22"/>
              </w:rPr>
              <w:t>and IPC Committee</w:t>
            </w:r>
          </w:p>
        </w:tc>
      </w:tr>
      <w:tr w:rsidR="004B4F71" w14:paraId="4E0AC348" w14:textId="77777777" w:rsidTr="00051A13">
        <w:tc>
          <w:tcPr>
            <w:tcW w:w="4248" w:type="dxa"/>
          </w:tcPr>
          <w:p w14:paraId="5C48ECF9" w14:textId="5DD38A1B" w:rsidR="004B4F71" w:rsidRDefault="004B4F71" w:rsidP="0084474D">
            <w:pPr>
              <w:spacing w:before="40" w:after="40"/>
            </w:pPr>
            <w:r>
              <w:t>Date approved</w:t>
            </w:r>
          </w:p>
        </w:tc>
        <w:tc>
          <w:tcPr>
            <w:tcW w:w="4752" w:type="dxa"/>
          </w:tcPr>
          <w:p w14:paraId="74B7E64B" w14:textId="28834524" w:rsidR="004B4F71" w:rsidRDefault="00A23B16" w:rsidP="0084474D">
            <w:pPr>
              <w:spacing w:before="40" w:after="40"/>
            </w:pPr>
            <w:r w:rsidRPr="00A23B16">
              <w:t>1</w:t>
            </w:r>
            <w:r w:rsidR="00D64677">
              <w:t>2</w:t>
            </w:r>
            <w:r w:rsidRPr="00A23B16">
              <w:t>th March 2025</w:t>
            </w:r>
          </w:p>
        </w:tc>
      </w:tr>
      <w:tr w:rsidR="0084474D" w14:paraId="7D268AB5" w14:textId="77777777" w:rsidTr="00051A13">
        <w:tc>
          <w:tcPr>
            <w:tcW w:w="4248" w:type="dxa"/>
          </w:tcPr>
          <w:p w14:paraId="658C9A36" w14:textId="77777777" w:rsidR="0084474D" w:rsidRDefault="0084474D" w:rsidP="0084474D">
            <w:pPr>
              <w:spacing w:before="40" w:after="40"/>
            </w:pPr>
            <w:r>
              <w:t>Ratified by:</w:t>
            </w:r>
          </w:p>
        </w:tc>
        <w:tc>
          <w:tcPr>
            <w:tcW w:w="4752" w:type="dxa"/>
          </w:tcPr>
          <w:p w14:paraId="5E04E733" w14:textId="77777777" w:rsidR="0084474D" w:rsidRDefault="009F7A7D" w:rsidP="009F7A7D">
            <w:pPr>
              <w:spacing w:before="40" w:after="40"/>
            </w:pPr>
            <w:r>
              <w:t>Medicines</w:t>
            </w:r>
            <w:r w:rsidR="00606568">
              <w:t xml:space="preserve"> Committee</w:t>
            </w:r>
            <w:r w:rsidR="00FC3FA6">
              <w:t xml:space="preserve"> </w:t>
            </w:r>
            <w:r w:rsidR="00FC3FA6" w:rsidRPr="00CE155C">
              <w:rPr>
                <w:szCs w:val="22"/>
              </w:rPr>
              <w:t>and IPC Committee</w:t>
            </w:r>
          </w:p>
        </w:tc>
      </w:tr>
      <w:tr w:rsidR="0084474D" w14:paraId="4663048A" w14:textId="77777777" w:rsidTr="00051A13">
        <w:tc>
          <w:tcPr>
            <w:tcW w:w="4248" w:type="dxa"/>
          </w:tcPr>
          <w:p w14:paraId="4AA43345" w14:textId="77777777" w:rsidR="0084474D" w:rsidRDefault="0084474D" w:rsidP="0084474D">
            <w:pPr>
              <w:spacing w:before="40" w:after="40"/>
            </w:pPr>
            <w:r>
              <w:t>Date ratified:</w:t>
            </w:r>
          </w:p>
        </w:tc>
        <w:tc>
          <w:tcPr>
            <w:tcW w:w="4752" w:type="dxa"/>
          </w:tcPr>
          <w:p w14:paraId="184FBF1A" w14:textId="5996AF79" w:rsidR="0084474D" w:rsidRDefault="004B4F71" w:rsidP="0084474D">
            <w:pPr>
              <w:spacing w:before="40" w:after="40"/>
            </w:pPr>
            <w:r>
              <w:t>1</w:t>
            </w:r>
            <w:r w:rsidR="00D64677">
              <w:t>2</w:t>
            </w:r>
            <w:r w:rsidRPr="004B4F71">
              <w:rPr>
                <w:vertAlign w:val="superscript"/>
              </w:rPr>
              <w:t>th</w:t>
            </w:r>
            <w:r>
              <w:t xml:space="preserve"> March 2025</w:t>
            </w:r>
          </w:p>
        </w:tc>
      </w:tr>
      <w:tr w:rsidR="0084474D" w14:paraId="39B88E87" w14:textId="77777777" w:rsidTr="00051A13">
        <w:tc>
          <w:tcPr>
            <w:tcW w:w="4248" w:type="dxa"/>
          </w:tcPr>
          <w:p w14:paraId="5FB1EF88" w14:textId="77777777" w:rsidR="0084474D" w:rsidRDefault="0084474D" w:rsidP="0084474D">
            <w:pPr>
              <w:spacing w:before="40" w:after="40"/>
            </w:pPr>
            <w:r>
              <w:t>Name of originator/author:</w:t>
            </w:r>
          </w:p>
        </w:tc>
        <w:tc>
          <w:tcPr>
            <w:tcW w:w="4752" w:type="dxa"/>
          </w:tcPr>
          <w:p w14:paraId="483F2699" w14:textId="115AA26F" w:rsidR="0084474D" w:rsidRDefault="004B4F71" w:rsidP="0084474D">
            <w:pPr>
              <w:spacing w:before="40" w:after="40"/>
            </w:pPr>
            <w:r w:rsidRPr="004B4F71">
              <w:t>Crisis Pathway Lead Pharmacist</w:t>
            </w:r>
            <w:r>
              <w:t>, Medicines Safety Officer</w:t>
            </w:r>
          </w:p>
        </w:tc>
      </w:tr>
      <w:tr w:rsidR="0084474D" w14:paraId="1B2F75B6" w14:textId="77777777" w:rsidTr="00051A13">
        <w:tc>
          <w:tcPr>
            <w:tcW w:w="4248" w:type="dxa"/>
          </w:tcPr>
          <w:p w14:paraId="7840ADCD" w14:textId="77777777" w:rsidR="0084474D" w:rsidRDefault="0084474D" w:rsidP="0084474D">
            <w:pPr>
              <w:spacing w:before="40" w:after="40"/>
            </w:pPr>
            <w:r>
              <w:t>Executive Director lead :</w:t>
            </w:r>
          </w:p>
        </w:tc>
        <w:tc>
          <w:tcPr>
            <w:tcW w:w="4752" w:type="dxa"/>
          </w:tcPr>
          <w:p w14:paraId="4134A1C9" w14:textId="5EA4505B" w:rsidR="00232256" w:rsidRDefault="00A23B16" w:rsidP="00051A13">
            <w:pPr>
              <w:spacing w:before="40" w:after="40"/>
              <w:jc w:val="left"/>
            </w:pPr>
            <w:r w:rsidRPr="00A23B16">
              <w:t>Chief Medical Officer</w:t>
            </w:r>
          </w:p>
        </w:tc>
      </w:tr>
      <w:tr w:rsidR="0084474D" w14:paraId="5FE9C87D" w14:textId="77777777" w:rsidTr="00051A13">
        <w:tc>
          <w:tcPr>
            <w:tcW w:w="4248" w:type="dxa"/>
          </w:tcPr>
          <w:p w14:paraId="06C38ADB" w14:textId="77777777" w:rsidR="0084474D" w:rsidRDefault="0084474D" w:rsidP="0084474D">
            <w:pPr>
              <w:spacing w:before="40" w:after="40"/>
            </w:pPr>
            <w:r>
              <w:t>Implementation Date :</w:t>
            </w:r>
          </w:p>
        </w:tc>
        <w:tc>
          <w:tcPr>
            <w:tcW w:w="4752" w:type="dxa"/>
          </w:tcPr>
          <w:p w14:paraId="16B2AED4" w14:textId="7C12BC26" w:rsidR="0084474D" w:rsidRDefault="004B4F71" w:rsidP="0084474D">
            <w:pPr>
              <w:spacing w:before="40" w:after="40"/>
            </w:pPr>
            <w:r>
              <w:t>March 2025</w:t>
            </w:r>
          </w:p>
        </w:tc>
      </w:tr>
      <w:tr w:rsidR="0084474D" w14:paraId="785ACA6B" w14:textId="77777777" w:rsidTr="00051A13">
        <w:tc>
          <w:tcPr>
            <w:tcW w:w="4248" w:type="dxa"/>
          </w:tcPr>
          <w:p w14:paraId="26BD5C92" w14:textId="77777777" w:rsidR="0084474D" w:rsidRDefault="00E16FAA" w:rsidP="0084474D">
            <w:pPr>
              <w:spacing w:before="40" w:after="40"/>
            </w:pPr>
            <w:r>
              <w:t>*</w:t>
            </w:r>
            <w:r w:rsidR="0084474D">
              <w:t xml:space="preserve">Last Review Date </w:t>
            </w:r>
          </w:p>
        </w:tc>
        <w:tc>
          <w:tcPr>
            <w:tcW w:w="4752" w:type="dxa"/>
          </w:tcPr>
          <w:p w14:paraId="49951BDD" w14:textId="24FE7FDA" w:rsidR="0084474D" w:rsidRDefault="004B4F71" w:rsidP="0084474D">
            <w:pPr>
              <w:spacing w:before="40" w:after="40"/>
            </w:pPr>
            <w:r w:rsidRPr="004B4F71">
              <w:t>March 2025</w:t>
            </w:r>
          </w:p>
        </w:tc>
      </w:tr>
      <w:tr w:rsidR="0084474D" w14:paraId="4C07A7E3" w14:textId="77777777" w:rsidTr="00051A13">
        <w:tc>
          <w:tcPr>
            <w:tcW w:w="4248" w:type="dxa"/>
          </w:tcPr>
          <w:p w14:paraId="4E14629B" w14:textId="77777777" w:rsidR="0084474D" w:rsidRDefault="0084474D" w:rsidP="0084474D">
            <w:pPr>
              <w:spacing w:before="40" w:after="40"/>
            </w:pPr>
            <w:r>
              <w:t>Next Review date:</w:t>
            </w:r>
          </w:p>
        </w:tc>
        <w:tc>
          <w:tcPr>
            <w:tcW w:w="4752" w:type="dxa"/>
          </w:tcPr>
          <w:p w14:paraId="7F17B856" w14:textId="43380E68" w:rsidR="0084474D" w:rsidRDefault="004B4F71" w:rsidP="0084474D">
            <w:pPr>
              <w:spacing w:before="40" w:after="40"/>
            </w:pPr>
            <w:r w:rsidRPr="004B4F71">
              <w:t>March 202</w:t>
            </w:r>
            <w:r>
              <w:t>8</w:t>
            </w:r>
          </w:p>
        </w:tc>
      </w:tr>
    </w:tbl>
    <w:p w14:paraId="7C584D55" w14:textId="77777777" w:rsidR="004B4F71" w:rsidRDefault="004B4F71" w:rsidP="006F3719">
      <w:pPr>
        <w:rPr>
          <w:sz w:val="20"/>
          <w:szCs w:val="20"/>
        </w:rPr>
      </w:pPr>
    </w:p>
    <w:p w14:paraId="092C863F" w14:textId="77777777" w:rsidR="004B4F71" w:rsidRDefault="004B4F71" w:rsidP="006F3719">
      <w:pPr>
        <w:rPr>
          <w:sz w:val="20"/>
          <w:szCs w:val="20"/>
        </w:rPr>
      </w:pPr>
    </w:p>
    <w:p w14:paraId="5CC097FD" w14:textId="629BAC44" w:rsidR="006F3719" w:rsidRDefault="001105E2" w:rsidP="006F3719">
      <w:r w:rsidRPr="001105E2">
        <w:rPr>
          <w:sz w:val="20"/>
          <w:szCs w:val="20"/>
        </w:rPr>
        <w:t>* All procedures must be reviewed every three years. A director may decide to set a shorter review period, if appropriate/required. There may also be a need to review a procedure in advance of a planned review date, i.e. due to changes in national policy or legislation, changes in service provision, recommendation from internal or external review, change in local and national reporting requirement or targets</w:t>
      </w:r>
      <w:r>
        <w:t>.</w:t>
      </w:r>
    </w:p>
    <w:p w14:paraId="6259A9C3" w14:textId="77777777" w:rsidR="004B4F71" w:rsidRDefault="004B4F71" w:rsidP="006F3719"/>
    <w:p w14:paraId="390402DC" w14:textId="77777777" w:rsidR="004B4F71" w:rsidRDefault="004B4F71" w:rsidP="006F3719"/>
    <w:tbl>
      <w:tblPr>
        <w:tblStyle w:val="TableGrid"/>
        <w:tblW w:w="0" w:type="auto"/>
        <w:tblLook w:val="04A0" w:firstRow="1" w:lastRow="0" w:firstColumn="1" w:lastColumn="0" w:noHBand="0" w:noVBand="1"/>
      </w:tblPr>
      <w:tblGrid>
        <w:gridCol w:w="4248"/>
        <w:gridCol w:w="4768"/>
      </w:tblGrid>
      <w:tr w:rsidR="002408E9" w14:paraId="6AEC41DD" w14:textId="77777777" w:rsidTr="00232256">
        <w:tc>
          <w:tcPr>
            <w:tcW w:w="4248" w:type="dxa"/>
          </w:tcPr>
          <w:p w14:paraId="6393ADA8" w14:textId="77777777" w:rsidR="002408E9" w:rsidRDefault="0084474D" w:rsidP="006F3719">
            <w:r>
              <w:t xml:space="preserve">Services </w:t>
            </w:r>
          </w:p>
        </w:tc>
        <w:tc>
          <w:tcPr>
            <w:tcW w:w="4768" w:type="dxa"/>
          </w:tcPr>
          <w:p w14:paraId="337A03B0" w14:textId="7FB6C32C" w:rsidR="002408E9" w:rsidRDefault="004B4F71" w:rsidP="006F3719">
            <w:r>
              <w:t>Trust wide</w:t>
            </w:r>
            <w:r w:rsidR="00606568">
              <w:t xml:space="preserve"> NHS ELFT</w:t>
            </w:r>
          </w:p>
        </w:tc>
      </w:tr>
      <w:tr w:rsidR="002408E9" w14:paraId="639BCF01" w14:textId="77777777" w:rsidTr="00232256">
        <w:tc>
          <w:tcPr>
            <w:tcW w:w="4248" w:type="dxa"/>
          </w:tcPr>
          <w:p w14:paraId="04A7ADB4" w14:textId="75C4EB52" w:rsidR="002408E9" w:rsidRDefault="004B4F71" w:rsidP="006F3719">
            <w:r>
              <w:t>Trust wide</w:t>
            </w:r>
          </w:p>
        </w:tc>
        <w:tc>
          <w:tcPr>
            <w:tcW w:w="4768" w:type="dxa"/>
          </w:tcPr>
          <w:p w14:paraId="2FBF93F4" w14:textId="77777777" w:rsidR="002408E9" w:rsidRDefault="00606568" w:rsidP="006F3719">
            <w:r>
              <w:t>Yes</w:t>
            </w:r>
          </w:p>
        </w:tc>
      </w:tr>
      <w:tr w:rsidR="002408E9" w14:paraId="036B1451" w14:textId="77777777" w:rsidTr="00232256">
        <w:tc>
          <w:tcPr>
            <w:tcW w:w="4248" w:type="dxa"/>
          </w:tcPr>
          <w:p w14:paraId="6B61519F" w14:textId="77777777" w:rsidR="002408E9" w:rsidRDefault="0084474D" w:rsidP="006F3719">
            <w:r>
              <w:t xml:space="preserve">Mental Health and LD </w:t>
            </w:r>
          </w:p>
        </w:tc>
        <w:tc>
          <w:tcPr>
            <w:tcW w:w="4768" w:type="dxa"/>
          </w:tcPr>
          <w:p w14:paraId="0F852F0F" w14:textId="77777777" w:rsidR="002408E9" w:rsidRDefault="00606568" w:rsidP="006F3719">
            <w:r>
              <w:t>Yes</w:t>
            </w:r>
          </w:p>
        </w:tc>
      </w:tr>
      <w:tr w:rsidR="002408E9" w14:paraId="7B78A828" w14:textId="77777777" w:rsidTr="00232256">
        <w:tc>
          <w:tcPr>
            <w:tcW w:w="4248" w:type="dxa"/>
          </w:tcPr>
          <w:p w14:paraId="3DF70DF0" w14:textId="77777777" w:rsidR="002408E9" w:rsidRDefault="0084474D" w:rsidP="0084474D">
            <w:r>
              <w:t xml:space="preserve">Community Health Services </w:t>
            </w:r>
          </w:p>
        </w:tc>
        <w:tc>
          <w:tcPr>
            <w:tcW w:w="4768" w:type="dxa"/>
          </w:tcPr>
          <w:p w14:paraId="49DE97F7" w14:textId="77777777" w:rsidR="002408E9" w:rsidRDefault="00606568" w:rsidP="006F3719">
            <w:r>
              <w:t>Yes</w:t>
            </w:r>
          </w:p>
        </w:tc>
      </w:tr>
      <w:tr w:rsidR="00B53B80" w14:paraId="35CB29EB" w14:textId="77777777" w:rsidTr="00232256">
        <w:tc>
          <w:tcPr>
            <w:tcW w:w="4248" w:type="dxa"/>
          </w:tcPr>
          <w:p w14:paraId="5ED80708" w14:textId="77777777" w:rsidR="00B53B80" w:rsidRDefault="00B53B80" w:rsidP="0084474D">
            <w:r>
              <w:t>Primary</w:t>
            </w:r>
            <w:r w:rsidR="00E05FFE">
              <w:t xml:space="preserve"> C</w:t>
            </w:r>
            <w:r>
              <w:t xml:space="preserve">are </w:t>
            </w:r>
          </w:p>
        </w:tc>
        <w:tc>
          <w:tcPr>
            <w:tcW w:w="4768" w:type="dxa"/>
          </w:tcPr>
          <w:p w14:paraId="2092AB87" w14:textId="77777777" w:rsidR="00B53B80" w:rsidRDefault="00606568" w:rsidP="006F3719">
            <w:r>
              <w:t>Yes</w:t>
            </w:r>
          </w:p>
        </w:tc>
      </w:tr>
    </w:tbl>
    <w:p w14:paraId="4E13E7F9" w14:textId="77777777" w:rsidR="006F3719" w:rsidRDefault="006F3719" w:rsidP="006F3719">
      <w:pPr>
        <w:sectPr w:rsidR="006F3719" w:rsidSect="00662F39">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p w14:paraId="6CB71FDC" w14:textId="77777777" w:rsidR="006F3719" w:rsidRPr="00EB76F2" w:rsidRDefault="006F3719" w:rsidP="006F3719">
      <w:pPr>
        <w:jc w:val="center"/>
        <w:rPr>
          <w:sz w:val="28"/>
          <w:szCs w:val="28"/>
        </w:rPr>
      </w:pPr>
      <w:bookmarkStart w:id="0" w:name="OLE_LINK3"/>
      <w:bookmarkStart w:id="1" w:name="OLE_LINK4"/>
      <w:r>
        <w:rPr>
          <w:sz w:val="28"/>
          <w:szCs w:val="28"/>
        </w:rPr>
        <w:lastRenderedPageBreak/>
        <w:t>Version Control Summary</w:t>
      </w:r>
    </w:p>
    <w:p w14:paraId="484E240C" w14:textId="77777777" w:rsidR="006F3719" w:rsidRDefault="006F3719" w:rsidP="006F3719">
      <w:pPr>
        <w:rPr>
          <w:b/>
          <w:sz w:val="28"/>
          <w:szCs w:val="28"/>
        </w:rPr>
      </w:pPr>
    </w:p>
    <w:tbl>
      <w:tblPr>
        <w:tblW w:w="846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617"/>
        <w:gridCol w:w="1662"/>
        <w:gridCol w:w="1704"/>
        <w:gridCol w:w="1815"/>
      </w:tblGrid>
      <w:tr w:rsidR="006F3719" w:rsidRPr="00C84CA8" w14:paraId="2B6EEC01" w14:textId="77777777" w:rsidTr="00FD3635">
        <w:trPr>
          <w:trHeight w:val="1640"/>
        </w:trPr>
        <w:tc>
          <w:tcPr>
            <w:tcW w:w="1669" w:type="dxa"/>
          </w:tcPr>
          <w:p w14:paraId="78C9B433" w14:textId="77777777" w:rsidR="006F3719" w:rsidRPr="00C84CA8" w:rsidRDefault="006F3719" w:rsidP="00662F39">
            <w:pPr>
              <w:rPr>
                <w:b/>
              </w:rPr>
            </w:pPr>
            <w:r w:rsidRPr="00C84CA8">
              <w:rPr>
                <w:b/>
              </w:rPr>
              <w:t>Version</w:t>
            </w:r>
          </w:p>
        </w:tc>
        <w:tc>
          <w:tcPr>
            <w:tcW w:w="1617" w:type="dxa"/>
          </w:tcPr>
          <w:p w14:paraId="6D13128B" w14:textId="77777777" w:rsidR="006F3719" w:rsidRPr="00C84CA8" w:rsidRDefault="006F3719" w:rsidP="00662F39">
            <w:pPr>
              <w:rPr>
                <w:b/>
              </w:rPr>
            </w:pPr>
            <w:r w:rsidRPr="00C84CA8">
              <w:rPr>
                <w:b/>
              </w:rPr>
              <w:t>Date</w:t>
            </w:r>
          </w:p>
        </w:tc>
        <w:tc>
          <w:tcPr>
            <w:tcW w:w="1662" w:type="dxa"/>
          </w:tcPr>
          <w:p w14:paraId="0FBB4ED1" w14:textId="77777777" w:rsidR="006F3719" w:rsidRPr="00C84CA8" w:rsidRDefault="006F3719" w:rsidP="00662F39">
            <w:pPr>
              <w:rPr>
                <w:b/>
              </w:rPr>
            </w:pPr>
            <w:r w:rsidRPr="00C84CA8">
              <w:rPr>
                <w:b/>
              </w:rPr>
              <w:t>Author</w:t>
            </w:r>
          </w:p>
        </w:tc>
        <w:tc>
          <w:tcPr>
            <w:tcW w:w="1704" w:type="dxa"/>
          </w:tcPr>
          <w:p w14:paraId="1FCB6632" w14:textId="77777777" w:rsidR="006F3719" w:rsidRPr="00C84CA8" w:rsidRDefault="006F3719" w:rsidP="00662F39">
            <w:pPr>
              <w:rPr>
                <w:b/>
              </w:rPr>
            </w:pPr>
            <w:r w:rsidRPr="00C84CA8">
              <w:rPr>
                <w:b/>
              </w:rPr>
              <w:t>Status</w:t>
            </w:r>
          </w:p>
        </w:tc>
        <w:tc>
          <w:tcPr>
            <w:tcW w:w="1815" w:type="dxa"/>
          </w:tcPr>
          <w:p w14:paraId="591C3D77" w14:textId="77777777" w:rsidR="006F3719" w:rsidRPr="00C84CA8" w:rsidRDefault="006F3719" w:rsidP="00662F39">
            <w:pPr>
              <w:rPr>
                <w:b/>
              </w:rPr>
            </w:pPr>
            <w:r w:rsidRPr="00C84CA8">
              <w:rPr>
                <w:b/>
              </w:rPr>
              <w:t>Comment</w:t>
            </w:r>
          </w:p>
        </w:tc>
      </w:tr>
      <w:tr w:rsidR="006F3719" w14:paraId="761E6B16" w14:textId="77777777" w:rsidTr="00FD3635">
        <w:trPr>
          <w:trHeight w:val="567"/>
        </w:trPr>
        <w:tc>
          <w:tcPr>
            <w:tcW w:w="1669" w:type="dxa"/>
          </w:tcPr>
          <w:p w14:paraId="596099CF" w14:textId="77777777" w:rsidR="006F3719" w:rsidRDefault="00606568" w:rsidP="00662F39">
            <w:r>
              <w:t>1.0</w:t>
            </w:r>
          </w:p>
        </w:tc>
        <w:tc>
          <w:tcPr>
            <w:tcW w:w="1617" w:type="dxa"/>
          </w:tcPr>
          <w:p w14:paraId="69F983EC" w14:textId="77777777" w:rsidR="006F3719" w:rsidRDefault="00606568" w:rsidP="00662F39">
            <w:r>
              <w:t>Dec 2021</w:t>
            </w:r>
          </w:p>
        </w:tc>
        <w:tc>
          <w:tcPr>
            <w:tcW w:w="1662" w:type="dxa"/>
          </w:tcPr>
          <w:p w14:paraId="2446D9E4" w14:textId="77777777" w:rsidR="006F3719" w:rsidRDefault="00606568" w:rsidP="00662F39">
            <w:r>
              <w:t>Roberta Contino</w:t>
            </w:r>
          </w:p>
        </w:tc>
        <w:tc>
          <w:tcPr>
            <w:tcW w:w="1704" w:type="dxa"/>
          </w:tcPr>
          <w:p w14:paraId="4D21BB8C" w14:textId="77777777" w:rsidR="006F3719" w:rsidRDefault="00A8602B" w:rsidP="00662F39">
            <w:r>
              <w:t>Approved</w:t>
            </w:r>
          </w:p>
        </w:tc>
        <w:tc>
          <w:tcPr>
            <w:tcW w:w="1815" w:type="dxa"/>
          </w:tcPr>
          <w:p w14:paraId="2224BAC9" w14:textId="77777777" w:rsidR="006F3719" w:rsidRDefault="006F3719" w:rsidP="00662F39"/>
        </w:tc>
      </w:tr>
      <w:tr w:rsidR="00A8602B" w14:paraId="2CD0C4FB" w14:textId="77777777" w:rsidTr="00FD3635">
        <w:trPr>
          <w:trHeight w:val="1279"/>
        </w:trPr>
        <w:tc>
          <w:tcPr>
            <w:tcW w:w="1669" w:type="dxa"/>
          </w:tcPr>
          <w:p w14:paraId="07FF226F" w14:textId="77777777" w:rsidR="00A8602B" w:rsidRDefault="00A8602B" w:rsidP="00662F39">
            <w:r>
              <w:t>1.1</w:t>
            </w:r>
          </w:p>
        </w:tc>
        <w:tc>
          <w:tcPr>
            <w:tcW w:w="1617" w:type="dxa"/>
          </w:tcPr>
          <w:p w14:paraId="61D89E1D" w14:textId="77777777" w:rsidR="00A8602B" w:rsidRDefault="00A8602B" w:rsidP="00662F39">
            <w:r>
              <w:t>A</w:t>
            </w:r>
            <w:r w:rsidR="00977689">
              <w:t>ug</w:t>
            </w:r>
            <w:r>
              <w:t xml:space="preserve"> 2022</w:t>
            </w:r>
          </w:p>
        </w:tc>
        <w:tc>
          <w:tcPr>
            <w:tcW w:w="1662" w:type="dxa"/>
          </w:tcPr>
          <w:p w14:paraId="4E36BBAA" w14:textId="77777777" w:rsidR="00A8602B" w:rsidRDefault="00A8602B" w:rsidP="00662F39">
            <w:r>
              <w:t>Roberta Contino</w:t>
            </w:r>
          </w:p>
        </w:tc>
        <w:tc>
          <w:tcPr>
            <w:tcW w:w="1704" w:type="dxa"/>
          </w:tcPr>
          <w:p w14:paraId="24CA4FA3" w14:textId="13ABE4EB" w:rsidR="00A8602B" w:rsidRDefault="007A39F9" w:rsidP="00662F39">
            <w:r>
              <w:t>Approved</w:t>
            </w:r>
          </w:p>
        </w:tc>
        <w:tc>
          <w:tcPr>
            <w:tcW w:w="1815" w:type="dxa"/>
          </w:tcPr>
          <w:p w14:paraId="005DE2C1" w14:textId="77777777" w:rsidR="00A8602B" w:rsidRDefault="00A8602B" w:rsidP="00662F39">
            <w:r>
              <w:t>Positive urine cultures and asymptomatic not to treat</w:t>
            </w:r>
          </w:p>
        </w:tc>
      </w:tr>
      <w:tr w:rsidR="00090C6F" w14:paraId="72D8EEAF" w14:textId="77777777" w:rsidTr="00FD3635">
        <w:trPr>
          <w:trHeight w:val="2857"/>
        </w:trPr>
        <w:tc>
          <w:tcPr>
            <w:tcW w:w="1669" w:type="dxa"/>
          </w:tcPr>
          <w:p w14:paraId="602193DF" w14:textId="77777777" w:rsidR="00090C6F" w:rsidRDefault="00090C6F" w:rsidP="00662F39">
            <w:r>
              <w:t xml:space="preserve">1.2 </w:t>
            </w:r>
          </w:p>
        </w:tc>
        <w:tc>
          <w:tcPr>
            <w:tcW w:w="1617" w:type="dxa"/>
          </w:tcPr>
          <w:p w14:paraId="0332AD34" w14:textId="77777777" w:rsidR="00090C6F" w:rsidRDefault="00090C6F" w:rsidP="00662F39">
            <w:r>
              <w:t xml:space="preserve">March 2025 </w:t>
            </w:r>
          </w:p>
        </w:tc>
        <w:tc>
          <w:tcPr>
            <w:tcW w:w="1662" w:type="dxa"/>
          </w:tcPr>
          <w:p w14:paraId="4A2B598A" w14:textId="28925A4C" w:rsidR="00090C6F" w:rsidRDefault="007C49DB" w:rsidP="00662F39">
            <w:r>
              <w:t xml:space="preserve">Janan Kabir &amp; Rajesh Jethwa </w:t>
            </w:r>
          </w:p>
        </w:tc>
        <w:tc>
          <w:tcPr>
            <w:tcW w:w="1704" w:type="dxa"/>
          </w:tcPr>
          <w:p w14:paraId="7C16DF12" w14:textId="770877B2" w:rsidR="00090C6F" w:rsidRDefault="007C49DB" w:rsidP="007C49DB">
            <w:r>
              <w:t xml:space="preserve"> </w:t>
            </w:r>
            <w:r w:rsidR="00316DEC">
              <w:t xml:space="preserve">Approved </w:t>
            </w:r>
          </w:p>
        </w:tc>
        <w:tc>
          <w:tcPr>
            <w:tcW w:w="1815" w:type="dxa"/>
          </w:tcPr>
          <w:p w14:paraId="3655292D" w14:textId="57169CD2" w:rsidR="00090C6F" w:rsidRDefault="00FD3635" w:rsidP="001B2357">
            <w:pPr>
              <w:jc w:val="left"/>
            </w:pPr>
            <w:r>
              <w:t>P</w:t>
            </w:r>
            <w:r w:rsidR="007A39F9">
              <w:t xml:space="preserve">age </w:t>
            </w:r>
            <w:r>
              <w:t>7 updated sepsis advice</w:t>
            </w:r>
            <w:r w:rsidR="007A39F9">
              <w:t xml:space="preserve"> in line with new NICE guidelines</w:t>
            </w:r>
          </w:p>
          <w:p w14:paraId="338E52A1" w14:textId="3BEECDEC" w:rsidR="00FD3635" w:rsidRDefault="00FD3635" w:rsidP="001B2357">
            <w:pPr>
              <w:jc w:val="left"/>
            </w:pPr>
            <w:r>
              <w:t>P</w:t>
            </w:r>
            <w:r w:rsidR="007A39F9">
              <w:t xml:space="preserve">age </w:t>
            </w:r>
            <w:r>
              <w:t xml:space="preserve">11 included line regarding online training </w:t>
            </w:r>
          </w:p>
          <w:p w14:paraId="1478A184" w14:textId="4CB104ED" w:rsidR="009C5F30" w:rsidRDefault="009C5F30" w:rsidP="001B2357">
            <w:pPr>
              <w:jc w:val="left"/>
            </w:pPr>
            <w:r>
              <w:t>P</w:t>
            </w:r>
            <w:r w:rsidR="007A39F9">
              <w:t xml:space="preserve">age </w:t>
            </w:r>
            <w:r>
              <w:t xml:space="preserve">20 </w:t>
            </w:r>
            <w:r w:rsidR="00C633CA">
              <w:t>updated guideline links</w:t>
            </w:r>
          </w:p>
        </w:tc>
      </w:tr>
      <w:bookmarkEnd w:id="0"/>
      <w:bookmarkEnd w:id="1"/>
    </w:tbl>
    <w:p w14:paraId="0749B673" w14:textId="77777777" w:rsidR="006F3719" w:rsidRDefault="006F3719" w:rsidP="006F3719">
      <w:pPr>
        <w:rPr>
          <w:b/>
          <w:sz w:val="28"/>
          <w:szCs w:val="28"/>
        </w:rPr>
      </w:pPr>
    </w:p>
    <w:p w14:paraId="31E90B75" w14:textId="77777777" w:rsidR="006F3719" w:rsidRDefault="006F3719" w:rsidP="006F3719">
      <w:pPr>
        <w:rPr>
          <w:b/>
          <w:sz w:val="28"/>
          <w:szCs w:val="28"/>
        </w:rPr>
      </w:pPr>
      <w:r>
        <w:rPr>
          <w:b/>
          <w:sz w:val="28"/>
          <w:szCs w:val="28"/>
        </w:rPr>
        <w:br w:type="page"/>
      </w:r>
    </w:p>
    <w:p w14:paraId="54694B63" w14:textId="77777777" w:rsidR="006F3719" w:rsidRPr="00156138" w:rsidRDefault="006F3719" w:rsidP="006F3719">
      <w:pPr>
        <w:jc w:val="center"/>
        <w:rPr>
          <w:b/>
          <w:sz w:val="28"/>
          <w:szCs w:val="28"/>
        </w:rPr>
      </w:pPr>
      <w:r w:rsidRPr="00156138">
        <w:rPr>
          <w:b/>
          <w:sz w:val="28"/>
          <w:szCs w:val="28"/>
        </w:rPr>
        <w:lastRenderedPageBreak/>
        <w:t>Contents</w:t>
      </w:r>
    </w:p>
    <w:tbl>
      <w:tblPr>
        <w:tblStyle w:val="TableGrid"/>
        <w:tblW w:w="0" w:type="auto"/>
        <w:tblLook w:val="04A0" w:firstRow="1" w:lastRow="0" w:firstColumn="1" w:lastColumn="0" w:noHBand="0" w:noVBand="1"/>
      </w:tblPr>
      <w:tblGrid>
        <w:gridCol w:w="1129"/>
        <w:gridCol w:w="6379"/>
        <w:gridCol w:w="1508"/>
      </w:tblGrid>
      <w:tr w:rsidR="00156138" w14:paraId="7170B06C" w14:textId="77777777" w:rsidTr="00156138">
        <w:tc>
          <w:tcPr>
            <w:tcW w:w="1129" w:type="dxa"/>
          </w:tcPr>
          <w:p w14:paraId="667E0488" w14:textId="77777777" w:rsidR="00156138" w:rsidRPr="00156138" w:rsidRDefault="00156138" w:rsidP="006F3719">
            <w:pPr>
              <w:jc w:val="center"/>
              <w:rPr>
                <w:b/>
                <w:szCs w:val="22"/>
              </w:rPr>
            </w:pPr>
            <w:r w:rsidRPr="00156138">
              <w:rPr>
                <w:b/>
                <w:szCs w:val="22"/>
              </w:rPr>
              <w:t>Content</w:t>
            </w:r>
          </w:p>
        </w:tc>
        <w:tc>
          <w:tcPr>
            <w:tcW w:w="6379" w:type="dxa"/>
          </w:tcPr>
          <w:p w14:paraId="0B80C102" w14:textId="77777777" w:rsidR="00156138" w:rsidRDefault="00156138" w:rsidP="006F3719">
            <w:pPr>
              <w:jc w:val="center"/>
              <w:rPr>
                <w:sz w:val="28"/>
                <w:szCs w:val="28"/>
              </w:rPr>
            </w:pPr>
          </w:p>
        </w:tc>
        <w:tc>
          <w:tcPr>
            <w:tcW w:w="1508" w:type="dxa"/>
          </w:tcPr>
          <w:p w14:paraId="657916E8" w14:textId="77777777" w:rsidR="00156138" w:rsidRPr="00156138" w:rsidRDefault="00156138" w:rsidP="006F3719">
            <w:pPr>
              <w:jc w:val="center"/>
              <w:rPr>
                <w:b/>
                <w:szCs w:val="22"/>
              </w:rPr>
            </w:pPr>
            <w:r w:rsidRPr="00156138">
              <w:rPr>
                <w:b/>
                <w:szCs w:val="22"/>
              </w:rPr>
              <w:t>Page</w:t>
            </w:r>
          </w:p>
        </w:tc>
      </w:tr>
      <w:tr w:rsidR="00156138" w14:paraId="2CDE9DC2" w14:textId="77777777" w:rsidTr="00156138">
        <w:tc>
          <w:tcPr>
            <w:tcW w:w="1129" w:type="dxa"/>
          </w:tcPr>
          <w:p w14:paraId="0B2D1FE4" w14:textId="77777777" w:rsidR="00156138" w:rsidRPr="00E37542" w:rsidRDefault="00156138" w:rsidP="00FE168A">
            <w:pPr>
              <w:spacing w:before="0"/>
              <w:jc w:val="center"/>
              <w:rPr>
                <w:szCs w:val="22"/>
              </w:rPr>
            </w:pPr>
            <w:r w:rsidRPr="00E37542">
              <w:rPr>
                <w:szCs w:val="22"/>
              </w:rPr>
              <w:t>1</w:t>
            </w:r>
          </w:p>
        </w:tc>
        <w:tc>
          <w:tcPr>
            <w:tcW w:w="6379" w:type="dxa"/>
          </w:tcPr>
          <w:p w14:paraId="5D2D1CA8" w14:textId="77777777" w:rsidR="00156138" w:rsidRDefault="00156138" w:rsidP="00FE168A">
            <w:pPr>
              <w:spacing w:before="0"/>
              <w:rPr>
                <w:szCs w:val="22"/>
              </w:rPr>
            </w:pPr>
            <w:r w:rsidRPr="00651CC1">
              <w:rPr>
                <w:szCs w:val="22"/>
              </w:rPr>
              <w:t>Introduction</w:t>
            </w:r>
          </w:p>
          <w:p w14:paraId="26B14707" w14:textId="77777777" w:rsidR="00085083" w:rsidRDefault="00085083" w:rsidP="00FE168A">
            <w:pPr>
              <w:spacing w:before="0"/>
              <w:rPr>
                <w:szCs w:val="22"/>
              </w:rPr>
            </w:pPr>
            <w:r>
              <w:rPr>
                <w:szCs w:val="22"/>
              </w:rPr>
              <w:t>1.1 Purpose</w:t>
            </w:r>
          </w:p>
          <w:p w14:paraId="79FEA3E4" w14:textId="77777777" w:rsidR="00FE168A" w:rsidRPr="00651CC1" w:rsidRDefault="00FE168A" w:rsidP="00FE168A">
            <w:pPr>
              <w:spacing w:before="0"/>
              <w:rPr>
                <w:szCs w:val="22"/>
              </w:rPr>
            </w:pPr>
          </w:p>
        </w:tc>
        <w:tc>
          <w:tcPr>
            <w:tcW w:w="1508" w:type="dxa"/>
          </w:tcPr>
          <w:p w14:paraId="38E2658E" w14:textId="77777777" w:rsidR="00085083" w:rsidRPr="00E37542" w:rsidRDefault="00085083" w:rsidP="00FE168A">
            <w:pPr>
              <w:spacing w:before="0"/>
              <w:jc w:val="center"/>
              <w:rPr>
                <w:szCs w:val="22"/>
              </w:rPr>
            </w:pPr>
          </w:p>
          <w:p w14:paraId="605EB8A6" w14:textId="77777777" w:rsidR="00156138" w:rsidRPr="00E37542" w:rsidRDefault="00156138" w:rsidP="00FE168A">
            <w:pPr>
              <w:spacing w:before="0"/>
              <w:jc w:val="center"/>
              <w:rPr>
                <w:szCs w:val="22"/>
              </w:rPr>
            </w:pPr>
            <w:r w:rsidRPr="00E37542">
              <w:rPr>
                <w:szCs w:val="22"/>
              </w:rPr>
              <w:t>4</w:t>
            </w:r>
          </w:p>
        </w:tc>
      </w:tr>
      <w:tr w:rsidR="00156138" w14:paraId="6ACCEFC1" w14:textId="77777777" w:rsidTr="00156138">
        <w:tc>
          <w:tcPr>
            <w:tcW w:w="1129" w:type="dxa"/>
          </w:tcPr>
          <w:p w14:paraId="7356F311" w14:textId="77777777" w:rsidR="00156138" w:rsidRPr="00E37542" w:rsidRDefault="00936E65" w:rsidP="00FE168A">
            <w:pPr>
              <w:spacing w:before="0"/>
              <w:jc w:val="center"/>
              <w:rPr>
                <w:szCs w:val="22"/>
              </w:rPr>
            </w:pPr>
            <w:r w:rsidRPr="00E37542">
              <w:rPr>
                <w:szCs w:val="22"/>
              </w:rPr>
              <w:t>2</w:t>
            </w:r>
          </w:p>
        </w:tc>
        <w:tc>
          <w:tcPr>
            <w:tcW w:w="6379" w:type="dxa"/>
          </w:tcPr>
          <w:p w14:paraId="69B7B9FA" w14:textId="77777777" w:rsidR="00936E65" w:rsidRDefault="00936E65" w:rsidP="00FE168A">
            <w:pPr>
              <w:spacing w:before="0"/>
              <w:jc w:val="left"/>
              <w:rPr>
                <w:szCs w:val="22"/>
              </w:rPr>
            </w:pPr>
            <w:r w:rsidRPr="00651CC1">
              <w:rPr>
                <w:szCs w:val="22"/>
              </w:rPr>
              <w:t xml:space="preserve">Duties and Responsibilities </w:t>
            </w:r>
          </w:p>
          <w:p w14:paraId="48668DC0" w14:textId="77777777" w:rsidR="00FE168A" w:rsidRPr="00651CC1" w:rsidRDefault="00FE168A" w:rsidP="00FE168A">
            <w:pPr>
              <w:spacing w:before="0"/>
              <w:jc w:val="left"/>
              <w:rPr>
                <w:szCs w:val="22"/>
              </w:rPr>
            </w:pPr>
          </w:p>
        </w:tc>
        <w:tc>
          <w:tcPr>
            <w:tcW w:w="1508" w:type="dxa"/>
          </w:tcPr>
          <w:p w14:paraId="2158E81A" w14:textId="77777777" w:rsidR="00156138" w:rsidRPr="00E37542" w:rsidRDefault="00651CC1" w:rsidP="00FE168A">
            <w:pPr>
              <w:spacing w:before="0"/>
              <w:jc w:val="center"/>
              <w:rPr>
                <w:szCs w:val="22"/>
              </w:rPr>
            </w:pPr>
            <w:r w:rsidRPr="00E37542">
              <w:rPr>
                <w:szCs w:val="22"/>
              </w:rPr>
              <w:t>4</w:t>
            </w:r>
          </w:p>
        </w:tc>
      </w:tr>
      <w:tr w:rsidR="00156138" w14:paraId="7DB53F09" w14:textId="77777777" w:rsidTr="00156138">
        <w:tc>
          <w:tcPr>
            <w:tcW w:w="1129" w:type="dxa"/>
          </w:tcPr>
          <w:p w14:paraId="5316B5CD" w14:textId="77777777" w:rsidR="00156138" w:rsidRPr="00E37542" w:rsidRDefault="00651CC1" w:rsidP="00FE168A">
            <w:pPr>
              <w:spacing w:before="0"/>
              <w:jc w:val="center"/>
              <w:rPr>
                <w:szCs w:val="22"/>
              </w:rPr>
            </w:pPr>
            <w:r w:rsidRPr="00E37542">
              <w:rPr>
                <w:szCs w:val="22"/>
              </w:rPr>
              <w:t>3</w:t>
            </w:r>
          </w:p>
        </w:tc>
        <w:tc>
          <w:tcPr>
            <w:tcW w:w="6379" w:type="dxa"/>
          </w:tcPr>
          <w:p w14:paraId="29494886" w14:textId="77777777" w:rsidR="00651CC1" w:rsidRDefault="00651CC1" w:rsidP="00FE168A">
            <w:pPr>
              <w:spacing w:before="0"/>
              <w:jc w:val="left"/>
              <w:rPr>
                <w:szCs w:val="22"/>
              </w:rPr>
            </w:pPr>
            <w:r w:rsidRPr="00651CC1">
              <w:rPr>
                <w:szCs w:val="22"/>
              </w:rPr>
              <w:t xml:space="preserve">Definition Used </w:t>
            </w:r>
          </w:p>
          <w:p w14:paraId="7B70085B" w14:textId="77777777" w:rsidR="00FE168A" w:rsidRPr="00651CC1" w:rsidRDefault="00FE168A" w:rsidP="00FE168A">
            <w:pPr>
              <w:spacing w:before="0"/>
              <w:jc w:val="left"/>
              <w:rPr>
                <w:szCs w:val="22"/>
              </w:rPr>
            </w:pPr>
          </w:p>
        </w:tc>
        <w:tc>
          <w:tcPr>
            <w:tcW w:w="1508" w:type="dxa"/>
          </w:tcPr>
          <w:p w14:paraId="13FD766F" w14:textId="77777777" w:rsidR="00156138" w:rsidRPr="00E37542" w:rsidRDefault="00651CC1" w:rsidP="00FE168A">
            <w:pPr>
              <w:spacing w:before="0"/>
              <w:jc w:val="center"/>
              <w:rPr>
                <w:szCs w:val="22"/>
              </w:rPr>
            </w:pPr>
            <w:r w:rsidRPr="00E37542">
              <w:rPr>
                <w:szCs w:val="22"/>
              </w:rPr>
              <w:t>5</w:t>
            </w:r>
          </w:p>
        </w:tc>
      </w:tr>
      <w:tr w:rsidR="00156138" w14:paraId="533EE354" w14:textId="77777777" w:rsidTr="00156138">
        <w:tc>
          <w:tcPr>
            <w:tcW w:w="1129" w:type="dxa"/>
          </w:tcPr>
          <w:p w14:paraId="2D403DBF" w14:textId="77777777" w:rsidR="00156138" w:rsidRPr="00E37542" w:rsidRDefault="006473E1" w:rsidP="00FE168A">
            <w:pPr>
              <w:spacing w:before="0"/>
              <w:jc w:val="center"/>
              <w:rPr>
                <w:szCs w:val="22"/>
              </w:rPr>
            </w:pPr>
            <w:r w:rsidRPr="00E37542">
              <w:rPr>
                <w:szCs w:val="22"/>
              </w:rPr>
              <w:t>4</w:t>
            </w:r>
          </w:p>
        </w:tc>
        <w:tc>
          <w:tcPr>
            <w:tcW w:w="6379" w:type="dxa"/>
          </w:tcPr>
          <w:p w14:paraId="148D9D6F" w14:textId="77777777" w:rsidR="00156138" w:rsidRDefault="006473E1" w:rsidP="00FE168A">
            <w:pPr>
              <w:spacing w:before="0"/>
              <w:jc w:val="left"/>
              <w:rPr>
                <w:szCs w:val="22"/>
              </w:rPr>
            </w:pPr>
            <w:r w:rsidRPr="006473E1">
              <w:rPr>
                <w:szCs w:val="22"/>
              </w:rPr>
              <w:t xml:space="preserve">General </w:t>
            </w:r>
            <w:r>
              <w:rPr>
                <w:szCs w:val="22"/>
              </w:rPr>
              <w:t>P</w:t>
            </w:r>
            <w:r w:rsidRPr="006473E1">
              <w:rPr>
                <w:szCs w:val="22"/>
              </w:rPr>
              <w:t xml:space="preserve">rinciples of </w:t>
            </w:r>
            <w:r>
              <w:rPr>
                <w:szCs w:val="22"/>
              </w:rPr>
              <w:t>Antimicrobial Prescribing</w:t>
            </w:r>
          </w:p>
          <w:p w14:paraId="17DD6506" w14:textId="77777777" w:rsidR="00BE48A2" w:rsidRDefault="00BE48A2" w:rsidP="00BE48A2">
            <w:pPr>
              <w:pStyle w:val="ListParagraph"/>
              <w:numPr>
                <w:ilvl w:val="1"/>
                <w:numId w:val="36"/>
              </w:numPr>
              <w:spacing w:before="0"/>
              <w:jc w:val="left"/>
              <w:rPr>
                <w:szCs w:val="22"/>
              </w:rPr>
            </w:pPr>
            <w:r w:rsidRPr="00BE48A2">
              <w:rPr>
                <w:szCs w:val="22"/>
              </w:rPr>
              <w:t>Antimicrobial Guidelines and Resources</w:t>
            </w:r>
          </w:p>
          <w:p w14:paraId="2379456A" w14:textId="77777777" w:rsidR="00E37542" w:rsidRDefault="00E37542" w:rsidP="00BE48A2">
            <w:pPr>
              <w:pStyle w:val="ListParagraph"/>
              <w:numPr>
                <w:ilvl w:val="1"/>
                <w:numId w:val="36"/>
              </w:numPr>
              <w:spacing w:before="0"/>
              <w:jc w:val="left"/>
              <w:rPr>
                <w:szCs w:val="22"/>
              </w:rPr>
            </w:pPr>
            <w:r>
              <w:rPr>
                <w:szCs w:val="22"/>
              </w:rPr>
              <w:t>Start SMART, then FOCUS</w:t>
            </w:r>
          </w:p>
          <w:p w14:paraId="7E68A9C1" w14:textId="77777777" w:rsidR="00E37542" w:rsidRDefault="00E37542" w:rsidP="00BE48A2">
            <w:pPr>
              <w:pStyle w:val="ListParagraph"/>
              <w:numPr>
                <w:ilvl w:val="1"/>
                <w:numId w:val="36"/>
              </w:numPr>
              <w:spacing w:before="0"/>
              <w:jc w:val="left"/>
              <w:rPr>
                <w:szCs w:val="22"/>
              </w:rPr>
            </w:pPr>
            <w:r>
              <w:rPr>
                <w:szCs w:val="22"/>
              </w:rPr>
              <w:t>Documentation in Patient Medical Record</w:t>
            </w:r>
          </w:p>
          <w:p w14:paraId="10453E70" w14:textId="77777777" w:rsidR="00E37542" w:rsidRPr="00E37542" w:rsidRDefault="00E37542" w:rsidP="00E37542">
            <w:pPr>
              <w:pStyle w:val="ListParagraph"/>
              <w:numPr>
                <w:ilvl w:val="1"/>
                <w:numId w:val="36"/>
              </w:numPr>
              <w:rPr>
                <w:szCs w:val="22"/>
              </w:rPr>
            </w:pPr>
            <w:r w:rsidRPr="00E37542">
              <w:rPr>
                <w:szCs w:val="22"/>
              </w:rPr>
              <w:t>Hypersensitivity Reactions and Allergy Status</w:t>
            </w:r>
          </w:p>
          <w:p w14:paraId="4B7902C3" w14:textId="77777777" w:rsidR="00E37542" w:rsidRPr="00E37542" w:rsidRDefault="00E37542" w:rsidP="00E37542">
            <w:pPr>
              <w:pStyle w:val="ListParagraph"/>
              <w:numPr>
                <w:ilvl w:val="1"/>
                <w:numId w:val="36"/>
              </w:numPr>
              <w:rPr>
                <w:szCs w:val="22"/>
              </w:rPr>
            </w:pPr>
            <w:r w:rsidRPr="00E37542">
              <w:rPr>
                <w:szCs w:val="22"/>
              </w:rPr>
              <w:t>Advise for Patients and / or Family or Carers</w:t>
            </w:r>
          </w:p>
          <w:p w14:paraId="7C6BD5E4" w14:textId="77777777" w:rsidR="00FE6D7A" w:rsidRPr="00FE6D7A" w:rsidRDefault="00FE6D7A" w:rsidP="00FE6D7A">
            <w:pPr>
              <w:pStyle w:val="ListParagraph"/>
              <w:numPr>
                <w:ilvl w:val="1"/>
                <w:numId w:val="36"/>
              </w:numPr>
              <w:rPr>
                <w:szCs w:val="22"/>
              </w:rPr>
            </w:pPr>
            <w:r w:rsidRPr="00FE6D7A">
              <w:rPr>
                <w:szCs w:val="22"/>
              </w:rPr>
              <w:t>Intravenous (IV) Therapy</w:t>
            </w:r>
          </w:p>
          <w:p w14:paraId="4FF990FA" w14:textId="77777777" w:rsidR="00FE6D7A" w:rsidRPr="00FE6D7A" w:rsidRDefault="00FE6D7A" w:rsidP="00FE6D7A">
            <w:pPr>
              <w:pStyle w:val="ListParagraph"/>
              <w:numPr>
                <w:ilvl w:val="1"/>
                <w:numId w:val="36"/>
              </w:numPr>
              <w:rPr>
                <w:szCs w:val="22"/>
              </w:rPr>
            </w:pPr>
            <w:r w:rsidRPr="00FE6D7A">
              <w:rPr>
                <w:szCs w:val="22"/>
              </w:rPr>
              <w:t>Antimicrobials at Discharge</w:t>
            </w:r>
          </w:p>
          <w:p w14:paraId="343B981E" w14:textId="77777777" w:rsidR="00E37542" w:rsidRPr="00BE48A2" w:rsidRDefault="00FE6D7A" w:rsidP="00BE48A2">
            <w:pPr>
              <w:pStyle w:val="ListParagraph"/>
              <w:numPr>
                <w:ilvl w:val="1"/>
                <w:numId w:val="36"/>
              </w:numPr>
              <w:spacing w:before="0"/>
              <w:jc w:val="left"/>
              <w:rPr>
                <w:szCs w:val="22"/>
              </w:rPr>
            </w:pPr>
            <w:r>
              <w:rPr>
                <w:szCs w:val="22"/>
              </w:rPr>
              <w:t>Notifiable Diseases</w:t>
            </w:r>
          </w:p>
          <w:p w14:paraId="6D4793CF" w14:textId="77777777" w:rsidR="00FE168A" w:rsidRPr="00FE168A" w:rsidRDefault="00FE168A" w:rsidP="00FE168A">
            <w:pPr>
              <w:spacing w:before="0"/>
              <w:jc w:val="left"/>
              <w:rPr>
                <w:szCs w:val="22"/>
              </w:rPr>
            </w:pPr>
          </w:p>
        </w:tc>
        <w:tc>
          <w:tcPr>
            <w:tcW w:w="1508" w:type="dxa"/>
          </w:tcPr>
          <w:p w14:paraId="6DFE4F07" w14:textId="77777777" w:rsidR="00156138" w:rsidRPr="00E37542" w:rsidRDefault="006473E1" w:rsidP="00E37542">
            <w:pPr>
              <w:spacing w:before="0"/>
              <w:jc w:val="center"/>
              <w:rPr>
                <w:szCs w:val="22"/>
              </w:rPr>
            </w:pPr>
            <w:r w:rsidRPr="00E37542">
              <w:rPr>
                <w:szCs w:val="22"/>
              </w:rPr>
              <w:t>5</w:t>
            </w:r>
          </w:p>
          <w:p w14:paraId="502AAFDC" w14:textId="77777777" w:rsidR="00E37542" w:rsidRPr="00E37542" w:rsidRDefault="00E37542" w:rsidP="00E37542">
            <w:pPr>
              <w:spacing w:before="0"/>
              <w:jc w:val="center"/>
              <w:rPr>
                <w:szCs w:val="22"/>
              </w:rPr>
            </w:pPr>
            <w:r w:rsidRPr="00E37542">
              <w:rPr>
                <w:szCs w:val="22"/>
              </w:rPr>
              <w:t>6</w:t>
            </w:r>
          </w:p>
          <w:p w14:paraId="10A96F8E" w14:textId="77777777" w:rsidR="00E37542" w:rsidRPr="00E37542" w:rsidRDefault="00E37542" w:rsidP="00E37542">
            <w:pPr>
              <w:spacing w:before="0"/>
              <w:jc w:val="center"/>
              <w:rPr>
                <w:szCs w:val="22"/>
              </w:rPr>
            </w:pPr>
            <w:r w:rsidRPr="00E37542">
              <w:rPr>
                <w:szCs w:val="22"/>
              </w:rPr>
              <w:t>6</w:t>
            </w:r>
          </w:p>
          <w:p w14:paraId="4F294BE3" w14:textId="77777777" w:rsidR="00E37542" w:rsidRDefault="00E37542" w:rsidP="00E37542">
            <w:pPr>
              <w:spacing w:before="0"/>
              <w:jc w:val="center"/>
              <w:rPr>
                <w:szCs w:val="22"/>
              </w:rPr>
            </w:pPr>
            <w:r w:rsidRPr="00E37542">
              <w:rPr>
                <w:szCs w:val="22"/>
              </w:rPr>
              <w:t>8</w:t>
            </w:r>
          </w:p>
          <w:p w14:paraId="7E51313B" w14:textId="77777777" w:rsidR="00E37542" w:rsidRDefault="00E37542" w:rsidP="00E37542">
            <w:pPr>
              <w:spacing w:before="0"/>
              <w:jc w:val="center"/>
              <w:rPr>
                <w:szCs w:val="22"/>
              </w:rPr>
            </w:pPr>
            <w:r>
              <w:rPr>
                <w:szCs w:val="22"/>
              </w:rPr>
              <w:t>9</w:t>
            </w:r>
          </w:p>
          <w:p w14:paraId="0BDAA89C" w14:textId="77777777" w:rsidR="00E37542" w:rsidRDefault="00E37542" w:rsidP="00E37542">
            <w:pPr>
              <w:spacing w:before="0"/>
              <w:jc w:val="center"/>
              <w:rPr>
                <w:szCs w:val="22"/>
              </w:rPr>
            </w:pPr>
            <w:r>
              <w:rPr>
                <w:szCs w:val="22"/>
              </w:rPr>
              <w:t>9</w:t>
            </w:r>
          </w:p>
          <w:p w14:paraId="5E832C08" w14:textId="77777777" w:rsidR="00FE6D7A" w:rsidRDefault="00FE6D7A" w:rsidP="00E37542">
            <w:pPr>
              <w:spacing w:before="0"/>
              <w:jc w:val="center"/>
              <w:rPr>
                <w:szCs w:val="22"/>
              </w:rPr>
            </w:pPr>
            <w:r>
              <w:rPr>
                <w:szCs w:val="22"/>
              </w:rPr>
              <w:t>10</w:t>
            </w:r>
          </w:p>
          <w:p w14:paraId="693D140F" w14:textId="77777777" w:rsidR="00FE6D7A" w:rsidRDefault="00FE6D7A" w:rsidP="00E37542">
            <w:pPr>
              <w:spacing w:before="0"/>
              <w:jc w:val="center"/>
              <w:rPr>
                <w:szCs w:val="22"/>
              </w:rPr>
            </w:pPr>
            <w:r>
              <w:rPr>
                <w:szCs w:val="22"/>
              </w:rPr>
              <w:t>10</w:t>
            </w:r>
          </w:p>
          <w:p w14:paraId="67376587" w14:textId="77777777" w:rsidR="00FE6D7A" w:rsidRPr="00156138" w:rsidRDefault="00FE6D7A" w:rsidP="00E37542">
            <w:pPr>
              <w:spacing w:before="0"/>
              <w:jc w:val="center"/>
              <w:rPr>
                <w:b/>
                <w:szCs w:val="22"/>
              </w:rPr>
            </w:pPr>
            <w:r>
              <w:rPr>
                <w:szCs w:val="22"/>
              </w:rPr>
              <w:t>10</w:t>
            </w:r>
          </w:p>
        </w:tc>
      </w:tr>
      <w:tr w:rsidR="00156138" w14:paraId="0E63D577" w14:textId="77777777" w:rsidTr="00156138">
        <w:tc>
          <w:tcPr>
            <w:tcW w:w="1129" w:type="dxa"/>
          </w:tcPr>
          <w:p w14:paraId="2EA3EDF3" w14:textId="77777777" w:rsidR="00156138" w:rsidRPr="00E37542" w:rsidRDefault="00275B8A" w:rsidP="00FE168A">
            <w:pPr>
              <w:spacing w:before="0"/>
              <w:jc w:val="center"/>
              <w:rPr>
                <w:szCs w:val="22"/>
              </w:rPr>
            </w:pPr>
            <w:r w:rsidRPr="00E37542">
              <w:rPr>
                <w:szCs w:val="22"/>
              </w:rPr>
              <w:t>5</w:t>
            </w:r>
          </w:p>
        </w:tc>
        <w:tc>
          <w:tcPr>
            <w:tcW w:w="6379" w:type="dxa"/>
          </w:tcPr>
          <w:p w14:paraId="61EC5459" w14:textId="77777777" w:rsidR="00156138" w:rsidRDefault="00275B8A" w:rsidP="00FE168A">
            <w:pPr>
              <w:spacing w:before="0"/>
              <w:rPr>
                <w:szCs w:val="22"/>
              </w:rPr>
            </w:pPr>
            <w:r>
              <w:rPr>
                <w:szCs w:val="22"/>
              </w:rPr>
              <w:t>Education and Training</w:t>
            </w:r>
          </w:p>
          <w:p w14:paraId="426CC8B4" w14:textId="77777777" w:rsidR="00FE168A" w:rsidRPr="00275B8A" w:rsidRDefault="00FE168A" w:rsidP="00FE168A">
            <w:pPr>
              <w:spacing w:before="0"/>
              <w:rPr>
                <w:szCs w:val="22"/>
              </w:rPr>
            </w:pPr>
          </w:p>
        </w:tc>
        <w:tc>
          <w:tcPr>
            <w:tcW w:w="1508" w:type="dxa"/>
          </w:tcPr>
          <w:p w14:paraId="625C6A38" w14:textId="77777777" w:rsidR="00156138" w:rsidRPr="000C2007" w:rsidRDefault="00D57532" w:rsidP="00FE168A">
            <w:pPr>
              <w:spacing w:before="0"/>
              <w:jc w:val="center"/>
              <w:rPr>
                <w:szCs w:val="22"/>
              </w:rPr>
            </w:pPr>
            <w:r>
              <w:rPr>
                <w:szCs w:val="22"/>
              </w:rPr>
              <w:t>11</w:t>
            </w:r>
          </w:p>
        </w:tc>
      </w:tr>
      <w:tr w:rsidR="00156138" w14:paraId="513B9DF2" w14:textId="77777777" w:rsidTr="00156138">
        <w:tc>
          <w:tcPr>
            <w:tcW w:w="1129" w:type="dxa"/>
          </w:tcPr>
          <w:p w14:paraId="2700F805" w14:textId="77777777" w:rsidR="00156138" w:rsidRPr="00E37542" w:rsidRDefault="00275B8A" w:rsidP="00FE168A">
            <w:pPr>
              <w:spacing w:before="0"/>
              <w:jc w:val="center"/>
              <w:rPr>
                <w:szCs w:val="22"/>
              </w:rPr>
            </w:pPr>
            <w:r w:rsidRPr="00E37542">
              <w:rPr>
                <w:szCs w:val="22"/>
              </w:rPr>
              <w:t>6</w:t>
            </w:r>
          </w:p>
        </w:tc>
        <w:tc>
          <w:tcPr>
            <w:tcW w:w="6379" w:type="dxa"/>
          </w:tcPr>
          <w:p w14:paraId="6B379DB9" w14:textId="77777777" w:rsidR="00156138" w:rsidRDefault="00275B8A" w:rsidP="00FE168A">
            <w:pPr>
              <w:spacing w:before="0"/>
              <w:rPr>
                <w:szCs w:val="22"/>
              </w:rPr>
            </w:pPr>
            <w:r>
              <w:rPr>
                <w:szCs w:val="22"/>
              </w:rPr>
              <w:t>Approval and Ratification</w:t>
            </w:r>
          </w:p>
          <w:p w14:paraId="4FAAAE1A" w14:textId="77777777" w:rsidR="00FE168A" w:rsidRPr="00275B8A" w:rsidRDefault="00FE168A" w:rsidP="00FE168A">
            <w:pPr>
              <w:spacing w:before="0"/>
              <w:rPr>
                <w:szCs w:val="22"/>
              </w:rPr>
            </w:pPr>
          </w:p>
        </w:tc>
        <w:tc>
          <w:tcPr>
            <w:tcW w:w="1508" w:type="dxa"/>
          </w:tcPr>
          <w:p w14:paraId="61E60ADD" w14:textId="77777777" w:rsidR="00156138" w:rsidRPr="000C2007" w:rsidRDefault="009A025D" w:rsidP="00FE168A">
            <w:pPr>
              <w:spacing w:before="0"/>
              <w:jc w:val="center"/>
              <w:rPr>
                <w:szCs w:val="22"/>
              </w:rPr>
            </w:pPr>
            <w:r>
              <w:rPr>
                <w:szCs w:val="22"/>
              </w:rPr>
              <w:t>11</w:t>
            </w:r>
          </w:p>
        </w:tc>
      </w:tr>
      <w:tr w:rsidR="00156138" w14:paraId="24D878DC" w14:textId="77777777" w:rsidTr="00156138">
        <w:tc>
          <w:tcPr>
            <w:tcW w:w="1129" w:type="dxa"/>
          </w:tcPr>
          <w:p w14:paraId="772728B3" w14:textId="77777777" w:rsidR="00156138" w:rsidRPr="00E37542" w:rsidRDefault="00275B8A" w:rsidP="00FE168A">
            <w:pPr>
              <w:spacing w:before="0"/>
              <w:jc w:val="center"/>
              <w:rPr>
                <w:szCs w:val="22"/>
              </w:rPr>
            </w:pPr>
            <w:r w:rsidRPr="00E37542">
              <w:rPr>
                <w:szCs w:val="22"/>
              </w:rPr>
              <w:t>7</w:t>
            </w:r>
          </w:p>
        </w:tc>
        <w:tc>
          <w:tcPr>
            <w:tcW w:w="6379" w:type="dxa"/>
          </w:tcPr>
          <w:p w14:paraId="3451486C" w14:textId="77777777" w:rsidR="00156138" w:rsidRPr="00275B8A" w:rsidRDefault="00275B8A" w:rsidP="00FE168A">
            <w:pPr>
              <w:spacing w:before="0"/>
              <w:rPr>
                <w:szCs w:val="22"/>
              </w:rPr>
            </w:pPr>
            <w:r>
              <w:rPr>
                <w:szCs w:val="22"/>
              </w:rPr>
              <w:t>Monitoring Compliance and Effectiveness</w:t>
            </w:r>
          </w:p>
          <w:p w14:paraId="2D543891" w14:textId="77777777" w:rsidR="00156138" w:rsidRPr="00275B8A" w:rsidRDefault="00156138" w:rsidP="00FE168A">
            <w:pPr>
              <w:spacing w:before="0"/>
              <w:jc w:val="center"/>
              <w:rPr>
                <w:szCs w:val="22"/>
              </w:rPr>
            </w:pPr>
          </w:p>
        </w:tc>
        <w:tc>
          <w:tcPr>
            <w:tcW w:w="1508" w:type="dxa"/>
          </w:tcPr>
          <w:p w14:paraId="130AEAA5" w14:textId="77777777" w:rsidR="00156138" w:rsidRPr="000C2007" w:rsidRDefault="009A025D" w:rsidP="00FE168A">
            <w:pPr>
              <w:spacing w:before="0"/>
              <w:jc w:val="center"/>
              <w:rPr>
                <w:szCs w:val="22"/>
              </w:rPr>
            </w:pPr>
            <w:r>
              <w:rPr>
                <w:szCs w:val="22"/>
              </w:rPr>
              <w:t>11</w:t>
            </w:r>
          </w:p>
        </w:tc>
      </w:tr>
      <w:tr w:rsidR="00156138" w14:paraId="739C9D46" w14:textId="77777777" w:rsidTr="00156138">
        <w:tc>
          <w:tcPr>
            <w:tcW w:w="1129" w:type="dxa"/>
          </w:tcPr>
          <w:p w14:paraId="1FA15D40" w14:textId="77777777" w:rsidR="00156138" w:rsidRPr="00E37542" w:rsidRDefault="004327F1" w:rsidP="00FE168A">
            <w:pPr>
              <w:spacing w:before="0"/>
              <w:jc w:val="center"/>
              <w:rPr>
                <w:szCs w:val="22"/>
              </w:rPr>
            </w:pPr>
            <w:r w:rsidRPr="00E37542">
              <w:rPr>
                <w:szCs w:val="22"/>
              </w:rPr>
              <w:t>8</w:t>
            </w:r>
          </w:p>
        </w:tc>
        <w:tc>
          <w:tcPr>
            <w:tcW w:w="6379" w:type="dxa"/>
          </w:tcPr>
          <w:p w14:paraId="0C83251D" w14:textId="77777777" w:rsidR="00156138" w:rsidRPr="00275B8A" w:rsidRDefault="004327F1" w:rsidP="00FE168A">
            <w:pPr>
              <w:spacing w:before="0"/>
              <w:rPr>
                <w:szCs w:val="22"/>
              </w:rPr>
            </w:pPr>
            <w:r>
              <w:rPr>
                <w:szCs w:val="22"/>
              </w:rPr>
              <w:t>Policies to which this relates</w:t>
            </w:r>
          </w:p>
          <w:p w14:paraId="1E337A3E" w14:textId="77777777" w:rsidR="00156138" w:rsidRPr="00275B8A" w:rsidRDefault="00156138" w:rsidP="00FE168A">
            <w:pPr>
              <w:spacing w:before="0"/>
              <w:jc w:val="center"/>
              <w:rPr>
                <w:szCs w:val="22"/>
              </w:rPr>
            </w:pPr>
          </w:p>
        </w:tc>
        <w:tc>
          <w:tcPr>
            <w:tcW w:w="1508" w:type="dxa"/>
          </w:tcPr>
          <w:p w14:paraId="37E5528C" w14:textId="77777777" w:rsidR="00156138" w:rsidRPr="000C2007" w:rsidRDefault="009A025D" w:rsidP="00FE168A">
            <w:pPr>
              <w:spacing w:before="0"/>
              <w:jc w:val="center"/>
              <w:rPr>
                <w:szCs w:val="22"/>
              </w:rPr>
            </w:pPr>
            <w:r>
              <w:rPr>
                <w:szCs w:val="22"/>
              </w:rPr>
              <w:t>11</w:t>
            </w:r>
          </w:p>
        </w:tc>
      </w:tr>
      <w:tr w:rsidR="00156138" w14:paraId="5E4B6D71" w14:textId="77777777" w:rsidTr="00156138">
        <w:tc>
          <w:tcPr>
            <w:tcW w:w="1129" w:type="dxa"/>
          </w:tcPr>
          <w:p w14:paraId="5A4A6D28" w14:textId="77777777" w:rsidR="00156138" w:rsidRPr="00E37542" w:rsidRDefault="004327F1" w:rsidP="00FE168A">
            <w:pPr>
              <w:spacing w:before="0"/>
              <w:jc w:val="center"/>
              <w:rPr>
                <w:szCs w:val="22"/>
              </w:rPr>
            </w:pPr>
            <w:r w:rsidRPr="00E37542">
              <w:rPr>
                <w:szCs w:val="22"/>
              </w:rPr>
              <w:t>9</w:t>
            </w:r>
          </w:p>
        </w:tc>
        <w:tc>
          <w:tcPr>
            <w:tcW w:w="6379" w:type="dxa"/>
          </w:tcPr>
          <w:p w14:paraId="744A7291" w14:textId="77777777" w:rsidR="00156138" w:rsidRPr="00275B8A" w:rsidRDefault="004327F1" w:rsidP="00FE168A">
            <w:pPr>
              <w:spacing w:before="0"/>
              <w:rPr>
                <w:szCs w:val="22"/>
              </w:rPr>
            </w:pPr>
            <w:r>
              <w:rPr>
                <w:szCs w:val="22"/>
              </w:rPr>
              <w:t>Consultation</w:t>
            </w:r>
          </w:p>
          <w:p w14:paraId="671A191D" w14:textId="77777777" w:rsidR="00156138" w:rsidRPr="00275B8A" w:rsidRDefault="00156138" w:rsidP="00FE168A">
            <w:pPr>
              <w:spacing w:before="0"/>
              <w:jc w:val="center"/>
              <w:rPr>
                <w:szCs w:val="22"/>
              </w:rPr>
            </w:pPr>
          </w:p>
        </w:tc>
        <w:tc>
          <w:tcPr>
            <w:tcW w:w="1508" w:type="dxa"/>
          </w:tcPr>
          <w:p w14:paraId="6F4251DD" w14:textId="77777777" w:rsidR="00156138" w:rsidRPr="000C2007" w:rsidRDefault="009A025D" w:rsidP="00FE168A">
            <w:pPr>
              <w:spacing w:before="0"/>
              <w:jc w:val="center"/>
              <w:rPr>
                <w:szCs w:val="22"/>
              </w:rPr>
            </w:pPr>
            <w:r>
              <w:rPr>
                <w:szCs w:val="22"/>
              </w:rPr>
              <w:t>11</w:t>
            </w:r>
          </w:p>
        </w:tc>
      </w:tr>
      <w:tr w:rsidR="00156138" w14:paraId="54C7A4DA" w14:textId="77777777" w:rsidTr="00156138">
        <w:tc>
          <w:tcPr>
            <w:tcW w:w="1129" w:type="dxa"/>
          </w:tcPr>
          <w:p w14:paraId="0EB26018" w14:textId="77777777" w:rsidR="00156138" w:rsidRPr="00E37542" w:rsidRDefault="004327F1" w:rsidP="00FE168A">
            <w:pPr>
              <w:spacing w:before="0"/>
              <w:jc w:val="center"/>
              <w:rPr>
                <w:szCs w:val="22"/>
              </w:rPr>
            </w:pPr>
            <w:r w:rsidRPr="00E37542">
              <w:rPr>
                <w:szCs w:val="22"/>
              </w:rPr>
              <w:t>10</w:t>
            </w:r>
          </w:p>
        </w:tc>
        <w:tc>
          <w:tcPr>
            <w:tcW w:w="6379" w:type="dxa"/>
          </w:tcPr>
          <w:p w14:paraId="6C1D3C9A" w14:textId="77777777" w:rsidR="00156138" w:rsidRPr="00275B8A" w:rsidRDefault="004327F1" w:rsidP="00FE168A">
            <w:pPr>
              <w:spacing w:before="0"/>
              <w:rPr>
                <w:szCs w:val="22"/>
              </w:rPr>
            </w:pPr>
            <w:r>
              <w:rPr>
                <w:szCs w:val="22"/>
              </w:rPr>
              <w:t>References</w:t>
            </w:r>
          </w:p>
          <w:p w14:paraId="38AACF84" w14:textId="77777777" w:rsidR="00156138" w:rsidRPr="00275B8A" w:rsidRDefault="00156138" w:rsidP="00FE168A">
            <w:pPr>
              <w:spacing w:before="0"/>
              <w:jc w:val="center"/>
              <w:rPr>
                <w:szCs w:val="22"/>
              </w:rPr>
            </w:pPr>
          </w:p>
        </w:tc>
        <w:tc>
          <w:tcPr>
            <w:tcW w:w="1508" w:type="dxa"/>
          </w:tcPr>
          <w:p w14:paraId="0BE7C044" w14:textId="77777777" w:rsidR="00156138" w:rsidRPr="009A025D" w:rsidRDefault="009A025D" w:rsidP="00FE168A">
            <w:pPr>
              <w:spacing w:before="0"/>
              <w:jc w:val="center"/>
              <w:rPr>
                <w:szCs w:val="22"/>
              </w:rPr>
            </w:pPr>
            <w:r w:rsidRPr="009A025D">
              <w:rPr>
                <w:szCs w:val="22"/>
              </w:rPr>
              <w:t>12</w:t>
            </w:r>
          </w:p>
        </w:tc>
      </w:tr>
      <w:tr w:rsidR="00156138" w14:paraId="479D15C0" w14:textId="77777777" w:rsidTr="00156138">
        <w:tc>
          <w:tcPr>
            <w:tcW w:w="1129" w:type="dxa"/>
          </w:tcPr>
          <w:p w14:paraId="0A0C2939" w14:textId="77777777" w:rsidR="00156138" w:rsidRPr="00156138" w:rsidRDefault="00156138" w:rsidP="009A025D">
            <w:pPr>
              <w:spacing w:before="0"/>
              <w:jc w:val="center"/>
              <w:rPr>
                <w:b/>
                <w:sz w:val="24"/>
              </w:rPr>
            </w:pPr>
          </w:p>
        </w:tc>
        <w:tc>
          <w:tcPr>
            <w:tcW w:w="6379" w:type="dxa"/>
          </w:tcPr>
          <w:p w14:paraId="0F962403" w14:textId="77777777" w:rsidR="00156138" w:rsidRDefault="009A025D" w:rsidP="008836E9">
            <w:pPr>
              <w:spacing w:before="0"/>
              <w:jc w:val="left"/>
              <w:rPr>
                <w:sz w:val="24"/>
              </w:rPr>
            </w:pPr>
            <w:r>
              <w:rPr>
                <w:sz w:val="24"/>
              </w:rPr>
              <w:t xml:space="preserve">Appendix A - </w:t>
            </w:r>
            <w:r w:rsidRPr="009A025D">
              <w:rPr>
                <w:sz w:val="24"/>
              </w:rPr>
              <w:t>Antimicrobial Stewardship Responsibilities of each staff group</w:t>
            </w:r>
          </w:p>
          <w:p w14:paraId="0DF03254" w14:textId="77777777" w:rsidR="00156138" w:rsidRPr="00156138" w:rsidRDefault="00156138" w:rsidP="008836E9">
            <w:pPr>
              <w:spacing w:before="0"/>
              <w:jc w:val="left"/>
              <w:rPr>
                <w:sz w:val="24"/>
              </w:rPr>
            </w:pPr>
          </w:p>
        </w:tc>
        <w:tc>
          <w:tcPr>
            <w:tcW w:w="1508" w:type="dxa"/>
          </w:tcPr>
          <w:p w14:paraId="52C76C93" w14:textId="77777777" w:rsidR="00156138" w:rsidRPr="009A025D" w:rsidRDefault="009A025D" w:rsidP="009A025D">
            <w:pPr>
              <w:spacing w:before="0"/>
              <w:jc w:val="center"/>
              <w:rPr>
                <w:szCs w:val="22"/>
              </w:rPr>
            </w:pPr>
            <w:r w:rsidRPr="009A025D">
              <w:rPr>
                <w:szCs w:val="22"/>
              </w:rPr>
              <w:t>14</w:t>
            </w:r>
          </w:p>
        </w:tc>
      </w:tr>
      <w:tr w:rsidR="00156138" w14:paraId="4FC1EDA7" w14:textId="77777777" w:rsidTr="00156138">
        <w:tc>
          <w:tcPr>
            <w:tcW w:w="1129" w:type="dxa"/>
          </w:tcPr>
          <w:p w14:paraId="70583220" w14:textId="77777777" w:rsidR="00156138" w:rsidRPr="00156138" w:rsidRDefault="00156138" w:rsidP="009A025D">
            <w:pPr>
              <w:spacing w:before="0"/>
              <w:jc w:val="center"/>
              <w:rPr>
                <w:b/>
                <w:sz w:val="24"/>
              </w:rPr>
            </w:pPr>
          </w:p>
        </w:tc>
        <w:tc>
          <w:tcPr>
            <w:tcW w:w="6379" w:type="dxa"/>
          </w:tcPr>
          <w:p w14:paraId="0287EB7E" w14:textId="77777777" w:rsidR="00156138" w:rsidRDefault="009A025D" w:rsidP="008836E9">
            <w:pPr>
              <w:spacing w:before="0"/>
              <w:jc w:val="left"/>
              <w:rPr>
                <w:sz w:val="24"/>
              </w:rPr>
            </w:pPr>
            <w:r>
              <w:rPr>
                <w:sz w:val="24"/>
              </w:rPr>
              <w:t xml:space="preserve">Appendix B - </w:t>
            </w:r>
            <w:r w:rsidRPr="009A025D">
              <w:rPr>
                <w:sz w:val="24"/>
              </w:rPr>
              <w:t>Definitions Used</w:t>
            </w:r>
          </w:p>
          <w:p w14:paraId="3361E99C" w14:textId="77777777" w:rsidR="00156138" w:rsidRPr="00156138" w:rsidRDefault="00156138" w:rsidP="008836E9">
            <w:pPr>
              <w:spacing w:before="0"/>
              <w:jc w:val="left"/>
              <w:rPr>
                <w:sz w:val="24"/>
              </w:rPr>
            </w:pPr>
          </w:p>
        </w:tc>
        <w:tc>
          <w:tcPr>
            <w:tcW w:w="1508" w:type="dxa"/>
          </w:tcPr>
          <w:p w14:paraId="4E4BDF4A" w14:textId="77777777" w:rsidR="00156138" w:rsidRPr="009A025D" w:rsidRDefault="009A025D" w:rsidP="009A025D">
            <w:pPr>
              <w:spacing w:before="0"/>
              <w:jc w:val="center"/>
              <w:rPr>
                <w:szCs w:val="22"/>
              </w:rPr>
            </w:pPr>
            <w:r w:rsidRPr="009A025D">
              <w:rPr>
                <w:szCs w:val="22"/>
              </w:rPr>
              <w:t>18</w:t>
            </w:r>
          </w:p>
        </w:tc>
      </w:tr>
      <w:tr w:rsidR="00156138" w14:paraId="597792D8" w14:textId="77777777" w:rsidTr="00156138">
        <w:tc>
          <w:tcPr>
            <w:tcW w:w="1129" w:type="dxa"/>
          </w:tcPr>
          <w:p w14:paraId="5DC6FC5A" w14:textId="77777777" w:rsidR="00156138" w:rsidRPr="00156138" w:rsidRDefault="00156138" w:rsidP="009A025D">
            <w:pPr>
              <w:spacing w:before="0"/>
              <w:jc w:val="center"/>
              <w:rPr>
                <w:b/>
                <w:sz w:val="24"/>
              </w:rPr>
            </w:pPr>
          </w:p>
        </w:tc>
        <w:tc>
          <w:tcPr>
            <w:tcW w:w="6379" w:type="dxa"/>
          </w:tcPr>
          <w:p w14:paraId="35CBFCFC" w14:textId="77777777" w:rsidR="00FE168A" w:rsidRPr="00156138" w:rsidRDefault="009A025D" w:rsidP="008836E9">
            <w:pPr>
              <w:spacing w:before="0"/>
              <w:jc w:val="left"/>
              <w:rPr>
                <w:sz w:val="24"/>
              </w:rPr>
            </w:pPr>
            <w:r>
              <w:rPr>
                <w:sz w:val="24"/>
              </w:rPr>
              <w:t>Appendix C</w:t>
            </w:r>
            <w:r w:rsidR="008836E9">
              <w:rPr>
                <w:sz w:val="24"/>
              </w:rPr>
              <w:t xml:space="preserve"> - </w:t>
            </w:r>
            <w:r w:rsidR="008836E9" w:rsidRPr="008836E9">
              <w:rPr>
                <w:sz w:val="24"/>
              </w:rPr>
              <w:t>lists the antimicrobial guidelines to be followed per site</w:t>
            </w:r>
          </w:p>
        </w:tc>
        <w:tc>
          <w:tcPr>
            <w:tcW w:w="1508" w:type="dxa"/>
          </w:tcPr>
          <w:p w14:paraId="6DB525C9" w14:textId="77777777" w:rsidR="00156138" w:rsidRPr="008836E9" w:rsidRDefault="008836E9" w:rsidP="009A025D">
            <w:pPr>
              <w:spacing w:before="0"/>
              <w:jc w:val="center"/>
              <w:rPr>
                <w:szCs w:val="22"/>
              </w:rPr>
            </w:pPr>
            <w:r w:rsidRPr="008836E9">
              <w:rPr>
                <w:szCs w:val="22"/>
              </w:rPr>
              <w:t>19</w:t>
            </w:r>
          </w:p>
        </w:tc>
      </w:tr>
      <w:tr w:rsidR="00FE168A" w14:paraId="71F12A3C" w14:textId="77777777" w:rsidTr="00156138">
        <w:tc>
          <w:tcPr>
            <w:tcW w:w="1129" w:type="dxa"/>
          </w:tcPr>
          <w:p w14:paraId="5B494800" w14:textId="77777777" w:rsidR="00FE168A" w:rsidRPr="00156138" w:rsidRDefault="00FE168A" w:rsidP="008836E9">
            <w:pPr>
              <w:spacing w:before="0"/>
              <w:jc w:val="center"/>
              <w:rPr>
                <w:b/>
                <w:sz w:val="24"/>
              </w:rPr>
            </w:pPr>
          </w:p>
        </w:tc>
        <w:tc>
          <w:tcPr>
            <w:tcW w:w="6379" w:type="dxa"/>
          </w:tcPr>
          <w:p w14:paraId="255C188B" w14:textId="77777777" w:rsidR="00FE168A" w:rsidRDefault="008836E9" w:rsidP="008836E9">
            <w:pPr>
              <w:spacing w:before="0"/>
              <w:rPr>
                <w:sz w:val="24"/>
              </w:rPr>
            </w:pPr>
            <w:r>
              <w:rPr>
                <w:sz w:val="24"/>
              </w:rPr>
              <w:t>Appendix D</w:t>
            </w:r>
            <w:r w:rsidR="00BD55DE">
              <w:rPr>
                <w:sz w:val="24"/>
              </w:rPr>
              <w:t xml:space="preserve"> - </w:t>
            </w:r>
            <w:r w:rsidR="00BD55DE" w:rsidRPr="00BD55DE">
              <w:rPr>
                <w:sz w:val="24"/>
              </w:rPr>
              <w:t>Start Smart Then Focus Algorithm</w:t>
            </w:r>
          </w:p>
          <w:p w14:paraId="59265F97" w14:textId="77777777" w:rsidR="00BD55DE" w:rsidRPr="00156138" w:rsidRDefault="00BD55DE" w:rsidP="008836E9">
            <w:pPr>
              <w:spacing w:before="0"/>
              <w:rPr>
                <w:sz w:val="24"/>
              </w:rPr>
            </w:pPr>
          </w:p>
        </w:tc>
        <w:tc>
          <w:tcPr>
            <w:tcW w:w="1508" w:type="dxa"/>
          </w:tcPr>
          <w:p w14:paraId="302E0E8E" w14:textId="77777777" w:rsidR="00FE168A" w:rsidRPr="008836E9" w:rsidRDefault="00BD55DE" w:rsidP="008836E9">
            <w:pPr>
              <w:spacing w:before="0"/>
              <w:jc w:val="center"/>
              <w:rPr>
                <w:szCs w:val="22"/>
              </w:rPr>
            </w:pPr>
            <w:r>
              <w:rPr>
                <w:szCs w:val="22"/>
              </w:rPr>
              <w:t>20</w:t>
            </w:r>
          </w:p>
        </w:tc>
      </w:tr>
      <w:tr w:rsidR="00FE168A" w14:paraId="17C0F1CA" w14:textId="77777777" w:rsidTr="00156138">
        <w:tc>
          <w:tcPr>
            <w:tcW w:w="1129" w:type="dxa"/>
          </w:tcPr>
          <w:p w14:paraId="4BEE3908" w14:textId="77777777" w:rsidR="00FE168A" w:rsidRPr="00156138" w:rsidRDefault="00FE168A" w:rsidP="008836E9">
            <w:pPr>
              <w:spacing w:before="0"/>
              <w:jc w:val="center"/>
              <w:rPr>
                <w:b/>
                <w:sz w:val="24"/>
              </w:rPr>
            </w:pPr>
          </w:p>
        </w:tc>
        <w:tc>
          <w:tcPr>
            <w:tcW w:w="6379" w:type="dxa"/>
          </w:tcPr>
          <w:p w14:paraId="0D0EBDDA" w14:textId="77777777" w:rsidR="00FE168A" w:rsidRDefault="00BD55DE" w:rsidP="008836E9">
            <w:pPr>
              <w:spacing w:before="0"/>
              <w:rPr>
                <w:sz w:val="24"/>
              </w:rPr>
            </w:pPr>
            <w:r>
              <w:rPr>
                <w:sz w:val="24"/>
              </w:rPr>
              <w:t xml:space="preserve">Appendix E - </w:t>
            </w:r>
            <w:r w:rsidRPr="00BD55DE">
              <w:rPr>
                <w:sz w:val="24"/>
              </w:rPr>
              <w:t>Hypersensitivity Reactions and Allergy Status</w:t>
            </w:r>
          </w:p>
          <w:p w14:paraId="099614CA" w14:textId="77777777" w:rsidR="00BD55DE" w:rsidRPr="00156138" w:rsidRDefault="00BD55DE" w:rsidP="008836E9">
            <w:pPr>
              <w:spacing w:before="0"/>
              <w:rPr>
                <w:sz w:val="24"/>
              </w:rPr>
            </w:pPr>
          </w:p>
        </w:tc>
        <w:tc>
          <w:tcPr>
            <w:tcW w:w="1508" w:type="dxa"/>
          </w:tcPr>
          <w:p w14:paraId="5DA82C86" w14:textId="77777777" w:rsidR="00FE168A" w:rsidRPr="008836E9" w:rsidRDefault="00BD55DE" w:rsidP="008836E9">
            <w:pPr>
              <w:spacing w:before="0"/>
              <w:jc w:val="center"/>
              <w:rPr>
                <w:szCs w:val="22"/>
              </w:rPr>
            </w:pPr>
            <w:r>
              <w:rPr>
                <w:szCs w:val="22"/>
              </w:rPr>
              <w:t>20</w:t>
            </w:r>
          </w:p>
        </w:tc>
      </w:tr>
      <w:tr w:rsidR="00FE168A" w14:paraId="2154180F" w14:textId="77777777" w:rsidTr="00156138">
        <w:tc>
          <w:tcPr>
            <w:tcW w:w="1129" w:type="dxa"/>
          </w:tcPr>
          <w:p w14:paraId="60089571" w14:textId="77777777" w:rsidR="00FE168A" w:rsidRPr="00156138" w:rsidRDefault="00FE168A" w:rsidP="008836E9">
            <w:pPr>
              <w:spacing w:before="0"/>
              <w:jc w:val="center"/>
              <w:rPr>
                <w:b/>
                <w:sz w:val="24"/>
              </w:rPr>
            </w:pPr>
          </w:p>
        </w:tc>
        <w:tc>
          <w:tcPr>
            <w:tcW w:w="6379" w:type="dxa"/>
          </w:tcPr>
          <w:p w14:paraId="4459FFB2" w14:textId="77777777" w:rsidR="00FE168A" w:rsidRDefault="00BD55DE" w:rsidP="008836E9">
            <w:pPr>
              <w:spacing w:before="0"/>
              <w:rPr>
                <w:sz w:val="24"/>
              </w:rPr>
            </w:pPr>
            <w:r>
              <w:rPr>
                <w:sz w:val="24"/>
              </w:rPr>
              <w:t xml:space="preserve">Appendix F - </w:t>
            </w:r>
            <w:r w:rsidR="00472A3A" w:rsidRPr="00472A3A">
              <w:rPr>
                <w:sz w:val="24"/>
              </w:rPr>
              <w:t>Penicillin Allergy Poster</w:t>
            </w:r>
          </w:p>
          <w:p w14:paraId="4BB31BDE" w14:textId="77777777" w:rsidR="00472A3A" w:rsidRPr="00156138" w:rsidRDefault="00472A3A" w:rsidP="008836E9">
            <w:pPr>
              <w:spacing w:before="0"/>
              <w:rPr>
                <w:sz w:val="24"/>
              </w:rPr>
            </w:pPr>
          </w:p>
        </w:tc>
        <w:tc>
          <w:tcPr>
            <w:tcW w:w="1508" w:type="dxa"/>
          </w:tcPr>
          <w:p w14:paraId="3140E313" w14:textId="77777777" w:rsidR="00FE168A" w:rsidRPr="008836E9" w:rsidRDefault="00472A3A" w:rsidP="008836E9">
            <w:pPr>
              <w:spacing w:before="0"/>
              <w:jc w:val="center"/>
              <w:rPr>
                <w:szCs w:val="22"/>
              </w:rPr>
            </w:pPr>
            <w:r>
              <w:rPr>
                <w:szCs w:val="22"/>
              </w:rPr>
              <w:t>21</w:t>
            </w:r>
          </w:p>
        </w:tc>
      </w:tr>
      <w:tr w:rsidR="00472A3A" w14:paraId="65CC73FC" w14:textId="77777777" w:rsidTr="00156138">
        <w:tc>
          <w:tcPr>
            <w:tcW w:w="1129" w:type="dxa"/>
          </w:tcPr>
          <w:p w14:paraId="322BCE38" w14:textId="77777777" w:rsidR="00472A3A" w:rsidRPr="00156138" w:rsidRDefault="00472A3A" w:rsidP="008836E9">
            <w:pPr>
              <w:spacing w:before="0"/>
              <w:jc w:val="center"/>
              <w:rPr>
                <w:b/>
                <w:sz w:val="24"/>
              </w:rPr>
            </w:pPr>
          </w:p>
        </w:tc>
        <w:tc>
          <w:tcPr>
            <w:tcW w:w="6379" w:type="dxa"/>
          </w:tcPr>
          <w:p w14:paraId="5592FADB" w14:textId="77777777" w:rsidR="00472A3A" w:rsidRDefault="00472A3A" w:rsidP="008836E9">
            <w:pPr>
              <w:spacing w:before="0"/>
              <w:rPr>
                <w:bCs/>
              </w:rPr>
            </w:pPr>
            <w:r>
              <w:rPr>
                <w:sz w:val="24"/>
              </w:rPr>
              <w:t xml:space="preserve">Appendix G - </w:t>
            </w:r>
            <w:r w:rsidRPr="00472A3A">
              <w:rPr>
                <w:bCs/>
              </w:rPr>
              <w:t>IV to Oral Switch</w:t>
            </w:r>
          </w:p>
          <w:p w14:paraId="02AE8C76" w14:textId="77777777" w:rsidR="00472A3A" w:rsidRDefault="00472A3A" w:rsidP="008836E9">
            <w:pPr>
              <w:spacing w:before="0"/>
              <w:rPr>
                <w:sz w:val="24"/>
              </w:rPr>
            </w:pPr>
          </w:p>
        </w:tc>
        <w:tc>
          <w:tcPr>
            <w:tcW w:w="1508" w:type="dxa"/>
          </w:tcPr>
          <w:p w14:paraId="7D4F49BB" w14:textId="77777777" w:rsidR="00472A3A" w:rsidRDefault="00472A3A" w:rsidP="008836E9">
            <w:pPr>
              <w:spacing w:before="0"/>
              <w:jc w:val="center"/>
              <w:rPr>
                <w:szCs w:val="22"/>
              </w:rPr>
            </w:pPr>
            <w:r>
              <w:rPr>
                <w:szCs w:val="22"/>
              </w:rPr>
              <w:t>22</w:t>
            </w:r>
          </w:p>
        </w:tc>
      </w:tr>
    </w:tbl>
    <w:p w14:paraId="6F8A6E6C" w14:textId="77777777" w:rsidR="001F1E93" w:rsidRDefault="001F1E93" w:rsidP="001F1E93">
      <w:pPr>
        <w:rPr>
          <w:b/>
          <w:szCs w:val="22"/>
        </w:rPr>
      </w:pPr>
    </w:p>
    <w:p w14:paraId="2CBB2A4F" w14:textId="77777777" w:rsidR="00472A3A" w:rsidRDefault="00472A3A" w:rsidP="001F1E93">
      <w:pPr>
        <w:rPr>
          <w:b/>
          <w:szCs w:val="22"/>
        </w:rPr>
      </w:pPr>
    </w:p>
    <w:p w14:paraId="2352E2F5" w14:textId="77777777" w:rsidR="00156138" w:rsidRPr="001F1E93" w:rsidRDefault="00156138" w:rsidP="001F1E93">
      <w:pPr>
        <w:pStyle w:val="ListParagraph"/>
        <w:numPr>
          <w:ilvl w:val="0"/>
          <w:numId w:val="2"/>
        </w:numPr>
        <w:rPr>
          <w:b/>
          <w:szCs w:val="22"/>
        </w:rPr>
      </w:pPr>
      <w:r w:rsidRPr="001F1E93">
        <w:rPr>
          <w:b/>
          <w:szCs w:val="22"/>
        </w:rPr>
        <w:t>Introduction</w:t>
      </w:r>
    </w:p>
    <w:p w14:paraId="3DD984B4" w14:textId="77777777" w:rsidR="00D315F4" w:rsidRPr="00D315F4" w:rsidRDefault="00D315F4" w:rsidP="00D315F4">
      <w:pPr>
        <w:pStyle w:val="ListParagraph"/>
        <w:rPr>
          <w:b/>
          <w:szCs w:val="22"/>
        </w:rPr>
      </w:pPr>
    </w:p>
    <w:p w14:paraId="5CC4D3F7" w14:textId="77777777" w:rsidR="00D315F4" w:rsidRDefault="00D315F4" w:rsidP="00D315F4">
      <w:pPr>
        <w:pStyle w:val="ListParagraph"/>
        <w:numPr>
          <w:ilvl w:val="1"/>
          <w:numId w:val="2"/>
        </w:numPr>
        <w:rPr>
          <w:b/>
          <w:szCs w:val="22"/>
        </w:rPr>
      </w:pPr>
      <w:r w:rsidRPr="00D315F4">
        <w:rPr>
          <w:b/>
          <w:szCs w:val="22"/>
        </w:rPr>
        <w:t>Purpose</w:t>
      </w:r>
    </w:p>
    <w:p w14:paraId="06049E20" w14:textId="77777777" w:rsidR="00D315F4" w:rsidRDefault="00D315F4" w:rsidP="00D315F4">
      <w:pPr>
        <w:pStyle w:val="ListParagraph"/>
        <w:ind w:left="1120"/>
        <w:rPr>
          <w:b/>
          <w:szCs w:val="22"/>
        </w:rPr>
      </w:pPr>
    </w:p>
    <w:p w14:paraId="7A32DA9C" w14:textId="77777777" w:rsidR="00D315F4" w:rsidRDefault="00D315F4" w:rsidP="001E15C4">
      <w:pPr>
        <w:pStyle w:val="ListParagraph"/>
        <w:ind w:left="360"/>
        <w:rPr>
          <w:szCs w:val="22"/>
        </w:rPr>
      </w:pPr>
      <w:r w:rsidRPr="00D315F4">
        <w:rPr>
          <w:szCs w:val="22"/>
        </w:rPr>
        <w:t>T</w:t>
      </w:r>
      <w:r>
        <w:rPr>
          <w:szCs w:val="22"/>
        </w:rPr>
        <w:t>his Policy defines the Trust processes to ensure that prescribing, monitoring and improving the quality of antimicrobial prescribing and usage is safe and effective. This Policy provides a framework for antimicrobial stewardship within the Trust.</w:t>
      </w:r>
    </w:p>
    <w:p w14:paraId="0BF97A3A" w14:textId="77777777" w:rsidR="00F578E7" w:rsidRDefault="00F578E7" w:rsidP="00D315F4">
      <w:pPr>
        <w:pStyle w:val="ListParagraph"/>
        <w:rPr>
          <w:szCs w:val="22"/>
        </w:rPr>
      </w:pPr>
    </w:p>
    <w:p w14:paraId="7CD2B7BE" w14:textId="77777777" w:rsidR="00F578E7" w:rsidRDefault="00F578E7" w:rsidP="001E15C4">
      <w:pPr>
        <w:pStyle w:val="ListParagraph"/>
        <w:ind w:left="360"/>
        <w:rPr>
          <w:szCs w:val="22"/>
        </w:rPr>
      </w:pPr>
      <w:r>
        <w:rPr>
          <w:szCs w:val="22"/>
        </w:rPr>
        <w:t>Implementation of this Policy will contribute to:</w:t>
      </w:r>
    </w:p>
    <w:p w14:paraId="3ADFE876" w14:textId="77777777" w:rsidR="00930C0A" w:rsidRDefault="00F578E7" w:rsidP="00930C0A">
      <w:pPr>
        <w:pStyle w:val="ListParagraph"/>
        <w:numPr>
          <w:ilvl w:val="0"/>
          <w:numId w:val="4"/>
        </w:numPr>
        <w:rPr>
          <w:szCs w:val="22"/>
        </w:rPr>
      </w:pPr>
      <w:r>
        <w:rPr>
          <w:szCs w:val="22"/>
        </w:rPr>
        <w:t>The safe, effective</w:t>
      </w:r>
      <w:r w:rsidR="00930C0A">
        <w:rPr>
          <w:szCs w:val="22"/>
        </w:rPr>
        <w:t xml:space="preserve"> </w:t>
      </w:r>
      <w:r w:rsidR="00930C0A" w:rsidRPr="00930C0A">
        <w:rPr>
          <w:szCs w:val="22"/>
        </w:rPr>
        <w:t xml:space="preserve">and appropriate use of antimicrobial agents within the Trust by following evidence-based prescribing guidance </w:t>
      </w:r>
    </w:p>
    <w:p w14:paraId="3AE5DB32" w14:textId="77777777" w:rsidR="00930C0A" w:rsidRPr="00930C0A" w:rsidRDefault="00930C0A" w:rsidP="00930C0A">
      <w:pPr>
        <w:pStyle w:val="ListParagraph"/>
        <w:numPr>
          <w:ilvl w:val="0"/>
          <w:numId w:val="4"/>
        </w:numPr>
        <w:rPr>
          <w:szCs w:val="22"/>
        </w:rPr>
      </w:pPr>
      <w:r w:rsidRPr="00930C0A">
        <w:rPr>
          <w:szCs w:val="22"/>
        </w:rPr>
        <w:t xml:space="preserve">Quality improvement for the safe, appropriate and prudent prescribing of antimicrobial agents, thereby optimising patient outcomes </w:t>
      </w:r>
    </w:p>
    <w:p w14:paraId="1F16EF53" w14:textId="77777777" w:rsidR="00930C0A" w:rsidRDefault="00930C0A" w:rsidP="00662F39">
      <w:pPr>
        <w:pStyle w:val="ListParagraph"/>
        <w:numPr>
          <w:ilvl w:val="0"/>
          <w:numId w:val="4"/>
        </w:numPr>
        <w:rPr>
          <w:szCs w:val="22"/>
        </w:rPr>
      </w:pPr>
      <w:r w:rsidRPr="00930C0A">
        <w:rPr>
          <w:szCs w:val="22"/>
        </w:rPr>
        <w:t>Ensuring the effective monitoring and evaluation of antimicrobial prescribing and use within the Trust</w:t>
      </w:r>
    </w:p>
    <w:p w14:paraId="4DE7F4AE" w14:textId="77777777" w:rsidR="004055D4" w:rsidRDefault="00930C0A" w:rsidP="00662F39">
      <w:pPr>
        <w:pStyle w:val="ListParagraph"/>
        <w:numPr>
          <w:ilvl w:val="0"/>
          <w:numId w:val="4"/>
        </w:numPr>
        <w:rPr>
          <w:szCs w:val="22"/>
        </w:rPr>
      </w:pPr>
      <w:r w:rsidRPr="004055D4">
        <w:rPr>
          <w:szCs w:val="22"/>
        </w:rPr>
        <w:t xml:space="preserve">Raising awareness of antimicrobial resistance amongst ELFT staff, patients and service users. </w:t>
      </w:r>
    </w:p>
    <w:p w14:paraId="56A29386" w14:textId="77777777" w:rsidR="00685704" w:rsidRDefault="004055D4" w:rsidP="00662F39">
      <w:pPr>
        <w:pStyle w:val="ListParagraph"/>
        <w:numPr>
          <w:ilvl w:val="0"/>
          <w:numId w:val="4"/>
        </w:numPr>
        <w:rPr>
          <w:szCs w:val="22"/>
        </w:rPr>
      </w:pPr>
      <w:r w:rsidRPr="00685704">
        <w:rPr>
          <w:szCs w:val="22"/>
        </w:rPr>
        <w:t xml:space="preserve">Conserve and steward the effectiveness of antimicrobial agents by contributing to minimising the development of antimicrobial resistance </w:t>
      </w:r>
    </w:p>
    <w:p w14:paraId="36024D21" w14:textId="77777777" w:rsidR="001E15C4" w:rsidRDefault="00685704" w:rsidP="001E15C4">
      <w:pPr>
        <w:pStyle w:val="ListParagraph"/>
        <w:numPr>
          <w:ilvl w:val="0"/>
          <w:numId w:val="4"/>
        </w:numPr>
        <w:rPr>
          <w:szCs w:val="22"/>
        </w:rPr>
      </w:pPr>
      <w:r w:rsidRPr="00685704">
        <w:rPr>
          <w:szCs w:val="22"/>
        </w:rPr>
        <w:t xml:space="preserve">Reducing the risk of multi-resistant infections (see Prevention and Management of Multi Drug Resistant Gram-Negative bacteria Policy) </w:t>
      </w:r>
    </w:p>
    <w:p w14:paraId="1155AF7A" w14:textId="77777777" w:rsidR="00387EC2" w:rsidRPr="001E15C4" w:rsidRDefault="00387EC2" w:rsidP="001E15C4">
      <w:pPr>
        <w:ind w:left="284"/>
        <w:rPr>
          <w:szCs w:val="22"/>
        </w:rPr>
      </w:pPr>
      <w:r w:rsidRPr="001E15C4">
        <w:rPr>
          <w:szCs w:val="22"/>
        </w:rPr>
        <w:t xml:space="preserve">This Policy also </w:t>
      </w:r>
      <w:r w:rsidR="00E772E4" w:rsidRPr="001E15C4">
        <w:rPr>
          <w:szCs w:val="22"/>
        </w:rPr>
        <w:t xml:space="preserve">ensures Trust </w:t>
      </w:r>
      <w:r w:rsidR="0010486F" w:rsidRPr="001E15C4">
        <w:rPr>
          <w:szCs w:val="22"/>
        </w:rPr>
        <w:t>compliance with the requirements of national strategy and guid</w:t>
      </w:r>
      <w:r w:rsidR="00982228">
        <w:rPr>
          <w:szCs w:val="22"/>
        </w:rPr>
        <w:t xml:space="preserve">ance (see section </w:t>
      </w:r>
      <w:r w:rsidR="0010486F" w:rsidRPr="001E15C4">
        <w:rPr>
          <w:szCs w:val="22"/>
        </w:rPr>
        <w:t>10).</w:t>
      </w:r>
    </w:p>
    <w:p w14:paraId="1F398F8C" w14:textId="77777777" w:rsidR="0010486F" w:rsidRPr="0010486F" w:rsidRDefault="0010486F" w:rsidP="001E15C4">
      <w:pPr>
        <w:autoSpaceDE w:val="0"/>
        <w:autoSpaceDN w:val="0"/>
        <w:adjustRightInd w:val="0"/>
        <w:spacing w:before="0" w:after="0"/>
        <w:ind w:left="284"/>
        <w:rPr>
          <w:rFonts w:eastAsiaTheme="minorHAnsi" w:cs="Arial"/>
          <w:color w:val="000000"/>
          <w:szCs w:val="22"/>
          <w:lang w:eastAsia="en-US"/>
        </w:rPr>
      </w:pPr>
      <w:r w:rsidRPr="0010486F">
        <w:rPr>
          <w:rFonts w:eastAsiaTheme="minorHAnsi" w:cs="Arial"/>
          <w:color w:val="000000"/>
          <w:szCs w:val="22"/>
          <w:lang w:eastAsia="en-US"/>
        </w:rPr>
        <w:t xml:space="preserve">The Policy should be read in conjunction with the </w:t>
      </w:r>
      <w:r>
        <w:rPr>
          <w:rFonts w:eastAsiaTheme="minorHAnsi" w:cs="Arial"/>
          <w:color w:val="000000"/>
          <w:szCs w:val="22"/>
          <w:lang w:eastAsia="en-US"/>
        </w:rPr>
        <w:t>ELFT</w:t>
      </w:r>
      <w:r w:rsidRPr="0010486F">
        <w:rPr>
          <w:rFonts w:eastAsiaTheme="minorHAnsi" w:cs="Arial"/>
          <w:color w:val="000000"/>
          <w:szCs w:val="22"/>
          <w:lang w:eastAsia="en-US"/>
        </w:rPr>
        <w:t xml:space="preserve"> Medicines Policy and Infection Prevention a</w:t>
      </w:r>
      <w:r w:rsidR="00982228">
        <w:rPr>
          <w:rFonts w:eastAsiaTheme="minorHAnsi" w:cs="Arial"/>
          <w:color w:val="000000"/>
          <w:szCs w:val="22"/>
          <w:lang w:eastAsia="en-US"/>
        </w:rPr>
        <w:t xml:space="preserve">nd Control guidance (see section </w:t>
      </w:r>
      <w:r w:rsidRPr="0010486F">
        <w:rPr>
          <w:rFonts w:eastAsiaTheme="minorHAnsi" w:cs="Arial"/>
          <w:color w:val="000000"/>
          <w:szCs w:val="22"/>
          <w:lang w:eastAsia="en-US"/>
        </w:rPr>
        <w:t xml:space="preserve">8). </w:t>
      </w:r>
    </w:p>
    <w:p w14:paraId="7E44B87C" w14:textId="77777777" w:rsidR="00D315F4" w:rsidRPr="0010486F" w:rsidRDefault="0010486F" w:rsidP="001E15C4">
      <w:pPr>
        <w:ind w:left="284"/>
        <w:rPr>
          <w:szCs w:val="22"/>
        </w:rPr>
      </w:pPr>
      <w:r w:rsidRPr="0010486F">
        <w:rPr>
          <w:rFonts w:eastAsiaTheme="minorHAnsi" w:cs="Arial"/>
          <w:color w:val="000000"/>
          <w:szCs w:val="22"/>
          <w:lang w:eastAsia="en-US"/>
        </w:rPr>
        <w:t>This policy applies to all employees of the Trust who prescribe, administer or monitor antimicrobial prescriptions.</w:t>
      </w:r>
      <w:r w:rsidR="00D315F4" w:rsidRPr="0010486F">
        <w:rPr>
          <w:szCs w:val="22"/>
        </w:rPr>
        <w:t xml:space="preserve"> </w:t>
      </w:r>
    </w:p>
    <w:p w14:paraId="2D6669F4" w14:textId="77777777" w:rsidR="00D315F4" w:rsidRDefault="00D315F4" w:rsidP="00D315F4">
      <w:pPr>
        <w:pStyle w:val="ListParagraph"/>
        <w:ind w:left="1120"/>
        <w:rPr>
          <w:b/>
          <w:szCs w:val="22"/>
        </w:rPr>
      </w:pPr>
    </w:p>
    <w:p w14:paraId="4CFB87B0" w14:textId="77777777" w:rsidR="00D315F4" w:rsidRPr="00685704" w:rsidRDefault="003E2DDA" w:rsidP="00685704">
      <w:pPr>
        <w:pStyle w:val="ListParagraph"/>
        <w:numPr>
          <w:ilvl w:val="0"/>
          <w:numId w:val="2"/>
        </w:numPr>
        <w:rPr>
          <w:b/>
          <w:szCs w:val="22"/>
        </w:rPr>
      </w:pPr>
      <w:r w:rsidRPr="00685704">
        <w:rPr>
          <w:b/>
          <w:szCs w:val="22"/>
        </w:rPr>
        <w:t xml:space="preserve">Duties and Responsibilities </w:t>
      </w:r>
    </w:p>
    <w:p w14:paraId="689140CE" w14:textId="77777777" w:rsidR="003E2DDA" w:rsidRDefault="003E2DDA" w:rsidP="003E2DDA">
      <w:pPr>
        <w:pStyle w:val="ListParagraph"/>
        <w:ind w:left="1120"/>
        <w:rPr>
          <w:b/>
          <w:szCs w:val="22"/>
        </w:rPr>
      </w:pPr>
    </w:p>
    <w:p w14:paraId="276FFED2" w14:textId="77777777" w:rsidR="003520BB" w:rsidRDefault="003520BB" w:rsidP="001E15C4">
      <w:pPr>
        <w:pStyle w:val="ListParagraph"/>
        <w:ind w:left="360"/>
        <w:rPr>
          <w:szCs w:val="22"/>
        </w:rPr>
      </w:pPr>
      <w:r w:rsidRPr="003520BB">
        <w:rPr>
          <w:szCs w:val="22"/>
        </w:rPr>
        <w:t>Improving antimicrobial prescribing and stewardship is dependent on strong</w:t>
      </w:r>
      <w:r w:rsidRPr="003520BB">
        <w:rPr>
          <w:b/>
          <w:szCs w:val="22"/>
        </w:rPr>
        <w:t xml:space="preserve"> </w:t>
      </w:r>
      <w:r w:rsidRPr="003520BB">
        <w:rPr>
          <w:szCs w:val="22"/>
        </w:rPr>
        <w:t xml:space="preserve">clinical leadership. Senior health professionals including consultants should take a leadership role in promoting antimicrobial stewardship and for antimicrobial quality improvement in their specialist areas. </w:t>
      </w:r>
    </w:p>
    <w:p w14:paraId="0E8F8BEB" w14:textId="77777777" w:rsidR="003520BB" w:rsidRDefault="003520BB" w:rsidP="003520BB">
      <w:pPr>
        <w:pStyle w:val="ListParagraph"/>
        <w:rPr>
          <w:szCs w:val="22"/>
        </w:rPr>
      </w:pPr>
    </w:p>
    <w:p w14:paraId="33F770BE" w14:textId="77777777" w:rsidR="003520BB" w:rsidRDefault="003520BB" w:rsidP="001E15C4">
      <w:pPr>
        <w:pStyle w:val="ListParagraph"/>
        <w:ind w:left="360"/>
        <w:rPr>
          <w:szCs w:val="22"/>
        </w:rPr>
      </w:pPr>
      <w:r w:rsidRPr="003520BB">
        <w:rPr>
          <w:szCs w:val="22"/>
        </w:rPr>
        <w:t xml:space="preserve">All health and social care staff directly involved in the care of patients receiving antimicrobial treatment are responsible for making themselves familiar with the Trust Policy and for adhering to the Policy recommendations. Reasons for departure from policy recommendations should be documented in the patient medical record and specialist advice sought where necessary. </w:t>
      </w:r>
    </w:p>
    <w:p w14:paraId="36ACEF9B" w14:textId="77777777" w:rsidR="003520BB" w:rsidRPr="003520BB" w:rsidRDefault="003520BB" w:rsidP="001E15C4">
      <w:pPr>
        <w:pStyle w:val="ListParagraph"/>
        <w:ind w:left="360"/>
        <w:rPr>
          <w:szCs w:val="22"/>
        </w:rPr>
      </w:pPr>
    </w:p>
    <w:p w14:paraId="2370EB32" w14:textId="77777777" w:rsidR="003520BB" w:rsidRDefault="003520BB" w:rsidP="001E15C4">
      <w:pPr>
        <w:pStyle w:val="ListParagraph"/>
        <w:ind w:left="360"/>
        <w:rPr>
          <w:szCs w:val="22"/>
        </w:rPr>
      </w:pPr>
      <w:r w:rsidRPr="003520BB">
        <w:rPr>
          <w:szCs w:val="22"/>
        </w:rPr>
        <w:t xml:space="preserve">All health and social care staff have a responsibility to manage the general public’s expectations around antimicrobials and encourage changes in </w:t>
      </w:r>
      <w:r w:rsidR="0011598E" w:rsidRPr="003520BB">
        <w:rPr>
          <w:szCs w:val="22"/>
        </w:rPr>
        <w:t>behaviour</w:t>
      </w:r>
      <w:r w:rsidRPr="003520BB">
        <w:rPr>
          <w:szCs w:val="22"/>
        </w:rPr>
        <w:t xml:space="preserve"> to help reduce antimicrobial resistance and stop the spread of resistant microbes</w:t>
      </w:r>
      <w:r>
        <w:rPr>
          <w:szCs w:val="22"/>
        </w:rPr>
        <w:t>.</w:t>
      </w:r>
    </w:p>
    <w:p w14:paraId="3DFBA77E" w14:textId="77777777" w:rsidR="003520BB" w:rsidRPr="003520BB" w:rsidRDefault="003520BB" w:rsidP="001E15C4">
      <w:pPr>
        <w:pStyle w:val="ListParagraph"/>
        <w:ind w:left="360"/>
        <w:rPr>
          <w:szCs w:val="22"/>
        </w:rPr>
      </w:pPr>
    </w:p>
    <w:p w14:paraId="7A556DCD" w14:textId="77777777" w:rsidR="003520BB" w:rsidRDefault="003520BB" w:rsidP="001E15C4">
      <w:pPr>
        <w:pStyle w:val="ListParagraph"/>
        <w:ind w:left="360"/>
        <w:rPr>
          <w:szCs w:val="22"/>
        </w:rPr>
      </w:pPr>
      <w:r w:rsidRPr="003520BB">
        <w:rPr>
          <w:szCs w:val="22"/>
        </w:rPr>
        <w:t xml:space="preserve">The Trust Antimicrobial Stewardship Group (AMSG) oversees the development and implementation of the organisations Antimicrobial Stewardship Program. </w:t>
      </w:r>
    </w:p>
    <w:p w14:paraId="3A625A4B" w14:textId="77777777" w:rsidR="003520BB" w:rsidRPr="003520BB" w:rsidRDefault="003520BB" w:rsidP="001E15C4">
      <w:pPr>
        <w:pStyle w:val="ListParagraph"/>
        <w:ind w:left="360"/>
        <w:rPr>
          <w:szCs w:val="22"/>
        </w:rPr>
      </w:pPr>
    </w:p>
    <w:p w14:paraId="6A2EBCCB" w14:textId="77777777" w:rsidR="003E2DDA" w:rsidRPr="003520BB" w:rsidRDefault="003520BB" w:rsidP="001E15C4">
      <w:pPr>
        <w:pStyle w:val="ListParagraph"/>
        <w:ind w:left="360"/>
        <w:rPr>
          <w:szCs w:val="22"/>
        </w:rPr>
      </w:pPr>
      <w:r w:rsidRPr="003520BB">
        <w:rPr>
          <w:szCs w:val="22"/>
        </w:rPr>
        <w:t xml:space="preserve">See </w:t>
      </w:r>
      <w:r w:rsidRPr="00833E32">
        <w:rPr>
          <w:i/>
          <w:szCs w:val="22"/>
        </w:rPr>
        <w:t>Appendix A</w:t>
      </w:r>
      <w:r w:rsidRPr="003520BB">
        <w:rPr>
          <w:szCs w:val="22"/>
        </w:rPr>
        <w:t>: for the antimicrobial stewardship responsibilities of each staff group.</w:t>
      </w:r>
    </w:p>
    <w:p w14:paraId="1E0DB7E0" w14:textId="77777777" w:rsidR="003520BB" w:rsidRDefault="003520BB" w:rsidP="003E2DDA">
      <w:pPr>
        <w:pStyle w:val="ListParagraph"/>
        <w:ind w:left="1120"/>
        <w:rPr>
          <w:b/>
          <w:szCs w:val="22"/>
        </w:rPr>
      </w:pPr>
    </w:p>
    <w:p w14:paraId="0F53D715" w14:textId="77777777" w:rsidR="003520BB" w:rsidRDefault="003520BB" w:rsidP="003E2DDA">
      <w:pPr>
        <w:pStyle w:val="ListParagraph"/>
        <w:ind w:left="1120"/>
        <w:rPr>
          <w:b/>
          <w:szCs w:val="22"/>
        </w:rPr>
      </w:pPr>
    </w:p>
    <w:p w14:paraId="1E6EF7C7" w14:textId="77777777" w:rsidR="003520BB" w:rsidRDefault="003520BB" w:rsidP="003520BB">
      <w:pPr>
        <w:pStyle w:val="ListParagraph"/>
        <w:numPr>
          <w:ilvl w:val="0"/>
          <w:numId w:val="2"/>
        </w:numPr>
        <w:rPr>
          <w:b/>
          <w:szCs w:val="22"/>
        </w:rPr>
      </w:pPr>
      <w:r w:rsidRPr="00685704">
        <w:rPr>
          <w:b/>
          <w:szCs w:val="22"/>
        </w:rPr>
        <w:t>D</w:t>
      </w:r>
      <w:r>
        <w:rPr>
          <w:b/>
          <w:szCs w:val="22"/>
        </w:rPr>
        <w:t>efinition</w:t>
      </w:r>
      <w:r w:rsidR="00833E32">
        <w:rPr>
          <w:b/>
          <w:szCs w:val="22"/>
        </w:rPr>
        <w:t>s</w:t>
      </w:r>
      <w:r>
        <w:rPr>
          <w:b/>
          <w:szCs w:val="22"/>
        </w:rPr>
        <w:t xml:space="preserve"> Used</w:t>
      </w:r>
    </w:p>
    <w:p w14:paraId="22245B25" w14:textId="77777777" w:rsidR="003520BB" w:rsidRDefault="003520BB" w:rsidP="003520BB">
      <w:pPr>
        <w:pStyle w:val="ListParagraph"/>
        <w:rPr>
          <w:b/>
          <w:szCs w:val="22"/>
        </w:rPr>
      </w:pPr>
    </w:p>
    <w:p w14:paraId="67C969B7" w14:textId="77777777" w:rsidR="003520BB" w:rsidRDefault="00833E32" w:rsidP="001E15C4">
      <w:pPr>
        <w:pStyle w:val="ListParagraph"/>
        <w:ind w:left="360"/>
        <w:rPr>
          <w:szCs w:val="22"/>
        </w:rPr>
      </w:pPr>
      <w:r>
        <w:rPr>
          <w:szCs w:val="22"/>
        </w:rPr>
        <w:t xml:space="preserve">For an explanation of the terms used in the Policy see </w:t>
      </w:r>
      <w:r w:rsidRPr="00833E32">
        <w:rPr>
          <w:i/>
          <w:szCs w:val="22"/>
        </w:rPr>
        <w:t>Appendix B</w:t>
      </w:r>
      <w:r>
        <w:rPr>
          <w:szCs w:val="22"/>
        </w:rPr>
        <w:t>.</w:t>
      </w:r>
    </w:p>
    <w:p w14:paraId="34E97210" w14:textId="77777777" w:rsidR="006923DD" w:rsidRPr="006923DD" w:rsidRDefault="006923DD" w:rsidP="006923DD">
      <w:pPr>
        <w:pStyle w:val="ListParagraph"/>
        <w:rPr>
          <w:b/>
          <w:szCs w:val="22"/>
        </w:rPr>
      </w:pPr>
    </w:p>
    <w:p w14:paraId="7AC9AED1" w14:textId="77777777" w:rsidR="003520BB" w:rsidRDefault="003520BB" w:rsidP="003520BB">
      <w:pPr>
        <w:pStyle w:val="ListParagraph"/>
        <w:rPr>
          <w:b/>
          <w:szCs w:val="22"/>
        </w:rPr>
      </w:pPr>
    </w:p>
    <w:p w14:paraId="2644946B" w14:textId="77777777" w:rsidR="003520BB" w:rsidRDefault="006923DD" w:rsidP="003520BB">
      <w:pPr>
        <w:pStyle w:val="ListParagraph"/>
        <w:numPr>
          <w:ilvl w:val="0"/>
          <w:numId w:val="2"/>
        </w:numPr>
        <w:rPr>
          <w:b/>
          <w:szCs w:val="22"/>
        </w:rPr>
      </w:pPr>
      <w:r>
        <w:rPr>
          <w:b/>
          <w:szCs w:val="22"/>
        </w:rPr>
        <w:t>General Principles of Antimicrobial Prescribing</w:t>
      </w:r>
    </w:p>
    <w:p w14:paraId="2FFE9687" w14:textId="77777777" w:rsidR="006923DD" w:rsidRDefault="006923DD" w:rsidP="006923DD">
      <w:pPr>
        <w:pStyle w:val="ListParagraph"/>
        <w:rPr>
          <w:b/>
          <w:szCs w:val="22"/>
        </w:rPr>
      </w:pPr>
    </w:p>
    <w:p w14:paraId="54E181B9" w14:textId="77777777" w:rsidR="006923DD" w:rsidRDefault="006923DD" w:rsidP="000467EE">
      <w:pPr>
        <w:pStyle w:val="ListParagraph"/>
        <w:ind w:left="360"/>
        <w:rPr>
          <w:szCs w:val="22"/>
        </w:rPr>
      </w:pPr>
      <w:r w:rsidRPr="006923DD">
        <w:rPr>
          <w:szCs w:val="22"/>
        </w:rPr>
        <w:t>When considering</w:t>
      </w:r>
      <w:r w:rsidR="00EC2A2A">
        <w:rPr>
          <w:szCs w:val="22"/>
        </w:rPr>
        <w:t xml:space="preserve"> prescribing an antimicrobial, the following is recommended:</w:t>
      </w:r>
    </w:p>
    <w:p w14:paraId="6A3A7763" w14:textId="77777777" w:rsidR="00EC2A2A" w:rsidRPr="00EC2A2A" w:rsidRDefault="00EC2A2A" w:rsidP="00EC2A2A">
      <w:pPr>
        <w:pStyle w:val="ListParagraph"/>
        <w:rPr>
          <w:szCs w:val="22"/>
        </w:rPr>
      </w:pPr>
    </w:p>
    <w:p w14:paraId="6003015B" w14:textId="77777777" w:rsidR="00324A0F" w:rsidRPr="005037CA" w:rsidRDefault="00324A0F" w:rsidP="000467EE">
      <w:pPr>
        <w:pStyle w:val="ListParagraph"/>
        <w:numPr>
          <w:ilvl w:val="0"/>
          <w:numId w:val="4"/>
        </w:numPr>
        <w:rPr>
          <w:szCs w:val="22"/>
        </w:rPr>
      </w:pPr>
      <w:r w:rsidRPr="00324A0F">
        <w:rPr>
          <w:szCs w:val="22"/>
        </w:rPr>
        <w:t xml:space="preserve">Before prescribing any medication it is important </w:t>
      </w:r>
      <w:r>
        <w:rPr>
          <w:szCs w:val="22"/>
        </w:rPr>
        <w:t xml:space="preserve">that </w:t>
      </w:r>
      <w:r w:rsidRPr="00324A0F">
        <w:rPr>
          <w:szCs w:val="22"/>
        </w:rPr>
        <w:t>allergies are identified and documented on the prescriptio</w:t>
      </w:r>
      <w:r>
        <w:rPr>
          <w:szCs w:val="22"/>
        </w:rPr>
        <w:t xml:space="preserve">n chart along with the reaction – see </w:t>
      </w:r>
      <w:r w:rsidR="00982228">
        <w:rPr>
          <w:szCs w:val="22"/>
        </w:rPr>
        <w:t>section</w:t>
      </w:r>
      <w:r>
        <w:rPr>
          <w:szCs w:val="22"/>
        </w:rPr>
        <w:t xml:space="preserve"> 4.4</w:t>
      </w:r>
    </w:p>
    <w:p w14:paraId="6E57EB94" w14:textId="3077A2FC" w:rsidR="00CE66AE" w:rsidRPr="00CE66AE" w:rsidRDefault="00EC2A2A" w:rsidP="000467EE">
      <w:pPr>
        <w:pStyle w:val="ListParagraph"/>
        <w:numPr>
          <w:ilvl w:val="0"/>
          <w:numId w:val="4"/>
        </w:numPr>
        <w:rPr>
          <w:szCs w:val="22"/>
        </w:rPr>
      </w:pPr>
      <w:r w:rsidRPr="00EC2A2A">
        <w:rPr>
          <w:b/>
          <w:bCs/>
          <w:szCs w:val="22"/>
        </w:rPr>
        <w:t xml:space="preserve">No </w:t>
      </w:r>
      <w:r w:rsidRPr="00EC2A2A">
        <w:rPr>
          <w:szCs w:val="22"/>
        </w:rPr>
        <w:t>prescribing of antibiotics for simple coughs and colds</w:t>
      </w:r>
      <w:r w:rsidR="007A39F9">
        <w:rPr>
          <w:szCs w:val="22"/>
        </w:rPr>
        <w:t xml:space="preserve"> suspected to be of viral cause</w:t>
      </w:r>
      <w:r w:rsidR="004D3B05">
        <w:rPr>
          <w:szCs w:val="22"/>
        </w:rPr>
        <w:t>.</w:t>
      </w:r>
      <w:r w:rsidRPr="00EC2A2A">
        <w:rPr>
          <w:szCs w:val="22"/>
        </w:rPr>
        <w:t xml:space="preserve"> </w:t>
      </w:r>
    </w:p>
    <w:p w14:paraId="3DF57FB5" w14:textId="592918AA" w:rsidR="00CE66AE" w:rsidRDefault="00EC2A2A" w:rsidP="000467EE">
      <w:pPr>
        <w:pStyle w:val="ListParagraph"/>
        <w:numPr>
          <w:ilvl w:val="0"/>
          <w:numId w:val="4"/>
        </w:numPr>
        <w:rPr>
          <w:szCs w:val="22"/>
        </w:rPr>
      </w:pPr>
      <w:r w:rsidRPr="00EC2A2A">
        <w:rPr>
          <w:b/>
          <w:bCs/>
          <w:szCs w:val="22"/>
        </w:rPr>
        <w:t xml:space="preserve">No </w:t>
      </w:r>
      <w:r w:rsidRPr="00EC2A2A">
        <w:rPr>
          <w:szCs w:val="22"/>
        </w:rPr>
        <w:t xml:space="preserve">prescribing of antibiotics for </w:t>
      </w:r>
      <w:r w:rsidR="007A39F9">
        <w:rPr>
          <w:szCs w:val="22"/>
        </w:rPr>
        <w:t xml:space="preserve">suspected viral </w:t>
      </w:r>
      <w:r w:rsidRPr="00EC2A2A">
        <w:rPr>
          <w:szCs w:val="22"/>
        </w:rPr>
        <w:t>sore throats (other than true group A Streptococcal infection</w:t>
      </w:r>
      <w:r w:rsidR="007A39F9">
        <w:rPr>
          <w:szCs w:val="22"/>
        </w:rPr>
        <w:t xml:space="preserve"> or other bacterial infections</w:t>
      </w:r>
      <w:r w:rsidRPr="00EC2A2A">
        <w:rPr>
          <w:szCs w:val="22"/>
        </w:rPr>
        <w:t>)</w:t>
      </w:r>
      <w:r w:rsidR="004D3B05">
        <w:rPr>
          <w:szCs w:val="22"/>
        </w:rPr>
        <w:t>.</w:t>
      </w:r>
      <w:r w:rsidRPr="00EC2A2A">
        <w:rPr>
          <w:szCs w:val="22"/>
        </w:rPr>
        <w:t xml:space="preserve"> </w:t>
      </w:r>
    </w:p>
    <w:p w14:paraId="0E310ECF" w14:textId="77777777" w:rsidR="004D3B05" w:rsidRPr="00FE70F9" w:rsidRDefault="004D3B05" w:rsidP="000467EE">
      <w:pPr>
        <w:pStyle w:val="ListParagraph"/>
        <w:numPr>
          <w:ilvl w:val="0"/>
          <w:numId w:val="4"/>
        </w:numPr>
        <w:rPr>
          <w:szCs w:val="22"/>
        </w:rPr>
      </w:pPr>
      <w:r w:rsidRPr="00FE70F9">
        <w:rPr>
          <w:b/>
          <w:bCs/>
          <w:szCs w:val="22"/>
        </w:rPr>
        <w:t xml:space="preserve">No </w:t>
      </w:r>
      <w:r w:rsidRPr="00FE70F9">
        <w:rPr>
          <w:bCs/>
          <w:szCs w:val="22"/>
        </w:rPr>
        <w:t>prescribing of antibiotics</w:t>
      </w:r>
      <w:r w:rsidRPr="00FE70F9">
        <w:rPr>
          <w:b/>
          <w:bCs/>
          <w:szCs w:val="22"/>
        </w:rPr>
        <w:t xml:space="preserve"> </w:t>
      </w:r>
      <w:r w:rsidRPr="00FE70F9">
        <w:rPr>
          <w:bCs/>
          <w:szCs w:val="22"/>
        </w:rPr>
        <w:t xml:space="preserve">for positive </w:t>
      </w:r>
      <w:r w:rsidR="00A8602B" w:rsidRPr="00FE70F9">
        <w:rPr>
          <w:bCs/>
          <w:iCs/>
          <w:szCs w:val="22"/>
        </w:rPr>
        <w:t>cultures from catheter urines AND in an asymptomatic patient with low inflammatory markers</w:t>
      </w:r>
      <w:r w:rsidR="00A8602B" w:rsidRPr="00FE70F9">
        <w:rPr>
          <w:bCs/>
          <w:i/>
          <w:iCs/>
          <w:szCs w:val="22"/>
        </w:rPr>
        <w:t> </w:t>
      </w:r>
      <w:r w:rsidR="00A8602B" w:rsidRPr="00FE70F9">
        <w:rPr>
          <w:bCs/>
          <w:iCs/>
          <w:szCs w:val="22"/>
        </w:rPr>
        <w:t>as they likely represent colonization rather than infection</w:t>
      </w:r>
    </w:p>
    <w:p w14:paraId="0B11DCB1" w14:textId="77777777" w:rsidR="00324A0F" w:rsidRPr="00324A0F" w:rsidRDefault="00324A0F" w:rsidP="00324A0F">
      <w:pPr>
        <w:pStyle w:val="ListParagraph"/>
        <w:numPr>
          <w:ilvl w:val="0"/>
          <w:numId w:val="4"/>
        </w:numPr>
        <w:rPr>
          <w:szCs w:val="22"/>
        </w:rPr>
      </w:pPr>
      <w:r w:rsidRPr="00324A0F">
        <w:rPr>
          <w:b/>
          <w:szCs w:val="22"/>
        </w:rPr>
        <w:t>Prescribe</w:t>
      </w:r>
      <w:r>
        <w:rPr>
          <w:szCs w:val="22"/>
        </w:rPr>
        <w:t xml:space="preserve"> according to local antimicrobial guidelines –</w:t>
      </w:r>
      <w:r w:rsidR="00982228">
        <w:rPr>
          <w:szCs w:val="22"/>
        </w:rPr>
        <w:t xml:space="preserve"> see section</w:t>
      </w:r>
      <w:r>
        <w:rPr>
          <w:szCs w:val="22"/>
        </w:rPr>
        <w:t xml:space="preserve"> 4.1 and Appendix C</w:t>
      </w:r>
      <w:r w:rsidR="004D3B05">
        <w:rPr>
          <w:szCs w:val="22"/>
        </w:rPr>
        <w:t>.</w:t>
      </w:r>
    </w:p>
    <w:p w14:paraId="474C1C56" w14:textId="77777777" w:rsidR="00EC2A2A" w:rsidRDefault="00EC2A2A" w:rsidP="000467EE">
      <w:pPr>
        <w:pStyle w:val="ListParagraph"/>
        <w:numPr>
          <w:ilvl w:val="0"/>
          <w:numId w:val="4"/>
        </w:numPr>
        <w:rPr>
          <w:szCs w:val="22"/>
        </w:rPr>
      </w:pPr>
      <w:r w:rsidRPr="00EC2A2A">
        <w:rPr>
          <w:b/>
          <w:bCs/>
          <w:szCs w:val="22"/>
        </w:rPr>
        <w:t xml:space="preserve">Manage </w:t>
      </w:r>
      <w:r w:rsidRPr="00EC2A2A">
        <w:rPr>
          <w:szCs w:val="22"/>
        </w:rPr>
        <w:t xml:space="preserve">patient expectations of an antimicrobial prescription for self-limiting infections, using the following strategies: </w:t>
      </w:r>
    </w:p>
    <w:p w14:paraId="4DE7E542" w14:textId="77777777" w:rsidR="008F7064" w:rsidRPr="008F7064" w:rsidRDefault="008F7064" w:rsidP="008F7064">
      <w:pPr>
        <w:pStyle w:val="ListParagraph"/>
        <w:autoSpaceDE w:val="0"/>
        <w:autoSpaceDN w:val="0"/>
        <w:adjustRightInd w:val="0"/>
        <w:spacing w:before="0" w:after="0"/>
        <w:ind w:left="1440"/>
        <w:jc w:val="left"/>
        <w:rPr>
          <w:rFonts w:ascii="Courier New" w:eastAsiaTheme="minorHAnsi" w:hAnsi="Courier New" w:cs="Courier New"/>
          <w:color w:val="000000"/>
          <w:sz w:val="24"/>
          <w:lang w:eastAsia="en-US"/>
        </w:rPr>
      </w:pPr>
    </w:p>
    <w:p w14:paraId="545302E5" w14:textId="77777777" w:rsidR="008F7064" w:rsidRDefault="008F7064" w:rsidP="000467EE">
      <w:pPr>
        <w:pStyle w:val="ListParagraph"/>
        <w:numPr>
          <w:ilvl w:val="0"/>
          <w:numId w:val="6"/>
        </w:numPr>
        <w:autoSpaceDE w:val="0"/>
        <w:autoSpaceDN w:val="0"/>
        <w:adjustRightInd w:val="0"/>
        <w:spacing w:before="0" w:after="14"/>
        <w:ind w:left="1440"/>
        <w:jc w:val="left"/>
        <w:rPr>
          <w:rFonts w:eastAsiaTheme="minorHAnsi" w:cs="Arial"/>
          <w:color w:val="000000"/>
          <w:szCs w:val="22"/>
          <w:lang w:eastAsia="en-US"/>
        </w:rPr>
      </w:pPr>
      <w:r w:rsidRPr="008F7064">
        <w:rPr>
          <w:rFonts w:eastAsiaTheme="minorHAnsi" w:cs="Arial"/>
          <w:b/>
          <w:bCs/>
          <w:color w:val="000000"/>
          <w:szCs w:val="22"/>
          <w:lang w:eastAsia="en-US"/>
        </w:rPr>
        <w:t xml:space="preserve">Do not offer a prescription </w:t>
      </w:r>
      <w:r w:rsidRPr="008F7064">
        <w:rPr>
          <w:rFonts w:eastAsiaTheme="minorHAnsi" w:cs="Arial"/>
          <w:color w:val="000000"/>
          <w:szCs w:val="22"/>
          <w:lang w:eastAsia="en-US"/>
        </w:rPr>
        <w:t xml:space="preserve">for acute, self-limiting infections, where antibiotics are not indicated and self-management is appropriate. Reassure the patient of the likely self-limiting viral diagnosis and provide general symptomatic advice. </w:t>
      </w:r>
    </w:p>
    <w:p w14:paraId="0FA2F6F1" w14:textId="77777777" w:rsidR="008F7064" w:rsidRDefault="008F7064" w:rsidP="000467EE">
      <w:pPr>
        <w:pStyle w:val="ListParagraph"/>
        <w:autoSpaceDE w:val="0"/>
        <w:autoSpaceDN w:val="0"/>
        <w:adjustRightInd w:val="0"/>
        <w:spacing w:before="0" w:after="14"/>
        <w:ind w:left="1440"/>
        <w:jc w:val="left"/>
        <w:rPr>
          <w:rFonts w:eastAsiaTheme="minorHAnsi" w:cs="Arial"/>
          <w:color w:val="000000"/>
          <w:szCs w:val="22"/>
          <w:lang w:eastAsia="en-US"/>
        </w:rPr>
      </w:pPr>
    </w:p>
    <w:p w14:paraId="79E836AA" w14:textId="77777777" w:rsidR="008F7064" w:rsidRDefault="008F7064" w:rsidP="000467EE">
      <w:pPr>
        <w:pStyle w:val="ListParagraph"/>
        <w:numPr>
          <w:ilvl w:val="0"/>
          <w:numId w:val="6"/>
        </w:numPr>
        <w:autoSpaceDE w:val="0"/>
        <w:autoSpaceDN w:val="0"/>
        <w:adjustRightInd w:val="0"/>
        <w:spacing w:before="0" w:after="14"/>
        <w:ind w:left="1440"/>
        <w:jc w:val="left"/>
        <w:rPr>
          <w:rFonts w:eastAsiaTheme="minorHAnsi" w:cs="Arial"/>
          <w:color w:val="000000"/>
          <w:szCs w:val="22"/>
          <w:lang w:eastAsia="en-US"/>
        </w:rPr>
      </w:pPr>
      <w:r w:rsidRPr="008F7064">
        <w:rPr>
          <w:rFonts w:eastAsiaTheme="minorHAnsi" w:cs="Arial"/>
          <w:b/>
          <w:bCs/>
          <w:color w:val="000000"/>
          <w:szCs w:val="22"/>
          <w:lang w:eastAsia="en-US"/>
        </w:rPr>
        <w:t xml:space="preserve">Offer a ‘delayed prescription’ </w:t>
      </w:r>
      <w:r w:rsidRPr="008F7064">
        <w:rPr>
          <w:rFonts w:eastAsiaTheme="minorHAnsi" w:cs="Arial"/>
          <w:color w:val="000000"/>
          <w:szCs w:val="22"/>
          <w:lang w:eastAsia="en-US"/>
        </w:rPr>
        <w:t xml:space="preserve">when the need for an antimicrobial is doubtful, together with advice about when the prescription should be used (if symptoms do not settle or get significantly worse; re-consulting if symptoms get significantly worse despite using the delayed prescription). </w:t>
      </w:r>
    </w:p>
    <w:p w14:paraId="5C862406" w14:textId="77777777" w:rsidR="008F7064" w:rsidRPr="008F7064" w:rsidRDefault="008F7064" w:rsidP="000467EE">
      <w:pPr>
        <w:pStyle w:val="ListParagraph"/>
        <w:ind w:left="0"/>
        <w:rPr>
          <w:rFonts w:eastAsiaTheme="minorHAnsi" w:cs="Arial"/>
          <w:color w:val="000000"/>
          <w:szCs w:val="22"/>
          <w:lang w:eastAsia="en-US"/>
        </w:rPr>
      </w:pPr>
    </w:p>
    <w:p w14:paraId="2120D538" w14:textId="77777777" w:rsidR="008F7064" w:rsidRPr="008F7064" w:rsidRDefault="008F7064" w:rsidP="000467EE">
      <w:pPr>
        <w:pStyle w:val="ListParagraph"/>
        <w:numPr>
          <w:ilvl w:val="0"/>
          <w:numId w:val="6"/>
        </w:numPr>
        <w:autoSpaceDE w:val="0"/>
        <w:autoSpaceDN w:val="0"/>
        <w:adjustRightInd w:val="0"/>
        <w:spacing w:before="0" w:after="14"/>
        <w:ind w:left="1440"/>
        <w:jc w:val="left"/>
        <w:rPr>
          <w:rFonts w:eastAsiaTheme="minorHAnsi" w:cs="Arial"/>
          <w:color w:val="000000"/>
          <w:szCs w:val="22"/>
          <w:lang w:eastAsia="en-US"/>
        </w:rPr>
      </w:pPr>
      <w:r w:rsidRPr="008F7064">
        <w:rPr>
          <w:rFonts w:eastAsiaTheme="minorHAnsi" w:cs="Arial"/>
          <w:b/>
          <w:bCs/>
          <w:color w:val="000000"/>
          <w:szCs w:val="22"/>
          <w:lang w:eastAsia="en-US"/>
        </w:rPr>
        <w:t xml:space="preserve">Take time to explain </w:t>
      </w:r>
      <w:r w:rsidRPr="008F7064">
        <w:rPr>
          <w:rFonts w:eastAsiaTheme="minorHAnsi" w:cs="Arial"/>
          <w:color w:val="000000"/>
          <w:szCs w:val="22"/>
          <w:lang w:eastAsia="en-US"/>
        </w:rPr>
        <w:t xml:space="preserve">to patients that it is inappropriate to prescribe an antimicrobial for a self-limiting viral infection; this advice will reduce future similar consultations. </w:t>
      </w:r>
    </w:p>
    <w:p w14:paraId="03A0936C" w14:textId="77777777" w:rsidR="008F7064" w:rsidRPr="00EC2A2A" w:rsidRDefault="008F7064" w:rsidP="008F7064">
      <w:pPr>
        <w:pStyle w:val="ListParagraph"/>
        <w:ind w:left="1440"/>
        <w:rPr>
          <w:szCs w:val="22"/>
        </w:rPr>
      </w:pPr>
    </w:p>
    <w:p w14:paraId="4244540D" w14:textId="77777777" w:rsidR="00B46F73" w:rsidRDefault="00B46F73" w:rsidP="000467EE">
      <w:pPr>
        <w:pStyle w:val="ListParagraph"/>
        <w:ind w:left="340"/>
        <w:rPr>
          <w:szCs w:val="22"/>
        </w:rPr>
      </w:pPr>
      <w:r w:rsidRPr="00B46F73">
        <w:rPr>
          <w:b/>
          <w:bCs/>
          <w:szCs w:val="22"/>
        </w:rPr>
        <w:t xml:space="preserve">Topical dermatological antimicrobials </w:t>
      </w:r>
      <w:r w:rsidRPr="00B46F73">
        <w:rPr>
          <w:szCs w:val="22"/>
        </w:rPr>
        <w:t>should only be prescribed in accordance with local or national evidence based guidelines where appropriate after seeking specialist advice. Topical antimicrobials should only be used for localised infections (e.g. head lice,</w:t>
      </w:r>
      <w:r w:rsidR="00EF601B">
        <w:rPr>
          <w:szCs w:val="22"/>
        </w:rPr>
        <w:t xml:space="preserve"> skin infections,</w:t>
      </w:r>
      <w:r w:rsidRPr="00B46F73">
        <w:rPr>
          <w:szCs w:val="22"/>
        </w:rPr>
        <w:t xml:space="preserve"> ear or eye infections). </w:t>
      </w:r>
    </w:p>
    <w:p w14:paraId="52594AF1" w14:textId="77777777" w:rsidR="00B46F73" w:rsidRPr="00B46F73" w:rsidRDefault="00B46F73" w:rsidP="000467EE">
      <w:pPr>
        <w:pStyle w:val="ListParagraph"/>
        <w:ind w:left="340"/>
        <w:rPr>
          <w:szCs w:val="22"/>
        </w:rPr>
      </w:pPr>
    </w:p>
    <w:p w14:paraId="469CDFAF" w14:textId="49E35BF0" w:rsidR="00B46F73" w:rsidRDefault="00B46F73" w:rsidP="000467EE">
      <w:pPr>
        <w:pStyle w:val="ListParagraph"/>
        <w:ind w:left="340"/>
        <w:rPr>
          <w:szCs w:val="22"/>
        </w:rPr>
      </w:pPr>
      <w:r w:rsidRPr="00B46F73">
        <w:rPr>
          <w:b/>
          <w:bCs/>
          <w:szCs w:val="22"/>
        </w:rPr>
        <w:t xml:space="preserve">Patients admitted on antimicrobials; </w:t>
      </w:r>
      <w:r w:rsidRPr="00B46F73">
        <w:rPr>
          <w:szCs w:val="22"/>
        </w:rPr>
        <w:t xml:space="preserve">the antimicrobial should be prescribed as per the recommendations of the initiating prescriber. The prescription should have a clearly specified </w:t>
      </w:r>
      <w:r w:rsidR="007A39F9">
        <w:rPr>
          <w:szCs w:val="22"/>
        </w:rPr>
        <w:t xml:space="preserve">1) </w:t>
      </w:r>
      <w:r w:rsidRPr="00B46F73">
        <w:rPr>
          <w:szCs w:val="22"/>
        </w:rPr>
        <w:t xml:space="preserve">course length </w:t>
      </w:r>
      <w:r w:rsidR="007A39F9">
        <w:rPr>
          <w:szCs w:val="22"/>
        </w:rPr>
        <w:t>AND 2)</w:t>
      </w:r>
      <w:r w:rsidRPr="00B46F73">
        <w:rPr>
          <w:szCs w:val="22"/>
        </w:rPr>
        <w:t xml:space="preserve"> indication stated. Where this is not evident from the transfer letter/prescription</w:t>
      </w:r>
      <w:r w:rsidR="00EF601B">
        <w:rPr>
          <w:szCs w:val="22"/>
        </w:rPr>
        <w:t>,</w:t>
      </w:r>
      <w:r w:rsidRPr="00B46F73">
        <w:rPr>
          <w:szCs w:val="22"/>
        </w:rPr>
        <w:t xml:space="preserve"> every effort should be made to contact the initiating prescriber to establish the intended duration/indication. </w:t>
      </w:r>
    </w:p>
    <w:p w14:paraId="0B3E1824" w14:textId="77777777" w:rsidR="00B46F73" w:rsidRPr="00B46F73" w:rsidRDefault="00B46F73" w:rsidP="000467EE">
      <w:pPr>
        <w:pStyle w:val="ListParagraph"/>
        <w:ind w:left="340"/>
        <w:rPr>
          <w:szCs w:val="22"/>
        </w:rPr>
      </w:pPr>
    </w:p>
    <w:p w14:paraId="6830CF34" w14:textId="77777777" w:rsidR="00B46F73" w:rsidRDefault="00B46F73" w:rsidP="000467EE">
      <w:pPr>
        <w:pStyle w:val="ListParagraph"/>
        <w:ind w:left="340"/>
        <w:rPr>
          <w:szCs w:val="22"/>
        </w:rPr>
      </w:pPr>
      <w:r w:rsidRPr="00B46F73">
        <w:rPr>
          <w:b/>
          <w:bCs/>
          <w:szCs w:val="22"/>
        </w:rPr>
        <w:t xml:space="preserve">Prophylactic antimicrobials: </w:t>
      </w:r>
      <w:r w:rsidRPr="00B46F73">
        <w:rPr>
          <w:szCs w:val="22"/>
        </w:rPr>
        <w:t xml:space="preserve">Where the prescription is for prophylaxis, “for prophylaxis” should be written / added in the additional instructions box on the prescription chart. </w:t>
      </w:r>
    </w:p>
    <w:p w14:paraId="3389EB96" w14:textId="77777777" w:rsidR="00B46F73" w:rsidRPr="00B46F73" w:rsidRDefault="00B46F73" w:rsidP="000467EE">
      <w:pPr>
        <w:pStyle w:val="ListParagraph"/>
        <w:ind w:left="340"/>
        <w:rPr>
          <w:szCs w:val="22"/>
        </w:rPr>
      </w:pPr>
    </w:p>
    <w:p w14:paraId="4D1FB055" w14:textId="77777777" w:rsidR="00B46F73" w:rsidRDefault="00B46F73" w:rsidP="000467EE">
      <w:pPr>
        <w:pStyle w:val="ListParagraph"/>
        <w:ind w:left="340"/>
        <w:rPr>
          <w:szCs w:val="22"/>
        </w:rPr>
      </w:pPr>
      <w:r w:rsidRPr="00B46F73">
        <w:rPr>
          <w:b/>
          <w:bCs/>
          <w:szCs w:val="22"/>
        </w:rPr>
        <w:t xml:space="preserve">Repeat prescriptions: </w:t>
      </w:r>
      <w:r w:rsidRPr="00B46F73">
        <w:rPr>
          <w:szCs w:val="22"/>
        </w:rPr>
        <w:t xml:space="preserve">Do not offer repeat prescriptions for antimicrobials unless needed for a particular clinical indication. Avoid issuing repeat prescriptions for longer than 6 months without review and ensure adequate monitoring for individual patients to reduce adverse drug reactions and to check whether continuing an antimicrobial is necessary. </w:t>
      </w:r>
    </w:p>
    <w:p w14:paraId="53BC9AB9" w14:textId="77777777" w:rsidR="00B46F73" w:rsidRPr="00B46F73" w:rsidRDefault="00B46F73" w:rsidP="000467EE">
      <w:pPr>
        <w:pStyle w:val="ListParagraph"/>
        <w:ind w:left="340"/>
        <w:rPr>
          <w:szCs w:val="22"/>
        </w:rPr>
      </w:pPr>
    </w:p>
    <w:p w14:paraId="05888FFD" w14:textId="77777777" w:rsidR="000467EE" w:rsidRPr="00324A0F" w:rsidRDefault="00B46F73" w:rsidP="00324A0F">
      <w:pPr>
        <w:pStyle w:val="ListParagraph"/>
        <w:ind w:left="340"/>
        <w:rPr>
          <w:szCs w:val="22"/>
        </w:rPr>
      </w:pPr>
      <w:r w:rsidRPr="00B46F73">
        <w:rPr>
          <w:b/>
          <w:bCs/>
          <w:szCs w:val="22"/>
        </w:rPr>
        <w:t xml:space="preserve">Healthcare Acquired Infections (HCAI): </w:t>
      </w:r>
      <w:r w:rsidRPr="00B46F73">
        <w:rPr>
          <w:szCs w:val="22"/>
        </w:rPr>
        <w:t xml:space="preserve">For advice on the management and treatment of HCAIs please refer to local antimicrobial guidelines and relevant </w:t>
      </w:r>
      <w:r>
        <w:rPr>
          <w:szCs w:val="22"/>
        </w:rPr>
        <w:t xml:space="preserve">ELFT </w:t>
      </w:r>
      <w:r w:rsidR="00324A0F">
        <w:rPr>
          <w:szCs w:val="22"/>
        </w:rPr>
        <w:t>IPC Policies.</w:t>
      </w:r>
    </w:p>
    <w:p w14:paraId="63089C26" w14:textId="77777777" w:rsidR="003E2DDA" w:rsidRDefault="00ED4759" w:rsidP="00D315F4">
      <w:pPr>
        <w:pStyle w:val="ListParagraph"/>
        <w:numPr>
          <w:ilvl w:val="1"/>
          <w:numId w:val="2"/>
        </w:numPr>
        <w:rPr>
          <w:b/>
          <w:szCs w:val="22"/>
        </w:rPr>
      </w:pPr>
      <w:r>
        <w:rPr>
          <w:b/>
          <w:szCs w:val="22"/>
        </w:rPr>
        <w:t>Antimicrobial Guidelines and Resources</w:t>
      </w:r>
    </w:p>
    <w:p w14:paraId="5C5B4355" w14:textId="77777777" w:rsidR="00AA02D2" w:rsidRDefault="00AA02D2" w:rsidP="00AA02D2">
      <w:pPr>
        <w:pStyle w:val="ListParagraph"/>
        <w:ind w:left="1120"/>
        <w:rPr>
          <w:b/>
          <w:szCs w:val="22"/>
        </w:rPr>
      </w:pPr>
    </w:p>
    <w:p w14:paraId="3432F271" w14:textId="77777777" w:rsidR="00AA02D2" w:rsidRDefault="00ED4759" w:rsidP="00A66509">
      <w:pPr>
        <w:pStyle w:val="ListParagraph"/>
        <w:rPr>
          <w:szCs w:val="22"/>
        </w:rPr>
      </w:pPr>
      <w:r w:rsidRPr="00ED4759">
        <w:rPr>
          <w:szCs w:val="22"/>
        </w:rPr>
        <w:t xml:space="preserve">The </w:t>
      </w:r>
      <w:r w:rsidR="00962C22">
        <w:rPr>
          <w:szCs w:val="22"/>
        </w:rPr>
        <w:t xml:space="preserve">UK Health Security Agency (UKHSA) </w:t>
      </w:r>
      <w:r w:rsidR="00AA02D2" w:rsidRPr="00AA02D2">
        <w:rPr>
          <w:szCs w:val="22"/>
        </w:rPr>
        <w:t xml:space="preserve">Management of infection guidance for primary care is used across the majority of </w:t>
      </w:r>
      <w:r w:rsidR="00AA02D2">
        <w:rPr>
          <w:szCs w:val="22"/>
        </w:rPr>
        <w:t>ELFT</w:t>
      </w:r>
      <w:r w:rsidR="00AA02D2" w:rsidRPr="00AA02D2">
        <w:rPr>
          <w:szCs w:val="22"/>
        </w:rPr>
        <w:t xml:space="preserve"> services on the recommendation of the </w:t>
      </w:r>
      <w:r w:rsidR="00AA02D2">
        <w:rPr>
          <w:szCs w:val="22"/>
        </w:rPr>
        <w:t>ELFT</w:t>
      </w:r>
      <w:r w:rsidR="00AA02D2" w:rsidRPr="00AA02D2">
        <w:rPr>
          <w:szCs w:val="22"/>
        </w:rPr>
        <w:t xml:space="preserve"> AMSG. </w:t>
      </w:r>
    </w:p>
    <w:p w14:paraId="218B955F" w14:textId="77777777" w:rsidR="00AA02D2" w:rsidRPr="00AA02D2" w:rsidRDefault="00AA02D2" w:rsidP="00AA02D2">
      <w:pPr>
        <w:pStyle w:val="ListParagraph"/>
        <w:ind w:left="1120"/>
        <w:rPr>
          <w:szCs w:val="22"/>
        </w:rPr>
      </w:pPr>
    </w:p>
    <w:p w14:paraId="02EE1975" w14:textId="64A8AA3D" w:rsidR="00ED4759" w:rsidRDefault="00AA02D2" w:rsidP="00A66509">
      <w:pPr>
        <w:pStyle w:val="ListParagraph"/>
        <w:rPr>
          <w:szCs w:val="22"/>
        </w:rPr>
      </w:pPr>
      <w:r>
        <w:rPr>
          <w:szCs w:val="22"/>
        </w:rPr>
        <w:t>ELFT</w:t>
      </w:r>
      <w:r w:rsidRPr="00AA02D2">
        <w:rPr>
          <w:szCs w:val="22"/>
        </w:rPr>
        <w:t xml:space="preserve"> services are associated with various partner organisations (Acute Hospital Trusts and </w:t>
      </w:r>
      <w:r w:rsidR="00EF601B">
        <w:rPr>
          <w:szCs w:val="22"/>
        </w:rPr>
        <w:t>Integrated Care Boards (ICB)</w:t>
      </w:r>
      <w:r w:rsidRPr="00AA02D2">
        <w:rPr>
          <w:szCs w:val="22"/>
        </w:rPr>
        <w:t xml:space="preserve"> in </w:t>
      </w:r>
      <w:r w:rsidR="00EF601B">
        <w:rPr>
          <w:szCs w:val="22"/>
        </w:rPr>
        <w:t>North East London and Bedfordshire, Luton and Milton Keynes</w:t>
      </w:r>
      <w:r w:rsidRPr="00AA02D2">
        <w:rPr>
          <w:szCs w:val="22"/>
        </w:rPr>
        <w:t xml:space="preserve"> and follow their antimicrobial treatment guidelines and formularies in these areas.</w:t>
      </w:r>
    </w:p>
    <w:p w14:paraId="03535CF9" w14:textId="77777777" w:rsidR="00AA02D2" w:rsidRDefault="00AA02D2" w:rsidP="00AA02D2">
      <w:pPr>
        <w:pStyle w:val="ListParagraph"/>
        <w:ind w:left="1120"/>
        <w:rPr>
          <w:szCs w:val="22"/>
        </w:rPr>
      </w:pPr>
    </w:p>
    <w:p w14:paraId="30226A2B" w14:textId="77777777" w:rsidR="00AA02D2" w:rsidRDefault="00AA02D2" w:rsidP="00A66509">
      <w:pPr>
        <w:pStyle w:val="ListParagraph"/>
        <w:rPr>
          <w:szCs w:val="22"/>
        </w:rPr>
      </w:pPr>
      <w:r>
        <w:rPr>
          <w:szCs w:val="22"/>
        </w:rPr>
        <w:t>Appendix C lists the antimicrobial guidelines to be followed per site.</w:t>
      </w:r>
    </w:p>
    <w:p w14:paraId="334FB674" w14:textId="77777777" w:rsidR="00220F1C" w:rsidRDefault="00220F1C" w:rsidP="00AA02D2">
      <w:pPr>
        <w:pStyle w:val="ListParagraph"/>
        <w:ind w:left="1120"/>
        <w:rPr>
          <w:szCs w:val="22"/>
        </w:rPr>
      </w:pPr>
    </w:p>
    <w:p w14:paraId="1417533D" w14:textId="77777777" w:rsidR="0040218B" w:rsidRPr="00ED4759" w:rsidRDefault="0040218B" w:rsidP="00AA02D2">
      <w:pPr>
        <w:pStyle w:val="ListParagraph"/>
        <w:ind w:left="1120"/>
        <w:rPr>
          <w:szCs w:val="22"/>
        </w:rPr>
      </w:pPr>
    </w:p>
    <w:p w14:paraId="5DE10F7E" w14:textId="77777777" w:rsidR="00ED4759" w:rsidRPr="00C633CA" w:rsidRDefault="00ED4759" w:rsidP="00A97018">
      <w:pPr>
        <w:rPr>
          <w:b/>
          <w:szCs w:val="22"/>
        </w:rPr>
      </w:pPr>
    </w:p>
    <w:p w14:paraId="1E1C47CA" w14:textId="77777777" w:rsidR="00ED4759" w:rsidRDefault="001C67D1" w:rsidP="00D315F4">
      <w:pPr>
        <w:pStyle w:val="ListParagraph"/>
        <w:numPr>
          <w:ilvl w:val="1"/>
          <w:numId w:val="2"/>
        </w:numPr>
        <w:rPr>
          <w:b/>
          <w:szCs w:val="22"/>
        </w:rPr>
      </w:pPr>
      <w:r>
        <w:rPr>
          <w:b/>
          <w:szCs w:val="22"/>
        </w:rPr>
        <w:t>Start Smart, Then Focus</w:t>
      </w:r>
    </w:p>
    <w:p w14:paraId="3DFAE341" w14:textId="77777777" w:rsidR="001C67D1" w:rsidRDefault="001C67D1" w:rsidP="00AC14CF">
      <w:pPr>
        <w:pStyle w:val="ListParagraph"/>
        <w:ind w:left="1120"/>
        <w:rPr>
          <w:b/>
          <w:szCs w:val="22"/>
        </w:rPr>
      </w:pPr>
    </w:p>
    <w:p w14:paraId="5CED0A68" w14:textId="77777777" w:rsidR="001C67D1" w:rsidRDefault="001C67D1" w:rsidP="00A66509">
      <w:pPr>
        <w:pStyle w:val="ListParagraph"/>
        <w:rPr>
          <w:szCs w:val="22"/>
        </w:rPr>
      </w:pPr>
      <w:r w:rsidRPr="001C67D1">
        <w:rPr>
          <w:szCs w:val="22"/>
        </w:rPr>
        <w:t xml:space="preserve">This procedure </w:t>
      </w:r>
      <w:r>
        <w:rPr>
          <w:szCs w:val="22"/>
        </w:rPr>
        <w:t>is also described by the flow chart in Appendix D</w:t>
      </w:r>
    </w:p>
    <w:p w14:paraId="0CB510CD" w14:textId="77777777" w:rsidR="00AC14CF" w:rsidRDefault="00AC14CF" w:rsidP="001C67D1">
      <w:pPr>
        <w:pStyle w:val="ListParagraph"/>
        <w:ind w:left="1120"/>
        <w:rPr>
          <w:szCs w:val="22"/>
        </w:rPr>
      </w:pPr>
    </w:p>
    <w:p w14:paraId="195233DC" w14:textId="77777777" w:rsidR="00AC14CF" w:rsidRDefault="00AC14CF" w:rsidP="00A66509">
      <w:pPr>
        <w:pStyle w:val="ListParagraph"/>
        <w:rPr>
          <w:szCs w:val="22"/>
        </w:rPr>
      </w:pPr>
      <w:r w:rsidRPr="00AC14CF">
        <w:rPr>
          <w:b/>
          <w:szCs w:val="22"/>
        </w:rPr>
        <w:t>START SMART</w:t>
      </w:r>
      <w:r>
        <w:rPr>
          <w:szCs w:val="22"/>
        </w:rPr>
        <w:t>:</w:t>
      </w:r>
    </w:p>
    <w:p w14:paraId="019C38EC" w14:textId="77777777" w:rsidR="001D061F" w:rsidRDefault="001D061F" w:rsidP="001C67D1">
      <w:pPr>
        <w:pStyle w:val="ListParagraph"/>
        <w:ind w:left="1120"/>
        <w:rPr>
          <w:szCs w:val="22"/>
        </w:rPr>
      </w:pPr>
    </w:p>
    <w:p w14:paraId="61405979" w14:textId="77777777" w:rsidR="00AC14CF" w:rsidRDefault="00AC14CF" w:rsidP="00AC14CF">
      <w:pPr>
        <w:pStyle w:val="ListParagraph"/>
        <w:numPr>
          <w:ilvl w:val="0"/>
          <w:numId w:val="7"/>
        </w:numPr>
        <w:rPr>
          <w:szCs w:val="22"/>
        </w:rPr>
      </w:pPr>
      <w:r w:rsidRPr="00AC14CF">
        <w:rPr>
          <w:b/>
          <w:szCs w:val="22"/>
        </w:rPr>
        <w:t>Antimicrobials should only be prescribed if clinically indicated</w:t>
      </w:r>
      <w:r>
        <w:rPr>
          <w:szCs w:val="22"/>
        </w:rPr>
        <w:t xml:space="preserve">, where there is </w:t>
      </w:r>
      <w:r w:rsidRPr="00AC14CF">
        <w:rPr>
          <w:szCs w:val="22"/>
        </w:rPr>
        <w:t xml:space="preserve">likely to be clear clinical benefit, according to the patient’s clinical signs and symptoms of infection and/or sepsis. Do not start antimicrobials in the absence of clinical evidence of infection or on a ‘just in case’ basis </w:t>
      </w:r>
    </w:p>
    <w:p w14:paraId="7CB56972" w14:textId="77777777" w:rsidR="00BA194E" w:rsidRPr="00BA194E" w:rsidRDefault="00BA194E" w:rsidP="00BA194E">
      <w:pPr>
        <w:pStyle w:val="ListParagraph"/>
        <w:autoSpaceDE w:val="0"/>
        <w:autoSpaceDN w:val="0"/>
        <w:adjustRightInd w:val="0"/>
        <w:spacing w:before="0" w:after="0"/>
        <w:ind w:left="1840"/>
        <w:jc w:val="left"/>
        <w:rPr>
          <w:rFonts w:ascii="Courier New" w:eastAsiaTheme="minorHAnsi" w:hAnsi="Courier New" w:cs="Courier New"/>
          <w:color w:val="000000"/>
          <w:sz w:val="24"/>
          <w:lang w:eastAsia="en-US"/>
        </w:rPr>
      </w:pPr>
    </w:p>
    <w:p w14:paraId="569B34B2" w14:textId="77777777" w:rsidR="00BA194E" w:rsidRDefault="00BA194E" w:rsidP="00BA194E">
      <w:pPr>
        <w:pStyle w:val="ListParagraph"/>
        <w:numPr>
          <w:ilvl w:val="0"/>
          <w:numId w:val="8"/>
        </w:numPr>
        <w:autoSpaceDE w:val="0"/>
        <w:autoSpaceDN w:val="0"/>
        <w:adjustRightInd w:val="0"/>
        <w:spacing w:before="0" w:after="17"/>
        <w:jc w:val="left"/>
        <w:rPr>
          <w:rFonts w:eastAsiaTheme="minorHAnsi" w:cs="Arial"/>
          <w:color w:val="000000"/>
          <w:szCs w:val="22"/>
          <w:lang w:eastAsia="en-US"/>
        </w:rPr>
      </w:pPr>
      <w:r w:rsidRPr="00BA194E">
        <w:rPr>
          <w:rFonts w:eastAsiaTheme="minorHAnsi" w:cs="Arial"/>
          <w:color w:val="000000"/>
          <w:szCs w:val="22"/>
          <w:lang w:eastAsia="en-US"/>
        </w:rPr>
        <w:t xml:space="preserve">When prescribing an antimicrobial, undertake a clinical assessment and document the clinical diagnosis (including symptoms) in the patient's medical record and clinical management plan. </w:t>
      </w:r>
    </w:p>
    <w:p w14:paraId="1B417B4A" w14:textId="77777777" w:rsidR="00BA194E" w:rsidRDefault="00BA194E" w:rsidP="00BA194E">
      <w:pPr>
        <w:pStyle w:val="ListParagraph"/>
        <w:numPr>
          <w:ilvl w:val="0"/>
          <w:numId w:val="8"/>
        </w:numPr>
        <w:autoSpaceDE w:val="0"/>
        <w:autoSpaceDN w:val="0"/>
        <w:adjustRightInd w:val="0"/>
        <w:spacing w:before="0" w:after="17"/>
        <w:jc w:val="left"/>
        <w:rPr>
          <w:rFonts w:eastAsiaTheme="minorHAnsi" w:cs="Arial"/>
          <w:color w:val="000000"/>
          <w:szCs w:val="22"/>
          <w:lang w:eastAsia="en-US"/>
        </w:rPr>
      </w:pPr>
      <w:r w:rsidRPr="00BA194E">
        <w:rPr>
          <w:rFonts w:eastAsiaTheme="minorHAnsi" w:cs="Arial"/>
          <w:color w:val="000000"/>
          <w:szCs w:val="22"/>
          <w:lang w:eastAsia="en-US"/>
        </w:rPr>
        <w:t xml:space="preserve">For patients with non-severe infections, consider taking microbiological samples before making a decision about prescribing an antimicrobial, providing it is safe to withhold treatment until the results are available. </w:t>
      </w:r>
    </w:p>
    <w:p w14:paraId="3A238B91" w14:textId="77777777" w:rsidR="00BA194E" w:rsidRDefault="00BA194E" w:rsidP="00BA194E">
      <w:pPr>
        <w:pStyle w:val="ListParagraph"/>
        <w:autoSpaceDE w:val="0"/>
        <w:autoSpaceDN w:val="0"/>
        <w:adjustRightInd w:val="0"/>
        <w:spacing w:before="0" w:after="17"/>
        <w:ind w:left="2560"/>
        <w:jc w:val="left"/>
        <w:rPr>
          <w:rFonts w:eastAsiaTheme="minorHAnsi" w:cs="Arial"/>
          <w:color w:val="000000"/>
          <w:szCs w:val="22"/>
          <w:lang w:eastAsia="en-US"/>
        </w:rPr>
      </w:pPr>
    </w:p>
    <w:p w14:paraId="00AE10AC" w14:textId="77777777" w:rsidR="0040218B" w:rsidRPr="00BA194E" w:rsidRDefault="0040218B" w:rsidP="00BA194E">
      <w:pPr>
        <w:pStyle w:val="ListParagraph"/>
        <w:autoSpaceDE w:val="0"/>
        <w:autoSpaceDN w:val="0"/>
        <w:adjustRightInd w:val="0"/>
        <w:spacing w:before="0" w:after="17"/>
        <w:ind w:left="2560"/>
        <w:jc w:val="left"/>
        <w:rPr>
          <w:rFonts w:eastAsiaTheme="minorHAnsi" w:cs="Arial"/>
          <w:color w:val="000000"/>
          <w:szCs w:val="22"/>
          <w:lang w:eastAsia="en-US"/>
        </w:rPr>
      </w:pPr>
    </w:p>
    <w:p w14:paraId="30C2458A" w14:textId="77777777" w:rsidR="00AC14CF" w:rsidRDefault="00BA194E" w:rsidP="00AC14CF">
      <w:pPr>
        <w:pStyle w:val="ListParagraph"/>
        <w:numPr>
          <w:ilvl w:val="0"/>
          <w:numId w:val="7"/>
        </w:numPr>
        <w:rPr>
          <w:szCs w:val="22"/>
        </w:rPr>
      </w:pPr>
      <w:r w:rsidRPr="001D061F">
        <w:rPr>
          <w:b/>
          <w:szCs w:val="22"/>
        </w:rPr>
        <w:t xml:space="preserve">Ensure appropriate </w:t>
      </w:r>
      <w:r w:rsidR="001D061F" w:rsidRPr="001D061F">
        <w:rPr>
          <w:b/>
          <w:szCs w:val="22"/>
        </w:rPr>
        <w:t>microbiological cultures and specimens have been taken prior to starting antimicrobial therapy where possible, but do not delay therapy</w:t>
      </w:r>
      <w:r w:rsidR="001D061F">
        <w:rPr>
          <w:szCs w:val="22"/>
        </w:rPr>
        <w:t xml:space="preserve">. Review all </w:t>
      </w:r>
      <w:r w:rsidR="004A0E1A">
        <w:rPr>
          <w:szCs w:val="22"/>
        </w:rPr>
        <w:t>relevant microbiology results in a timely manner.</w:t>
      </w:r>
    </w:p>
    <w:p w14:paraId="27F29BAC" w14:textId="77777777" w:rsidR="004A0E1A" w:rsidRDefault="004A0E1A" w:rsidP="004A0E1A">
      <w:pPr>
        <w:pStyle w:val="ListParagraph"/>
        <w:ind w:left="1840"/>
        <w:rPr>
          <w:szCs w:val="22"/>
        </w:rPr>
      </w:pPr>
    </w:p>
    <w:p w14:paraId="214AE0FA" w14:textId="77777777" w:rsidR="004A0E1A" w:rsidRPr="004A0E1A" w:rsidRDefault="004A0E1A" w:rsidP="004A0E1A">
      <w:pPr>
        <w:pStyle w:val="ListParagraph"/>
        <w:numPr>
          <w:ilvl w:val="0"/>
          <w:numId w:val="9"/>
        </w:numPr>
        <w:rPr>
          <w:szCs w:val="22"/>
        </w:rPr>
      </w:pPr>
      <w:r w:rsidRPr="004A0E1A">
        <w:rPr>
          <w:szCs w:val="22"/>
        </w:rPr>
        <w:t>Appropriate sampling</w:t>
      </w:r>
      <w:r>
        <w:rPr>
          <w:szCs w:val="22"/>
        </w:rPr>
        <w:t xml:space="preserve">. </w:t>
      </w:r>
      <w:r w:rsidRPr="004A0E1A">
        <w:rPr>
          <w:szCs w:val="22"/>
        </w:rPr>
        <w:t>These should be good specimens, e.g. a sample of pus rather than a swab, purulent sputum rather than saliva. Labelled specimens should be sent to the laboratory</w:t>
      </w:r>
      <w:r w:rsidR="002F48B0">
        <w:rPr>
          <w:szCs w:val="22"/>
        </w:rPr>
        <w:t xml:space="preserve"> in appropriate transport media.</w:t>
      </w:r>
    </w:p>
    <w:p w14:paraId="50A59D97" w14:textId="77777777" w:rsidR="004A0E1A" w:rsidRPr="004A0E1A" w:rsidRDefault="004A0E1A" w:rsidP="004A0E1A">
      <w:pPr>
        <w:pStyle w:val="ListParagraph"/>
        <w:numPr>
          <w:ilvl w:val="0"/>
          <w:numId w:val="9"/>
        </w:numPr>
        <w:rPr>
          <w:szCs w:val="22"/>
        </w:rPr>
      </w:pPr>
      <w:r w:rsidRPr="004A0E1A">
        <w:rPr>
          <w:szCs w:val="22"/>
        </w:rPr>
        <w:t xml:space="preserve">For patients with suspected infections, take microbiological samples before prescribing an antimicrobial and review the prescription when the results are available. </w:t>
      </w:r>
    </w:p>
    <w:p w14:paraId="7C9B85FA" w14:textId="77777777" w:rsidR="004A0E1A" w:rsidRDefault="004A0E1A" w:rsidP="004A0E1A">
      <w:pPr>
        <w:pStyle w:val="ListParagraph"/>
        <w:numPr>
          <w:ilvl w:val="0"/>
          <w:numId w:val="9"/>
        </w:numPr>
        <w:rPr>
          <w:szCs w:val="22"/>
        </w:rPr>
      </w:pPr>
      <w:r w:rsidRPr="004A0E1A">
        <w:rPr>
          <w:szCs w:val="22"/>
        </w:rPr>
        <w:t xml:space="preserve">For patients with recurrent or persistent infections, consider taking microbiological samples when prescribing an antimicrobial and review the prescription when the results are available. </w:t>
      </w:r>
    </w:p>
    <w:p w14:paraId="756FC15A" w14:textId="77777777" w:rsidR="00462A3B" w:rsidRPr="004A0E1A" w:rsidRDefault="00462A3B" w:rsidP="004A0E1A">
      <w:pPr>
        <w:pStyle w:val="ListParagraph"/>
        <w:numPr>
          <w:ilvl w:val="0"/>
          <w:numId w:val="9"/>
        </w:numPr>
        <w:rPr>
          <w:szCs w:val="22"/>
        </w:rPr>
      </w:pPr>
      <w:r>
        <w:rPr>
          <w:szCs w:val="22"/>
        </w:rPr>
        <w:t>Refer to local microbiology service, if there are any queries.</w:t>
      </w:r>
    </w:p>
    <w:p w14:paraId="5B598B83" w14:textId="77777777" w:rsidR="004A0E1A" w:rsidRDefault="004A0E1A" w:rsidP="004A0E1A">
      <w:pPr>
        <w:pStyle w:val="ListParagraph"/>
        <w:rPr>
          <w:szCs w:val="22"/>
        </w:rPr>
      </w:pPr>
    </w:p>
    <w:p w14:paraId="1549F723" w14:textId="77777777" w:rsidR="0040218B" w:rsidRPr="004A0E1A" w:rsidRDefault="0040218B" w:rsidP="004A0E1A">
      <w:pPr>
        <w:pStyle w:val="ListParagraph"/>
        <w:rPr>
          <w:szCs w:val="22"/>
        </w:rPr>
      </w:pPr>
    </w:p>
    <w:p w14:paraId="519AA553" w14:textId="77777777" w:rsidR="0099567D" w:rsidRDefault="004A0E1A" w:rsidP="0099567D">
      <w:pPr>
        <w:pStyle w:val="ListParagraph"/>
        <w:numPr>
          <w:ilvl w:val="0"/>
          <w:numId w:val="7"/>
        </w:numPr>
        <w:rPr>
          <w:b/>
          <w:szCs w:val="22"/>
        </w:rPr>
      </w:pPr>
      <w:r w:rsidRPr="004A0E1A">
        <w:rPr>
          <w:b/>
          <w:szCs w:val="22"/>
        </w:rPr>
        <w:t>Prescribers</w:t>
      </w:r>
      <w:r w:rsidR="0099567D">
        <w:rPr>
          <w:b/>
          <w:szCs w:val="22"/>
        </w:rPr>
        <w:t xml:space="preserve"> must follow the relevant local (where available) or national antimicrobial treatment guidelines for the treatment of infection or the British National Formulary (BNF) where guidelines do not exist.</w:t>
      </w:r>
    </w:p>
    <w:p w14:paraId="34C5300E" w14:textId="77777777" w:rsidR="00A66509" w:rsidRDefault="00A66509" w:rsidP="00A66509">
      <w:pPr>
        <w:pStyle w:val="ListParagraph"/>
        <w:ind w:left="1080"/>
        <w:rPr>
          <w:b/>
          <w:szCs w:val="22"/>
        </w:rPr>
      </w:pPr>
    </w:p>
    <w:p w14:paraId="0BD146D5" w14:textId="77777777" w:rsidR="0059270D" w:rsidRDefault="0059270D" w:rsidP="0059270D">
      <w:pPr>
        <w:pStyle w:val="ListParagraph"/>
        <w:numPr>
          <w:ilvl w:val="1"/>
          <w:numId w:val="7"/>
        </w:numPr>
        <w:rPr>
          <w:szCs w:val="22"/>
        </w:rPr>
      </w:pPr>
      <w:r w:rsidRPr="0099567D">
        <w:rPr>
          <w:szCs w:val="22"/>
        </w:rPr>
        <w:t>Individual</w:t>
      </w:r>
      <w:r>
        <w:rPr>
          <w:szCs w:val="22"/>
        </w:rPr>
        <w:t xml:space="preserve"> </w:t>
      </w:r>
      <w:r w:rsidRPr="0059270D">
        <w:rPr>
          <w:szCs w:val="22"/>
        </w:rPr>
        <w:t xml:space="preserve">patient factors and medicine-specific factors to be taken into account when deciding which antimicrobial agent to prescribe: </w:t>
      </w:r>
    </w:p>
    <w:p w14:paraId="76970044" w14:textId="77777777" w:rsidR="0040218B" w:rsidRPr="0059270D" w:rsidRDefault="0040218B" w:rsidP="0040218B">
      <w:pPr>
        <w:pStyle w:val="ListParagraph"/>
        <w:ind w:left="1800"/>
        <w:rPr>
          <w:szCs w:val="22"/>
        </w:rPr>
      </w:pPr>
    </w:p>
    <w:p w14:paraId="19F214F6" w14:textId="77777777" w:rsidR="0059270D" w:rsidRDefault="0059270D" w:rsidP="00922453">
      <w:pPr>
        <w:pStyle w:val="ListParagraph"/>
        <w:numPr>
          <w:ilvl w:val="1"/>
          <w:numId w:val="11"/>
        </w:numPr>
        <w:rPr>
          <w:szCs w:val="22"/>
        </w:rPr>
      </w:pPr>
      <w:r w:rsidRPr="0059270D">
        <w:rPr>
          <w:szCs w:val="22"/>
        </w:rPr>
        <w:t xml:space="preserve">Renal or hepatic impairment </w:t>
      </w:r>
    </w:p>
    <w:p w14:paraId="771AD657" w14:textId="77777777" w:rsidR="0059270D" w:rsidRDefault="0059270D" w:rsidP="00922453">
      <w:pPr>
        <w:pStyle w:val="ListParagraph"/>
        <w:numPr>
          <w:ilvl w:val="1"/>
          <w:numId w:val="11"/>
        </w:numPr>
        <w:rPr>
          <w:szCs w:val="22"/>
        </w:rPr>
      </w:pPr>
      <w:r w:rsidRPr="0059270D">
        <w:rPr>
          <w:szCs w:val="22"/>
        </w:rPr>
        <w:t xml:space="preserve">Previous antimicrobial history </w:t>
      </w:r>
    </w:p>
    <w:p w14:paraId="5B9DB18D" w14:textId="77777777" w:rsidR="0059270D" w:rsidRDefault="0059270D" w:rsidP="00922453">
      <w:pPr>
        <w:pStyle w:val="ListParagraph"/>
        <w:numPr>
          <w:ilvl w:val="1"/>
          <w:numId w:val="11"/>
        </w:numPr>
        <w:rPr>
          <w:szCs w:val="22"/>
        </w:rPr>
      </w:pPr>
      <w:r w:rsidRPr="0059270D">
        <w:rPr>
          <w:szCs w:val="22"/>
        </w:rPr>
        <w:t xml:space="preserve">Previous HCAIs or known colonisation </w:t>
      </w:r>
    </w:p>
    <w:p w14:paraId="4BB1686E" w14:textId="77777777" w:rsidR="0059270D" w:rsidRDefault="0059270D" w:rsidP="00922453">
      <w:pPr>
        <w:pStyle w:val="ListParagraph"/>
        <w:numPr>
          <w:ilvl w:val="1"/>
          <w:numId w:val="11"/>
        </w:numPr>
        <w:rPr>
          <w:szCs w:val="22"/>
        </w:rPr>
      </w:pPr>
      <w:r w:rsidRPr="0059270D">
        <w:rPr>
          <w:szCs w:val="22"/>
        </w:rPr>
        <w:t xml:space="preserve">Previous infection with multi-resistant organisms </w:t>
      </w:r>
    </w:p>
    <w:p w14:paraId="7000279D" w14:textId="77777777" w:rsidR="0059270D" w:rsidRDefault="0059270D" w:rsidP="00922453">
      <w:pPr>
        <w:pStyle w:val="ListParagraph"/>
        <w:numPr>
          <w:ilvl w:val="1"/>
          <w:numId w:val="11"/>
        </w:numPr>
        <w:rPr>
          <w:szCs w:val="22"/>
        </w:rPr>
      </w:pPr>
      <w:r w:rsidRPr="0059270D">
        <w:rPr>
          <w:szCs w:val="22"/>
        </w:rPr>
        <w:t xml:space="preserve">Drug interactions, allergies or intolerance </w:t>
      </w:r>
    </w:p>
    <w:p w14:paraId="50FCA234" w14:textId="77777777" w:rsidR="0059270D" w:rsidRDefault="0059270D" w:rsidP="00922453">
      <w:pPr>
        <w:pStyle w:val="ListParagraph"/>
        <w:numPr>
          <w:ilvl w:val="1"/>
          <w:numId w:val="11"/>
        </w:numPr>
        <w:rPr>
          <w:szCs w:val="22"/>
        </w:rPr>
      </w:pPr>
      <w:r w:rsidRPr="0059270D">
        <w:rPr>
          <w:szCs w:val="22"/>
        </w:rPr>
        <w:t xml:space="preserve">Availability of and absorption by oral route </w:t>
      </w:r>
    </w:p>
    <w:p w14:paraId="06E77B96" w14:textId="77777777" w:rsidR="0059270D" w:rsidRDefault="0059270D" w:rsidP="00922453">
      <w:pPr>
        <w:pStyle w:val="ListParagraph"/>
        <w:numPr>
          <w:ilvl w:val="1"/>
          <w:numId w:val="11"/>
        </w:numPr>
        <w:rPr>
          <w:szCs w:val="22"/>
        </w:rPr>
      </w:pPr>
      <w:r w:rsidRPr="0059270D">
        <w:rPr>
          <w:szCs w:val="22"/>
        </w:rPr>
        <w:t xml:space="preserve">Pregnancy or lactation </w:t>
      </w:r>
    </w:p>
    <w:p w14:paraId="797CE309" w14:textId="77777777" w:rsidR="0059270D" w:rsidRDefault="0059270D" w:rsidP="00922453">
      <w:pPr>
        <w:pStyle w:val="ListParagraph"/>
        <w:numPr>
          <w:ilvl w:val="1"/>
          <w:numId w:val="11"/>
        </w:numPr>
        <w:rPr>
          <w:szCs w:val="22"/>
        </w:rPr>
      </w:pPr>
      <w:r w:rsidRPr="0059270D">
        <w:rPr>
          <w:szCs w:val="22"/>
        </w:rPr>
        <w:t xml:space="preserve">Immunosuppression </w:t>
      </w:r>
    </w:p>
    <w:p w14:paraId="471EBD4A" w14:textId="77777777" w:rsidR="0059270D" w:rsidRDefault="0059270D" w:rsidP="00922453">
      <w:pPr>
        <w:pStyle w:val="ListParagraph"/>
        <w:numPr>
          <w:ilvl w:val="1"/>
          <w:numId w:val="11"/>
        </w:numPr>
        <w:rPr>
          <w:szCs w:val="22"/>
        </w:rPr>
      </w:pPr>
      <w:r w:rsidRPr="0059270D">
        <w:rPr>
          <w:szCs w:val="22"/>
        </w:rPr>
        <w:t xml:space="preserve">Co-morbidity </w:t>
      </w:r>
    </w:p>
    <w:p w14:paraId="0150A4D1" w14:textId="77777777" w:rsidR="0040218B" w:rsidRPr="00E419F8" w:rsidRDefault="0040218B" w:rsidP="0040218B">
      <w:pPr>
        <w:pStyle w:val="ListParagraph"/>
        <w:ind w:left="2560"/>
        <w:rPr>
          <w:szCs w:val="22"/>
        </w:rPr>
      </w:pPr>
    </w:p>
    <w:p w14:paraId="0DCF8CBE" w14:textId="77777777" w:rsidR="00993B3B" w:rsidRPr="00993B3B" w:rsidRDefault="004954CE" w:rsidP="00993B3B">
      <w:pPr>
        <w:pStyle w:val="ListParagraph"/>
        <w:numPr>
          <w:ilvl w:val="1"/>
          <w:numId w:val="7"/>
        </w:numPr>
        <w:rPr>
          <w:szCs w:val="22"/>
        </w:rPr>
      </w:pPr>
      <w:r>
        <w:rPr>
          <w:szCs w:val="22"/>
        </w:rPr>
        <w:t xml:space="preserve">Prescribers are reminded to consider the risk of </w:t>
      </w:r>
      <w:r w:rsidR="00993B3B" w:rsidRPr="00993B3B">
        <w:rPr>
          <w:szCs w:val="22"/>
        </w:rPr>
        <w:t xml:space="preserve">resistant microorganisms such as MRSA, ESBL-producing organisms, CPE, GRE/VRE and offer alternative treatment regimens accordingly or seek expert advice. </w:t>
      </w:r>
    </w:p>
    <w:p w14:paraId="6E570BF2" w14:textId="77777777" w:rsidR="00993B3B" w:rsidRPr="00993B3B" w:rsidRDefault="00993B3B" w:rsidP="00993B3B">
      <w:pPr>
        <w:pStyle w:val="ListParagraph"/>
        <w:numPr>
          <w:ilvl w:val="1"/>
          <w:numId w:val="7"/>
        </w:numPr>
        <w:rPr>
          <w:szCs w:val="22"/>
        </w:rPr>
      </w:pPr>
      <w:r w:rsidRPr="00993B3B">
        <w:rPr>
          <w:szCs w:val="22"/>
        </w:rPr>
        <w:t xml:space="preserve">Narrow-spectrum antimicrobial agents should be used in preference to broad-spectrum agents wherever possible and must be in line with national guidance or local antimicrobial guideline where available </w:t>
      </w:r>
    </w:p>
    <w:p w14:paraId="1C722DBA" w14:textId="77777777" w:rsidR="00993B3B" w:rsidRPr="00993B3B" w:rsidRDefault="00993B3B" w:rsidP="00993B3B">
      <w:pPr>
        <w:pStyle w:val="ListParagraph"/>
        <w:numPr>
          <w:ilvl w:val="1"/>
          <w:numId w:val="7"/>
        </w:numPr>
        <w:rPr>
          <w:szCs w:val="22"/>
        </w:rPr>
      </w:pPr>
      <w:r w:rsidRPr="00993B3B">
        <w:rPr>
          <w:szCs w:val="22"/>
        </w:rPr>
        <w:t xml:space="preserve">Broad spectrum antibiotics such as co-amoxiclav, cephalosporin (e.g. Cefalexin), Carbepenems (e.g. Meropenem), quinolones (e.g. Ciprofloxacin) and Piperacillin with Tazobactam increase the risk of Clostridium difficile, MRSA, ESBLs, VRE/GRE and resistant urinary tract infections; using broad spectrum antibiotics must be carefully considered </w:t>
      </w:r>
    </w:p>
    <w:p w14:paraId="6350FC87" w14:textId="77777777" w:rsidR="00993B3B" w:rsidRPr="00993B3B" w:rsidRDefault="00993B3B" w:rsidP="00993B3B">
      <w:pPr>
        <w:pStyle w:val="ListParagraph"/>
        <w:numPr>
          <w:ilvl w:val="1"/>
          <w:numId w:val="7"/>
        </w:numPr>
        <w:rPr>
          <w:szCs w:val="22"/>
        </w:rPr>
      </w:pPr>
      <w:r w:rsidRPr="00993B3B">
        <w:rPr>
          <w:szCs w:val="22"/>
        </w:rPr>
        <w:t xml:space="preserve">Prescribers are reminded to use an antimicrobial agent with an adequate spectrum to cover only the expected microorganisms for less severe infections. Broad-spectrum antimicrobials are sometimes not as potent in vitro as narrow-spectrum antimicrobials against certain microbes. </w:t>
      </w:r>
    </w:p>
    <w:p w14:paraId="34F4BD95" w14:textId="77777777" w:rsidR="0059270D" w:rsidRPr="0099567D" w:rsidRDefault="0059270D" w:rsidP="00A7394A">
      <w:pPr>
        <w:pStyle w:val="ListParagraph"/>
        <w:ind w:left="2560"/>
        <w:rPr>
          <w:szCs w:val="22"/>
        </w:rPr>
      </w:pPr>
    </w:p>
    <w:p w14:paraId="2C19BE3E" w14:textId="77777777" w:rsidR="0059270D" w:rsidRDefault="0059270D" w:rsidP="0059270D">
      <w:pPr>
        <w:pStyle w:val="ListParagraph"/>
        <w:ind w:left="1840"/>
        <w:rPr>
          <w:b/>
          <w:szCs w:val="22"/>
        </w:rPr>
      </w:pPr>
    </w:p>
    <w:p w14:paraId="72A42471" w14:textId="77777777" w:rsidR="0059270D" w:rsidRPr="00A7394A" w:rsidRDefault="00A7394A" w:rsidP="0099567D">
      <w:pPr>
        <w:pStyle w:val="ListParagraph"/>
        <w:numPr>
          <w:ilvl w:val="0"/>
          <w:numId w:val="7"/>
        </w:numPr>
        <w:rPr>
          <w:b/>
          <w:szCs w:val="22"/>
          <w:u w:val="single"/>
        </w:rPr>
      </w:pPr>
      <w:r w:rsidRPr="00A7394A">
        <w:rPr>
          <w:b/>
          <w:szCs w:val="22"/>
          <w:u w:val="single"/>
        </w:rPr>
        <w:t>Sepsis: Urgent need to start treatment with effective antimicrobial agents for severe sepsis or life-threatening infections</w:t>
      </w:r>
    </w:p>
    <w:p w14:paraId="1E16EDAD" w14:textId="77777777" w:rsidR="00A7394A" w:rsidRDefault="00A7394A" w:rsidP="00A7394A">
      <w:pPr>
        <w:pStyle w:val="ListParagraph"/>
        <w:ind w:left="1840"/>
        <w:rPr>
          <w:b/>
          <w:szCs w:val="22"/>
        </w:rPr>
      </w:pPr>
    </w:p>
    <w:p w14:paraId="70A8CB9A" w14:textId="194530D7" w:rsidR="00A7394A" w:rsidRDefault="00A7394A" w:rsidP="00A7394A">
      <w:pPr>
        <w:pStyle w:val="ListParagraph"/>
        <w:numPr>
          <w:ilvl w:val="1"/>
          <w:numId w:val="7"/>
        </w:numPr>
        <w:jc w:val="left"/>
        <w:rPr>
          <w:b/>
          <w:szCs w:val="22"/>
        </w:rPr>
      </w:pPr>
      <w:r>
        <w:rPr>
          <w:b/>
          <w:szCs w:val="22"/>
        </w:rPr>
        <w:t>See NICE guide</w:t>
      </w:r>
      <w:r w:rsidR="00AE047A">
        <w:rPr>
          <w:b/>
          <w:szCs w:val="22"/>
        </w:rPr>
        <w:t xml:space="preserve">lines on sepsis </w:t>
      </w:r>
      <w:r w:rsidR="007A39F9">
        <w:rPr>
          <w:b/>
          <w:szCs w:val="22"/>
        </w:rPr>
        <w:t xml:space="preserve">for further advice on identification and monitoring: </w:t>
      </w:r>
      <w:hyperlink r:id="rId13" w:history="1">
        <w:r w:rsidR="007A39F9" w:rsidRPr="007A39F9">
          <w:rPr>
            <w:rStyle w:val="Hyperlink"/>
            <w:b/>
            <w:szCs w:val="22"/>
          </w:rPr>
          <w:t>https://www.nice.org.uk/guidance/ng51</w:t>
        </w:r>
      </w:hyperlink>
    </w:p>
    <w:p w14:paraId="6E4CA2B6" w14:textId="5C9F22D5" w:rsidR="007A39F9" w:rsidRDefault="007A39F9" w:rsidP="007A39F9">
      <w:pPr>
        <w:pStyle w:val="ListParagraph"/>
        <w:numPr>
          <w:ilvl w:val="1"/>
          <w:numId w:val="7"/>
        </w:numPr>
        <w:rPr>
          <w:b/>
          <w:szCs w:val="22"/>
        </w:rPr>
      </w:pPr>
      <w:r w:rsidRPr="007A39F9">
        <w:rPr>
          <w:b/>
          <w:szCs w:val="22"/>
        </w:rPr>
        <w:t xml:space="preserve">Please </w:t>
      </w:r>
      <w:r>
        <w:rPr>
          <w:b/>
          <w:szCs w:val="22"/>
        </w:rPr>
        <w:t xml:space="preserve">also </w:t>
      </w:r>
      <w:r w:rsidRPr="007A39F9">
        <w:rPr>
          <w:b/>
          <w:szCs w:val="22"/>
        </w:rPr>
        <w:t>refer to local acute hospital guidelines for treatment options</w:t>
      </w:r>
      <w:r>
        <w:rPr>
          <w:b/>
          <w:szCs w:val="22"/>
        </w:rPr>
        <w:t xml:space="preserve"> and clinical management of patients</w:t>
      </w:r>
      <w:r w:rsidRPr="007A39F9">
        <w:rPr>
          <w:b/>
          <w:szCs w:val="22"/>
        </w:rPr>
        <w:t xml:space="preserve">. </w:t>
      </w:r>
    </w:p>
    <w:p w14:paraId="4C965945" w14:textId="5AB77D04" w:rsidR="007A39F9" w:rsidRPr="000B4C93" w:rsidRDefault="000B4C93" w:rsidP="001B2357">
      <w:pPr>
        <w:pStyle w:val="ListParagraph"/>
        <w:ind w:left="1800"/>
        <w:jc w:val="left"/>
        <w:rPr>
          <w:b/>
          <w:szCs w:val="22"/>
        </w:rPr>
      </w:pPr>
      <w:r w:rsidRPr="000B4C93">
        <w:rPr>
          <w:b/>
          <w:szCs w:val="22"/>
        </w:rPr>
        <w:t xml:space="preserve">Discussion with senior clinicians and the microbiology team oncall should also be considered </w:t>
      </w:r>
    </w:p>
    <w:p w14:paraId="1697D746" w14:textId="77777777" w:rsidR="00A7394A" w:rsidRDefault="00A7394A" w:rsidP="00A7394A">
      <w:pPr>
        <w:pStyle w:val="ListParagraph"/>
        <w:ind w:left="2560"/>
        <w:rPr>
          <w:b/>
          <w:szCs w:val="22"/>
        </w:rPr>
      </w:pPr>
    </w:p>
    <w:p w14:paraId="5A2A4383" w14:textId="77777777" w:rsidR="00FD7169" w:rsidRPr="00FD7169" w:rsidRDefault="00A7394A" w:rsidP="00FD7169">
      <w:pPr>
        <w:pStyle w:val="ListParagraph"/>
        <w:numPr>
          <w:ilvl w:val="0"/>
          <w:numId w:val="12"/>
        </w:numPr>
        <w:rPr>
          <w:b/>
          <w:szCs w:val="22"/>
        </w:rPr>
      </w:pPr>
      <w:r>
        <w:rPr>
          <w:b/>
          <w:szCs w:val="22"/>
        </w:rPr>
        <w:t xml:space="preserve">Initiate </w:t>
      </w:r>
      <w:r w:rsidR="00FD7169">
        <w:rPr>
          <w:b/>
          <w:szCs w:val="22"/>
        </w:rPr>
        <w:t>prompt effective antimicrobial treatment.</w:t>
      </w:r>
      <w:r w:rsidR="00FD7169" w:rsidRPr="00FD7169">
        <w:rPr>
          <w:szCs w:val="22"/>
        </w:rPr>
        <w:t xml:space="preserve"> Give the first dose of antimicrobial within 1 hour of diagnosis for severe or life-threatening infections. </w:t>
      </w:r>
      <w:r w:rsidR="00FD7169" w:rsidRPr="00FD7169">
        <w:rPr>
          <w:b/>
          <w:bCs/>
          <w:szCs w:val="22"/>
          <w:u w:val="single"/>
        </w:rPr>
        <w:t xml:space="preserve">Antimicrobial therapy should never be delayed in an emergency </w:t>
      </w:r>
    </w:p>
    <w:p w14:paraId="226CE371" w14:textId="77777777" w:rsidR="00FD7169" w:rsidRPr="00FD7169" w:rsidRDefault="00FD7169" w:rsidP="00FD7169">
      <w:pPr>
        <w:pStyle w:val="ListParagraph"/>
        <w:ind w:left="1800"/>
        <w:rPr>
          <w:b/>
          <w:szCs w:val="22"/>
        </w:rPr>
      </w:pPr>
    </w:p>
    <w:p w14:paraId="465E1A47" w14:textId="09B30340" w:rsidR="00FD7169" w:rsidRPr="00C633CA" w:rsidRDefault="004909D2" w:rsidP="00A7394A">
      <w:pPr>
        <w:pStyle w:val="ListParagraph"/>
        <w:numPr>
          <w:ilvl w:val="0"/>
          <w:numId w:val="12"/>
        </w:numPr>
        <w:rPr>
          <w:b/>
          <w:szCs w:val="22"/>
        </w:rPr>
      </w:pPr>
      <w:r w:rsidRPr="00C633CA">
        <w:rPr>
          <w:b/>
          <w:szCs w:val="22"/>
        </w:rPr>
        <w:t>IV route is preferred over oral in septic patients</w:t>
      </w:r>
    </w:p>
    <w:p w14:paraId="2322E06C" w14:textId="77777777" w:rsidR="003A52A9" w:rsidRPr="00C633CA" w:rsidRDefault="003A52A9" w:rsidP="003A52A9">
      <w:pPr>
        <w:pStyle w:val="ListParagraph"/>
        <w:rPr>
          <w:b/>
          <w:szCs w:val="22"/>
        </w:rPr>
      </w:pPr>
    </w:p>
    <w:p w14:paraId="0C0865C8" w14:textId="7A6246D2" w:rsidR="008215AC" w:rsidRPr="00C633CA" w:rsidRDefault="003A52A9" w:rsidP="008215AC">
      <w:pPr>
        <w:pStyle w:val="ListParagraph"/>
        <w:numPr>
          <w:ilvl w:val="0"/>
          <w:numId w:val="12"/>
        </w:numPr>
        <w:rPr>
          <w:szCs w:val="22"/>
        </w:rPr>
      </w:pPr>
      <w:r w:rsidRPr="00C633CA">
        <w:rPr>
          <w:b/>
          <w:szCs w:val="22"/>
        </w:rPr>
        <w:t>IV administration shou</w:t>
      </w:r>
      <w:r w:rsidR="00D229FE">
        <w:rPr>
          <w:b/>
          <w:szCs w:val="22"/>
        </w:rPr>
        <w:t xml:space="preserve">ld </w:t>
      </w:r>
      <w:r w:rsidRPr="00C633CA">
        <w:rPr>
          <w:b/>
          <w:bCs/>
          <w:szCs w:val="22"/>
        </w:rPr>
        <w:t xml:space="preserve">be considered for patients who are severely ill, unable to tolerate oral treatment, or where oral therapy would not provide adequate coverage or tissue penetration. </w:t>
      </w:r>
      <w:r w:rsidR="00CD70F2" w:rsidRPr="00C633CA">
        <w:rPr>
          <w:szCs w:val="22"/>
        </w:rPr>
        <w:t>See section</w:t>
      </w:r>
      <w:r w:rsidRPr="00C633CA">
        <w:rPr>
          <w:szCs w:val="22"/>
        </w:rPr>
        <w:t xml:space="preserve"> 4.6 and </w:t>
      </w:r>
      <w:r w:rsidRPr="00C633CA">
        <w:rPr>
          <w:i/>
          <w:szCs w:val="22"/>
        </w:rPr>
        <w:t>Appendix G</w:t>
      </w:r>
      <w:r w:rsidRPr="00C633CA">
        <w:rPr>
          <w:szCs w:val="22"/>
        </w:rPr>
        <w:t xml:space="preserve"> </w:t>
      </w:r>
      <w:r w:rsidR="004909D2" w:rsidRPr="00C633CA">
        <w:rPr>
          <w:b/>
          <w:szCs w:val="22"/>
        </w:rPr>
        <w:t xml:space="preserve">Settings where IV is not immediately available, a risk assessment should be completed by the clinician. A decision should be made whether to send the patient to the nearest acute hospital or administer a first dose orally or via IM then send the patient for further assessment in A+E. </w:t>
      </w:r>
    </w:p>
    <w:p w14:paraId="184120DB" w14:textId="77777777" w:rsidR="004909D2" w:rsidRPr="004909D2" w:rsidRDefault="004909D2" w:rsidP="004909D2">
      <w:pPr>
        <w:pStyle w:val="ListParagraph"/>
        <w:rPr>
          <w:szCs w:val="22"/>
        </w:rPr>
      </w:pPr>
    </w:p>
    <w:p w14:paraId="39355544" w14:textId="77777777" w:rsidR="008215AC" w:rsidRPr="008215AC" w:rsidRDefault="008215AC" w:rsidP="008215AC">
      <w:pPr>
        <w:pStyle w:val="ListParagraph"/>
        <w:rPr>
          <w:b/>
          <w:szCs w:val="22"/>
        </w:rPr>
      </w:pPr>
    </w:p>
    <w:p w14:paraId="4E14E09A" w14:textId="77777777" w:rsidR="003A52A9" w:rsidRDefault="008215AC" w:rsidP="00662F39">
      <w:pPr>
        <w:pStyle w:val="ListParagraph"/>
        <w:numPr>
          <w:ilvl w:val="0"/>
          <w:numId w:val="12"/>
        </w:numPr>
        <w:rPr>
          <w:szCs w:val="22"/>
        </w:rPr>
      </w:pPr>
      <w:r w:rsidRPr="000000E9">
        <w:rPr>
          <w:b/>
          <w:szCs w:val="22"/>
        </w:rPr>
        <w:t>Document the exact clinical indication</w:t>
      </w:r>
      <w:r w:rsidR="000000E9" w:rsidRPr="000000E9">
        <w:rPr>
          <w:b/>
          <w:szCs w:val="22"/>
        </w:rPr>
        <w:t xml:space="preserve"> </w:t>
      </w:r>
      <w:r w:rsidR="000000E9" w:rsidRPr="000000E9">
        <w:rPr>
          <w:b/>
          <w:bCs/>
          <w:szCs w:val="22"/>
        </w:rPr>
        <w:t>on the prescription chart and in the patient medical record</w:t>
      </w:r>
      <w:r w:rsidR="00462A3B">
        <w:rPr>
          <w:b/>
          <w:bCs/>
          <w:szCs w:val="22"/>
        </w:rPr>
        <w:t xml:space="preserve"> (RI</w:t>
      </w:r>
      <w:r w:rsidR="000C580B">
        <w:rPr>
          <w:b/>
          <w:bCs/>
          <w:szCs w:val="22"/>
        </w:rPr>
        <w:t>O)</w:t>
      </w:r>
      <w:r w:rsidR="000000E9" w:rsidRPr="000000E9">
        <w:rPr>
          <w:b/>
          <w:bCs/>
          <w:szCs w:val="22"/>
        </w:rPr>
        <w:t xml:space="preserve">. </w:t>
      </w:r>
      <w:r w:rsidR="000000E9" w:rsidRPr="000000E9">
        <w:rPr>
          <w:szCs w:val="22"/>
        </w:rPr>
        <w:t xml:space="preserve">Inclusion in both may clarify the patient treatment pathway thus aiding in the improvement of patient outcomes and in medico-legal outcomes such as for c. difficile apportionment. </w:t>
      </w:r>
    </w:p>
    <w:p w14:paraId="11F9580D" w14:textId="77777777" w:rsidR="000000E9" w:rsidRPr="000000E9" w:rsidRDefault="000000E9" w:rsidP="000000E9">
      <w:pPr>
        <w:pStyle w:val="ListParagraph"/>
        <w:rPr>
          <w:szCs w:val="22"/>
        </w:rPr>
      </w:pPr>
    </w:p>
    <w:p w14:paraId="25B3B7FA" w14:textId="77777777" w:rsidR="00A66509" w:rsidRPr="00A66509" w:rsidRDefault="000000E9" w:rsidP="00A66509">
      <w:pPr>
        <w:pStyle w:val="ListParagraph"/>
        <w:numPr>
          <w:ilvl w:val="0"/>
          <w:numId w:val="12"/>
        </w:numPr>
        <w:rPr>
          <w:b/>
          <w:szCs w:val="22"/>
        </w:rPr>
      </w:pPr>
      <w:r w:rsidRPr="000000E9">
        <w:rPr>
          <w:b/>
          <w:szCs w:val="22"/>
        </w:rPr>
        <w:t xml:space="preserve">Document the </w:t>
      </w:r>
      <w:r w:rsidR="00E2113D">
        <w:rPr>
          <w:b/>
          <w:szCs w:val="22"/>
        </w:rPr>
        <w:t xml:space="preserve">duration of therapy (course length/review date) on the prescription </w:t>
      </w:r>
      <w:r w:rsidR="00462A3B">
        <w:rPr>
          <w:b/>
          <w:bCs/>
          <w:szCs w:val="22"/>
        </w:rPr>
        <w:t>chart</w:t>
      </w:r>
      <w:r w:rsidR="00F1582B">
        <w:rPr>
          <w:b/>
          <w:bCs/>
          <w:szCs w:val="22"/>
        </w:rPr>
        <w:t xml:space="preserve"> </w:t>
      </w:r>
      <w:r w:rsidR="00F1582B" w:rsidRPr="00F1582B">
        <w:rPr>
          <w:b/>
          <w:bCs/>
          <w:szCs w:val="22"/>
        </w:rPr>
        <w:t>and in the patient medical record</w:t>
      </w:r>
      <w:r w:rsidR="00462A3B">
        <w:rPr>
          <w:b/>
          <w:bCs/>
          <w:szCs w:val="22"/>
        </w:rPr>
        <w:t xml:space="preserve"> (RI</w:t>
      </w:r>
      <w:r w:rsidR="00F1582B">
        <w:rPr>
          <w:b/>
          <w:bCs/>
          <w:szCs w:val="22"/>
        </w:rPr>
        <w:t>O)</w:t>
      </w:r>
      <w:r w:rsidR="00F1582B" w:rsidRPr="00F1582B">
        <w:rPr>
          <w:b/>
          <w:bCs/>
          <w:szCs w:val="22"/>
        </w:rPr>
        <w:t xml:space="preserve">. </w:t>
      </w:r>
      <w:r w:rsidR="00F1582B" w:rsidRPr="00F1582B">
        <w:rPr>
          <w:szCs w:val="22"/>
        </w:rPr>
        <w:t>Following local (where available) or national antimicrobial guidelines the shortest effective course length should be prescribed.</w:t>
      </w:r>
      <w:r w:rsidR="00F1582B" w:rsidRPr="00F1582B">
        <w:rPr>
          <w:b/>
          <w:szCs w:val="22"/>
        </w:rPr>
        <w:t xml:space="preserve"> </w:t>
      </w:r>
    </w:p>
    <w:p w14:paraId="7AA5AFB5" w14:textId="77777777" w:rsidR="00F1582B" w:rsidRPr="00F1582B" w:rsidRDefault="00F1582B" w:rsidP="00A66509">
      <w:pPr>
        <w:pStyle w:val="ListParagraph"/>
        <w:numPr>
          <w:ilvl w:val="3"/>
          <w:numId w:val="12"/>
        </w:numPr>
        <w:rPr>
          <w:szCs w:val="22"/>
        </w:rPr>
      </w:pPr>
      <w:r w:rsidRPr="00F1582B">
        <w:rPr>
          <w:szCs w:val="22"/>
        </w:rPr>
        <w:t xml:space="preserve">This ensures an appropriate clinical outcome for the patient while minimising the risk of adverse effects and antimicrobial resistance. </w:t>
      </w:r>
    </w:p>
    <w:p w14:paraId="4152B44E" w14:textId="77777777" w:rsidR="00F1582B" w:rsidRPr="00F1582B" w:rsidRDefault="00F1582B" w:rsidP="00F1582B">
      <w:pPr>
        <w:pStyle w:val="ListParagraph"/>
        <w:numPr>
          <w:ilvl w:val="3"/>
          <w:numId w:val="12"/>
        </w:numPr>
        <w:rPr>
          <w:szCs w:val="22"/>
        </w:rPr>
      </w:pPr>
      <w:r w:rsidRPr="00F1582B">
        <w:rPr>
          <w:szCs w:val="22"/>
        </w:rPr>
        <w:t xml:space="preserve">Prescription duration should be explicitly specified by the prescriber in the patient medical record </w:t>
      </w:r>
      <w:r w:rsidRPr="00F1582B">
        <w:rPr>
          <w:bCs/>
          <w:szCs w:val="22"/>
        </w:rPr>
        <w:t xml:space="preserve">and </w:t>
      </w:r>
      <w:r w:rsidRPr="00F1582B">
        <w:rPr>
          <w:szCs w:val="22"/>
        </w:rPr>
        <w:t xml:space="preserve">on the prescription chart. </w:t>
      </w:r>
    </w:p>
    <w:p w14:paraId="1CDBF06D" w14:textId="77777777" w:rsidR="00F1582B" w:rsidRPr="00F1582B" w:rsidRDefault="00F1582B" w:rsidP="00F1582B">
      <w:pPr>
        <w:pStyle w:val="ListParagraph"/>
        <w:numPr>
          <w:ilvl w:val="3"/>
          <w:numId w:val="12"/>
        </w:numPr>
        <w:rPr>
          <w:szCs w:val="22"/>
        </w:rPr>
      </w:pPr>
      <w:r w:rsidRPr="00F1582B">
        <w:rPr>
          <w:szCs w:val="22"/>
        </w:rPr>
        <w:t xml:space="preserve">The prescription will be dispensed for the indicated duration only. </w:t>
      </w:r>
    </w:p>
    <w:p w14:paraId="3CA34224" w14:textId="77777777" w:rsidR="00023E61" w:rsidRDefault="00F1582B" w:rsidP="00291DB2">
      <w:pPr>
        <w:pStyle w:val="ListParagraph"/>
        <w:numPr>
          <w:ilvl w:val="3"/>
          <w:numId w:val="12"/>
        </w:numPr>
        <w:rPr>
          <w:szCs w:val="22"/>
        </w:rPr>
      </w:pPr>
      <w:r w:rsidRPr="00F1582B">
        <w:rPr>
          <w:szCs w:val="22"/>
        </w:rPr>
        <w:t xml:space="preserve">The antimicrobial course length for uncomplicated urinary tract infections should be no more than 3 days for females and 7 days for males. </w:t>
      </w:r>
    </w:p>
    <w:p w14:paraId="5E2D2FED" w14:textId="77777777" w:rsidR="00291DB2" w:rsidRPr="00291DB2" w:rsidRDefault="00291DB2" w:rsidP="00291DB2">
      <w:pPr>
        <w:pStyle w:val="ListParagraph"/>
        <w:ind w:left="2840"/>
        <w:rPr>
          <w:szCs w:val="22"/>
        </w:rPr>
      </w:pPr>
    </w:p>
    <w:p w14:paraId="06947091" w14:textId="77777777" w:rsidR="00C026B9" w:rsidRPr="00C026B9" w:rsidRDefault="00F1582B" w:rsidP="00291DB2">
      <w:pPr>
        <w:ind w:left="720"/>
        <w:rPr>
          <w:b/>
          <w:szCs w:val="22"/>
        </w:rPr>
      </w:pPr>
      <w:r>
        <w:rPr>
          <w:b/>
          <w:szCs w:val="22"/>
        </w:rPr>
        <w:t>THEN FOCUS</w:t>
      </w:r>
      <w:r w:rsidR="00A153B3">
        <w:rPr>
          <w:b/>
          <w:szCs w:val="22"/>
        </w:rPr>
        <w:t>:</w:t>
      </w:r>
    </w:p>
    <w:p w14:paraId="07AF1982" w14:textId="77777777" w:rsidR="00C026B9" w:rsidRPr="00C026B9" w:rsidRDefault="00C026B9" w:rsidP="00C026B9">
      <w:pPr>
        <w:pStyle w:val="ListParagraph"/>
        <w:numPr>
          <w:ilvl w:val="0"/>
          <w:numId w:val="13"/>
        </w:numPr>
        <w:autoSpaceDE w:val="0"/>
        <w:autoSpaceDN w:val="0"/>
        <w:adjustRightInd w:val="0"/>
        <w:spacing w:before="0" w:after="19"/>
        <w:jc w:val="left"/>
        <w:rPr>
          <w:rFonts w:eastAsiaTheme="minorHAnsi" w:cs="Arial"/>
          <w:color w:val="000000"/>
          <w:szCs w:val="22"/>
          <w:lang w:eastAsia="en-US"/>
        </w:rPr>
      </w:pPr>
      <w:r w:rsidRPr="00C026B9">
        <w:rPr>
          <w:rFonts w:eastAsiaTheme="minorHAnsi" w:cs="Arial"/>
          <w:b/>
          <w:bCs/>
          <w:color w:val="000000"/>
          <w:szCs w:val="22"/>
          <w:lang w:eastAsia="en-US"/>
        </w:rPr>
        <w:t xml:space="preserve">At 48 – 72 hours review clinical diagnosis and continuing need for antimicrobials, and document clear plan of action in the patient medical record. </w:t>
      </w:r>
    </w:p>
    <w:p w14:paraId="637257DB" w14:textId="77777777" w:rsidR="00C026B9" w:rsidRPr="00C026B9" w:rsidRDefault="00C026B9" w:rsidP="00C026B9">
      <w:pPr>
        <w:pStyle w:val="ListParagraph"/>
        <w:numPr>
          <w:ilvl w:val="0"/>
          <w:numId w:val="14"/>
        </w:numPr>
        <w:autoSpaceDE w:val="0"/>
        <w:autoSpaceDN w:val="0"/>
        <w:adjustRightInd w:val="0"/>
        <w:spacing w:before="0" w:after="19"/>
        <w:jc w:val="left"/>
        <w:rPr>
          <w:rFonts w:eastAsiaTheme="minorHAnsi" w:cs="Arial"/>
          <w:color w:val="000000"/>
          <w:szCs w:val="22"/>
          <w:lang w:eastAsia="en-US"/>
        </w:rPr>
      </w:pPr>
      <w:r w:rsidRPr="00C026B9">
        <w:rPr>
          <w:rFonts w:eastAsiaTheme="minorHAnsi" w:cs="Arial"/>
          <w:color w:val="000000"/>
          <w:szCs w:val="22"/>
          <w:lang w:eastAsia="en-US"/>
        </w:rPr>
        <w:t xml:space="preserve">STOP antimicrobial if there is no evidence of infection </w:t>
      </w:r>
    </w:p>
    <w:p w14:paraId="34A15F46" w14:textId="77777777" w:rsidR="00C026B9" w:rsidRPr="00C026B9" w:rsidRDefault="00C026B9" w:rsidP="00C026B9">
      <w:pPr>
        <w:pStyle w:val="ListParagraph"/>
        <w:numPr>
          <w:ilvl w:val="0"/>
          <w:numId w:val="14"/>
        </w:numPr>
        <w:autoSpaceDE w:val="0"/>
        <w:autoSpaceDN w:val="0"/>
        <w:adjustRightInd w:val="0"/>
        <w:spacing w:before="0" w:after="19"/>
        <w:jc w:val="left"/>
        <w:rPr>
          <w:rFonts w:eastAsiaTheme="minorHAnsi" w:cs="Arial"/>
          <w:color w:val="000000"/>
          <w:szCs w:val="22"/>
          <w:lang w:eastAsia="en-US"/>
        </w:rPr>
      </w:pPr>
      <w:r w:rsidRPr="00C026B9">
        <w:rPr>
          <w:rFonts w:eastAsiaTheme="minorHAnsi" w:cs="Arial"/>
          <w:color w:val="000000"/>
          <w:szCs w:val="22"/>
          <w:lang w:eastAsia="en-US"/>
        </w:rPr>
        <w:t xml:space="preserve">SWITCH antimicrobials from intravenous to oral route (See </w:t>
      </w:r>
      <w:r w:rsidRPr="00C026B9">
        <w:rPr>
          <w:rFonts w:eastAsiaTheme="minorHAnsi" w:cs="Arial"/>
          <w:i/>
          <w:color w:val="000000"/>
          <w:szCs w:val="22"/>
          <w:lang w:eastAsia="en-US"/>
        </w:rPr>
        <w:t>Appendix G</w:t>
      </w:r>
      <w:r w:rsidRPr="00C026B9">
        <w:rPr>
          <w:rFonts w:eastAsiaTheme="minorHAnsi" w:cs="Arial"/>
          <w:color w:val="000000"/>
          <w:szCs w:val="22"/>
          <w:lang w:eastAsia="en-US"/>
        </w:rPr>
        <w:t xml:space="preserve"> ) </w:t>
      </w:r>
    </w:p>
    <w:p w14:paraId="2DD0DDCB" w14:textId="77777777" w:rsidR="00C026B9" w:rsidRPr="00C026B9" w:rsidRDefault="00C026B9" w:rsidP="00C026B9">
      <w:pPr>
        <w:pStyle w:val="ListParagraph"/>
        <w:numPr>
          <w:ilvl w:val="0"/>
          <w:numId w:val="14"/>
        </w:numPr>
        <w:autoSpaceDE w:val="0"/>
        <w:autoSpaceDN w:val="0"/>
        <w:adjustRightInd w:val="0"/>
        <w:spacing w:before="0" w:after="19"/>
        <w:jc w:val="left"/>
        <w:rPr>
          <w:rFonts w:eastAsiaTheme="minorHAnsi" w:cs="Arial"/>
          <w:color w:val="000000"/>
          <w:szCs w:val="22"/>
          <w:lang w:eastAsia="en-US"/>
        </w:rPr>
      </w:pPr>
      <w:r w:rsidRPr="00C026B9">
        <w:rPr>
          <w:rFonts w:eastAsiaTheme="minorHAnsi" w:cs="Arial"/>
          <w:color w:val="000000"/>
          <w:szCs w:val="22"/>
          <w:lang w:eastAsia="en-US"/>
        </w:rPr>
        <w:t xml:space="preserve">CHANGE broad-spectrum antibiotics to narrow spectrum agents where appropriate </w:t>
      </w:r>
    </w:p>
    <w:p w14:paraId="40D974A9" w14:textId="77777777" w:rsidR="00C026B9" w:rsidRPr="00C026B9" w:rsidRDefault="00C026B9" w:rsidP="00C026B9">
      <w:pPr>
        <w:pStyle w:val="ListParagraph"/>
        <w:numPr>
          <w:ilvl w:val="0"/>
          <w:numId w:val="14"/>
        </w:numPr>
        <w:autoSpaceDE w:val="0"/>
        <w:autoSpaceDN w:val="0"/>
        <w:adjustRightInd w:val="0"/>
        <w:spacing w:before="0" w:after="19"/>
        <w:jc w:val="left"/>
        <w:rPr>
          <w:rFonts w:eastAsiaTheme="minorHAnsi" w:cs="Arial"/>
          <w:color w:val="000000"/>
          <w:szCs w:val="22"/>
          <w:lang w:eastAsia="en-US"/>
        </w:rPr>
      </w:pPr>
      <w:r w:rsidRPr="00C026B9">
        <w:rPr>
          <w:rFonts w:eastAsiaTheme="minorHAnsi" w:cs="Arial"/>
          <w:color w:val="000000"/>
          <w:szCs w:val="22"/>
          <w:lang w:eastAsia="en-US"/>
        </w:rPr>
        <w:t xml:space="preserve">CONTINUE and document next review or stop date </w:t>
      </w:r>
    </w:p>
    <w:p w14:paraId="715D4EE8" w14:textId="77777777" w:rsidR="00C026B9" w:rsidRPr="00C026B9" w:rsidRDefault="00C026B9" w:rsidP="00C026B9">
      <w:pPr>
        <w:pStyle w:val="ListParagraph"/>
        <w:numPr>
          <w:ilvl w:val="0"/>
          <w:numId w:val="14"/>
        </w:numPr>
        <w:autoSpaceDE w:val="0"/>
        <w:autoSpaceDN w:val="0"/>
        <w:adjustRightInd w:val="0"/>
        <w:spacing w:before="0" w:after="0"/>
        <w:jc w:val="left"/>
        <w:rPr>
          <w:rFonts w:eastAsiaTheme="minorHAnsi" w:cs="Arial"/>
          <w:color w:val="000000"/>
          <w:szCs w:val="22"/>
          <w:lang w:eastAsia="en-US"/>
        </w:rPr>
      </w:pPr>
      <w:r w:rsidRPr="00C026B9">
        <w:rPr>
          <w:rFonts w:eastAsiaTheme="minorHAnsi" w:cs="Arial"/>
          <w:color w:val="000000"/>
          <w:szCs w:val="22"/>
          <w:lang w:eastAsia="en-US"/>
        </w:rPr>
        <w:t xml:space="preserve">Outpatient Parenteral Antibiotic Therapy (OPAT) </w:t>
      </w:r>
    </w:p>
    <w:p w14:paraId="23A9207B" w14:textId="77777777" w:rsidR="00C026B9" w:rsidRDefault="00C026B9" w:rsidP="00C026B9">
      <w:pPr>
        <w:pStyle w:val="Default"/>
        <w:ind w:left="2880"/>
      </w:pPr>
    </w:p>
    <w:p w14:paraId="2A4FCE73" w14:textId="77777777" w:rsidR="00C026B9" w:rsidRDefault="00C026B9" w:rsidP="00C026B9">
      <w:pPr>
        <w:pStyle w:val="Default"/>
        <w:numPr>
          <w:ilvl w:val="0"/>
          <w:numId w:val="13"/>
        </w:numPr>
        <w:spacing w:after="29"/>
        <w:rPr>
          <w:sz w:val="22"/>
          <w:szCs w:val="22"/>
        </w:rPr>
      </w:pPr>
      <w:r>
        <w:rPr>
          <w:sz w:val="22"/>
          <w:szCs w:val="22"/>
        </w:rPr>
        <w:t xml:space="preserve">Review microbiology results daily and de-escalate to microorganism-directed narrow-spectrum treatment promptly where appropriate </w:t>
      </w:r>
    </w:p>
    <w:p w14:paraId="52AFDB5B" w14:textId="77777777" w:rsidR="00C026B9" w:rsidRDefault="00C026B9" w:rsidP="00C026B9">
      <w:pPr>
        <w:pStyle w:val="Default"/>
        <w:numPr>
          <w:ilvl w:val="0"/>
          <w:numId w:val="13"/>
        </w:numPr>
        <w:rPr>
          <w:sz w:val="22"/>
          <w:szCs w:val="22"/>
        </w:rPr>
      </w:pPr>
      <w:r>
        <w:rPr>
          <w:sz w:val="22"/>
          <w:szCs w:val="22"/>
        </w:rPr>
        <w:t xml:space="preserve">It is essential that the review and subsequent decision is clearly documented in the patient medical record and on the prescription chart where possible. </w:t>
      </w:r>
    </w:p>
    <w:p w14:paraId="3F7F1A22" w14:textId="77777777" w:rsidR="00C026B9" w:rsidRDefault="00C026B9" w:rsidP="00C026B9">
      <w:pPr>
        <w:pStyle w:val="Default"/>
        <w:ind w:left="1800"/>
        <w:rPr>
          <w:sz w:val="22"/>
          <w:szCs w:val="22"/>
        </w:rPr>
      </w:pPr>
    </w:p>
    <w:p w14:paraId="0A1A6FA9" w14:textId="77777777" w:rsidR="00C026B9" w:rsidRDefault="00C026B9" w:rsidP="00C026B9">
      <w:pPr>
        <w:pStyle w:val="Default"/>
        <w:ind w:left="720"/>
        <w:rPr>
          <w:sz w:val="22"/>
          <w:szCs w:val="22"/>
        </w:rPr>
      </w:pPr>
      <w:r>
        <w:rPr>
          <w:b/>
          <w:bCs/>
          <w:sz w:val="22"/>
          <w:szCs w:val="22"/>
        </w:rPr>
        <w:t xml:space="preserve">Expert medical microbiologist advice must be sought for: </w:t>
      </w:r>
      <w:r>
        <w:rPr>
          <w:sz w:val="22"/>
          <w:szCs w:val="22"/>
        </w:rPr>
        <w:t xml:space="preserve">complicated infections, interpretation of culture and sensitivity results, or in the case of empirical treatment failure, including the suspicion/confirmation of MRSA, ESBL producing organisms, VRE/GRE and Clostridium difficile infection. </w:t>
      </w:r>
    </w:p>
    <w:p w14:paraId="333A49B0" w14:textId="77777777" w:rsidR="0059270D" w:rsidRPr="00C026B9" w:rsidRDefault="00C026B9" w:rsidP="00C026B9">
      <w:pPr>
        <w:ind w:left="720"/>
        <w:rPr>
          <w:b/>
          <w:szCs w:val="22"/>
        </w:rPr>
      </w:pPr>
      <w:r w:rsidRPr="00C026B9">
        <w:rPr>
          <w:b/>
          <w:bCs/>
          <w:szCs w:val="22"/>
        </w:rPr>
        <w:t>Restricted antimicrobials should only be prescribed following consultation with a microbiologist unless it forms part of an approved clinical guideline or sensitivity reports</w:t>
      </w:r>
      <w:r w:rsidRPr="00C026B9">
        <w:rPr>
          <w:szCs w:val="22"/>
        </w:rPr>
        <w:t>. The decision to treat with one of these agents should be clearly documented within the patient’s medical record and on the prescription chart. If this information is not evident the pharmacist should contact the prescriber for verification of the choice of antimicrobial</w:t>
      </w:r>
    </w:p>
    <w:p w14:paraId="5E29AD9E" w14:textId="77777777" w:rsidR="001C67D1" w:rsidRDefault="00CE1830" w:rsidP="00A66509">
      <w:pPr>
        <w:pStyle w:val="ListParagraph"/>
        <w:rPr>
          <w:szCs w:val="22"/>
        </w:rPr>
      </w:pPr>
      <w:r>
        <w:rPr>
          <w:b/>
          <w:bCs/>
          <w:szCs w:val="22"/>
        </w:rPr>
        <w:t xml:space="preserve">Non-formulary antimicrobial prescribing </w:t>
      </w:r>
      <w:r>
        <w:rPr>
          <w:szCs w:val="22"/>
        </w:rPr>
        <w:t>should only take place after advice and agreement has been sought from the local microbiology service.</w:t>
      </w:r>
    </w:p>
    <w:p w14:paraId="7FF66794" w14:textId="77777777" w:rsidR="00A66509" w:rsidRPr="00A66509" w:rsidRDefault="00A66509" w:rsidP="00A66509">
      <w:pPr>
        <w:pStyle w:val="ListParagraph"/>
        <w:rPr>
          <w:szCs w:val="22"/>
        </w:rPr>
      </w:pPr>
    </w:p>
    <w:p w14:paraId="2AF08929" w14:textId="77777777" w:rsidR="00023E61" w:rsidRPr="001C67D1" w:rsidRDefault="00023E61" w:rsidP="001C67D1">
      <w:pPr>
        <w:pStyle w:val="ListParagraph"/>
        <w:ind w:left="1120"/>
        <w:rPr>
          <w:szCs w:val="22"/>
        </w:rPr>
      </w:pPr>
    </w:p>
    <w:p w14:paraId="68CAAF0D" w14:textId="77777777" w:rsidR="00CE1830" w:rsidRPr="00A66509" w:rsidRDefault="00CE1830" w:rsidP="00A66509">
      <w:pPr>
        <w:pStyle w:val="ListParagraph"/>
        <w:numPr>
          <w:ilvl w:val="1"/>
          <w:numId w:val="2"/>
        </w:numPr>
        <w:rPr>
          <w:b/>
          <w:szCs w:val="22"/>
        </w:rPr>
      </w:pPr>
      <w:r w:rsidRPr="00CE1830">
        <w:rPr>
          <w:b/>
          <w:bCs/>
          <w:szCs w:val="22"/>
        </w:rPr>
        <w:t>Documentation in Patient Medical Records</w:t>
      </w:r>
      <w:r w:rsidR="0073116F">
        <w:rPr>
          <w:b/>
          <w:bCs/>
          <w:szCs w:val="22"/>
        </w:rPr>
        <w:t xml:space="preserve"> (RIO) and prescription chart </w:t>
      </w:r>
    </w:p>
    <w:p w14:paraId="42AA78AA" w14:textId="77777777" w:rsidR="00CE1830" w:rsidRDefault="00CE1830" w:rsidP="00CE1830">
      <w:pPr>
        <w:pStyle w:val="Default"/>
        <w:ind w:left="720"/>
        <w:rPr>
          <w:sz w:val="22"/>
          <w:szCs w:val="22"/>
        </w:rPr>
      </w:pPr>
      <w:r>
        <w:rPr>
          <w:sz w:val="22"/>
          <w:szCs w:val="22"/>
        </w:rPr>
        <w:t xml:space="preserve">When an antimicrobial agent is a treatment option, document in the patient’s medical record: </w:t>
      </w:r>
    </w:p>
    <w:p w14:paraId="20E3DDAA" w14:textId="77777777" w:rsidR="00CE1830" w:rsidRDefault="00CE1830" w:rsidP="00CE1830">
      <w:pPr>
        <w:pStyle w:val="Default"/>
        <w:numPr>
          <w:ilvl w:val="0"/>
          <w:numId w:val="16"/>
        </w:numPr>
        <w:spacing w:after="10"/>
        <w:rPr>
          <w:sz w:val="22"/>
          <w:szCs w:val="22"/>
        </w:rPr>
      </w:pPr>
      <w:r>
        <w:rPr>
          <w:sz w:val="22"/>
          <w:szCs w:val="22"/>
        </w:rPr>
        <w:t xml:space="preserve">The reason for prescribing, or not prescribing an antimicrobial. </w:t>
      </w:r>
      <w:r>
        <w:rPr>
          <w:b/>
          <w:bCs/>
          <w:sz w:val="22"/>
          <w:szCs w:val="22"/>
        </w:rPr>
        <w:t>Minimum level of information to be recorded includes: indication, antimicrobial choice and intended duration</w:t>
      </w:r>
      <w:r w:rsidR="0092268F">
        <w:rPr>
          <w:b/>
          <w:bCs/>
          <w:sz w:val="22"/>
          <w:szCs w:val="22"/>
        </w:rPr>
        <w:t>/review date</w:t>
      </w:r>
      <w:r>
        <w:rPr>
          <w:b/>
          <w:bCs/>
          <w:sz w:val="22"/>
          <w:szCs w:val="22"/>
        </w:rPr>
        <w:t xml:space="preserve"> </w:t>
      </w:r>
      <w:r>
        <w:rPr>
          <w:sz w:val="22"/>
          <w:szCs w:val="22"/>
        </w:rPr>
        <w:t xml:space="preserve">- this should be explicitly stated in both </w:t>
      </w:r>
      <w:r w:rsidR="0073116F">
        <w:rPr>
          <w:sz w:val="22"/>
          <w:szCs w:val="22"/>
        </w:rPr>
        <w:t>the patient’s medical record (RI</w:t>
      </w:r>
      <w:r>
        <w:rPr>
          <w:sz w:val="22"/>
          <w:szCs w:val="22"/>
        </w:rPr>
        <w:t xml:space="preserve">O) </w:t>
      </w:r>
      <w:r>
        <w:rPr>
          <w:b/>
          <w:bCs/>
          <w:sz w:val="22"/>
          <w:szCs w:val="22"/>
        </w:rPr>
        <w:t xml:space="preserve">and </w:t>
      </w:r>
      <w:r w:rsidR="0073116F">
        <w:rPr>
          <w:sz w:val="22"/>
          <w:szCs w:val="22"/>
        </w:rPr>
        <w:t>the prescription chart.</w:t>
      </w:r>
    </w:p>
    <w:p w14:paraId="60BB764F" w14:textId="77777777" w:rsidR="00CE1830" w:rsidRDefault="00CE1830" w:rsidP="00CE1830">
      <w:pPr>
        <w:pStyle w:val="Default"/>
        <w:numPr>
          <w:ilvl w:val="0"/>
          <w:numId w:val="16"/>
        </w:numPr>
        <w:spacing w:after="10"/>
        <w:rPr>
          <w:sz w:val="22"/>
          <w:szCs w:val="22"/>
        </w:rPr>
      </w:pPr>
      <w:r>
        <w:rPr>
          <w:sz w:val="22"/>
          <w:szCs w:val="22"/>
        </w:rPr>
        <w:t xml:space="preserve">The plan of care as discussed with the patient, their family member or carer (as appropriate). Including the planned duration of any treatment. </w:t>
      </w:r>
    </w:p>
    <w:p w14:paraId="12B68D58" w14:textId="77777777" w:rsidR="00CE1830" w:rsidRPr="00EE164C" w:rsidRDefault="00CE1830" w:rsidP="00CE1830">
      <w:pPr>
        <w:pStyle w:val="Default"/>
        <w:numPr>
          <w:ilvl w:val="0"/>
          <w:numId w:val="16"/>
        </w:numPr>
        <w:spacing w:after="10"/>
        <w:rPr>
          <w:sz w:val="22"/>
          <w:szCs w:val="22"/>
        </w:rPr>
      </w:pPr>
      <w:r w:rsidRPr="00CE1830">
        <w:rPr>
          <w:sz w:val="22"/>
          <w:szCs w:val="22"/>
        </w:rPr>
        <w:t>When prescribing is outside local (where available) or national guidelines, document in the patient’s records the reason for the decision</w:t>
      </w:r>
      <w:r>
        <w:rPr>
          <w:sz w:val="14"/>
          <w:szCs w:val="14"/>
        </w:rPr>
        <w:t>.</w:t>
      </w:r>
    </w:p>
    <w:p w14:paraId="005917E1" w14:textId="77777777" w:rsidR="003F3135" w:rsidRPr="00EE164C" w:rsidRDefault="003F3135" w:rsidP="0092268F">
      <w:pPr>
        <w:pStyle w:val="Default"/>
        <w:spacing w:after="10"/>
        <w:rPr>
          <w:sz w:val="22"/>
          <w:szCs w:val="22"/>
        </w:rPr>
      </w:pPr>
    </w:p>
    <w:p w14:paraId="74F5BAF9" w14:textId="77777777" w:rsidR="00CE1830" w:rsidRDefault="00BA1C7D" w:rsidP="00EE164C">
      <w:pPr>
        <w:pStyle w:val="ListParagraph"/>
        <w:numPr>
          <w:ilvl w:val="1"/>
          <w:numId w:val="2"/>
        </w:numPr>
        <w:rPr>
          <w:b/>
          <w:szCs w:val="22"/>
        </w:rPr>
      </w:pPr>
      <w:r w:rsidRPr="00BA1C7D">
        <w:rPr>
          <w:b/>
          <w:szCs w:val="22"/>
        </w:rPr>
        <w:t>Hypersensitiv</w:t>
      </w:r>
      <w:r w:rsidRPr="00EE164C">
        <w:rPr>
          <w:b/>
          <w:szCs w:val="22"/>
        </w:rPr>
        <w:t>ity Reactions and Allergy Status</w:t>
      </w:r>
    </w:p>
    <w:p w14:paraId="1212D10E" w14:textId="77777777" w:rsidR="00EE164C" w:rsidRPr="00EE164C" w:rsidRDefault="00EE164C" w:rsidP="00EE164C">
      <w:pPr>
        <w:ind w:left="720"/>
        <w:rPr>
          <w:b/>
          <w:szCs w:val="22"/>
        </w:rPr>
      </w:pPr>
      <w:r w:rsidRPr="00EE164C">
        <w:rPr>
          <w:b/>
          <w:bCs/>
          <w:szCs w:val="22"/>
        </w:rPr>
        <w:t xml:space="preserve">A history of allergy to the relevant antimicrobial agent should always be sought. </w:t>
      </w:r>
      <w:r w:rsidRPr="00EE164C">
        <w:rPr>
          <w:szCs w:val="22"/>
        </w:rPr>
        <w:t>Before prescribing any medication it is important allergies are identified and documented on the prescription chart along with the reaction.</w:t>
      </w:r>
      <w:r w:rsidRPr="00EE164C">
        <w:rPr>
          <w:b/>
          <w:szCs w:val="22"/>
        </w:rPr>
        <w:t xml:space="preserve"> </w:t>
      </w:r>
    </w:p>
    <w:p w14:paraId="76EACBD7" w14:textId="77777777" w:rsidR="00EE164C" w:rsidRPr="00EE164C" w:rsidRDefault="00EE164C" w:rsidP="00EE164C">
      <w:pPr>
        <w:ind w:left="720"/>
        <w:rPr>
          <w:b/>
          <w:szCs w:val="22"/>
        </w:rPr>
      </w:pPr>
      <w:r w:rsidRPr="00EE164C">
        <w:rPr>
          <w:b/>
          <w:bCs/>
          <w:szCs w:val="22"/>
        </w:rPr>
        <w:t xml:space="preserve">It is unacceptable to leave the allergy status section blank. </w:t>
      </w:r>
      <w:r w:rsidRPr="00EE164C">
        <w:rPr>
          <w:szCs w:val="22"/>
        </w:rPr>
        <w:t xml:space="preserve">If the patient has no known allergies or sensitivities then ‘no known allergies’ or NKDA must be documented accordingly. </w:t>
      </w:r>
    </w:p>
    <w:p w14:paraId="289AFB6E" w14:textId="77777777" w:rsidR="00EE164C" w:rsidRPr="00EE164C" w:rsidRDefault="00EE164C" w:rsidP="00EE164C">
      <w:pPr>
        <w:ind w:left="720"/>
        <w:rPr>
          <w:b/>
          <w:szCs w:val="22"/>
        </w:rPr>
      </w:pPr>
      <w:r w:rsidRPr="00EE164C">
        <w:rPr>
          <w:b/>
          <w:bCs/>
          <w:szCs w:val="22"/>
        </w:rPr>
        <w:t>In some cases there will be an overlap between medication allergy and medicine intolerance</w:t>
      </w:r>
      <w:r w:rsidRPr="00EE164C">
        <w:rPr>
          <w:b/>
          <w:szCs w:val="22"/>
        </w:rPr>
        <w:t xml:space="preserve">. </w:t>
      </w:r>
      <w:r w:rsidRPr="00EE164C">
        <w:rPr>
          <w:szCs w:val="22"/>
        </w:rPr>
        <w:t>The medicine and reaction needs to be recorded on the patient’s prescription chart, as well as in their medical record.</w:t>
      </w:r>
      <w:r w:rsidRPr="00EE164C">
        <w:rPr>
          <w:b/>
          <w:szCs w:val="22"/>
        </w:rPr>
        <w:t xml:space="preserve"> </w:t>
      </w:r>
    </w:p>
    <w:p w14:paraId="5CAC7C68" w14:textId="23A4C4E8" w:rsidR="00EE164C" w:rsidRPr="00EE164C" w:rsidRDefault="00EE164C" w:rsidP="00EE164C">
      <w:pPr>
        <w:ind w:left="720"/>
        <w:rPr>
          <w:szCs w:val="22"/>
        </w:rPr>
      </w:pPr>
      <w:r w:rsidRPr="00EE164C">
        <w:rPr>
          <w:szCs w:val="22"/>
        </w:rPr>
        <w:t xml:space="preserve">Patients with a history of anaphylaxis, urticarial rash or a rash immediately after penicillin administration should not receive penicillin, cephalosporin or other beta-lactam antibiotics (e.g. Augmentin®, co-amoxiclav). </w:t>
      </w:r>
      <w:r w:rsidRPr="00EE164C">
        <w:rPr>
          <w:bCs/>
          <w:szCs w:val="22"/>
        </w:rPr>
        <w:t>If in doubt, discuss alternatives to beta-lactams with a medical microbiologist</w:t>
      </w:r>
    </w:p>
    <w:p w14:paraId="602D8CA1" w14:textId="77777777" w:rsidR="00EE164C" w:rsidRPr="00EE164C" w:rsidRDefault="00EE164C" w:rsidP="00EE164C">
      <w:pPr>
        <w:ind w:left="720"/>
        <w:rPr>
          <w:szCs w:val="22"/>
        </w:rPr>
      </w:pPr>
      <w:r w:rsidRPr="00EE164C">
        <w:rPr>
          <w:szCs w:val="22"/>
        </w:rPr>
        <w:t xml:space="preserve">Patients with a history of allergies should be assessed and the allergy label removed where it is not correct, in order to improve patient outcomes. This information should be communicated with the patients GP to allow update of primary care records. </w:t>
      </w:r>
    </w:p>
    <w:p w14:paraId="4E78D713" w14:textId="77777777" w:rsidR="00BA1C7D" w:rsidRPr="00B91352" w:rsidRDefault="00EE164C" w:rsidP="00B91352">
      <w:pPr>
        <w:ind w:left="720"/>
        <w:rPr>
          <w:szCs w:val="22"/>
        </w:rPr>
      </w:pPr>
      <w:r>
        <w:rPr>
          <w:szCs w:val="22"/>
        </w:rPr>
        <w:t>Further information on hypersen</w:t>
      </w:r>
      <w:r w:rsidR="00B91352">
        <w:rPr>
          <w:szCs w:val="22"/>
        </w:rPr>
        <w:t xml:space="preserve">sitivity reactions and allergy status can be found in </w:t>
      </w:r>
      <w:r w:rsidR="00B91352" w:rsidRPr="00B91352">
        <w:rPr>
          <w:i/>
          <w:szCs w:val="22"/>
        </w:rPr>
        <w:t>Appendix E</w:t>
      </w:r>
      <w:r w:rsidR="00B91352">
        <w:rPr>
          <w:szCs w:val="22"/>
        </w:rPr>
        <w:t xml:space="preserve"> and the </w:t>
      </w:r>
      <w:r w:rsidR="00B91352" w:rsidRPr="00CA7DAF">
        <w:rPr>
          <w:szCs w:val="22"/>
        </w:rPr>
        <w:t>ELFT Treatment of Anaphylaxis Guideline.</w:t>
      </w:r>
      <w:r w:rsidR="00B91352">
        <w:rPr>
          <w:szCs w:val="22"/>
        </w:rPr>
        <w:t xml:space="preserve"> Please see </w:t>
      </w:r>
      <w:r w:rsidR="00B91352" w:rsidRPr="00B91352">
        <w:rPr>
          <w:i/>
          <w:szCs w:val="22"/>
        </w:rPr>
        <w:t>Appendix F</w:t>
      </w:r>
      <w:r w:rsidR="00B91352">
        <w:rPr>
          <w:szCs w:val="22"/>
        </w:rPr>
        <w:t xml:space="preserve"> for more information on Penicillin Allergies.</w:t>
      </w:r>
    </w:p>
    <w:p w14:paraId="0CDFE4E6" w14:textId="77777777" w:rsidR="00BA1C7D" w:rsidRDefault="00BA1C7D" w:rsidP="00BA1C7D">
      <w:pPr>
        <w:pStyle w:val="ListParagraph"/>
        <w:ind w:left="1120"/>
        <w:rPr>
          <w:b/>
          <w:szCs w:val="22"/>
        </w:rPr>
      </w:pPr>
    </w:p>
    <w:p w14:paraId="045CFBBD" w14:textId="77777777" w:rsidR="00B91352" w:rsidRPr="003A6562" w:rsidRDefault="00B91352" w:rsidP="003A6562">
      <w:pPr>
        <w:pStyle w:val="ListParagraph"/>
        <w:numPr>
          <w:ilvl w:val="1"/>
          <w:numId w:val="2"/>
        </w:numPr>
        <w:rPr>
          <w:b/>
          <w:szCs w:val="22"/>
        </w:rPr>
      </w:pPr>
      <w:r w:rsidRPr="00B91352">
        <w:rPr>
          <w:b/>
          <w:szCs w:val="22"/>
        </w:rPr>
        <w:t>Advise for Patients and / or Family or Carers</w:t>
      </w:r>
    </w:p>
    <w:p w14:paraId="7E322D44" w14:textId="77777777" w:rsidR="00B65394" w:rsidRDefault="00B65394" w:rsidP="00B65394">
      <w:pPr>
        <w:pStyle w:val="Default"/>
        <w:ind w:left="720"/>
        <w:rPr>
          <w:sz w:val="22"/>
          <w:szCs w:val="22"/>
        </w:rPr>
      </w:pPr>
      <w:r>
        <w:rPr>
          <w:sz w:val="22"/>
          <w:szCs w:val="22"/>
        </w:rPr>
        <w:t xml:space="preserve">Health and social care professionals should take time to discuss the following with the patient and/or their family members or carers (as appropriate): </w:t>
      </w:r>
    </w:p>
    <w:p w14:paraId="65FF7EF7" w14:textId="77777777" w:rsidR="00B65394" w:rsidRDefault="00B65394" w:rsidP="00B65394">
      <w:pPr>
        <w:pStyle w:val="Default"/>
        <w:numPr>
          <w:ilvl w:val="0"/>
          <w:numId w:val="17"/>
        </w:numPr>
        <w:spacing w:after="26"/>
        <w:rPr>
          <w:sz w:val="22"/>
          <w:szCs w:val="22"/>
        </w:rPr>
      </w:pPr>
      <w:r>
        <w:rPr>
          <w:b/>
          <w:bCs/>
          <w:sz w:val="22"/>
          <w:szCs w:val="22"/>
        </w:rPr>
        <w:t xml:space="preserve">The likely nature of the condition, </w:t>
      </w:r>
      <w:r>
        <w:rPr>
          <w:sz w:val="22"/>
          <w:szCs w:val="22"/>
        </w:rPr>
        <w:t xml:space="preserve">including the average total length of the illness (before and after seeing the prescriber) </w:t>
      </w:r>
    </w:p>
    <w:p w14:paraId="15B6ADEA" w14:textId="77777777" w:rsidR="00B65394" w:rsidRPr="00B65394" w:rsidRDefault="00B65394" w:rsidP="00B65394">
      <w:pPr>
        <w:pStyle w:val="Default"/>
        <w:numPr>
          <w:ilvl w:val="0"/>
          <w:numId w:val="17"/>
        </w:numPr>
        <w:spacing w:after="26"/>
        <w:rPr>
          <w:sz w:val="22"/>
          <w:szCs w:val="22"/>
        </w:rPr>
      </w:pPr>
      <w:r w:rsidRPr="00B65394">
        <w:rPr>
          <w:b/>
          <w:bCs/>
          <w:sz w:val="22"/>
          <w:szCs w:val="22"/>
        </w:rPr>
        <w:t xml:space="preserve">Why prescribing an antimicrobial may not be the best option </w:t>
      </w:r>
      <w:r w:rsidRPr="00B65394">
        <w:rPr>
          <w:sz w:val="22"/>
          <w:szCs w:val="22"/>
        </w:rPr>
        <w:t>– give reassurance that antibiotics are not needed immediately because they are likely to make little difference to symptoms and may have side effects, for example, diarrhoea, vomiting and rash</w:t>
      </w:r>
      <w:r w:rsidRPr="00B65394">
        <w:rPr>
          <w:sz w:val="14"/>
          <w:szCs w:val="14"/>
        </w:rPr>
        <w:t xml:space="preserve">. </w:t>
      </w:r>
    </w:p>
    <w:p w14:paraId="1C3A97DE" w14:textId="77777777" w:rsidR="00884DC5" w:rsidRDefault="00B65394" w:rsidP="00B65394">
      <w:pPr>
        <w:pStyle w:val="Default"/>
        <w:numPr>
          <w:ilvl w:val="0"/>
          <w:numId w:val="17"/>
        </w:numPr>
        <w:spacing w:after="26"/>
        <w:rPr>
          <w:sz w:val="22"/>
          <w:szCs w:val="22"/>
        </w:rPr>
      </w:pPr>
      <w:r>
        <w:rPr>
          <w:b/>
          <w:bCs/>
          <w:sz w:val="22"/>
          <w:szCs w:val="22"/>
        </w:rPr>
        <w:t xml:space="preserve">Alternative options to prescribing an antimicrobial </w:t>
      </w:r>
      <w:r>
        <w:rPr>
          <w:sz w:val="22"/>
          <w:szCs w:val="22"/>
        </w:rPr>
        <w:t xml:space="preserve">e.g. advice about managing symptoms including fever with analgesics and antipyretics </w:t>
      </w:r>
    </w:p>
    <w:p w14:paraId="0EE0D96C" w14:textId="77777777" w:rsidR="00B65394" w:rsidRDefault="00B65394" w:rsidP="00B65394">
      <w:pPr>
        <w:pStyle w:val="Default"/>
        <w:numPr>
          <w:ilvl w:val="0"/>
          <w:numId w:val="17"/>
        </w:numPr>
        <w:spacing w:after="26"/>
        <w:rPr>
          <w:sz w:val="22"/>
          <w:szCs w:val="22"/>
        </w:rPr>
      </w:pPr>
      <w:r w:rsidRPr="00884DC5">
        <w:rPr>
          <w:b/>
          <w:bCs/>
          <w:sz w:val="22"/>
          <w:szCs w:val="22"/>
        </w:rPr>
        <w:t>Their views on antimicrobials</w:t>
      </w:r>
      <w:r w:rsidRPr="00884DC5">
        <w:rPr>
          <w:sz w:val="22"/>
          <w:szCs w:val="22"/>
        </w:rPr>
        <w:t xml:space="preserve">, taking into account their priorities or concerns for their current illness and whether they want or expect an antimicrobial </w:t>
      </w:r>
    </w:p>
    <w:p w14:paraId="6301B96F" w14:textId="77777777" w:rsidR="00884DC5" w:rsidRPr="00884DC5" w:rsidRDefault="00B65394" w:rsidP="00B65394">
      <w:pPr>
        <w:pStyle w:val="Default"/>
        <w:numPr>
          <w:ilvl w:val="0"/>
          <w:numId w:val="17"/>
        </w:numPr>
        <w:spacing w:after="26"/>
        <w:rPr>
          <w:sz w:val="22"/>
          <w:szCs w:val="22"/>
        </w:rPr>
      </w:pPr>
      <w:r w:rsidRPr="00884DC5">
        <w:rPr>
          <w:b/>
          <w:bCs/>
          <w:sz w:val="22"/>
          <w:szCs w:val="22"/>
        </w:rPr>
        <w:t>The benefits and harms of imme</w:t>
      </w:r>
      <w:r w:rsidR="00884DC5">
        <w:rPr>
          <w:b/>
          <w:bCs/>
          <w:sz w:val="22"/>
          <w:szCs w:val="22"/>
        </w:rPr>
        <w:t>diate antimicrobial prescribing</w:t>
      </w:r>
    </w:p>
    <w:p w14:paraId="5433AFD0" w14:textId="77777777" w:rsidR="00884DC5" w:rsidRDefault="00B65394" w:rsidP="00B65394">
      <w:pPr>
        <w:pStyle w:val="Default"/>
        <w:numPr>
          <w:ilvl w:val="0"/>
          <w:numId w:val="17"/>
        </w:numPr>
        <w:spacing w:after="26"/>
        <w:rPr>
          <w:sz w:val="22"/>
          <w:szCs w:val="22"/>
        </w:rPr>
      </w:pPr>
      <w:r w:rsidRPr="00884DC5">
        <w:rPr>
          <w:b/>
          <w:bCs/>
          <w:sz w:val="22"/>
          <w:szCs w:val="22"/>
        </w:rPr>
        <w:t xml:space="preserve">General advice on appropriate antimicrobial use </w:t>
      </w:r>
      <w:r w:rsidRPr="00884DC5">
        <w:rPr>
          <w:sz w:val="22"/>
          <w:szCs w:val="22"/>
        </w:rPr>
        <w:t xml:space="preserve">– Take exactly as prescribed, do not share with others or save for later </w:t>
      </w:r>
    </w:p>
    <w:p w14:paraId="5DECAC42" w14:textId="77777777" w:rsidR="00884DC5" w:rsidRDefault="00B65394" w:rsidP="00B65394">
      <w:pPr>
        <w:pStyle w:val="Default"/>
        <w:numPr>
          <w:ilvl w:val="0"/>
          <w:numId w:val="17"/>
        </w:numPr>
        <w:spacing w:after="26"/>
        <w:rPr>
          <w:sz w:val="22"/>
          <w:szCs w:val="22"/>
        </w:rPr>
      </w:pPr>
      <w:r w:rsidRPr="00884DC5">
        <w:rPr>
          <w:b/>
          <w:bCs/>
          <w:sz w:val="22"/>
          <w:szCs w:val="22"/>
        </w:rPr>
        <w:t xml:space="preserve">What they should do if their condition deteriorates </w:t>
      </w:r>
      <w:r w:rsidRPr="00884DC5">
        <w:rPr>
          <w:sz w:val="22"/>
          <w:szCs w:val="22"/>
        </w:rPr>
        <w:t xml:space="preserve">or if they have problems as a result of treatment </w:t>
      </w:r>
    </w:p>
    <w:p w14:paraId="5B9936D1" w14:textId="77777777" w:rsidR="00B65394" w:rsidRPr="00884DC5" w:rsidRDefault="00B65394" w:rsidP="00B65394">
      <w:pPr>
        <w:pStyle w:val="Default"/>
        <w:numPr>
          <w:ilvl w:val="0"/>
          <w:numId w:val="17"/>
        </w:numPr>
        <w:spacing w:after="26"/>
        <w:rPr>
          <w:sz w:val="22"/>
          <w:szCs w:val="22"/>
        </w:rPr>
      </w:pPr>
      <w:r w:rsidRPr="00884DC5">
        <w:rPr>
          <w:b/>
          <w:bCs/>
          <w:sz w:val="22"/>
          <w:szCs w:val="22"/>
        </w:rPr>
        <w:t xml:space="preserve">Whether they need any written information </w:t>
      </w:r>
      <w:r w:rsidRPr="00884DC5">
        <w:rPr>
          <w:sz w:val="22"/>
          <w:szCs w:val="22"/>
        </w:rPr>
        <w:t>about their medicines and any possible outcomes</w:t>
      </w:r>
      <w:r w:rsidRPr="00884DC5">
        <w:rPr>
          <w:rFonts w:ascii="Times New Roman" w:hAnsi="Times New Roman" w:cs="Times New Roman"/>
          <w:sz w:val="22"/>
          <w:szCs w:val="22"/>
        </w:rPr>
        <w:t xml:space="preserve">. </w:t>
      </w:r>
    </w:p>
    <w:p w14:paraId="1FD8DDC6" w14:textId="77777777" w:rsidR="00B91352" w:rsidRDefault="002D40AC" w:rsidP="002D40AC">
      <w:pPr>
        <w:pStyle w:val="ListParagraph"/>
        <w:rPr>
          <w:szCs w:val="22"/>
        </w:rPr>
      </w:pPr>
      <w:r>
        <w:rPr>
          <w:szCs w:val="22"/>
        </w:rPr>
        <w:t xml:space="preserve">Further information on NICE antimicrobial stewardship guidance for the public can be found here:  </w:t>
      </w:r>
      <w:hyperlink r:id="rId14" w:history="1">
        <w:r w:rsidRPr="0003073E">
          <w:rPr>
            <w:rStyle w:val="Hyperlink"/>
            <w:szCs w:val="22"/>
          </w:rPr>
          <w:t>https://www.nice.org.uk/guidance/ng15/resources/using-antimicrobial-medicines-safely-and-wisely-to-treat-infections-327009432517</w:t>
        </w:r>
      </w:hyperlink>
    </w:p>
    <w:p w14:paraId="5DC0B358" w14:textId="77777777" w:rsidR="00B91352" w:rsidRDefault="00B91352" w:rsidP="00B91352">
      <w:pPr>
        <w:pStyle w:val="ListParagraph"/>
        <w:ind w:left="1120"/>
        <w:rPr>
          <w:b/>
          <w:szCs w:val="22"/>
        </w:rPr>
      </w:pPr>
    </w:p>
    <w:p w14:paraId="44AD1C92" w14:textId="77777777" w:rsidR="00B91352" w:rsidRDefault="00B91352" w:rsidP="00B91352">
      <w:pPr>
        <w:pStyle w:val="ListParagraph"/>
        <w:ind w:left="1120"/>
        <w:rPr>
          <w:b/>
          <w:szCs w:val="22"/>
        </w:rPr>
      </w:pPr>
    </w:p>
    <w:p w14:paraId="771A7779" w14:textId="598D3170" w:rsidR="00547497" w:rsidRPr="00E0507E" w:rsidRDefault="00275B8A" w:rsidP="00E0507E">
      <w:pPr>
        <w:pStyle w:val="ListParagraph"/>
        <w:numPr>
          <w:ilvl w:val="1"/>
          <w:numId w:val="2"/>
        </w:numPr>
        <w:rPr>
          <w:b/>
          <w:szCs w:val="22"/>
        </w:rPr>
      </w:pPr>
      <w:r w:rsidRPr="00275B8A">
        <w:rPr>
          <w:b/>
          <w:szCs w:val="22"/>
        </w:rPr>
        <w:t>Intravenous (IV) Therapy</w:t>
      </w:r>
    </w:p>
    <w:p w14:paraId="4D6665A0" w14:textId="6E35963F" w:rsidR="00547497" w:rsidRDefault="00547497" w:rsidP="00CF1CF1">
      <w:pPr>
        <w:autoSpaceDE w:val="0"/>
        <w:autoSpaceDN w:val="0"/>
        <w:adjustRightInd w:val="0"/>
        <w:spacing w:before="0" w:after="31"/>
        <w:ind w:left="720"/>
        <w:rPr>
          <w:rFonts w:eastAsiaTheme="minorHAnsi" w:cs="Arial"/>
          <w:color w:val="000000"/>
          <w:szCs w:val="22"/>
          <w:lang w:eastAsia="en-US"/>
        </w:rPr>
      </w:pPr>
      <w:r w:rsidRPr="00547497">
        <w:rPr>
          <w:rFonts w:eastAsiaTheme="minorHAnsi" w:cs="Arial"/>
          <w:color w:val="000000"/>
          <w:szCs w:val="22"/>
          <w:lang w:eastAsia="en-US"/>
        </w:rPr>
        <w:t>Admission to an acute hospital should be considered if IV therapy is warranted</w:t>
      </w:r>
      <w:r w:rsidR="00E0507E">
        <w:rPr>
          <w:rFonts w:eastAsiaTheme="minorHAnsi" w:cs="Arial"/>
          <w:color w:val="FF0000"/>
          <w:szCs w:val="22"/>
          <w:lang w:eastAsia="en-US"/>
        </w:rPr>
        <w:t xml:space="preserve">. </w:t>
      </w:r>
    </w:p>
    <w:p w14:paraId="6C5590F3" w14:textId="77777777" w:rsidR="00547497" w:rsidRPr="00547497" w:rsidRDefault="00547497" w:rsidP="00CF1CF1">
      <w:pPr>
        <w:autoSpaceDE w:val="0"/>
        <w:autoSpaceDN w:val="0"/>
        <w:adjustRightInd w:val="0"/>
        <w:spacing w:before="0" w:after="31"/>
        <w:ind w:left="720"/>
        <w:rPr>
          <w:rFonts w:eastAsiaTheme="minorHAnsi" w:cs="Arial"/>
          <w:color w:val="000000"/>
          <w:szCs w:val="22"/>
          <w:lang w:eastAsia="en-US"/>
        </w:rPr>
      </w:pPr>
    </w:p>
    <w:p w14:paraId="29A6B4B6" w14:textId="77777777" w:rsidR="00547497" w:rsidRDefault="00547497" w:rsidP="00CF1CF1">
      <w:pPr>
        <w:autoSpaceDE w:val="0"/>
        <w:autoSpaceDN w:val="0"/>
        <w:adjustRightInd w:val="0"/>
        <w:spacing w:before="0" w:after="31"/>
        <w:ind w:left="720"/>
        <w:rPr>
          <w:rFonts w:eastAsiaTheme="minorHAnsi" w:cs="Arial"/>
          <w:color w:val="000000"/>
          <w:szCs w:val="22"/>
          <w:lang w:eastAsia="en-US"/>
        </w:rPr>
      </w:pPr>
      <w:r w:rsidRPr="00547497">
        <w:rPr>
          <w:rFonts w:eastAsiaTheme="minorHAnsi" w:cs="Arial"/>
          <w:color w:val="000000"/>
          <w:szCs w:val="22"/>
          <w:lang w:eastAsia="en-US"/>
        </w:rPr>
        <w:t>Within community health services</w:t>
      </w:r>
      <w:r w:rsidR="00CF1CF1">
        <w:rPr>
          <w:rFonts w:eastAsiaTheme="minorHAnsi" w:cs="Arial"/>
          <w:color w:val="000000"/>
          <w:szCs w:val="22"/>
          <w:lang w:eastAsia="en-US"/>
        </w:rPr>
        <w:t>,</w:t>
      </w:r>
      <w:r w:rsidRPr="00547497">
        <w:rPr>
          <w:rFonts w:eastAsiaTheme="minorHAnsi" w:cs="Arial"/>
          <w:color w:val="000000"/>
          <w:szCs w:val="22"/>
          <w:lang w:eastAsia="en-US"/>
        </w:rPr>
        <w:t xml:space="preserve"> IV antimicrobial therapy can be prescribed where there is a service agreement to do so. This may include bedded and community settings such as via Outpatient Parenteral Antimicrobial Therapy Services (OPAT) / Ambulatory Care) or in specific locally agreed services. </w:t>
      </w:r>
    </w:p>
    <w:p w14:paraId="7B6F7C76" w14:textId="77777777" w:rsidR="00547497" w:rsidRPr="00547497" w:rsidRDefault="00547497" w:rsidP="00CF1CF1">
      <w:pPr>
        <w:autoSpaceDE w:val="0"/>
        <w:autoSpaceDN w:val="0"/>
        <w:adjustRightInd w:val="0"/>
        <w:spacing w:before="0" w:after="31"/>
        <w:ind w:left="720"/>
        <w:rPr>
          <w:rFonts w:eastAsiaTheme="minorHAnsi" w:cs="Arial"/>
          <w:color w:val="000000"/>
          <w:szCs w:val="22"/>
          <w:lang w:eastAsia="en-US"/>
        </w:rPr>
      </w:pPr>
    </w:p>
    <w:p w14:paraId="7F06AC9B" w14:textId="77777777" w:rsidR="00547497" w:rsidRDefault="00547497" w:rsidP="00CF1CF1">
      <w:pPr>
        <w:autoSpaceDE w:val="0"/>
        <w:autoSpaceDN w:val="0"/>
        <w:adjustRightInd w:val="0"/>
        <w:spacing w:before="0" w:after="31"/>
        <w:ind w:left="720"/>
        <w:rPr>
          <w:rFonts w:eastAsiaTheme="minorHAnsi" w:cs="Arial"/>
          <w:color w:val="000000"/>
          <w:szCs w:val="22"/>
          <w:lang w:eastAsia="en-US"/>
        </w:rPr>
      </w:pPr>
      <w:r w:rsidRPr="00547497">
        <w:rPr>
          <w:rFonts w:eastAsiaTheme="minorHAnsi" w:cs="Arial"/>
          <w:color w:val="000000"/>
          <w:szCs w:val="22"/>
          <w:lang w:eastAsia="en-US"/>
        </w:rPr>
        <w:t xml:space="preserve">The IV route should only be used when recommended by treatment guidelines, microbiology advice or when other routes are not available. </w:t>
      </w:r>
    </w:p>
    <w:p w14:paraId="3E18AC52" w14:textId="77777777" w:rsidR="00547497" w:rsidRPr="00547497" w:rsidRDefault="00547497" w:rsidP="00CF1CF1">
      <w:pPr>
        <w:autoSpaceDE w:val="0"/>
        <w:autoSpaceDN w:val="0"/>
        <w:adjustRightInd w:val="0"/>
        <w:spacing w:before="0" w:after="31"/>
        <w:ind w:left="720"/>
        <w:rPr>
          <w:rFonts w:eastAsiaTheme="minorHAnsi" w:cs="Arial"/>
          <w:color w:val="000000"/>
          <w:szCs w:val="22"/>
          <w:lang w:eastAsia="en-US"/>
        </w:rPr>
      </w:pPr>
    </w:p>
    <w:p w14:paraId="5397A2ED" w14:textId="77777777" w:rsidR="00547497" w:rsidRDefault="00547497" w:rsidP="00CF1CF1">
      <w:pPr>
        <w:autoSpaceDE w:val="0"/>
        <w:autoSpaceDN w:val="0"/>
        <w:adjustRightInd w:val="0"/>
        <w:spacing w:before="0" w:after="31"/>
        <w:ind w:left="720"/>
        <w:rPr>
          <w:rFonts w:eastAsiaTheme="minorHAnsi" w:cs="Arial"/>
          <w:color w:val="000000"/>
          <w:szCs w:val="22"/>
          <w:lang w:eastAsia="en-US"/>
        </w:rPr>
      </w:pPr>
      <w:r w:rsidRPr="00547497">
        <w:rPr>
          <w:rFonts w:eastAsiaTheme="minorHAnsi" w:cs="Arial"/>
          <w:color w:val="000000"/>
          <w:szCs w:val="22"/>
          <w:lang w:eastAsia="en-US"/>
        </w:rPr>
        <w:t xml:space="preserve">The IV route should be reserved for patients where the severity of the infection requires IV therapy, unable to tolerate oral treatment, oral antimicrobial therapy has failed, or where oral therapy would not provide adequate coverage or tissue penetration. In this case clinicians should seek advice from the treatment guidelines or microbiology. </w:t>
      </w:r>
    </w:p>
    <w:p w14:paraId="7B522F77" w14:textId="77777777" w:rsidR="00CF1CF1" w:rsidRDefault="00CF1CF1" w:rsidP="00CF1CF1">
      <w:pPr>
        <w:autoSpaceDE w:val="0"/>
        <w:autoSpaceDN w:val="0"/>
        <w:adjustRightInd w:val="0"/>
        <w:spacing w:before="0" w:after="31"/>
        <w:ind w:left="720"/>
        <w:rPr>
          <w:rFonts w:eastAsiaTheme="minorHAnsi" w:cs="Arial"/>
          <w:color w:val="000000"/>
          <w:szCs w:val="22"/>
          <w:lang w:eastAsia="en-US"/>
        </w:rPr>
      </w:pPr>
    </w:p>
    <w:p w14:paraId="1AF3F27A" w14:textId="77777777" w:rsidR="00CF1CF1" w:rsidRPr="00CF1CF1" w:rsidRDefault="00CF1CF1" w:rsidP="00CF1CF1">
      <w:pPr>
        <w:autoSpaceDE w:val="0"/>
        <w:autoSpaceDN w:val="0"/>
        <w:adjustRightInd w:val="0"/>
        <w:spacing w:before="0" w:after="31"/>
        <w:ind w:left="720"/>
        <w:rPr>
          <w:rFonts w:eastAsiaTheme="minorHAnsi" w:cs="Arial"/>
          <w:color w:val="000000"/>
          <w:szCs w:val="22"/>
          <w:lang w:eastAsia="en-US"/>
        </w:rPr>
      </w:pPr>
      <w:r w:rsidRPr="00CF1CF1">
        <w:rPr>
          <w:rFonts w:eastAsiaTheme="minorHAnsi" w:cs="Arial"/>
          <w:color w:val="000000"/>
          <w:szCs w:val="22"/>
          <w:lang w:eastAsia="en-US"/>
        </w:rPr>
        <w:t>Patients who are confused or have previous history of intravenous drug abuse are excluded from community OPAT consideration (until assessed by the OPAT nurse and deemed suitable).</w:t>
      </w:r>
    </w:p>
    <w:p w14:paraId="1BA9EABE" w14:textId="77777777" w:rsidR="00547497" w:rsidRPr="00547497" w:rsidRDefault="00547497" w:rsidP="00CF1CF1">
      <w:pPr>
        <w:autoSpaceDE w:val="0"/>
        <w:autoSpaceDN w:val="0"/>
        <w:adjustRightInd w:val="0"/>
        <w:spacing w:before="0" w:after="31"/>
        <w:rPr>
          <w:rFonts w:eastAsiaTheme="minorHAnsi" w:cs="Arial"/>
          <w:color w:val="000000"/>
          <w:szCs w:val="22"/>
          <w:lang w:eastAsia="en-US"/>
        </w:rPr>
      </w:pPr>
    </w:p>
    <w:p w14:paraId="609F4C3E" w14:textId="77777777" w:rsidR="00547497" w:rsidRPr="00547497" w:rsidRDefault="00547497" w:rsidP="00CF1CF1">
      <w:pPr>
        <w:autoSpaceDE w:val="0"/>
        <w:autoSpaceDN w:val="0"/>
        <w:adjustRightInd w:val="0"/>
        <w:spacing w:before="0" w:after="0"/>
        <w:ind w:left="720"/>
        <w:rPr>
          <w:rFonts w:eastAsiaTheme="minorHAnsi" w:cs="Arial"/>
          <w:color w:val="000000"/>
          <w:szCs w:val="22"/>
          <w:lang w:eastAsia="en-US"/>
        </w:rPr>
      </w:pPr>
      <w:r w:rsidRPr="00547497">
        <w:rPr>
          <w:rFonts w:eastAsiaTheme="minorHAnsi" w:cs="Arial"/>
          <w:color w:val="000000"/>
          <w:szCs w:val="22"/>
          <w:lang w:eastAsia="en-US"/>
        </w:rPr>
        <w:t xml:space="preserve">Many moderate to severe infections can be successfully treated with oral antimicrobials, and some agents (e.g. metronidazole, clindamycin or ciprofloxacin) have excellent bioavailability making oral dosing just as effective as IV therapy. </w:t>
      </w:r>
    </w:p>
    <w:p w14:paraId="5A3CE2D4" w14:textId="77777777" w:rsidR="00BA4D25" w:rsidRPr="00BF6D4E" w:rsidRDefault="0048524D" w:rsidP="00BF6D4E">
      <w:pPr>
        <w:pStyle w:val="ListParagraph"/>
        <w:rPr>
          <w:b/>
          <w:szCs w:val="22"/>
        </w:rPr>
      </w:pPr>
      <w:r>
        <w:rPr>
          <w:szCs w:val="22"/>
        </w:rPr>
        <w:t xml:space="preserve">Further information on IV to oral switch of antimicrobials can be found in </w:t>
      </w:r>
      <w:r w:rsidRPr="0048524D">
        <w:rPr>
          <w:i/>
          <w:szCs w:val="22"/>
        </w:rPr>
        <w:t>Appendix G</w:t>
      </w:r>
      <w:r>
        <w:rPr>
          <w:szCs w:val="22"/>
        </w:rPr>
        <w:t>.</w:t>
      </w:r>
    </w:p>
    <w:p w14:paraId="6CD6C5F7" w14:textId="77777777" w:rsidR="00A87DA0" w:rsidRDefault="00A87DA0" w:rsidP="00275B8A">
      <w:pPr>
        <w:pStyle w:val="ListParagraph"/>
        <w:ind w:left="1120"/>
        <w:rPr>
          <w:b/>
          <w:szCs w:val="22"/>
        </w:rPr>
      </w:pPr>
    </w:p>
    <w:p w14:paraId="0675849A" w14:textId="77777777" w:rsidR="00275B8A" w:rsidRDefault="00BA4D25" w:rsidP="00BA4D25">
      <w:pPr>
        <w:pStyle w:val="ListParagraph"/>
        <w:numPr>
          <w:ilvl w:val="1"/>
          <w:numId w:val="2"/>
        </w:numPr>
        <w:rPr>
          <w:b/>
          <w:szCs w:val="22"/>
        </w:rPr>
      </w:pPr>
      <w:r w:rsidRPr="00BA4D25">
        <w:rPr>
          <w:b/>
          <w:szCs w:val="22"/>
        </w:rPr>
        <w:t>Antimicrobials at Discharge</w:t>
      </w:r>
    </w:p>
    <w:p w14:paraId="656CC2C3" w14:textId="77777777" w:rsidR="00BA4D25" w:rsidRDefault="00BA4D25" w:rsidP="0048635A">
      <w:pPr>
        <w:pStyle w:val="Default"/>
        <w:spacing w:after="17"/>
        <w:ind w:left="720"/>
        <w:jc w:val="both"/>
        <w:rPr>
          <w:sz w:val="22"/>
          <w:szCs w:val="22"/>
        </w:rPr>
      </w:pPr>
      <w:r>
        <w:rPr>
          <w:sz w:val="22"/>
          <w:szCs w:val="22"/>
        </w:rPr>
        <w:t xml:space="preserve">When a patient is being discharged or their care is being transferred to another care setting the following information should be included in the discharge summary/letter: </w:t>
      </w:r>
    </w:p>
    <w:p w14:paraId="1878A33C" w14:textId="77777777" w:rsidR="00BA4D25" w:rsidRDefault="00BA4D25" w:rsidP="00BA4D25">
      <w:pPr>
        <w:pStyle w:val="Default"/>
        <w:numPr>
          <w:ilvl w:val="0"/>
          <w:numId w:val="18"/>
        </w:numPr>
        <w:spacing w:after="17"/>
        <w:rPr>
          <w:sz w:val="22"/>
          <w:szCs w:val="22"/>
        </w:rPr>
      </w:pPr>
      <w:r>
        <w:rPr>
          <w:sz w:val="22"/>
          <w:szCs w:val="22"/>
        </w:rPr>
        <w:t xml:space="preserve">Information about current and/or recent antimicrobial use, including indication, antimicrobial prescribed, dosage, course length and any adverse reaction (if applicable). </w:t>
      </w:r>
    </w:p>
    <w:p w14:paraId="671AF9F4" w14:textId="77777777" w:rsidR="00BA4D25" w:rsidRDefault="00BA4D25" w:rsidP="00BA4D25">
      <w:pPr>
        <w:pStyle w:val="Default"/>
        <w:numPr>
          <w:ilvl w:val="0"/>
          <w:numId w:val="18"/>
        </w:numPr>
        <w:spacing w:after="17"/>
        <w:rPr>
          <w:sz w:val="22"/>
          <w:szCs w:val="22"/>
        </w:rPr>
      </w:pPr>
      <w:r w:rsidRPr="00BA4D25">
        <w:rPr>
          <w:sz w:val="22"/>
          <w:szCs w:val="22"/>
        </w:rPr>
        <w:t>Information about when a current antimicr</w:t>
      </w:r>
      <w:r>
        <w:rPr>
          <w:sz w:val="22"/>
          <w:szCs w:val="22"/>
        </w:rPr>
        <w:t>obial course should be reviewed</w:t>
      </w:r>
    </w:p>
    <w:p w14:paraId="10F3F895" w14:textId="77777777" w:rsidR="00BA4D25" w:rsidRDefault="00BA4D25" w:rsidP="00BA4D25">
      <w:pPr>
        <w:pStyle w:val="Default"/>
        <w:numPr>
          <w:ilvl w:val="0"/>
          <w:numId w:val="18"/>
        </w:numPr>
        <w:spacing w:after="17"/>
        <w:rPr>
          <w:sz w:val="22"/>
          <w:szCs w:val="22"/>
        </w:rPr>
      </w:pPr>
      <w:r w:rsidRPr="00BA4D25">
        <w:rPr>
          <w:sz w:val="22"/>
          <w:szCs w:val="22"/>
        </w:rPr>
        <w:t xml:space="preserve">Information about who the patient should contact where appropriate, and when, if they have concerns about infection </w:t>
      </w:r>
    </w:p>
    <w:p w14:paraId="7A943807" w14:textId="77777777" w:rsidR="00BA4D25" w:rsidRDefault="00BA4D25" w:rsidP="00BA4D25">
      <w:pPr>
        <w:pStyle w:val="Default"/>
        <w:numPr>
          <w:ilvl w:val="0"/>
          <w:numId w:val="18"/>
        </w:numPr>
        <w:spacing w:after="17"/>
        <w:rPr>
          <w:sz w:val="22"/>
          <w:szCs w:val="22"/>
        </w:rPr>
      </w:pPr>
      <w:r w:rsidRPr="00BA4D25">
        <w:rPr>
          <w:sz w:val="22"/>
          <w:szCs w:val="22"/>
        </w:rPr>
        <w:t xml:space="preserve">Details of any resistant organisms identified </w:t>
      </w:r>
    </w:p>
    <w:p w14:paraId="233664D3" w14:textId="77777777" w:rsidR="00A87DA0" w:rsidRPr="006B286F" w:rsidRDefault="00BA4D25" w:rsidP="006B286F">
      <w:pPr>
        <w:pStyle w:val="Default"/>
        <w:numPr>
          <w:ilvl w:val="0"/>
          <w:numId w:val="18"/>
        </w:numPr>
        <w:spacing w:after="17"/>
        <w:rPr>
          <w:sz w:val="22"/>
          <w:szCs w:val="22"/>
        </w:rPr>
      </w:pPr>
      <w:r w:rsidRPr="00BA4D25">
        <w:rPr>
          <w:sz w:val="22"/>
          <w:szCs w:val="22"/>
        </w:rPr>
        <w:t>Details of any HCAI and treatment given</w:t>
      </w:r>
      <w:r w:rsidRPr="00BA4D25">
        <w:rPr>
          <w:sz w:val="14"/>
          <w:szCs w:val="14"/>
        </w:rPr>
        <w:t xml:space="preserve"> </w:t>
      </w:r>
    </w:p>
    <w:p w14:paraId="78C6A4ED" w14:textId="77777777" w:rsidR="006B286F" w:rsidRPr="006B286F" w:rsidRDefault="006B286F" w:rsidP="006B286F">
      <w:pPr>
        <w:pStyle w:val="Default"/>
        <w:spacing w:after="17"/>
        <w:ind w:left="1080"/>
        <w:rPr>
          <w:sz w:val="22"/>
          <w:szCs w:val="22"/>
        </w:rPr>
      </w:pPr>
    </w:p>
    <w:p w14:paraId="77B213BA" w14:textId="77777777" w:rsidR="00BA4D25" w:rsidRDefault="00150B3E" w:rsidP="00150B3E">
      <w:pPr>
        <w:pStyle w:val="ListParagraph"/>
        <w:numPr>
          <w:ilvl w:val="1"/>
          <w:numId w:val="2"/>
        </w:numPr>
        <w:rPr>
          <w:b/>
          <w:szCs w:val="22"/>
        </w:rPr>
      </w:pPr>
      <w:r w:rsidRPr="00150B3E">
        <w:rPr>
          <w:b/>
          <w:szCs w:val="22"/>
        </w:rPr>
        <w:t>Notifiable Diseases</w:t>
      </w:r>
    </w:p>
    <w:p w14:paraId="05ABBBB0" w14:textId="77777777" w:rsidR="00150B3E" w:rsidRDefault="00150B3E" w:rsidP="00150B3E">
      <w:pPr>
        <w:pStyle w:val="ListParagraph"/>
        <w:ind w:left="1120"/>
        <w:rPr>
          <w:b/>
          <w:szCs w:val="22"/>
        </w:rPr>
      </w:pPr>
    </w:p>
    <w:p w14:paraId="284BFED2" w14:textId="77777777" w:rsidR="006066E1" w:rsidRDefault="00150B3E" w:rsidP="006066E1">
      <w:pPr>
        <w:pStyle w:val="ListParagraph"/>
        <w:rPr>
          <w:rStyle w:val="Hyperlink"/>
          <w:szCs w:val="22"/>
        </w:rPr>
      </w:pPr>
      <w:r>
        <w:rPr>
          <w:szCs w:val="22"/>
        </w:rPr>
        <w:t>Under the Health Protection (Notification) Regulations 2010, physicians are required to notify the Consultant in Communicable Disease Control if they diagnose certain diseases.</w:t>
      </w:r>
      <w:r w:rsidR="006066E1">
        <w:rPr>
          <w:szCs w:val="22"/>
        </w:rPr>
        <w:t xml:space="preserve"> Please refer to the </w:t>
      </w:r>
      <w:r w:rsidR="006066E1" w:rsidRPr="006066E1">
        <w:rPr>
          <w:szCs w:val="22"/>
        </w:rPr>
        <w:t>UKHSA guidance on ho</w:t>
      </w:r>
      <w:r w:rsidR="006066E1">
        <w:rPr>
          <w:szCs w:val="22"/>
        </w:rPr>
        <w:t>w to report notifiable diseases</w:t>
      </w:r>
      <w:r w:rsidR="006066E1" w:rsidRPr="006066E1">
        <w:rPr>
          <w:szCs w:val="22"/>
        </w:rPr>
        <w:t xml:space="preserve"> and the list of diseases: </w:t>
      </w:r>
      <w:hyperlink r:id="rId15" w:history="1">
        <w:r w:rsidR="006066E1" w:rsidRPr="00277685">
          <w:rPr>
            <w:rStyle w:val="Hyperlink"/>
            <w:szCs w:val="22"/>
          </w:rPr>
          <w:t>https://www.gov.uk/guidance/notifiable-diseases-and-causative-organisms-how-to-report</w:t>
        </w:r>
      </w:hyperlink>
    </w:p>
    <w:p w14:paraId="067B7464" w14:textId="77777777" w:rsidR="005E7BEF" w:rsidRDefault="005E7BEF" w:rsidP="006066E1">
      <w:pPr>
        <w:pStyle w:val="ListParagraph"/>
        <w:rPr>
          <w:rStyle w:val="Hyperlink"/>
          <w:szCs w:val="22"/>
        </w:rPr>
      </w:pPr>
    </w:p>
    <w:p w14:paraId="492CD959" w14:textId="77777777" w:rsidR="005E7BEF" w:rsidRPr="006066E1" w:rsidRDefault="005E7BEF" w:rsidP="006066E1">
      <w:pPr>
        <w:pStyle w:val="ListParagraph"/>
        <w:rPr>
          <w:szCs w:val="22"/>
        </w:rPr>
      </w:pPr>
    </w:p>
    <w:p w14:paraId="589B0DF0" w14:textId="77777777" w:rsidR="00150B3E" w:rsidRDefault="0023740F" w:rsidP="00CE155C">
      <w:pPr>
        <w:pStyle w:val="ListParagraph"/>
        <w:numPr>
          <w:ilvl w:val="0"/>
          <w:numId w:val="19"/>
        </w:numPr>
        <w:rPr>
          <w:b/>
          <w:szCs w:val="22"/>
        </w:rPr>
      </w:pPr>
      <w:r>
        <w:rPr>
          <w:b/>
          <w:szCs w:val="22"/>
        </w:rPr>
        <w:t>Education and Training</w:t>
      </w:r>
    </w:p>
    <w:p w14:paraId="4F728B86" w14:textId="77634D23" w:rsidR="0023740F" w:rsidRDefault="0023740F" w:rsidP="006B286F">
      <w:pPr>
        <w:pStyle w:val="Default"/>
        <w:ind w:left="360"/>
        <w:jc w:val="both"/>
        <w:rPr>
          <w:color w:val="FF0000"/>
          <w:sz w:val="22"/>
          <w:szCs w:val="22"/>
        </w:rPr>
      </w:pPr>
      <w:r>
        <w:rPr>
          <w:sz w:val="22"/>
          <w:szCs w:val="22"/>
        </w:rPr>
        <w:t xml:space="preserve">All Trust staff (clinical and non-clinical) receive a short introductory session on </w:t>
      </w:r>
      <w:r w:rsidRPr="00C633CA">
        <w:rPr>
          <w:color w:val="auto"/>
          <w:sz w:val="22"/>
          <w:szCs w:val="22"/>
        </w:rPr>
        <w:t xml:space="preserve">antimicrobial resistance and stewardship as part of IPC mandatory training. </w:t>
      </w:r>
      <w:r w:rsidR="005410F8" w:rsidRPr="00C633CA">
        <w:rPr>
          <w:color w:val="auto"/>
          <w:sz w:val="22"/>
          <w:szCs w:val="22"/>
        </w:rPr>
        <w:t>Mandatory infection control E-learning s</w:t>
      </w:r>
      <w:r w:rsidR="00E0507E" w:rsidRPr="00C633CA">
        <w:rPr>
          <w:color w:val="auto"/>
          <w:sz w:val="22"/>
          <w:szCs w:val="22"/>
        </w:rPr>
        <w:t xml:space="preserve">hould be completed by all staff. Safe prescribing E-learning is also available for further learning. </w:t>
      </w:r>
    </w:p>
    <w:p w14:paraId="37932569" w14:textId="32B457A0" w:rsidR="00E0507E" w:rsidRDefault="00E0507E" w:rsidP="006B286F">
      <w:pPr>
        <w:pStyle w:val="Default"/>
        <w:ind w:left="360"/>
        <w:jc w:val="both"/>
        <w:rPr>
          <w:color w:val="FF0000"/>
          <w:sz w:val="22"/>
          <w:szCs w:val="22"/>
        </w:rPr>
      </w:pPr>
    </w:p>
    <w:p w14:paraId="4B9253B1" w14:textId="4364616C" w:rsidR="00E0507E" w:rsidRPr="005410F8" w:rsidRDefault="00E0507E" w:rsidP="006B286F">
      <w:pPr>
        <w:pStyle w:val="Default"/>
        <w:ind w:left="360"/>
        <w:jc w:val="both"/>
        <w:rPr>
          <w:color w:val="FF0000"/>
          <w:sz w:val="22"/>
          <w:szCs w:val="22"/>
        </w:rPr>
      </w:pPr>
      <w:hyperlink r:id="rId16" w:history="1">
        <w:r w:rsidRPr="00C15466">
          <w:rPr>
            <w:rStyle w:val="Hyperlink"/>
            <w:sz w:val="22"/>
            <w:szCs w:val="22"/>
          </w:rPr>
          <w:t>https://learningacademy.elft.nhs.uk/totara/catalog/index.php?orderbykey=text&amp;itemstyle=narrow</w:t>
        </w:r>
      </w:hyperlink>
      <w:r>
        <w:rPr>
          <w:color w:val="FF0000"/>
          <w:sz w:val="22"/>
          <w:szCs w:val="22"/>
        </w:rPr>
        <w:t xml:space="preserve"> </w:t>
      </w:r>
    </w:p>
    <w:p w14:paraId="785F7DA0" w14:textId="1A5CC896" w:rsidR="0023740F" w:rsidRDefault="00EF0269" w:rsidP="006B286F">
      <w:pPr>
        <w:pStyle w:val="ListParagraph"/>
        <w:ind w:left="360"/>
        <w:rPr>
          <w:szCs w:val="22"/>
        </w:rPr>
      </w:pPr>
      <w:r>
        <w:rPr>
          <w:szCs w:val="22"/>
        </w:rPr>
        <w:t>Additional t</w:t>
      </w:r>
      <w:r w:rsidR="0023740F">
        <w:rPr>
          <w:szCs w:val="22"/>
        </w:rPr>
        <w:t xml:space="preserve">raining for prescribers, pharmacists and nursing staff is available via the Health Education England e-Learning package entitled Reducing Antimicrobial Resistance available via </w:t>
      </w:r>
      <w:hyperlink r:id="rId17" w:history="1">
        <w:r w:rsidR="0023740F" w:rsidRPr="0003073E">
          <w:rPr>
            <w:rStyle w:val="Hyperlink"/>
            <w:szCs w:val="22"/>
          </w:rPr>
          <w:t>http://www.e-lfh.org.uk/programmes/antimicrobial-resistance/</w:t>
        </w:r>
      </w:hyperlink>
    </w:p>
    <w:p w14:paraId="02635D30" w14:textId="77777777" w:rsidR="00476325" w:rsidRDefault="00476325" w:rsidP="00476325">
      <w:pPr>
        <w:pStyle w:val="ListParagraph"/>
        <w:ind w:left="360"/>
        <w:rPr>
          <w:szCs w:val="22"/>
        </w:rPr>
      </w:pPr>
    </w:p>
    <w:p w14:paraId="38FAA9DE" w14:textId="77777777" w:rsidR="0023740F" w:rsidRDefault="0023740F" w:rsidP="0023740F">
      <w:pPr>
        <w:pStyle w:val="ListParagraph"/>
        <w:ind w:left="1120"/>
        <w:rPr>
          <w:b/>
          <w:szCs w:val="22"/>
        </w:rPr>
      </w:pPr>
    </w:p>
    <w:p w14:paraId="035382AB" w14:textId="77777777" w:rsidR="00A87DA0" w:rsidRDefault="00A87DA0" w:rsidP="0023740F">
      <w:pPr>
        <w:pStyle w:val="ListParagraph"/>
        <w:ind w:left="1120"/>
        <w:rPr>
          <w:b/>
          <w:szCs w:val="22"/>
        </w:rPr>
      </w:pPr>
    </w:p>
    <w:p w14:paraId="35C89C82" w14:textId="77777777" w:rsidR="0023740F" w:rsidRDefault="008A50C9" w:rsidP="00CE155C">
      <w:pPr>
        <w:pStyle w:val="ListParagraph"/>
        <w:numPr>
          <w:ilvl w:val="0"/>
          <w:numId w:val="19"/>
        </w:numPr>
        <w:rPr>
          <w:b/>
          <w:szCs w:val="22"/>
        </w:rPr>
      </w:pPr>
      <w:r>
        <w:rPr>
          <w:b/>
          <w:szCs w:val="22"/>
        </w:rPr>
        <w:t>Approval and ratification</w:t>
      </w:r>
    </w:p>
    <w:p w14:paraId="6C28FE85" w14:textId="77777777" w:rsidR="00CE155C" w:rsidRDefault="00CE155C" w:rsidP="00476325">
      <w:pPr>
        <w:ind w:left="360"/>
        <w:rPr>
          <w:szCs w:val="22"/>
        </w:rPr>
      </w:pPr>
      <w:r w:rsidRPr="00CE155C">
        <w:rPr>
          <w:szCs w:val="22"/>
        </w:rPr>
        <w:t>The Trusts Medicines Committee and IPC Committee (IPCC) are responsible for the approval and ratification of this A</w:t>
      </w:r>
      <w:r>
        <w:rPr>
          <w:szCs w:val="22"/>
        </w:rPr>
        <w:t>ntimicrobial Stewardship Policy.</w:t>
      </w:r>
    </w:p>
    <w:p w14:paraId="7BB9163F" w14:textId="77777777" w:rsidR="004F6C8C" w:rsidRDefault="004F6C8C" w:rsidP="00CE155C">
      <w:pPr>
        <w:ind w:left="720"/>
        <w:rPr>
          <w:b/>
          <w:szCs w:val="22"/>
        </w:rPr>
      </w:pPr>
    </w:p>
    <w:p w14:paraId="06975851" w14:textId="77777777" w:rsidR="00CE155C" w:rsidRDefault="00CE155C" w:rsidP="00CE155C">
      <w:pPr>
        <w:pStyle w:val="ListParagraph"/>
        <w:numPr>
          <w:ilvl w:val="0"/>
          <w:numId w:val="19"/>
        </w:numPr>
        <w:rPr>
          <w:b/>
          <w:szCs w:val="22"/>
        </w:rPr>
      </w:pPr>
      <w:r>
        <w:rPr>
          <w:b/>
          <w:szCs w:val="22"/>
        </w:rPr>
        <w:t>Moni</w:t>
      </w:r>
      <w:r w:rsidR="00292A7C">
        <w:rPr>
          <w:b/>
          <w:szCs w:val="22"/>
        </w:rPr>
        <w:t>toring Compliance and Effectiveness</w:t>
      </w:r>
    </w:p>
    <w:p w14:paraId="7723BE6A" w14:textId="77777777" w:rsidR="00292A7C" w:rsidRDefault="00292A7C" w:rsidP="00476325">
      <w:pPr>
        <w:pStyle w:val="Default"/>
        <w:ind w:left="360"/>
        <w:rPr>
          <w:sz w:val="22"/>
          <w:szCs w:val="22"/>
        </w:rPr>
      </w:pPr>
      <w:r>
        <w:rPr>
          <w:sz w:val="22"/>
          <w:szCs w:val="22"/>
        </w:rPr>
        <w:t xml:space="preserve">Adherence to the Policy is monitored by the Antimicrobial Stewardship Group. </w:t>
      </w:r>
    </w:p>
    <w:p w14:paraId="314CE20B" w14:textId="21FE33CD" w:rsidR="00CA7DAF" w:rsidRDefault="00292A7C" w:rsidP="00CA7DAF">
      <w:pPr>
        <w:ind w:left="360"/>
        <w:rPr>
          <w:szCs w:val="22"/>
        </w:rPr>
      </w:pPr>
      <w:r>
        <w:rPr>
          <w:szCs w:val="22"/>
        </w:rPr>
        <w:t>Monitoring</w:t>
      </w:r>
      <w:r w:rsidRPr="00292A7C">
        <w:rPr>
          <w:szCs w:val="22"/>
        </w:rPr>
        <w:t xml:space="preserve"> of antimicrobial prescribing is undertaken </w:t>
      </w:r>
      <w:r w:rsidRPr="004D4AA1">
        <w:rPr>
          <w:szCs w:val="22"/>
        </w:rPr>
        <w:t>on a quarterly basis</w:t>
      </w:r>
      <w:r w:rsidRPr="00292A7C">
        <w:rPr>
          <w:szCs w:val="22"/>
        </w:rPr>
        <w:t xml:space="preserve"> as part of the </w:t>
      </w:r>
      <w:r>
        <w:rPr>
          <w:szCs w:val="22"/>
        </w:rPr>
        <w:t>ELFT</w:t>
      </w:r>
      <w:r w:rsidRPr="00292A7C">
        <w:rPr>
          <w:szCs w:val="22"/>
        </w:rPr>
        <w:t xml:space="preserve"> antimicrobial prescribing audit. Results of these audits are reported quarterly to the IPCC and AMSG and disseminated to the relevant divisional services. Feedback is provided to individual prescribers and teams where possible. An audit summary is also presented to the Trust board annually. Antimicrobial consumption for all services trust</w:t>
      </w:r>
      <w:r w:rsidR="00EB0503">
        <w:rPr>
          <w:szCs w:val="22"/>
        </w:rPr>
        <w:t>-wide is monitored via the AMSG.</w:t>
      </w:r>
    </w:p>
    <w:p w14:paraId="6D888B72" w14:textId="77777777" w:rsidR="00CA7DAF" w:rsidRPr="00CA7DAF" w:rsidRDefault="00CA7DAF" w:rsidP="00CA7DAF">
      <w:pPr>
        <w:ind w:left="360"/>
        <w:rPr>
          <w:szCs w:val="22"/>
        </w:rPr>
      </w:pPr>
    </w:p>
    <w:p w14:paraId="2A5A913F" w14:textId="77777777" w:rsidR="00EB0503" w:rsidRPr="004F6C8C" w:rsidRDefault="00EB0503" w:rsidP="004F6C8C">
      <w:pPr>
        <w:pStyle w:val="ListParagraph"/>
        <w:numPr>
          <w:ilvl w:val="0"/>
          <w:numId w:val="19"/>
        </w:numPr>
        <w:rPr>
          <w:b/>
          <w:szCs w:val="22"/>
        </w:rPr>
      </w:pPr>
      <w:r>
        <w:rPr>
          <w:b/>
          <w:szCs w:val="22"/>
        </w:rPr>
        <w:t>Policies to which this relates</w:t>
      </w:r>
    </w:p>
    <w:p w14:paraId="6F82E90A" w14:textId="77777777" w:rsidR="004F6C8C" w:rsidRDefault="004F6C8C" w:rsidP="006B286F">
      <w:pPr>
        <w:pStyle w:val="Default"/>
        <w:ind w:left="360"/>
        <w:jc w:val="both"/>
        <w:rPr>
          <w:sz w:val="22"/>
          <w:szCs w:val="22"/>
        </w:rPr>
      </w:pPr>
      <w:r>
        <w:rPr>
          <w:sz w:val="22"/>
          <w:szCs w:val="22"/>
        </w:rPr>
        <w:t xml:space="preserve">This document should be read in conjunction with the following Trust documents: </w:t>
      </w:r>
    </w:p>
    <w:p w14:paraId="0C330598" w14:textId="77777777" w:rsidR="004F6C8C" w:rsidRPr="0054218F" w:rsidRDefault="004F6C8C" w:rsidP="00476325">
      <w:pPr>
        <w:pStyle w:val="Default"/>
        <w:numPr>
          <w:ilvl w:val="0"/>
          <w:numId w:val="20"/>
        </w:numPr>
        <w:spacing w:after="30"/>
        <w:ind w:left="1440"/>
        <w:rPr>
          <w:sz w:val="22"/>
          <w:szCs w:val="22"/>
        </w:rPr>
      </w:pPr>
      <w:r w:rsidRPr="0054218F">
        <w:rPr>
          <w:sz w:val="22"/>
          <w:szCs w:val="22"/>
        </w:rPr>
        <w:t xml:space="preserve">Infection Prevention and Control Policies and Procedures </w:t>
      </w:r>
    </w:p>
    <w:p w14:paraId="1C6A4D7F" w14:textId="77777777" w:rsidR="004F6C8C" w:rsidRPr="0054218F" w:rsidRDefault="004F6C8C" w:rsidP="00476325">
      <w:pPr>
        <w:pStyle w:val="Default"/>
        <w:numPr>
          <w:ilvl w:val="0"/>
          <w:numId w:val="20"/>
        </w:numPr>
        <w:spacing w:after="30"/>
        <w:ind w:left="1440"/>
        <w:rPr>
          <w:sz w:val="22"/>
          <w:szCs w:val="22"/>
        </w:rPr>
      </w:pPr>
      <w:r w:rsidRPr="0054218F">
        <w:rPr>
          <w:sz w:val="22"/>
          <w:szCs w:val="22"/>
        </w:rPr>
        <w:t xml:space="preserve">Treatment of Anaphylaxis Guideline </w:t>
      </w:r>
    </w:p>
    <w:p w14:paraId="352BBA3C" w14:textId="77777777" w:rsidR="004F6C8C" w:rsidRDefault="004F6C8C" w:rsidP="00476325">
      <w:pPr>
        <w:pStyle w:val="Default"/>
        <w:numPr>
          <w:ilvl w:val="0"/>
          <w:numId w:val="20"/>
        </w:numPr>
        <w:spacing w:after="30"/>
        <w:ind w:left="1440"/>
        <w:rPr>
          <w:sz w:val="22"/>
          <w:szCs w:val="22"/>
        </w:rPr>
      </w:pPr>
      <w:r>
        <w:rPr>
          <w:sz w:val="22"/>
          <w:szCs w:val="22"/>
        </w:rPr>
        <w:t xml:space="preserve">Medicines Policy </w:t>
      </w:r>
    </w:p>
    <w:p w14:paraId="69945301" w14:textId="77777777" w:rsidR="004F6C8C" w:rsidRDefault="004F6C8C" w:rsidP="00476325">
      <w:pPr>
        <w:pStyle w:val="Default"/>
        <w:numPr>
          <w:ilvl w:val="0"/>
          <w:numId w:val="20"/>
        </w:numPr>
        <w:spacing w:after="30"/>
        <w:ind w:left="1440"/>
        <w:rPr>
          <w:sz w:val="22"/>
          <w:szCs w:val="22"/>
        </w:rPr>
      </w:pPr>
      <w:r>
        <w:rPr>
          <w:sz w:val="22"/>
          <w:szCs w:val="22"/>
        </w:rPr>
        <w:t xml:space="preserve">Antimicrobial Stewardship Strategy </w:t>
      </w:r>
    </w:p>
    <w:p w14:paraId="7A414AF1" w14:textId="77777777" w:rsidR="004F6C8C" w:rsidRPr="005E7BEF" w:rsidRDefault="004F6C8C" w:rsidP="005E7BEF">
      <w:pPr>
        <w:pStyle w:val="Default"/>
        <w:numPr>
          <w:ilvl w:val="0"/>
          <w:numId w:val="20"/>
        </w:numPr>
        <w:spacing w:after="30"/>
        <w:ind w:left="1440"/>
        <w:rPr>
          <w:sz w:val="22"/>
          <w:szCs w:val="22"/>
        </w:rPr>
      </w:pPr>
      <w:r>
        <w:rPr>
          <w:sz w:val="22"/>
          <w:szCs w:val="22"/>
        </w:rPr>
        <w:t xml:space="preserve">Respective Antimicrobial treatment guidelines for service (see Appendix C) </w:t>
      </w:r>
    </w:p>
    <w:p w14:paraId="35E4E9E0" w14:textId="77777777" w:rsidR="00A87DA0" w:rsidRDefault="00A87DA0" w:rsidP="00EB0503">
      <w:pPr>
        <w:pStyle w:val="ListParagraph"/>
        <w:ind w:left="1080"/>
        <w:rPr>
          <w:b/>
          <w:szCs w:val="22"/>
        </w:rPr>
      </w:pPr>
    </w:p>
    <w:p w14:paraId="29ED06A0" w14:textId="77777777" w:rsidR="00EB0503" w:rsidRDefault="004F6C8C" w:rsidP="00CE155C">
      <w:pPr>
        <w:pStyle w:val="ListParagraph"/>
        <w:numPr>
          <w:ilvl w:val="0"/>
          <w:numId w:val="19"/>
        </w:numPr>
        <w:rPr>
          <w:b/>
          <w:szCs w:val="22"/>
        </w:rPr>
      </w:pPr>
      <w:r>
        <w:rPr>
          <w:b/>
          <w:szCs w:val="22"/>
        </w:rPr>
        <w:t>Consultation</w:t>
      </w:r>
    </w:p>
    <w:p w14:paraId="0523F036" w14:textId="77777777" w:rsidR="004F6C8C" w:rsidRDefault="004F6C8C" w:rsidP="00476325">
      <w:pPr>
        <w:pStyle w:val="Default"/>
        <w:ind w:left="360"/>
        <w:rPr>
          <w:sz w:val="22"/>
          <w:szCs w:val="22"/>
        </w:rPr>
      </w:pPr>
      <w:r>
        <w:rPr>
          <w:sz w:val="22"/>
          <w:szCs w:val="22"/>
        </w:rPr>
        <w:t xml:space="preserve">In the development of this policy the following have been consulted: </w:t>
      </w:r>
    </w:p>
    <w:p w14:paraId="4EC2F10D" w14:textId="057757C6" w:rsidR="00A87DA0" w:rsidRPr="006B286F" w:rsidRDefault="004F6C8C" w:rsidP="005E7BEF">
      <w:pPr>
        <w:pStyle w:val="Default"/>
        <w:ind w:left="360"/>
        <w:jc w:val="both"/>
        <w:rPr>
          <w:sz w:val="22"/>
          <w:szCs w:val="22"/>
        </w:rPr>
      </w:pPr>
      <w:r w:rsidRPr="006B286F">
        <w:rPr>
          <w:sz w:val="22"/>
          <w:szCs w:val="22"/>
        </w:rPr>
        <w:t>Medical Consultant Microbiologist, IPCC Members, Trust Chief Pharmacist, Deputy Chief Pharmacists, Trust Lead Pharmacists, Medicines Committee, Medical Director, Lead Pharmacist</w:t>
      </w:r>
      <w:r w:rsidR="005E7BEF" w:rsidRPr="006B286F">
        <w:rPr>
          <w:sz w:val="22"/>
          <w:szCs w:val="22"/>
        </w:rPr>
        <w:t xml:space="preserve"> Vaccinations and Antimicrobial</w:t>
      </w:r>
      <w:r w:rsidR="00EF0269">
        <w:rPr>
          <w:sz w:val="22"/>
          <w:szCs w:val="22"/>
        </w:rPr>
        <w:t xml:space="preserve"> &amp; Trust Medication Safety Officer </w:t>
      </w:r>
    </w:p>
    <w:p w14:paraId="27A66AB9" w14:textId="77777777" w:rsidR="00CE71E2" w:rsidRPr="00CE71E2" w:rsidRDefault="00CD01E2" w:rsidP="00CE71E2">
      <w:pPr>
        <w:pStyle w:val="ListParagraph"/>
        <w:numPr>
          <w:ilvl w:val="0"/>
          <w:numId w:val="19"/>
        </w:numPr>
        <w:rPr>
          <w:b/>
          <w:szCs w:val="22"/>
        </w:rPr>
      </w:pPr>
      <w:r>
        <w:rPr>
          <w:b/>
          <w:szCs w:val="22"/>
        </w:rPr>
        <w:t>References</w:t>
      </w:r>
    </w:p>
    <w:p w14:paraId="3658FD5F" w14:textId="77777777" w:rsidR="00CE71E2" w:rsidRDefault="00CE71E2" w:rsidP="00476325">
      <w:pPr>
        <w:pStyle w:val="Default"/>
        <w:spacing w:after="13"/>
        <w:ind w:left="360"/>
        <w:rPr>
          <w:sz w:val="20"/>
          <w:szCs w:val="20"/>
        </w:rPr>
      </w:pPr>
      <w:r w:rsidRPr="00CE71E2">
        <w:rPr>
          <w:sz w:val="20"/>
          <w:szCs w:val="20"/>
        </w:rPr>
        <w:t>1.</w:t>
      </w:r>
      <w:r>
        <w:rPr>
          <w:sz w:val="20"/>
          <w:szCs w:val="20"/>
        </w:rPr>
        <w:t xml:space="preserve"> Department of Health (2015). The Health and Social Care Act 2008: Code of Practice on the prevention and control of infections and related guidance (updated 2015) Accessed 08/01/16 via </w:t>
      </w:r>
      <w:hyperlink r:id="rId18" w:history="1">
        <w:r w:rsidRPr="0003073E">
          <w:rPr>
            <w:rStyle w:val="Hyperlink"/>
            <w:sz w:val="20"/>
            <w:szCs w:val="20"/>
          </w:rPr>
          <w:t>https://www.gov.uk/government/publications/the-health-and-social-care-act-2008-code-of-practice-on-the-prevention-and-control-of-infections-and-related-guidance</w:t>
        </w:r>
      </w:hyperlink>
    </w:p>
    <w:p w14:paraId="0EFCE7E7" w14:textId="77777777" w:rsidR="00CE71E2" w:rsidRDefault="00CE71E2" w:rsidP="00476325">
      <w:pPr>
        <w:pStyle w:val="Default"/>
        <w:spacing w:after="13"/>
        <w:ind w:left="360"/>
        <w:rPr>
          <w:sz w:val="20"/>
          <w:szCs w:val="20"/>
        </w:rPr>
      </w:pPr>
      <w:r>
        <w:rPr>
          <w:sz w:val="20"/>
          <w:szCs w:val="20"/>
        </w:rPr>
        <w:t xml:space="preserve"> </w:t>
      </w:r>
    </w:p>
    <w:p w14:paraId="175939D9" w14:textId="77777777" w:rsidR="00CE71E2" w:rsidRDefault="00CE71E2" w:rsidP="00476325">
      <w:pPr>
        <w:pStyle w:val="Default"/>
        <w:spacing w:after="13"/>
        <w:ind w:left="360"/>
        <w:rPr>
          <w:sz w:val="20"/>
          <w:szCs w:val="20"/>
        </w:rPr>
      </w:pPr>
      <w:r>
        <w:rPr>
          <w:sz w:val="20"/>
          <w:szCs w:val="20"/>
        </w:rPr>
        <w:t xml:space="preserve">2. Department of Health (2013). UK Five Year Antimicrobial Resistance Strategy 2013 to 2015. Accessed 08/01/16 via </w:t>
      </w:r>
      <w:hyperlink r:id="rId19" w:history="1">
        <w:r w:rsidRPr="0003073E">
          <w:rPr>
            <w:rStyle w:val="Hyperlink"/>
            <w:sz w:val="20"/>
            <w:szCs w:val="20"/>
          </w:rPr>
          <w:t>https://www.gov.uk/government/publications/uk-5-year-antimicrobial-resistance-strategy-2013-to-2018</w:t>
        </w:r>
      </w:hyperlink>
    </w:p>
    <w:p w14:paraId="550D04C2" w14:textId="77777777" w:rsidR="00CE71E2" w:rsidRDefault="00CE71E2" w:rsidP="00476325">
      <w:pPr>
        <w:pStyle w:val="Default"/>
        <w:spacing w:after="13"/>
        <w:ind w:left="360"/>
        <w:rPr>
          <w:sz w:val="20"/>
          <w:szCs w:val="20"/>
        </w:rPr>
      </w:pPr>
      <w:r>
        <w:rPr>
          <w:sz w:val="20"/>
          <w:szCs w:val="20"/>
        </w:rPr>
        <w:t xml:space="preserve"> </w:t>
      </w:r>
    </w:p>
    <w:p w14:paraId="6F7C78E4" w14:textId="77777777" w:rsidR="00CE71E2" w:rsidRDefault="00CE71E2" w:rsidP="00476325">
      <w:pPr>
        <w:pStyle w:val="Default"/>
        <w:spacing w:after="13"/>
        <w:ind w:left="360"/>
        <w:rPr>
          <w:sz w:val="20"/>
          <w:szCs w:val="20"/>
        </w:rPr>
      </w:pPr>
      <w:r>
        <w:rPr>
          <w:sz w:val="20"/>
          <w:szCs w:val="20"/>
        </w:rPr>
        <w:t xml:space="preserve">3. National Institute for Health and Care Excellence Guideline (2015). Antimicrobial stewardship: systems and processes for effective antimicrobial medicines use. Accessed 26/01/18 via </w:t>
      </w:r>
      <w:hyperlink r:id="rId20" w:history="1">
        <w:r w:rsidRPr="0003073E">
          <w:rPr>
            <w:rStyle w:val="Hyperlink"/>
            <w:sz w:val="20"/>
            <w:szCs w:val="20"/>
          </w:rPr>
          <w:t>https://www.nice.org.uk/guidance/ng15</w:t>
        </w:r>
      </w:hyperlink>
    </w:p>
    <w:p w14:paraId="1536AAAF" w14:textId="77777777" w:rsidR="00CE71E2" w:rsidRDefault="00CE71E2" w:rsidP="00476325">
      <w:pPr>
        <w:pStyle w:val="Default"/>
        <w:spacing w:after="13"/>
        <w:ind w:left="360"/>
        <w:rPr>
          <w:sz w:val="20"/>
          <w:szCs w:val="20"/>
        </w:rPr>
      </w:pPr>
      <w:r>
        <w:rPr>
          <w:sz w:val="20"/>
          <w:szCs w:val="20"/>
        </w:rPr>
        <w:t xml:space="preserve"> </w:t>
      </w:r>
    </w:p>
    <w:p w14:paraId="6D3EA5C2" w14:textId="77777777" w:rsidR="00CE71E2" w:rsidRDefault="00CE71E2" w:rsidP="00476325">
      <w:pPr>
        <w:pStyle w:val="Default"/>
        <w:spacing w:after="13"/>
        <w:ind w:left="360"/>
        <w:rPr>
          <w:sz w:val="20"/>
          <w:szCs w:val="20"/>
        </w:rPr>
      </w:pPr>
      <w:r>
        <w:rPr>
          <w:sz w:val="20"/>
          <w:szCs w:val="20"/>
        </w:rPr>
        <w:t xml:space="preserve">4. Public Health England (2015) Patient Safety Alert: Addressing antimicrobial resistance through implementation of an antimicrobial stewardship Programme. Accessed 26/01/18 via </w:t>
      </w:r>
      <w:hyperlink r:id="rId21" w:history="1">
        <w:r w:rsidRPr="0003073E">
          <w:rPr>
            <w:rStyle w:val="Hyperlink"/>
            <w:sz w:val="20"/>
            <w:szCs w:val="20"/>
          </w:rPr>
          <w:t>https://www.england.nhs.uk/patientsafety/2015/08/18/psa-amr/</w:t>
        </w:r>
      </w:hyperlink>
    </w:p>
    <w:p w14:paraId="1769E76F" w14:textId="77777777" w:rsidR="00CE71E2" w:rsidRDefault="00CE71E2" w:rsidP="00476325">
      <w:pPr>
        <w:pStyle w:val="Default"/>
        <w:spacing w:after="13"/>
        <w:ind w:left="-360"/>
        <w:rPr>
          <w:sz w:val="20"/>
          <w:szCs w:val="20"/>
        </w:rPr>
      </w:pPr>
      <w:r>
        <w:rPr>
          <w:sz w:val="20"/>
          <w:szCs w:val="20"/>
        </w:rPr>
        <w:t xml:space="preserve"> </w:t>
      </w:r>
    </w:p>
    <w:p w14:paraId="54E04CCA" w14:textId="77777777" w:rsidR="00CE71E2" w:rsidRDefault="00CE71E2" w:rsidP="00476325">
      <w:pPr>
        <w:pStyle w:val="Default"/>
        <w:ind w:left="360"/>
        <w:rPr>
          <w:sz w:val="20"/>
          <w:szCs w:val="20"/>
        </w:rPr>
      </w:pPr>
      <w:r>
        <w:rPr>
          <w:sz w:val="20"/>
          <w:szCs w:val="20"/>
        </w:rPr>
        <w:t xml:space="preserve">5. National Institute for Health and Care Excellence (NICE) Public Health Guideline 36 (2011). Healthcare Associated Infections: Prevention and Control. Accessed 26/01/18 via </w:t>
      </w:r>
      <w:hyperlink r:id="rId22" w:history="1">
        <w:r w:rsidRPr="0003073E">
          <w:rPr>
            <w:rStyle w:val="Hyperlink"/>
            <w:sz w:val="20"/>
            <w:szCs w:val="20"/>
          </w:rPr>
          <w:t>https://www.nice.org.uk/guidance/ph36</w:t>
        </w:r>
      </w:hyperlink>
    </w:p>
    <w:p w14:paraId="3BEEB574" w14:textId="77777777" w:rsidR="00CE71E2" w:rsidRDefault="00CE71E2" w:rsidP="00476325">
      <w:pPr>
        <w:pStyle w:val="Default"/>
        <w:ind w:left="360"/>
        <w:rPr>
          <w:sz w:val="20"/>
          <w:szCs w:val="20"/>
        </w:rPr>
      </w:pPr>
    </w:p>
    <w:p w14:paraId="4FB3F556" w14:textId="77777777" w:rsidR="00F706D9" w:rsidRDefault="00CE71E2" w:rsidP="00476325">
      <w:pPr>
        <w:pStyle w:val="Default"/>
        <w:spacing w:after="13"/>
        <w:ind w:left="360"/>
        <w:rPr>
          <w:color w:val="auto"/>
          <w:sz w:val="20"/>
          <w:szCs w:val="20"/>
        </w:rPr>
      </w:pPr>
      <w:r>
        <w:rPr>
          <w:color w:val="auto"/>
          <w:sz w:val="20"/>
          <w:szCs w:val="20"/>
        </w:rPr>
        <w:t xml:space="preserve">6. Public Health England (2015). Start Smart - then Focus: Antimicrobial Stewardship Toolkit for English Hospitals. </w:t>
      </w:r>
      <w:hyperlink r:id="rId23" w:history="1">
        <w:r w:rsidR="00F706D9" w:rsidRPr="0003073E">
          <w:rPr>
            <w:rStyle w:val="Hyperlink"/>
            <w:sz w:val="20"/>
            <w:szCs w:val="20"/>
          </w:rPr>
          <w:t>https://www.gov.uk/government/publications/antimicrobial-stewardship-start-smart-then-focus Accessed 26/01/18</w:t>
        </w:r>
      </w:hyperlink>
    </w:p>
    <w:p w14:paraId="45D7C80C" w14:textId="77777777" w:rsidR="00F706D9" w:rsidRDefault="00F706D9" w:rsidP="00476325">
      <w:pPr>
        <w:pStyle w:val="Default"/>
        <w:spacing w:after="13"/>
        <w:ind w:left="360"/>
        <w:rPr>
          <w:color w:val="auto"/>
          <w:sz w:val="20"/>
          <w:szCs w:val="20"/>
        </w:rPr>
      </w:pPr>
    </w:p>
    <w:p w14:paraId="02224C1B" w14:textId="77777777" w:rsidR="00F706D9" w:rsidRDefault="00CE71E2" w:rsidP="00476325">
      <w:pPr>
        <w:pStyle w:val="Default"/>
        <w:spacing w:after="13"/>
        <w:ind w:left="360"/>
        <w:rPr>
          <w:color w:val="auto"/>
          <w:sz w:val="20"/>
          <w:szCs w:val="20"/>
        </w:rPr>
      </w:pPr>
      <w:r>
        <w:rPr>
          <w:color w:val="auto"/>
          <w:sz w:val="20"/>
          <w:szCs w:val="20"/>
        </w:rPr>
        <w:t xml:space="preserve">7. TARGET: Treat Antibiotics Responsibly, Guidance, Education, Tools (2012) Royal College of General Practitioners. Accessed 26/01/18 via </w:t>
      </w:r>
      <w:hyperlink r:id="rId24" w:history="1">
        <w:r w:rsidR="00F706D9" w:rsidRPr="0003073E">
          <w:rPr>
            <w:rStyle w:val="Hyperlink"/>
            <w:sz w:val="20"/>
            <w:szCs w:val="20"/>
          </w:rPr>
          <w:t>http://www.rcgp.org.uk/clinical-and-research/toolkits/target-antibiotic-toolkit.aspx</w:t>
        </w:r>
      </w:hyperlink>
    </w:p>
    <w:p w14:paraId="78CE4FD1" w14:textId="77777777" w:rsidR="00CE71E2" w:rsidRDefault="00CE71E2" w:rsidP="00476325">
      <w:pPr>
        <w:pStyle w:val="Default"/>
        <w:spacing w:after="13"/>
        <w:ind w:left="360"/>
        <w:rPr>
          <w:color w:val="auto"/>
          <w:sz w:val="20"/>
          <w:szCs w:val="20"/>
        </w:rPr>
      </w:pPr>
      <w:r>
        <w:rPr>
          <w:color w:val="auto"/>
          <w:sz w:val="20"/>
          <w:szCs w:val="20"/>
        </w:rPr>
        <w:t xml:space="preserve"> </w:t>
      </w:r>
    </w:p>
    <w:p w14:paraId="1DD904FC" w14:textId="77777777" w:rsidR="00F706D9" w:rsidRDefault="00CE71E2" w:rsidP="00476325">
      <w:pPr>
        <w:pStyle w:val="Default"/>
        <w:spacing w:after="13"/>
        <w:ind w:left="360"/>
        <w:rPr>
          <w:color w:val="auto"/>
          <w:sz w:val="20"/>
          <w:szCs w:val="20"/>
        </w:rPr>
      </w:pPr>
      <w:r>
        <w:rPr>
          <w:color w:val="auto"/>
          <w:sz w:val="20"/>
          <w:szCs w:val="20"/>
        </w:rPr>
        <w:t xml:space="preserve">8. National Institute for Health and Care Excellence (NICE) (2015) Guideline: Antimicrobial Stewardship – Changing risk-related behaviors in the general population. Accessed 26/01/18 via </w:t>
      </w:r>
      <w:hyperlink r:id="rId25" w:history="1">
        <w:r w:rsidR="00F706D9" w:rsidRPr="0003073E">
          <w:rPr>
            <w:rStyle w:val="Hyperlink"/>
            <w:sz w:val="20"/>
            <w:szCs w:val="20"/>
          </w:rPr>
          <w:t>https://www.nice.org.uk/guidance/ng63</w:t>
        </w:r>
      </w:hyperlink>
    </w:p>
    <w:p w14:paraId="29A0EBEC" w14:textId="77777777" w:rsidR="00CE71E2" w:rsidRDefault="00CE71E2" w:rsidP="00476325">
      <w:pPr>
        <w:pStyle w:val="Default"/>
        <w:spacing w:after="13"/>
        <w:ind w:left="360"/>
        <w:rPr>
          <w:color w:val="auto"/>
          <w:sz w:val="20"/>
          <w:szCs w:val="20"/>
        </w:rPr>
      </w:pPr>
      <w:r>
        <w:rPr>
          <w:color w:val="auto"/>
          <w:sz w:val="20"/>
          <w:szCs w:val="20"/>
        </w:rPr>
        <w:t xml:space="preserve"> </w:t>
      </w:r>
    </w:p>
    <w:p w14:paraId="1D87954D" w14:textId="77777777" w:rsidR="00F706D9" w:rsidRDefault="00CE71E2" w:rsidP="00476325">
      <w:pPr>
        <w:pStyle w:val="Default"/>
        <w:spacing w:after="13"/>
        <w:ind w:left="360"/>
        <w:rPr>
          <w:color w:val="auto"/>
          <w:sz w:val="20"/>
          <w:szCs w:val="20"/>
        </w:rPr>
      </w:pPr>
      <w:r>
        <w:rPr>
          <w:color w:val="auto"/>
          <w:sz w:val="20"/>
          <w:szCs w:val="20"/>
        </w:rPr>
        <w:t xml:space="preserve">9. Public Health England (2019). English Surveillance Programme for Antimicrobial Utilisation and Resistance (ESPAUR) 2019. Accessed 23/12/19 via </w:t>
      </w:r>
      <w:hyperlink r:id="rId26" w:history="1">
        <w:r w:rsidR="00F706D9" w:rsidRPr="0003073E">
          <w:rPr>
            <w:rStyle w:val="Hyperlink"/>
            <w:sz w:val="20"/>
            <w:szCs w:val="20"/>
          </w:rPr>
          <w:t>https://assets.publishing.service.gov.uk/government/uploads/system/uploads/attachment_data/file/843129/English_Surveillance_Programme_for_Antimicrobial_Utilisation_and_Resistance_2019.pdf</w:t>
        </w:r>
      </w:hyperlink>
    </w:p>
    <w:p w14:paraId="75777945" w14:textId="77777777" w:rsidR="00CE71E2" w:rsidRDefault="00CE71E2" w:rsidP="00476325">
      <w:pPr>
        <w:pStyle w:val="Default"/>
        <w:spacing w:after="13"/>
        <w:ind w:left="360"/>
        <w:rPr>
          <w:color w:val="auto"/>
          <w:sz w:val="20"/>
          <w:szCs w:val="20"/>
        </w:rPr>
      </w:pPr>
      <w:r>
        <w:rPr>
          <w:color w:val="auto"/>
          <w:sz w:val="20"/>
          <w:szCs w:val="20"/>
        </w:rPr>
        <w:t xml:space="preserve"> </w:t>
      </w:r>
    </w:p>
    <w:p w14:paraId="03744528" w14:textId="3B2E8828" w:rsidR="00854516" w:rsidRDefault="00FA631E" w:rsidP="00476325">
      <w:pPr>
        <w:pStyle w:val="Default"/>
        <w:spacing w:after="13"/>
        <w:ind w:left="360"/>
        <w:rPr>
          <w:color w:val="auto"/>
          <w:sz w:val="20"/>
          <w:szCs w:val="20"/>
        </w:rPr>
      </w:pPr>
      <w:r>
        <w:rPr>
          <w:color w:val="auto"/>
          <w:sz w:val="20"/>
          <w:szCs w:val="20"/>
        </w:rPr>
        <w:t xml:space="preserve">10. Public health England (2024). Antimicrobial Intravenous to oral switch: criteria for prompt switch Accessed 18/03/2025 via </w:t>
      </w:r>
      <w:hyperlink r:id="rId27" w:history="1">
        <w:r w:rsidRPr="005801EA">
          <w:rPr>
            <w:rStyle w:val="Hyperlink"/>
            <w:sz w:val="20"/>
            <w:szCs w:val="20"/>
          </w:rPr>
          <w:t>https://www.gov.uk/government/publications/antimicrobial-intravenous-to-oral-switch-criteria-for-early-switch</w:t>
        </w:r>
      </w:hyperlink>
      <w:r>
        <w:rPr>
          <w:color w:val="auto"/>
          <w:sz w:val="20"/>
          <w:szCs w:val="20"/>
        </w:rPr>
        <w:t xml:space="preserve">  </w:t>
      </w:r>
    </w:p>
    <w:p w14:paraId="1E8DB107" w14:textId="77777777" w:rsidR="00CE71E2" w:rsidRDefault="00CE71E2" w:rsidP="00476325">
      <w:pPr>
        <w:pStyle w:val="Default"/>
        <w:spacing w:after="13"/>
        <w:ind w:left="360"/>
        <w:rPr>
          <w:color w:val="auto"/>
          <w:sz w:val="20"/>
          <w:szCs w:val="20"/>
        </w:rPr>
      </w:pPr>
      <w:r>
        <w:rPr>
          <w:color w:val="auto"/>
          <w:sz w:val="20"/>
          <w:szCs w:val="20"/>
        </w:rPr>
        <w:t xml:space="preserve"> </w:t>
      </w:r>
    </w:p>
    <w:p w14:paraId="3CCD1470" w14:textId="77777777" w:rsidR="00854516" w:rsidRDefault="00CE71E2" w:rsidP="00476325">
      <w:pPr>
        <w:pStyle w:val="Default"/>
        <w:spacing w:after="13"/>
        <w:ind w:left="360"/>
        <w:rPr>
          <w:color w:val="auto"/>
          <w:sz w:val="20"/>
          <w:szCs w:val="20"/>
        </w:rPr>
      </w:pPr>
      <w:r w:rsidRPr="00854516">
        <w:rPr>
          <w:color w:val="auto"/>
          <w:sz w:val="20"/>
          <w:szCs w:val="20"/>
        </w:rPr>
        <w:t xml:space="preserve">11. Public Health England (2017) Managing common infections: guidance for primary care. Accessed 26/01/18 via </w:t>
      </w:r>
      <w:hyperlink r:id="rId28" w:history="1">
        <w:r w:rsidR="00854516" w:rsidRPr="0003073E">
          <w:rPr>
            <w:rStyle w:val="Hyperlink"/>
            <w:sz w:val="20"/>
            <w:szCs w:val="20"/>
          </w:rPr>
          <w:t>https://www.gov.uk/government/publications/managing-common-infections-guidance-for-primary-care</w:t>
        </w:r>
      </w:hyperlink>
    </w:p>
    <w:p w14:paraId="2295DDB0" w14:textId="77777777" w:rsidR="00CE71E2" w:rsidRPr="00854516" w:rsidRDefault="00CE71E2" w:rsidP="00476325">
      <w:pPr>
        <w:pStyle w:val="Default"/>
        <w:spacing w:after="13"/>
        <w:ind w:left="360"/>
        <w:rPr>
          <w:color w:val="auto"/>
          <w:sz w:val="20"/>
          <w:szCs w:val="20"/>
        </w:rPr>
      </w:pPr>
      <w:r w:rsidRPr="00854516">
        <w:rPr>
          <w:color w:val="auto"/>
          <w:sz w:val="20"/>
          <w:szCs w:val="20"/>
        </w:rPr>
        <w:t xml:space="preserve"> </w:t>
      </w:r>
    </w:p>
    <w:p w14:paraId="6A6669F9" w14:textId="77777777" w:rsidR="00854516" w:rsidRDefault="00CE71E2" w:rsidP="00476325">
      <w:pPr>
        <w:pStyle w:val="Default"/>
        <w:spacing w:after="13"/>
        <w:ind w:left="360"/>
        <w:rPr>
          <w:color w:val="auto"/>
          <w:sz w:val="20"/>
          <w:szCs w:val="20"/>
        </w:rPr>
      </w:pPr>
      <w:r>
        <w:rPr>
          <w:color w:val="auto"/>
          <w:sz w:val="20"/>
          <w:szCs w:val="20"/>
        </w:rPr>
        <w:t xml:space="preserve">12. National Institute for Health and Care Excellence (NICE) NICE Pathways. Accessed 21/01/16 via </w:t>
      </w:r>
      <w:hyperlink r:id="rId29" w:history="1">
        <w:r w:rsidR="00854516" w:rsidRPr="0003073E">
          <w:rPr>
            <w:rStyle w:val="Hyperlink"/>
            <w:sz w:val="20"/>
            <w:szCs w:val="20"/>
          </w:rPr>
          <w:t>http://pathways.nice.org.uk/</w:t>
        </w:r>
      </w:hyperlink>
    </w:p>
    <w:p w14:paraId="75FC68C5" w14:textId="77777777" w:rsidR="00CE71E2" w:rsidRDefault="00CE71E2" w:rsidP="00476325">
      <w:pPr>
        <w:pStyle w:val="Default"/>
        <w:spacing w:after="13"/>
        <w:ind w:left="-360"/>
        <w:rPr>
          <w:color w:val="auto"/>
          <w:sz w:val="20"/>
          <w:szCs w:val="20"/>
        </w:rPr>
      </w:pPr>
      <w:r>
        <w:rPr>
          <w:color w:val="auto"/>
          <w:sz w:val="20"/>
          <w:szCs w:val="20"/>
        </w:rPr>
        <w:t xml:space="preserve"> </w:t>
      </w:r>
    </w:p>
    <w:p w14:paraId="6F4C3C4F" w14:textId="77777777" w:rsidR="00854516" w:rsidRDefault="00CE71E2" w:rsidP="00476325">
      <w:pPr>
        <w:pStyle w:val="Default"/>
        <w:spacing w:after="13"/>
        <w:ind w:left="360"/>
        <w:rPr>
          <w:color w:val="auto"/>
          <w:sz w:val="20"/>
          <w:szCs w:val="20"/>
        </w:rPr>
      </w:pPr>
      <w:r>
        <w:rPr>
          <w:color w:val="auto"/>
          <w:sz w:val="20"/>
          <w:szCs w:val="20"/>
        </w:rPr>
        <w:t xml:space="preserve">13. Public Health England (2017) Diagnosis of Urinary Tract Infections (UTIs): Quick reference guide for primary care. Accessed 26/01/2018 via </w:t>
      </w:r>
      <w:hyperlink r:id="rId30" w:history="1">
        <w:r w:rsidR="00854516" w:rsidRPr="0003073E">
          <w:rPr>
            <w:rStyle w:val="Hyperlink"/>
            <w:sz w:val="20"/>
            <w:szCs w:val="20"/>
          </w:rPr>
          <w:t>https://www.gov.uk/government/uploads/system/uploads/attachment_data/file/619772/Urinary_tract_infection_UTI_guidance.pdf</w:t>
        </w:r>
      </w:hyperlink>
    </w:p>
    <w:p w14:paraId="5AB28E85" w14:textId="77777777" w:rsidR="00CE71E2" w:rsidRDefault="00CE71E2" w:rsidP="00854516">
      <w:pPr>
        <w:pStyle w:val="Default"/>
        <w:spacing w:after="13"/>
        <w:ind w:left="720"/>
        <w:rPr>
          <w:color w:val="auto"/>
          <w:sz w:val="20"/>
          <w:szCs w:val="20"/>
        </w:rPr>
      </w:pPr>
      <w:r>
        <w:rPr>
          <w:color w:val="auto"/>
          <w:sz w:val="20"/>
          <w:szCs w:val="20"/>
        </w:rPr>
        <w:t xml:space="preserve"> </w:t>
      </w:r>
    </w:p>
    <w:p w14:paraId="0F126CD8" w14:textId="77777777" w:rsidR="00854516" w:rsidRDefault="00CE71E2" w:rsidP="00476325">
      <w:pPr>
        <w:pStyle w:val="Default"/>
        <w:ind w:left="360"/>
        <w:rPr>
          <w:color w:val="auto"/>
          <w:sz w:val="20"/>
          <w:szCs w:val="20"/>
        </w:rPr>
      </w:pPr>
      <w:r>
        <w:rPr>
          <w:color w:val="auto"/>
          <w:sz w:val="20"/>
          <w:szCs w:val="20"/>
        </w:rPr>
        <w:t xml:space="preserve">14. Health Protection Agency. List of notifiable diseases (2010). Accessed 26/01/18 via </w:t>
      </w:r>
      <w:hyperlink r:id="rId31" w:history="1">
        <w:r w:rsidR="00854516" w:rsidRPr="0003073E">
          <w:rPr>
            <w:rStyle w:val="Hyperlink"/>
            <w:sz w:val="20"/>
            <w:szCs w:val="20"/>
          </w:rPr>
          <w:t>www.hpa.org.uk/Topics/InfectiousDiseases/InfectionsAZ/NotificationsOfInfectiousDiseases/ListOfNotifiableDiseases</w:t>
        </w:r>
      </w:hyperlink>
    </w:p>
    <w:p w14:paraId="50E65CDB" w14:textId="77777777" w:rsidR="00CE71E2" w:rsidRDefault="00CE71E2" w:rsidP="00476325">
      <w:pPr>
        <w:pStyle w:val="Default"/>
        <w:ind w:left="360"/>
        <w:rPr>
          <w:color w:val="auto"/>
          <w:sz w:val="20"/>
          <w:szCs w:val="20"/>
        </w:rPr>
      </w:pPr>
      <w:r>
        <w:rPr>
          <w:color w:val="auto"/>
          <w:sz w:val="20"/>
          <w:szCs w:val="20"/>
        </w:rPr>
        <w:t xml:space="preserve"> </w:t>
      </w:r>
    </w:p>
    <w:p w14:paraId="308514DA" w14:textId="77777777" w:rsidR="00CE71E2" w:rsidRDefault="00CE71E2" w:rsidP="00476325">
      <w:pPr>
        <w:pStyle w:val="Default"/>
        <w:spacing w:after="13"/>
        <w:ind w:left="360"/>
        <w:rPr>
          <w:color w:val="auto"/>
          <w:sz w:val="20"/>
          <w:szCs w:val="20"/>
        </w:rPr>
      </w:pPr>
      <w:r w:rsidRPr="00854516">
        <w:rPr>
          <w:color w:val="auto"/>
          <w:sz w:val="20"/>
          <w:szCs w:val="20"/>
        </w:rPr>
        <w:t xml:space="preserve">15. Health Education England (2015). eLearning module - Reducing Antimicrobial Resistance. Accessed 26/01/18 via </w:t>
      </w:r>
      <w:hyperlink r:id="rId32" w:history="1">
        <w:r w:rsidR="00854516" w:rsidRPr="0003073E">
          <w:rPr>
            <w:rStyle w:val="Hyperlink"/>
            <w:sz w:val="20"/>
            <w:szCs w:val="20"/>
          </w:rPr>
          <w:t>http://www.e-lfh.org.uk/programmes/antimicrobial-resistance/</w:t>
        </w:r>
      </w:hyperlink>
    </w:p>
    <w:p w14:paraId="7C7DBA1F" w14:textId="77777777" w:rsidR="00854516" w:rsidRPr="00854516" w:rsidRDefault="00854516" w:rsidP="00476325">
      <w:pPr>
        <w:pStyle w:val="Default"/>
        <w:spacing w:after="13"/>
        <w:ind w:left="360"/>
        <w:rPr>
          <w:color w:val="auto"/>
          <w:sz w:val="20"/>
          <w:szCs w:val="20"/>
        </w:rPr>
      </w:pPr>
    </w:p>
    <w:p w14:paraId="7E5A29AC" w14:textId="77777777" w:rsidR="00854516" w:rsidRDefault="00CE71E2" w:rsidP="00476325">
      <w:pPr>
        <w:pStyle w:val="Default"/>
        <w:spacing w:after="13"/>
        <w:ind w:left="360"/>
        <w:rPr>
          <w:color w:val="auto"/>
          <w:sz w:val="20"/>
          <w:szCs w:val="20"/>
        </w:rPr>
      </w:pPr>
      <w:r>
        <w:rPr>
          <w:color w:val="auto"/>
          <w:sz w:val="20"/>
          <w:szCs w:val="20"/>
        </w:rPr>
        <w:t xml:space="preserve">16. Public Health England, Department of Health Expert Advisory Committee on Antimicrobial Resistance and Healthcare Associated Infection (2013). Antimicrobial Prescribing and Stewardship Competencies. Accessed 26/01/18 via </w:t>
      </w:r>
      <w:hyperlink r:id="rId33" w:history="1">
        <w:r w:rsidR="00854516" w:rsidRPr="0003073E">
          <w:rPr>
            <w:rStyle w:val="Hyperlink"/>
            <w:sz w:val="20"/>
            <w:szCs w:val="20"/>
          </w:rPr>
          <w:t>https://www.gov.uk/government/publications/antimicrobial-prescribing-and-stewardship-competencies</w:t>
        </w:r>
      </w:hyperlink>
    </w:p>
    <w:p w14:paraId="63FDB9C5" w14:textId="77777777" w:rsidR="00CE71E2" w:rsidRDefault="00CE71E2" w:rsidP="00476325">
      <w:pPr>
        <w:pStyle w:val="Default"/>
        <w:spacing w:after="13"/>
        <w:ind w:left="360"/>
        <w:rPr>
          <w:color w:val="auto"/>
          <w:sz w:val="20"/>
          <w:szCs w:val="20"/>
        </w:rPr>
      </w:pPr>
      <w:r>
        <w:rPr>
          <w:color w:val="auto"/>
          <w:sz w:val="20"/>
          <w:szCs w:val="20"/>
        </w:rPr>
        <w:t xml:space="preserve"> </w:t>
      </w:r>
    </w:p>
    <w:p w14:paraId="17CCB860" w14:textId="77777777" w:rsidR="00E41B90" w:rsidRDefault="00CE71E2" w:rsidP="00476325">
      <w:pPr>
        <w:pStyle w:val="Default"/>
        <w:spacing w:after="13"/>
        <w:ind w:left="360"/>
        <w:rPr>
          <w:color w:val="auto"/>
          <w:sz w:val="20"/>
          <w:szCs w:val="20"/>
        </w:rPr>
      </w:pPr>
      <w:r>
        <w:rPr>
          <w:color w:val="auto"/>
          <w:sz w:val="20"/>
          <w:szCs w:val="20"/>
        </w:rPr>
        <w:t>17. Cyriac, Jissa Maria; James, Emmanuel. Switch over from intravenous to oral therapy: A concise overview. J Pharmacol Pharmacother. 2014 Apr-Jun; 5(2): 83-87</w:t>
      </w:r>
    </w:p>
    <w:p w14:paraId="23C9ED61" w14:textId="77777777" w:rsidR="00CE71E2" w:rsidRDefault="00CE71E2" w:rsidP="00476325">
      <w:pPr>
        <w:pStyle w:val="Default"/>
        <w:spacing w:after="13"/>
        <w:ind w:left="360"/>
        <w:rPr>
          <w:color w:val="auto"/>
          <w:sz w:val="20"/>
          <w:szCs w:val="20"/>
        </w:rPr>
      </w:pPr>
      <w:r>
        <w:rPr>
          <w:color w:val="auto"/>
          <w:sz w:val="20"/>
          <w:szCs w:val="20"/>
        </w:rPr>
        <w:t xml:space="preserve"> </w:t>
      </w:r>
    </w:p>
    <w:p w14:paraId="14A4660D" w14:textId="77777777" w:rsidR="00CE71E2" w:rsidRDefault="00CE71E2" w:rsidP="00476325">
      <w:pPr>
        <w:pStyle w:val="Default"/>
        <w:spacing w:after="13"/>
        <w:ind w:left="360"/>
        <w:rPr>
          <w:color w:val="auto"/>
          <w:sz w:val="20"/>
          <w:szCs w:val="20"/>
        </w:rPr>
      </w:pPr>
      <w:r>
        <w:rPr>
          <w:color w:val="auto"/>
          <w:sz w:val="20"/>
          <w:szCs w:val="20"/>
        </w:rPr>
        <w:t>18. Merck Manual of Diagnosis and Therapy (2006). Overview of allergy</w:t>
      </w:r>
      <w:r w:rsidR="00E41B90">
        <w:rPr>
          <w:color w:val="auto"/>
          <w:sz w:val="20"/>
          <w:szCs w:val="20"/>
        </w:rPr>
        <w:t xml:space="preserve"> and atopy. Accessed 13/01/16 </w:t>
      </w:r>
    </w:p>
    <w:p w14:paraId="01EBC2F7" w14:textId="77777777" w:rsidR="00E41B90" w:rsidRDefault="00E41B90" w:rsidP="00476325">
      <w:pPr>
        <w:pStyle w:val="Default"/>
        <w:spacing w:after="13"/>
        <w:ind w:left="360"/>
        <w:rPr>
          <w:color w:val="auto"/>
          <w:sz w:val="20"/>
          <w:szCs w:val="20"/>
        </w:rPr>
      </w:pPr>
    </w:p>
    <w:p w14:paraId="4CA320B9" w14:textId="77777777" w:rsidR="00E41B90" w:rsidRDefault="00CE71E2" w:rsidP="00476325">
      <w:pPr>
        <w:pStyle w:val="Default"/>
        <w:spacing w:after="13"/>
        <w:ind w:left="360"/>
        <w:rPr>
          <w:color w:val="auto"/>
          <w:sz w:val="20"/>
          <w:szCs w:val="20"/>
        </w:rPr>
      </w:pPr>
      <w:r>
        <w:rPr>
          <w:color w:val="auto"/>
          <w:sz w:val="20"/>
          <w:szCs w:val="20"/>
        </w:rPr>
        <w:t>19. Salkind, Alan R; Cuddy, Paul G; Foxworth, John W. Is This Patient Allergic to Penicillin? An Evidence-Based Analysis of the Likelihood of Penicillin Allergy. American Medical Association. Volume 285(19), 16 May 2001, pp 2498-2505</w:t>
      </w:r>
    </w:p>
    <w:p w14:paraId="292B2C62" w14:textId="77777777" w:rsidR="00CE71E2" w:rsidRDefault="00CE71E2" w:rsidP="00476325">
      <w:pPr>
        <w:pStyle w:val="Default"/>
        <w:spacing w:after="13"/>
        <w:ind w:left="360"/>
        <w:rPr>
          <w:color w:val="auto"/>
          <w:sz w:val="20"/>
          <w:szCs w:val="20"/>
        </w:rPr>
      </w:pPr>
      <w:r>
        <w:rPr>
          <w:color w:val="auto"/>
          <w:sz w:val="20"/>
          <w:szCs w:val="20"/>
        </w:rPr>
        <w:t xml:space="preserve"> </w:t>
      </w:r>
    </w:p>
    <w:p w14:paraId="7852678B" w14:textId="77777777" w:rsidR="00CE71E2" w:rsidRDefault="00CE71E2" w:rsidP="00476325">
      <w:pPr>
        <w:pStyle w:val="Default"/>
        <w:spacing w:after="13"/>
        <w:ind w:left="360"/>
        <w:rPr>
          <w:color w:val="auto"/>
          <w:sz w:val="20"/>
          <w:szCs w:val="20"/>
        </w:rPr>
      </w:pPr>
      <w:r>
        <w:rPr>
          <w:color w:val="auto"/>
          <w:sz w:val="20"/>
          <w:szCs w:val="20"/>
        </w:rPr>
        <w:t xml:space="preserve">20. Dellinger et al (2012). Surviving Sepsis Campaign: International Guidelines for the management of severe sepsis and septic shock, Critical Care Medicine, 41:2 (580-637) </w:t>
      </w:r>
    </w:p>
    <w:p w14:paraId="0C5B2554" w14:textId="77777777" w:rsidR="00E41B90" w:rsidRDefault="00E41B90" w:rsidP="00476325">
      <w:pPr>
        <w:pStyle w:val="Default"/>
        <w:spacing w:after="13"/>
        <w:ind w:left="360"/>
        <w:rPr>
          <w:color w:val="auto"/>
          <w:sz w:val="20"/>
          <w:szCs w:val="20"/>
        </w:rPr>
      </w:pPr>
    </w:p>
    <w:p w14:paraId="1FB3B54D" w14:textId="77777777" w:rsidR="00E41B90" w:rsidRDefault="00CE71E2" w:rsidP="00476325">
      <w:pPr>
        <w:pStyle w:val="Default"/>
        <w:spacing w:after="13"/>
        <w:ind w:left="360"/>
        <w:rPr>
          <w:color w:val="auto"/>
          <w:sz w:val="20"/>
          <w:szCs w:val="20"/>
        </w:rPr>
      </w:pPr>
      <w:r>
        <w:rPr>
          <w:color w:val="auto"/>
          <w:sz w:val="20"/>
          <w:szCs w:val="20"/>
        </w:rPr>
        <w:t xml:space="preserve">21. National Institute for Health and Care Excellence (NICE) (2014). Drug Allergy: Diagnosis and Management. Accessed 26/01/18 via </w:t>
      </w:r>
      <w:hyperlink r:id="rId34" w:history="1">
        <w:r w:rsidR="00E41B90" w:rsidRPr="0003073E">
          <w:rPr>
            <w:rStyle w:val="Hyperlink"/>
            <w:sz w:val="20"/>
            <w:szCs w:val="20"/>
          </w:rPr>
          <w:t>https://www.nice.org.uk/guidance/cg183</w:t>
        </w:r>
      </w:hyperlink>
    </w:p>
    <w:p w14:paraId="4C3EFDC6" w14:textId="77777777" w:rsidR="00CE71E2" w:rsidRDefault="00CE71E2" w:rsidP="00476325">
      <w:pPr>
        <w:pStyle w:val="Default"/>
        <w:spacing w:after="13"/>
        <w:ind w:left="360"/>
        <w:rPr>
          <w:color w:val="auto"/>
          <w:sz w:val="20"/>
          <w:szCs w:val="20"/>
        </w:rPr>
      </w:pPr>
      <w:r>
        <w:rPr>
          <w:color w:val="auto"/>
          <w:sz w:val="20"/>
          <w:szCs w:val="20"/>
        </w:rPr>
        <w:t xml:space="preserve"> </w:t>
      </w:r>
    </w:p>
    <w:p w14:paraId="279A749D" w14:textId="77777777" w:rsidR="00CE71E2" w:rsidRDefault="00CE71E2" w:rsidP="00476325">
      <w:pPr>
        <w:pStyle w:val="Default"/>
        <w:spacing w:after="13"/>
        <w:ind w:left="360"/>
        <w:rPr>
          <w:color w:val="auto"/>
          <w:sz w:val="20"/>
          <w:szCs w:val="20"/>
        </w:rPr>
      </w:pPr>
      <w:r>
        <w:rPr>
          <w:color w:val="auto"/>
          <w:sz w:val="20"/>
          <w:szCs w:val="20"/>
        </w:rPr>
        <w:t xml:space="preserve">22. National Institute for Health and Care Excellence Guideline (2018). Clinical Guidance: Sore throat (acute): antimicrobial prescribing. Accessed 16/02/2018 via </w:t>
      </w:r>
      <w:hyperlink r:id="rId35" w:history="1">
        <w:r w:rsidR="00E41B90" w:rsidRPr="0003073E">
          <w:rPr>
            <w:rStyle w:val="Hyperlink"/>
            <w:sz w:val="20"/>
            <w:szCs w:val="20"/>
          </w:rPr>
          <w:t>https://www.nice.org.uk/guidance/ng84</w:t>
        </w:r>
      </w:hyperlink>
    </w:p>
    <w:p w14:paraId="6B788326" w14:textId="77777777" w:rsidR="00E41B90" w:rsidRDefault="00E41B90" w:rsidP="00476325">
      <w:pPr>
        <w:pStyle w:val="Default"/>
        <w:spacing w:after="13"/>
        <w:ind w:left="360"/>
        <w:rPr>
          <w:color w:val="auto"/>
          <w:sz w:val="20"/>
          <w:szCs w:val="20"/>
        </w:rPr>
      </w:pPr>
    </w:p>
    <w:p w14:paraId="094C3A06" w14:textId="77777777" w:rsidR="00CE71E2" w:rsidRDefault="00CE71E2" w:rsidP="00476325">
      <w:pPr>
        <w:pStyle w:val="Default"/>
        <w:spacing w:after="13"/>
        <w:ind w:left="360"/>
        <w:rPr>
          <w:color w:val="auto"/>
          <w:sz w:val="20"/>
          <w:szCs w:val="20"/>
        </w:rPr>
      </w:pPr>
      <w:r>
        <w:rPr>
          <w:color w:val="auto"/>
          <w:sz w:val="20"/>
          <w:szCs w:val="20"/>
        </w:rPr>
        <w:t xml:space="preserve">23. Department of Health (Jan 2019) Tackling antimicrobial resistance 2019 – 2024: The UK’s five-year national action plan [Accessed Dec 2019] </w:t>
      </w:r>
      <w:hyperlink r:id="rId36" w:history="1">
        <w:r w:rsidR="00AD0CDD" w:rsidRPr="0003073E">
          <w:rPr>
            <w:rStyle w:val="Hyperlink"/>
            <w:sz w:val="20"/>
            <w:szCs w:val="20"/>
          </w:rPr>
          <w:t>https://assets.publishing.service.gov.uk/government/uploads/system/uploads/attachment_data/file/784894/UK_AMR_5_year_national_action_plan.pdf</w:t>
        </w:r>
      </w:hyperlink>
    </w:p>
    <w:p w14:paraId="4C5ABD57" w14:textId="77777777" w:rsidR="00AD0CDD" w:rsidRDefault="00AD0CDD" w:rsidP="00476325">
      <w:pPr>
        <w:pStyle w:val="Default"/>
        <w:spacing w:after="13"/>
        <w:ind w:left="-360"/>
        <w:rPr>
          <w:color w:val="auto"/>
          <w:sz w:val="20"/>
          <w:szCs w:val="20"/>
        </w:rPr>
      </w:pPr>
    </w:p>
    <w:p w14:paraId="16B195F1" w14:textId="1F35086E" w:rsidR="00CE71E2" w:rsidRPr="00FA631E" w:rsidRDefault="00CE71E2" w:rsidP="00FA631E">
      <w:pPr>
        <w:pStyle w:val="Default"/>
        <w:ind w:left="360"/>
        <w:rPr>
          <w:color w:val="auto"/>
          <w:sz w:val="20"/>
          <w:szCs w:val="20"/>
        </w:rPr>
      </w:pPr>
      <w:r>
        <w:rPr>
          <w:color w:val="auto"/>
          <w:sz w:val="20"/>
          <w:szCs w:val="20"/>
        </w:rPr>
        <w:t xml:space="preserve">24. Department of Health (Jan 2019) Contained and controlled: The UK’s 20-year vision for antimicrobial resistance [Accessed Dec 2019] </w:t>
      </w:r>
      <w:hyperlink r:id="rId37" w:history="1">
        <w:r w:rsidR="00AD0CDD" w:rsidRPr="0003073E">
          <w:rPr>
            <w:rStyle w:val="Hyperlink"/>
            <w:sz w:val="20"/>
            <w:szCs w:val="20"/>
          </w:rPr>
          <w:t>https://assets.publishing.service.gov.uk/government/uploads/system/uploads/attachment_data/file/773065/uk-20-year-vision-for-antimicrobial-resistance.pdf</w:t>
        </w:r>
      </w:hyperlink>
    </w:p>
    <w:p w14:paraId="35D1ED75" w14:textId="77777777" w:rsidR="00CE71E2" w:rsidRPr="00CE71E2" w:rsidRDefault="00CE71E2" w:rsidP="00CE71E2">
      <w:pPr>
        <w:rPr>
          <w:b/>
          <w:szCs w:val="22"/>
        </w:rPr>
      </w:pPr>
    </w:p>
    <w:p w14:paraId="6EF2515E" w14:textId="4929FFFE" w:rsidR="00BA1C7D" w:rsidRDefault="00BA1C7D" w:rsidP="00BA1C7D">
      <w:pPr>
        <w:rPr>
          <w:b/>
          <w:szCs w:val="22"/>
        </w:rPr>
      </w:pPr>
    </w:p>
    <w:p w14:paraId="500EDA56" w14:textId="105E780E" w:rsidR="00E0507E" w:rsidRDefault="00E0507E" w:rsidP="00662F39">
      <w:pPr>
        <w:rPr>
          <w:b/>
        </w:rPr>
        <w:sectPr w:rsidR="00E0507E" w:rsidSect="00662EA3">
          <w:pgSz w:w="11906" w:h="16838"/>
          <w:pgMar w:top="1440" w:right="1440" w:bottom="1440" w:left="1440" w:header="708" w:footer="708" w:gutter="0"/>
          <w:cols w:space="708"/>
          <w:docGrid w:linePitch="360"/>
        </w:sectPr>
      </w:pPr>
    </w:p>
    <w:tbl>
      <w:tblPr>
        <w:tblW w:w="9104" w:type="dxa"/>
        <w:jc w:val="center"/>
        <w:tblLayout w:type="fixed"/>
        <w:tblLook w:val="01E0" w:firstRow="1" w:lastRow="1" w:firstColumn="1" w:lastColumn="1" w:noHBand="0" w:noVBand="0"/>
      </w:tblPr>
      <w:tblGrid>
        <w:gridCol w:w="284"/>
        <w:gridCol w:w="7833"/>
        <w:gridCol w:w="672"/>
        <w:gridCol w:w="315"/>
      </w:tblGrid>
      <w:tr w:rsidR="006F3719" w:rsidRPr="00C84CA8" w14:paraId="6026B891" w14:textId="77777777" w:rsidTr="00811B20">
        <w:trPr>
          <w:jc w:val="center"/>
        </w:trPr>
        <w:tc>
          <w:tcPr>
            <w:tcW w:w="8789" w:type="dxa"/>
            <w:gridSpan w:val="3"/>
            <w:vAlign w:val="center"/>
          </w:tcPr>
          <w:p w14:paraId="65DA3857" w14:textId="6ECD2B9B" w:rsidR="006F3719" w:rsidRDefault="006F3719" w:rsidP="00662F39">
            <w:pPr>
              <w:rPr>
                <w:b/>
              </w:rPr>
            </w:pPr>
            <w:r w:rsidRPr="00C84CA8">
              <w:rPr>
                <w:b/>
              </w:rPr>
              <w:t>Appendices</w:t>
            </w:r>
          </w:p>
          <w:p w14:paraId="7FB0513F" w14:textId="77777777" w:rsidR="00DA61BC" w:rsidRPr="00E01179" w:rsidRDefault="00DA61BC" w:rsidP="00662F39">
            <w:pPr>
              <w:rPr>
                <w:b/>
              </w:rPr>
            </w:pPr>
            <w:r w:rsidRPr="00E01179">
              <w:rPr>
                <w:b/>
              </w:rPr>
              <w:t>Appendix A – Antimicrobial Stewardship Responsibilities of each staff group</w:t>
            </w:r>
          </w:p>
          <w:tbl>
            <w:tblPr>
              <w:tblStyle w:val="TableGrid"/>
              <w:tblW w:w="8680" w:type="dxa"/>
              <w:tblLayout w:type="fixed"/>
              <w:tblLook w:val="04A0" w:firstRow="1" w:lastRow="0" w:firstColumn="1" w:lastColumn="0" w:noHBand="0" w:noVBand="1"/>
            </w:tblPr>
            <w:tblGrid>
              <w:gridCol w:w="1617"/>
              <w:gridCol w:w="7063"/>
            </w:tblGrid>
            <w:tr w:rsidR="000258F9" w14:paraId="28311386" w14:textId="77777777" w:rsidTr="00811B20">
              <w:trPr>
                <w:trHeight w:val="465"/>
              </w:trPr>
              <w:tc>
                <w:tcPr>
                  <w:tcW w:w="1617" w:type="dxa"/>
                  <w:shd w:val="clear" w:color="auto" w:fill="D9D9D9" w:themeFill="background1" w:themeFillShade="D9"/>
                </w:tcPr>
                <w:p w14:paraId="2A29D074" w14:textId="77777777" w:rsidR="008E0DF0" w:rsidRPr="00396C3C" w:rsidRDefault="008E0DF0" w:rsidP="008E0DF0">
                  <w:pPr>
                    <w:spacing w:before="0"/>
                    <w:rPr>
                      <w:b/>
                    </w:rPr>
                  </w:pPr>
                  <w:r w:rsidRPr="00396C3C">
                    <w:rPr>
                      <w:b/>
                    </w:rPr>
                    <w:t>Individual/</w:t>
                  </w:r>
                </w:p>
                <w:p w14:paraId="212EC1A4" w14:textId="77777777" w:rsidR="000258F9" w:rsidRDefault="008E0DF0" w:rsidP="008E0DF0">
                  <w:pPr>
                    <w:spacing w:before="0"/>
                  </w:pPr>
                  <w:r w:rsidRPr="00396C3C">
                    <w:rPr>
                      <w:b/>
                    </w:rPr>
                    <w:t>Group</w:t>
                  </w:r>
                </w:p>
              </w:tc>
              <w:tc>
                <w:tcPr>
                  <w:tcW w:w="7063" w:type="dxa"/>
                  <w:shd w:val="clear" w:color="auto" w:fill="D9D9D9" w:themeFill="background1" w:themeFillShade="D9"/>
                </w:tcPr>
                <w:p w14:paraId="19C77FB4" w14:textId="77777777" w:rsidR="000258F9" w:rsidRPr="00396C3C" w:rsidRDefault="008E0DF0" w:rsidP="008E0DF0">
                  <w:pPr>
                    <w:spacing w:before="0"/>
                    <w:rPr>
                      <w:b/>
                    </w:rPr>
                  </w:pPr>
                  <w:r w:rsidRPr="00396C3C">
                    <w:rPr>
                      <w:b/>
                    </w:rPr>
                    <w:t>Are responsible for:</w:t>
                  </w:r>
                </w:p>
                <w:p w14:paraId="157AEF0A" w14:textId="77777777" w:rsidR="008E0DF0" w:rsidRDefault="008E0DF0" w:rsidP="008E0DF0">
                  <w:pPr>
                    <w:spacing w:before="0"/>
                  </w:pPr>
                </w:p>
              </w:tc>
            </w:tr>
            <w:tr w:rsidR="008E0DF0" w14:paraId="503D2E06" w14:textId="77777777" w:rsidTr="00811B20">
              <w:trPr>
                <w:trHeight w:val="1639"/>
              </w:trPr>
              <w:tc>
                <w:tcPr>
                  <w:tcW w:w="1617" w:type="dxa"/>
                  <w:shd w:val="clear" w:color="auto" w:fill="auto"/>
                </w:tcPr>
                <w:p w14:paraId="7DC6BAB1" w14:textId="77777777" w:rsidR="008E0DF0" w:rsidRPr="00396C3C" w:rsidRDefault="00702232" w:rsidP="008E0DF0">
                  <w:pPr>
                    <w:spacing w:before="0"/>
                  </w:pPr>
                  <w:r w:rsidRPr="00396C3C">
                    <w:t>Antimicrobial Stewardship Group (AMSG)</w:t>
                  </w:r>
                </w:p>
                <w:p w14:paraId="4BF50F49" w14:textId="77777777" w:rsidR="008E0DF0" w:rsidRDefault="008E0DF0" w:rsidP="008E0DF0">
                  <w:pPr>
                    <w:spacing w:before="0"/>
                  </w:pPr>
                </w:p>
                <w:p w14:paraId="13584E72" w14:textId="77777777" w:rsidR="008E0DF0" w:rsidRDefault="008E0DF0" w:rsidP="008E0DF0">
                  <w:pPr>
                    <w:spacing w:before="0"/>
                  </w:pPr>
                </w:p>
                <w:p w14:paraId="3DC6269C" w14:textId="77777777" w:rsidR="008E0DF0" w:rsidRDefault="008E0DF0" w:rsidP="008E0DF0">
                  <w:pPr>
                    <w:spacing w:before="0"/>
                  </w:pPr>
                </w:p>
                <w:p w14:paraId="75C3F52D" w14:textId="77777777" w:rsidR="008E0DF0" w:rsidRDefault="008E0DF0" w:rsidP="008E0DF0">
                  <w:pPr>
                    <w:spacing w:before="0"/>
                  </w:pPr>
                </w:p>
                <w:p w14:paraId="79A1BCA0" w14:textId="77777777" w:rsidR="008E0DF0" w:rsidRDefault="008E0DF0" w:rsidP="008E0DF0">
                  <w:pPr>
                    <w:spacing w:before="0"/>
                  </w:pPr>
                </w:p>
              </w:tc>
              <w:tc>
                <w:tcPr>
                  <w:tcW w:w="7063" w:type="dxa"/>
                  <w:shd w:val="clear" w:color="auto" w:fill="auto"/>
                </w:tcPr>
                <w:p w14:paraId="4CCE3AF0" w14:textId="77777777" w:rsidR="00396C3C" w:rsidRDefault="00396C3C" w:rsidP="00396C3C">
                  <w:pPr>
                    <w:pStyle w:val="Default"/>
                    <w:numPr>
                      <w:ilvl w:val="0"/>
                      <w:numId w:val="22"/>
                    </w:numPr>
                    <w:jc w:val="both"/>
                    <w:rPr>
                      <w:sz w:val="22"/>
                      <w:szCs w:val="22"/>
                    </w:rPr>
                  </w:pPr>
                  <w:r>
                    <w:rPr>
                      <w:sz w:val="22"/>
                      <w:szCs w:val="22"/>
                    </w:rPr>
                    <w:t xml:space="preserve">Ensure that evidence-based local antimicrobial guidelines are in place and reviewed regularly or when new evidence is published </w:t>
                  </w:r>
                </w:p>
                <w:p w14:paraId="1EB7E9EC" w14:textId="77777777" w:rsidR="00D24C5D" w:rsidRDefault="00D24C5D" w:rsidP="00D24C5D">
                  <w:pPr>
                    <w:pStyle w:val="Default"/>
                    <w:ind w:left="360"/>
                    <w:jc w:val="both"/>
                    <w:rPr>
                      <w:sz w:val="22"/>
                      <w:szCs w:val="22"/>
                    </w:rPr>
                  </w:pPr>
                </w:p>
                <w:p w14:paraId="1095C952" w14:textId="77777777" w:rsidR="00396C3C" w:rsidRDefault="00396C3C" w:rsidP="00396C3C">
                  <w:pPr>
                    <w:pStyle w:val="Default"/>
                    <w:numPr>
                      <w:ilvl w:val="0"/>
                      <w:numId w:val="22"/>
                    </w:numPr>
                    <w:jc w:val="both"/>
                    <w:rPr>
                      <w:sz w:val="22"/>
                      <w:szCs w:val="22"/>
                    </w:rPr>
                  </w:pPr>
                  <w:r w:rsidRPr="00396C3C">
                    <w:rPr>
                      <w:sz w:val="22"/>
                      <w:szCs w:val="22"/>
                    </w:rPr>
                    <w:t xml:space="preserve">Ensure regular auditing of the guidelines, antimicrobial stewardship practice and quality assurance measures </w:t>
                  </w:r>
                </w:p>
                <w:p w14:paraId="5D59064F" w14:textId="77777777" w:rsidR="00D24C5D" w:rsidRDefault="00D24C5D" w:rsidP="00D24C5D">
                  <w:pPr>
                    <w:pStyle w:val="Default"/>
                    <w:jc w:val="both"/>
                    <w:rPr>
                      <w:sz w:val="22"/>
                      <w:szCs w:val="22"/>
                    </w:rPr>
                  </w:pPr>
                </w:p>
                <w:p w14:paraId="3B53F564" w14:textId="77777777" w:rsidR="00396C3C" w:rsidRDefault="00396C3C" w:rsidP="00396C3C">
                  <w:pPr>
                    <w:pStyle w:val="Default"/>
                    <w:numPr>
                      <w:ilvl w:val="0"/>
                      <w:numId w:val="22"/>
                    </w:numPr>
                    <w:jc w:val="both"/>
                    <w:rPr>
                      <w:sz w:val="22"/>
                      <w:szCs w:val="22"/>
                    </w:rPr>
                  </w:pPr>
                  <w:r w:rsidRPr="00396C3C">
                    <w:rPr>
                      <w:sz w:val="22"/>
                      <w:szCs w:val="22"/>
                    </w:rPr>
                    <w:t xml:space="preserve">Identify actions to address non-compliance with local guidelines, general antimicrobial stewardship issues and other prescribing issues </w:t>
                  </w:r>
                </w:p>
                <w:p w14:paraId="1EF9DE5D" w14:textId="77777777" w:rsidR="00D24C5D" w:rsidRDefault="00D24C5D" w:rsidP="00D24C5D">
                  <w:pPr>
                    <w:pStyle w:val="Default"/>
                    <w:jc w:val="both"/>
                    <w:rPr>
                      <w:sz w:val="22"/>
                      <w:szCs w:val="22"/>
                    </w:rPr>
                  </w:pPr>
                </w:p>
                <w:p w14:paraId="72D451E0" w14:textId="77777777" w:rsidR="00396C3C" w:rsidRDefault="00396C3C" w:rsidP="00396C3C">
                  <w:pPr>
                    <w:pStyle w:val="Default"/>
                    <w:numPr>
                      <w:ilvl w:val="0"/>
                      <w:numId w:val="22"/>
                    </w:numPr>
                    <w:jc w:val="both"/>
                    <w:rPr>
                      <w:sz w:val="22"/>
                      <w:szCs w:val="22"/>
                    </w:rPr>
                  </w:pPr>
                  <w:r w:rsidRPr="00396C3C">
                    <w:rPr>
                      <w:sz w:val="22"/>
                      <w:szCs w:val="22"/>
                    </w:rPr>
                    <w:t xml:space="preserve">Review prescribing and resistance data and identify ways of feeding this information back to prescribers in all care settings </w:t>
                  </w:r>
                </w:p>
                <w:p w14:paraId="5655F223" w14:textId="77777777" w:rsidR="00D24C5D" w:rsidRDefault="00D24C5D" w:rsidP="00D24C5D">
                  <w:pPr>
                    <w:pStyle w:val="Default"/>
                    <w:jc w:val="both"/>
                    <w:rPr>
                      <w:sz w:val="22"/>
                      <w:szCs w:val="22"/>
                    </w:rPr>
                  </w:pPr>
                </w:p>
                <w:p w14:paraId="3A371AFB" w14:textId="77777777" w:rsidR="00396C3C" w:rsidRDefault="00396C3C" w:rsidP="00396C3C">
                  <w:pPr>
                    <w:pStyle w:val="Default"/>
                    <w:numPr>
                      <w:ilvl w:val="0"/>
                      <w:numId w:val="22"/>
                    </w:numPr>
                    <w:jc w:val="both"/>
                    <w:rPr>
                      <w:sz w:val="22"/>
                      <w:szCs w:val="22"/>
                    </w:rPr>
                  </w:pPr>
                  <w:r w:rsidRPr="00396C3C">
                    <w:rPr>
                      <w:sz w:val="22"/>
                      <w:szCs w:val="22"/>
                    </w:rPr>
                    <w:t xml:space="preserve">Work with prescribers to explore the reasons for very high, increasing or very low volumes of antimicrobial prescribing, or use antimicrobials not recommended in local (where available) or national guidelines </w:t>
                  </w:r>
                </w:p>
                <w:p w14:paraId="6F12E918" w14:textId="77777777" w:rsidR="00D24C5D" w:rsidRDefault="00D24C5D" w:rsidP="00D24C5D">
                  <w:pPr>
                    <w:pStyle w:val="Default"/>
                    <w:jc w:val="both"/>
                    <w:rPr>
                      <w:sz w:val="22"/>
                      <w:szCs w:val="22"/>
                    </w:rPr>
                  </w:pPr>
                </w:p>
                <w:p w14:paraId="43853CB9" w14:textId="77777777" w:rsidR="00396C3C" w:rsidRDefault="00396C3C" w:rsidP="00396C3C">
                  <w:pPr>
                    <w:pStyle w:val="Default"/>
                    <w:numPr>
                      <w:ilvl w:val="0"/>
                      <w:numId w:val="22"/>
                    </w:numPr>
                    <w:jc w:val="both"/>
                    <w:rPr>
                      <w:sz w:val="22"/>
                      <w:szCs w:val="22"/>
                    </w:rPr>
                  </w:pPr>
                  <w:r w:rsidRPr="00396C3C">
                    <w:rPr>
                      <w:sz w:val="22"/>
                      <w:szCs w:val="22"/>
                    </w:rPr>
                    <w:t xml:space="preserve">Provide feedback and advice to prescribers who prescribe antimicrobials outside of local guidelines when it is not justified </w:t>
                  </w:r>
                </w:p>
                <w:p w14:paraId="69775A8C" w14:textId="77777777" w:rsidR="00D24C5D" w:rsidRDefault="00D24C5D" w:rsidP="00D24C5D">
                  <w:pPr>
                    <w:pStyle w:val="Default"/>
                    <w:jc w:val="both"/>
                    <w:rPr>
                      <w:sz w:val="22"/>
                      <w:szCs w:val="22"/>
                    </w:rPr>
                  </w:pPr>
                </w:p>
                <w:p w14:paraId="22D9A8CB" w14:textId="77777777" w:rsidR="00396C3C" w:rsidRDefault="00396C3C" w:rsidP="00396C3C">
                  <w:pPr>
                    <w:pStyle w:val="Default"/>
                    <w:numPr>
                      <w:ilvl w:val="0"/>
                      <w:numId w:val="22"/>
                    </w:numPr>
                    <w:jc w:val="both"/>
                    <w:rPr>
                      <w:sz w:val="22"/>
                      <w:szCs w:val="22"/>
                    </w:rPr>
                  </w:pPr>
                  <w:r w:rsidRPr="00396C3C">
                    <w:rPr>
                      <w:sz w:val="22"/>
                      <w:szCs w:val="22"/>
                    </w:rPr>
                    <w:t>Report a regular formal review of the organisation’s retrospective antibiotic consumption data (especially highlighting the use of broad-spectrum antibiotics such as cephalosporins, co-amoxiclav, piperacillin with tazobactam, flu</w:t>
                  </w:r>
                  <w:r w:rsidR="00D24C5D">
                    <w:rPr>
                      <w:sz w:val="22"/>
                      <w:szCs w:val="22"/>
                    </w:rPr>
                    <w:t>oroquinolones and carbapenems)</w:t>
                  </w:r>
                </w:p>
                <w:p w14:paraId="132D37DC" w14:textId="77777777" w:rsidR="00D24C5D" w:rsidRDefault="00D24C5D" w:rsidP="00D24C5D">
                  <w:pPr>
                    <w:pStyle w:val="Default"/>
                    <w:jc w:val="both"/>
                    <w:rPr>
                      <w:sz w:val="22"/>
                      <w:szCs w:val="22"/>
                    </w:rPr>
                  </w:pPr>
                </w:p>
                <w:p w14:paraId="48C4AAAB" w14:textId="77777777" w:rsidR="00396C3C" w:rsidRDefault="00396C3C" w:rsidP="00396C3C">
                  <w:pPr>
                    <w:pStyle w:val="Default"/>
                    <w:numPr>
                      <w:ilvl w:val="0"/>
                      <w:numId w:val="22"/>
                    </w:numPr>
                    <w:jc w:val="both"/>
                    <w:rPr>
                      <w:sz w:val="22"/>
                      <w:szCs w:val="22"/>
                    </w:rPr>
                  </w:pPr>
                  <w:r w:rsidRPr="00396C3C">
                    <w:rPr>
                      <w:sz w:val="22"/>
                      <w:szCs w:val="22"/>
                    </w:rPr>
                    <w:t xml:space="preserve">Promote education for prescribers and all health and social care staff in all care settings </w:t>
                  </w:r>
                </w:p>
                <w:p w14:paraId="3BD4415B" w14:textId="77777777" w:rsidR="00D24C5D" w:rsidRDefault="00D24C5D" w:rsidP="00D24C5D">
                  <w:pPr>
                    <w:pStyle w:val="Default"/>
                    <w:jc w:val="both"/>
                    <w:rPr>
                      <w:sz w:val="22"/>
                      <w:szCs w:val="22"/>
                    </w:rPr>
                  </w:pPr>
                </w:p>
                <w:p w14:paraId="58DC14BA" w14:textId="77777777" w:rsidR="00396C3C" w:rsidRDefault="00396C3C" w:rsidP="00396C3C">
                  <w:pPr>
                    <w:pStyle w:val="Default"/>
                    <w:numPr>
                      <w:ilvl w:val="0"/>
                      <w:numId w:val="22"/>
                    </w:numPr>
                    <w:jc w:val="both"/>
                    <w:rPr>
                      <w:sz w:val="22"/>
                      <w:szCs w:val="22"/>
                    </w:rPr>
                  </w:pPr>
                  <w:r w:rsidRPr="00396C3C">
                    <w:rPr>
                      <w:sz w:val="22"/>
                      <w:szCs w:val="22"/>
                    </w:rPr>
                    <w:t xml:space="preserve">Assist local formulary decision-making groups with recommendations about new antimicrobials </w:t>
                  </w:r>
                </w:p>
                <w:p w14:paraId="0E140727" w14:textId="77777777" w:rsidR="00D24C5D" w:rsidRDefault="00D24C5D" w:rsidP="00D24C5D">
                  <w:pPr>
                    <w:pStyle w:val="Default"/>
                    <w:jc w:val="both"/>
                    <w:rPr>
                      <w:sz w:val="22"/>
                      <w:szCs w:val="22"/>
                    </w:rPr>
                  </w:pPr>
                </w:p>
                <w:p w14:paraId="31632601" w14:textId="77777777" w:rsidR="00396C3C" w:rsidRDefault="00396C3C" w:rsidP="00396C3C">
                  <w:pPr>
                    <w:pStyle w:val="Default"/>
                    <w:numPr>
                      <w:ilvl w:val="0"/>
                      <w:numId w:val="22"/>
                    </w:numPr>
                    <w:jc w:val="both"/>
                    <w:rPr>
                      <w:sz w:val="22"/>
                      <w:szCs w:val="22"/>
                    </w:rPr>
                  </w:pPr>
                  <w:r>
                    <w:rPr>
                      <w:sz w:val="22"/>
                      <w:szCs w:val="22"/>
                    </w:rPr>
                    <w:t>T</w:t>
                  </w:r>
                  <w:r w:rsidRPr="00396C3C">
                    <w:rPr>
                      <w:sz w:val="22"/>
                      <w:szCs w:val="22"/>
                    </w:rPr>
                    <w:t>o identify specific research areas</w:t>
                  </w:r>
                  <w:r>
                    <w:rPr>
                      <w:sz w:val="22"/>
                      <w:szCs w:val="22"/>
                    </w:rPr>
                    <w:t xml:space="preserve"> relating to antimicrobial use</w:t>
                  </w:r>
                </w:p>
                <w:p w14:paraId="43B5CF1A" w14:textId="77777777" w:rsidR="00D24C5D" w:rsidRDefault="00D24C5D" w:rsidP="00D24C5D">
                  <w:pPr>
                    <w:pStyle w:val="Default"/>
                    <w:jc w:val="both"/>
                    <w:rPr>
                      <w:sz w:val="22"/>
                      <w:szCs w:val="22"/>
                    </w:rPr>
                  </w:pPr>
                </w:p>
                <w:p w14:paraId="30D6F103" w14:textId="77777777" w:rsidR="00396C3C" w:rsidRDefault="00396C3C" w:rsidP="00396C3C">
                  <w:pPr>
                    <w:pStyle w:val="Default"/>
                    <w:numPr>
                      <w:ilvl w:val="0"/>
                      <w:numId w:val="22"/>
                    </w:numPr>
                    <w:jc w:val="both"/>
                    <w:rPr>
                      <w:sz w:val="22"/>
                      <w:szCs w:val="22"/>
                    </w:rPr>
                  </w:pPr>
                  <w:r w:rsidRPr="00396C3C">
                    <w:rPr>
                      <w:sz w:val="22"/>
                      <w:szCs w:val="22"/>
                    </w:rPr>
                    <w:t>To review medicati</w:t>
                  </w:r>
                  <w:r w:rsidR="00811B20">
                    <w:rPr>
                      <w:sz w:val="22"/>
                      <w:szCs w:val="22"/>
                    </w:rPr>
                    <w:t>on incidents reported within ELFT</w:t>
                  </w:r>
                  <w:r w:rsidRPr="00396C3C">
                    <w:rPr>
                      <w:sz w:val="22"/>
                      <w:szCs w:val="22"/>
                    </w:rPr>
                    <w:t xml:space="preserve"> that relate to antimicrobials and imp</w:t>
                  </w:r>
                  <w:r>
                    <w:rPr>
                      <w:sz w:val="22"/>
                      <w:szCs w:val="22"/>
                    </w:rPr>
                    <w:t>lement necessary action points</w:t>
                  </w:r>
                </w:p>
                <w:p w14:paraId="40E8CE64" w14:textId="77777777" w:rsidR="00D24C5D" w:rsidRDefault="00D24C5D" w:rsidP="00D24C5D">
                  <w:pPr>
                    <w:pStyle w:val="Default"/>
                    <w:jc w:val="both"/>
                    <w:rPr>
                      <w:sz w:val="22"/>
                      <w:szCs w:val="22"/>
                    </w:rPr>
                  </w:pPr>
                </w:p>
                <w:p w14:paraId="3E42A50D" w14:textId="77777777" w:rsidR="00396C3C" w:rsidRPr="00396C3C" w:rsidRDefault="00396C3C" w:rsidP="00396C3C">
                  <w:pPr>
                    <w:pStyle w:val="Default"/>
                    <w:numPr>
                      <w:ilvl w:val="0"/>
                      <w:numId w:val="22"/>
                    </w:numPr>
                    <w:jc w:val="both"/>
                    <w:rPr>
                      <w:sz w:val="22"/>
                      <w:szCs w:val="22"/>
                    </w:rPr>
                  </w:pPr>
                  <w:r w:rsidRPr="00396C3C">
                    <w:rPr>
                      <w:sz w:val="22"/>
                      <w:szCs w:val="22"/>
                    </w:rPr>
                    <w:t>To promote quality and cost effect</w:t>
                  </w:r>
                  <w:r w:rsidR="00D24C5D">
                    <w:rPr>
                      <w:sz w:val="22"/>
                      <w:szCs w:val="22"/>
                    </w:rPr>
                    <w:t>ive use of antimicrobial drugs</w:t>
                  </w:r>
                </w:p>
                <w:p w14:paraId="1DC2AB95" w14:textId="77777777" w:rsidR="008E0DF0" w:rsidRDefault="008E0DF0" w:rsidP="008E0DF0">
                  <w:pPr>
                    <w:spacing w:before="0"/>
                  </w:pPr>
                </w:p>
              </w:tc>
            </w:tr>
            <w:tr w:rsidR="00811B20" w14:paraId="7D7ED421" w14:textId="77777777" w:rsidTr="00811B20">
              <w:trPr>
                <w:trHeight w:val="1639"/>
              </w:trPr>
              <w:tc>
                <w:tcPr>
                  <w:tcW w:w="1617" w:type="dxa"/>
                  <w:shd w:val="clear" w:color="auto" w:fill="auto"/>
                </w:tcPr>
                <w:p w14:paraId="561B6D2D" w14:textId="77777777" w:rsidR="00811B20" w:rsidRPr="00396C3C" w:rsidRDefault="00811B20" w:rsidP="008E0DF0">
                  <w:pPr>
                    <w:spacing w:before="0"/>
                  </w:pPr>
                  <w:r>
                    <w:t xml:space="preserve">Medical </w:t>
                  </w:r>
                  <w:r w:rsidR="00D24C5D">
                    <w:t>and Non-Medical Prescribers (NMP)</w:t>
                  </w:r>
                </w:p>
              </w:tc>
              <w:tc>
                <w:tcPr>
                  <w:tcW w:w="7063" w:type="dxa"/>
                  <w:shd w:val="clear" w:color="auto" w:fill="auto"/>
                </w:tcPr>
                <w:p w14:paraId="75383EBF" w14:textId="5ED09DB8" w:rsidR="006C5ADC" w:rsidRPr="006C5ADC" w:rsidRDefault="00D24C5D" w:rsidP="006C5ADC">
                  <w:pPr>
                    <w:pStyle w:val="Default"/>
                    <w:numPr>
                      <w:ilvl w:val="0"/>
                      <w:numId w:val="23"/>
                    </w:numPr>
                    <w:jc w:val="both"/>
                    <w:rPr>
                      <w:sz w:val="22"/>
                      <w:szCs w:val="22"/>
                    </w:rPr>
                  </w:pPr>
                  <w:r>
                    <w:rPr>
                      <w:sz w:val="22"/>
                      <w:szCs w:val="22"/>
                    </w:rPr>
                    <w:t xml:space="preserve">Accurate and appropriate prescribing </w:t>
                  </w:r>
                  <w:r w:rsidR="00D229FE">
                    <w:rPr>
                      <w:sz w:val="22"/>
                      <w:szCs w:val="22"/>
                    </w:rPr>
                    <w:t>according to this policy and UKHSA</w:t>
                  </w:r>
                  <w:r>
                    <w:rPr>
                      <w:sz w:val="22"/>
                      <w:szCs w:val="22"/>
                    </w:rPr>
                    <w:t xml:space="preserve"> Antimicrobial Prescribin</w:t>
                  </w:r>
                  <w:r w:rsidR="00874D26">
                    <w:rPr>
                      <w:sz w:val="22"/>
                      <w:szCs w:val="22"/>
                    </w:rPr>
                    <w:t>g and Stewardship Compete</w:t>
                  </w:r>
                  <w:r>
                    <w:rPr>
                      <w:sz w:val="22"/>
                      <w:szCs w:val="22"/>
                    </w:rPr>
                    <w:t>ncies</w:t>
                  </w:r>
                </w:p>
                <w:p w14:paraId="09CC18B4" w14:textId="77777777" w:rsidR="006C5ADC" w:rsidRPr="006C5ADC" w:rsidRDefault="006C5ADC" w:rsidP="006C5ADC">
                  <w:pPr>
                    <w:pStyle w:val="Default"/>
                    <w:jc w:val="both"/>
                    <w:rPr>
                      <w:sz w:val="22"/>
                      <w:szCs w:val="22"/>
                    </w:rPr>
                  </w:pPr>
                </w:p>
                <w:p w14:paraId="75DC79D8" w14:textId="77777777" w:rsidR="00D24C5D" w:rsidRDefault="00D24C5D" w:rsidP="00D24C5D">
                  <w:pPr>
                    <w:pStyle w:val="Default"/>
                    <w:numPr>
                      <w:ilvl w:val="0"/>
                      <w:numId w:val="23"/>
                    </w:numPr>
                    <w:jc w:val="both"/>
                    <w:rPr>
                      <w:sz w:val="22"/>
                      <w:szCs w:val="22"/>
                    </w:rPr>
                  </w:pPr>
                  <w:r>
                    <w:rPr>
                      <w:sz w:val="22"/>
                      <w:szCs w:val="22"/>
                    </w:rPr>
                    <w:t>Prescribing in line with relevant locally used antimicrobial guidelines, unless there are justified clinical reasons not to do so. Every effort should be made to discuss any such deviations with microbiology and the reason for the deviation and the names of those consulted should be recorded in the patients’ medical record</w:t>
                  </w:r>
                </w:p>
                <w:p w14:paraId="263B461C" w14:textId="77777777" w:rsidR="00874D26" w:rsidRDefault="006C5ADC" w:rsidP="00874D26">
                  <w:pPr>
                    <w:pStyle w:val="Default"/>
                    <w:numPr>
                      <w:ilvl w:val="0"/>
                      <w:numId w:val="23"/>
                    </w:numPr>
                    <w:jc w:val="both"/>
                    <w:rPr>
                      <w:sz w:val="22"/>
                      <w:szCs w:val="22"/>
                    </w:rPr>
                  </w:pPr>
                  <w:r>
                    <w:rPr>
                      <w:sz w:val="22"/>
                      <w:szCs w:val="22"/>
                    </w:rPr>
                    <w:t>A</w:t>
                  </w:r>
                  <w:r w:rsidR="00D24C5D">
                    <w:rPr>
                      <w:sz w:val="22"/>
                      <w:szCs w:val="22"/>
                    </w:rPr>
                    <w:t xml:space="preserve">ll patients must be asked about medication allergies. It is the prescriber’s responsibility to check the patients’ medication allergies/sensitivities status prior to prescribing. If a patient reports an allergy to an antimicrobial agent it is necessary to clarify whether this is a true allergy or medicine intolerance. The prescriber should check which class an antibiotic belongs to before prescribing antimicrobial therapy in a patient with a known antimicrobial allergy to ensure </w:t>
                  </w:r>
                  <w:r>
                    <w:rPr>
                      <w:sz w:val="22"/>
                      <w:szCs w:val="22"/>
                    </w:rPr>
                    <w:t>appropriate</w:t>
                  </w:r>
                  <w:r w:rsidR="00874D26">
                    <w:rPr>
                      <w:sz w:val="22"/>
                      <w:szCs w:val="22"/>
                    </w:rPr>
                    <w:t>ness</w:t>
                  </w:r>
                </w:p>
                <w:p w14:paraId="4AFD76B7" w14:textId="77777777" w:rsidR="00874D26" w:rsidRDefault="00874D26" w:rsidP="00874D26">
                  <w:pPr>
                    <w:pStyle w:val="Default"/>
                    <w:ind w:left="360"/>
                    <w:jc w:val="both"/>
                    <w:rPr>
                      <w:sz w:val="22"/>
                      <w:szCs w:val="22"/>
                    </w:rPr>
                  </w:pPr>
                </w:p>
                <w:p w14:paraId="78C01C73" w14:textId="77777777" w:rsidR="00874D26" w:rsidRDefault="00874D26" w:rsidP="00874D26">
                  <w:pPr>
                    <w:pStyle w:val="Default"/>
                    <w:numPr>
                      <w:ilvl w:val="0"/>
                      <w:numId w:val="23"/>
                    </w:numPr>
                    <w:jc w:val="both"/>
                    <w:rPr>
                      <w:sz w:val="22"/>
                      <w:szCs w:val="22"/>
                    </w:rPr>
                  </w:pPr>
                  <w:r w:rsidRPr="00874D26">
                    <w:rPr>
                      <w:sz w:val="22"/>
                      <w:szCs w:val="22"/>
                    </w:rPr>
                    <w:t>Record the clinical indication and antimicrobial course length and any relevant microbiology results in the patients’ medical record</w:t>
                  </w:r>
                  <w:r w:rsidR="00702A59">
                    <w:rPr>
                      <w:sz w:val="22"/>
                      <w:szCs w:val="22"/>
                    </w:rPr>
                    <w:t xml:space="preserve"> (RI</w:t>
                  </w:r>
                  <w:r>
                    <w:rPr>
                      <w:sz w:val="22"/>
                      <w:szCs w:val="22"/>
                    </w:rPr>
                    <w:t>O)</w:t>
                  </w:r>
                  <w:r w:rsidRPr="00874D26">
                    <w:rPr>
                      <w:sz w:val="22"/>
                      <w:szCs w:val="22"/>
                    </w:rPr>
                    <w:t>. The indication and course length for the antimicrobi</w:t>
                  </w:r>
                  <w:r w:rsidR="00D51EA9">
                    <w:rPr>
                      <w:sz w:val="22"/>
                      <w:szCs w:val="22"/>
                    </w:rPr>
                    <w:t xml:space="preserve">al should also be stated on the </w:t>
                  </w:r>
                  <w:r>
                    <w:rPr>
                      <w:sz w:val="22"/>
                      <w:szCs w:val="22"/>
                    </w:rPr>
                    <w:t>prescriptio</w:t>
                  </w:r>
                  <w:r w:rsidR="00D51EA9">
                    <w:rPr>
                      <w:sz w:val="22"/>
                      <w:szCs w:val="22"/>
                    </w:rPr>
                    <w:t xml:space="preserve">n chart </w:t>
                  </w:r>
                </w:p>
                <w:p w14:paraId="7D105D09" w14:textId="77777777" w:rsidR="00874D26" w:rsidRPr="00874D26" w:rsidRDefault="00874D26" w:rsidP="00874D26">
                  <w:pPr>
                    <w:pStyle w:val="Default"/>
                    <w:jc w:val="both"/>
                    <w:rPr>
                      <w:sz w:val="22"/>
                      <w:szCs w:val="22"/>
                    </w:rPr>
                  </w:pPr>
                </w:p>
                <w:p w14:paraId="77CE2CCF" w14:textId="77777777" w:rsidR="00874D26" w:rsidRDefault="00874D26" w:rsidP="00874D26">
                  <w:pPr>
                    <w:pStyle w:val="Default"/>
                    <w:numPr>
                      <w:ilvl w:val="0"/>
                      <w:numId w:val="23"/>
                    </w:numPr>
                    <w:jc w:val="both"/>
                    <w:rPr>
                      <w:sz w:val="22"/>
                      <w:szCs w:val="22"/>
                    </w:rPr>
                  </w:pPr>
                  <w:r w:rsidRPr="00874D26">
                    <w:rPr>
                      <w:sz w:val="22"/>
                      <w:szCs w:val="22"/>
                    </w:rPr>
                    <w:t>Prescribers must specify duration of therapy, in accordance with local guidelines, or review date on the prescription chart and the patient medical record. This review date should not be more than 48 to 72 hours after starting the antimicrobial, if adminis</w:t>
                  </w:r>
                  <w:r>
                    <w:rPr>
                      <w:sz w:val="22"/>
                      <w:szCs w:val="22"/>
                    </w:rPr>
                    <w:t>tered by the intravenous route</w:t>
                  </w:r>
                </w:p>
                <w:p w14:paraId="3B99FBDC" w14:textId="77777777" w:rsidR="00874D26" w:rsidRPr="00874D26" w:rsidRDefault="00874D26" w:rsidP="00874D26">
                  <w:pPr>
                    <w:pStyle w:val="Default"/>
                    <w:jc w:val="both"/>
                    <w:rPr>
                      <w:sz w:val="22"/>
                      <w:szCs w:val="22"/>
                    </w:rPr>
                  </w:pPr>
                </w:p>
                <w:p w14:paraId="1D5FE7BD" w14:textId="77777777" w:rsidR="00874D26" w:rsidRDefault="00874D26" w:rsidP="00874D26">
                  <w:pPr>
                    <w:pStyle w:val="Default"/>
                    <w:numPr>
                      <w:ilvl w:val="0"/>
                      <w:numId w:val="23"/>
                    </w:numPr>
                    <w:jc w:val="both"/>
                    <w:rPr>
                      <w:sz w:val="22"/>
                      <w:szCs w:val="22"/>
                    </w:rPr>
                  </w:pPr>
                  <w:r w:rsidRPr="00874D26">
                    <w:rPr>
                      <w:sz w:val="22"/>
                      <w:szCs w:val="22"/>
                    </w:rPr>
                    <w:t>All doses of any antimicrobial must</w:t>
                  </w:r>
                  <w:r w:rsidR="00D060A5">
                    <w:rPr>
                      <w:sz w:val="22"/>
                      <w:szCs w:val="22"/>
                    </w:rPr>
                    <w:t xml:space="preserve"> </w:t>
                  </w:r>
                  <w:r w:rsidRPr="00874D26">
                    <w:rPr>
                      <w:sz w:val="22"/>
                      <w:szCs w:val="22"/>
                    </w:rPr>
                    <w:t xml:space="preserve">be prescribed on the prescription chart. If the timing of the first dose is clinically important, then the prescription should be written to ensure that there is no delay in the patient receiving the antimicrobial agent, either by writing the first dose in the ‘once only drugs’ section, or by careful timing of the administration of the medicine in the ‘regular medicines’ section of the </w:t>
                  </w:r>
                  <w:r w:rsidR="00702A59">
                    <w:rPr>
                      <w:sz w:val="22"/>
                      <w:szCs w:val="22"/>
                    </w:rPr>
                    <w:t>prescription chart</w:t>
                  </w:r>
                </w:p>
                <w:p w14:paraId="0349F5B6" w14:textId="77777777" w:rsidR="00874D26" w:rsidRPr="00874D26" w:rsidRDefault="00874D26" w:rsidP="00874D26">
                  <w:pPr>
                    <w:pStyle w:val="Default"/>
                    <w:jc w:val="both"/>
                    <w:rPr>
                      <w:sz w:val="22"/>
                      <w:szCs w:val="22"/>
                    </w:rPr>
                  </w:pPr>
                </w:p>
                <w:p w14:paraId="4763F57F" w14:textId="77777777" w:rsidR="00874D26" w:rsidRDefault="00874D26" w:rsidP="00874D26">
                  <w:pPr>
                    <w:pStyle w:val="Default"/>
                    <w:numPr>
                      <w:ilvl w:val="0"/>
                      <w:numId w:val="23"/>
                    </w:numPr>
                    <w:jc w:val="both"/>
                    <w:rPr>
                      <w:sz w:val="22"/>
                      <w:szCs w:val="22"/>
                    </w:rPr>
                  </w:pPr>
                  <w:r w:rsidRPr="00874D26">
                    <w:rPr>
                      <w:sz w:val="22"/>
                      <w:szCs w:val="22"/>
                    </w:rPr>
                    <w:t>It is the prescriber’s responsibility to ensure that all antimicrobial prescriptions are reviewed regularly, particularly before the week</w:t>
                  </w:r>
                  <w:r>
                    <w:rPr>
                      <w:sz w:val="22"/>
                      <w:szCs w:val="22"/>
                    </w:rPr>
                    <w:t>end, and rewritten if required</w:t>
                  </w:r>
                </w:p>
                <w:p w14:paraId="60CDF3AF" w14:textId="77777777" w:rsidR="00874D26" w:rsidRDefault="00874D26" w:rsidP="00874D26">
                  <w:pPr>
                    <w:pStyle w:val="Default"/>
                    <w:jc w:val="both"/>
                    <w:rPr>
                      <w:sz w:val="22"/>
                      <w:szCs w:val="22"/>
                    </w:rPr>
                  </w:pPr>
                </w:p>
                <w:p w14:paraId="580A7CA8" w14:textId="77777777" w:rsidR="00874D26" w:rsidRDefault="00874D26" w:rsidP="00874D26">
                  <w:pPr>
                    <w:pStyle w:val="Default"/>
                    <w:numPr>
                      <w:ilvl w:val="0"/>
                      <w:numId w:val="23"/>
                    </w:numPr>
                    <w:jc w:val="both"/>
                    <w:rPr>
                      <w:sz w:val="22"/>
                      <w:szCs w:val="22"/>
                    </w:rPr>
                  </w:pPr>
                  <w:r>
                    <w:rPr>
                      <w:sz w:val="22"/>
                      <w:szCs w:val="22"/>
                    </w:rPr>
                    <w:t>Consultants and senior prescribers should promote antimicrobial stewardship and take a leadership role in antimicrobial quality improvement in their specialist areas</w:t>
                  </w:r>
                </w:p>
                <w:p w14:paraId="255D0B14" w14:textId="77777777" w:rsidR="00811B20" w:rsidRDefault="00874D26" w:rsidP="00874D26">
                  <w:pPr>
                    <w:pStyle w:val="Default"/>
                    <w:jc w:val="both"/>
                    <w:rPr>
                      <w:sz w:val="22"/>
                      <w:szCs w:val="22"/>
                    </w:rPr>
                  </w:pPr>
                  <w:r>
                    <w:rPr>
                      <w:sz w:val="22"/>
                      <w:szCs w:val="22"/>
                    </w:rPr>
                    <w:t xml:space="preserve"> </w:t>
                  </w:r>
                </w:p>
              </w:tc>
            </w:tr>
            <w:tr w:rsidR="00874D26" w14:paraId="4EF9EF60" w14:textId="77777777" w:rsidTr="00811B20">
              <w:trPr>
                <w:trHeight w:val="1639"/>
              </w:trPr>
              <w:tc>
                <w:tcPr>
                  <w:tcW w:w="1617" w:type="dxa"/>
                  <w:shd w:val="clear" w:color="auto" w:fill="auto"/>
                </w:tcPr>
                <w:p w14:paraId="059CFC57" w14:textId="77777777" w:rsidR="00874D26" w:rsidRDefault="007A32F8" w:rsidP="008E0DF0">
                  <w:pPr>
                    <w:spacing w:before="0"/>
                  </w:pPr>
                  <w:r>
                    <w:t>Healthcare staff (including nursing staff)</w:t>
                  </w:r>
                </w:p>
              </w:tc>
              <w:tc>
                <w:tcPr>
                  <w:tcW w:w="7063" w:type="dxa"/>
                  <w:shd w:val="clear" w:color="auto" w:fill="auto"/>
                </w:tcPr>
                <w:p w14:paraId="72893CF1" w14:textId="77777777" w:rsidR="007A32F8" w:rsidRDefault="007A32F8" w:rsidP="007A32F8">
                  <w:pPr>
                    <w:pStyle w:val="Default"/>
                    <w:numPr>
                      <w:ilvl w:val="0"/>
                      <w:numId w:val="24"/>
                    </w:numPr>
                    <w:jc w:val="both"/>
                    <w:rPr>
                      <w:sz w:val="22"/>
                      <w:szCs w:val="22"/>
                    </w:rPr>
                  </w:pPr>
                  <w:r>
                    <w:rPr>
                      <w:sz w:val="22"/>
                      <w:szCs w:val="22"/>
                    </w:rPr>
                    <w:t>Healthcare staff are responsible for the safe administration of antimicrobial agents</w:t>
                  </w:r>
                </w:p>
                <w:p w14:paraId="15F3D141" w14:textId="77777777" w:rsidR="007A32F8" w:rsidRDefault="007A32F8" w:rsidP="007A32F8">
                  <w:pPr>
                    <w:pStyle w:val="Default"/>
                    <w:ind w:left="360"/>
                    <w:jc w:val="both"/>
                    <w:rPr>
                      <w:sz w:val="22"/>
                      <w:szCs w:val="22"/>
                    </w:rPr>
                  </w:pPr>
                </w:p>
                <w:p w14:paraId="45AF6D13" w14:textId="77777777" w:rsidR="007A32F8" w:rsidRDefault="007A32F8" w:rsidP="007A32F8">
                  <w:pPr>
                    <w:pStyle w:val="Default"/>
                    <w:numPr>
                      <w:ilvl w:val="0"/>
                      <w:numId w:val="24"/>
                    </w:numPr>
                    <w:jc w:val="both"/>
                    <w:rPr>
                      <w:sz w:val="22"/>
                      <w:szCs w:val="22"/>
                    </w:rPr>
                  </w:pPr>
                  <w:r w:rsidRPr="007A32F8">
                    <w:rPr>
                      <w:sz w:val="22"/>
                      <w:szCs w:val="22"/>
                    </w:rPr>
                    <w:t xml:space="preserve">Antimicrobial prescriptions in the ‘once only medicines’ section should </w:t>
                  </w:r>
                  <w:r>
                    <w:rPr>
                      <w:sz w:val="22"/>
                      <w:szCs w:val="22"/>
                    </w:rPr>
                    <w:t>be administered promptly</w:t>
                  </w:r>
                </w:p>
                <w:p w14:paraId="75F85029" w14:textId="77777777" w:rsidR="007A32F8" w:rsidRPr="007A32F8" w:rsidRDefault="007A32F8" w:rsidP="007A32F8">
                  <w:pPr>
                    <w:pStyle w:val="Default"/>
                    <w:jc w:val="both"/>
                    <w:rPr>
                      <w:sz w:val="22"/>
                      <w:szCs w:val="22"/>
                    </w:rPr>
                  </w:pPr>
                </w:p>
                <w:p w14:paraId="52282210" w14:textId="77777777" w:rsidR="007A32F8" w:rsidRDefault="007A32F8" w:rsidP="007A32F8">
                  <w:pPr>
                    <w:pStyle w:val="Default"/>
                    <w:numPr>
                      <w:ilvl w:val="0"/>
                      <w:numId w:val="24"/>
                    </w:numPr>
                    <w:jc w:val="both"/>
                    <w:rPr>
                      <w:sz w:val="22"/>
                      <w:szCs w:val="22"/>
                    </w:rPr>
                  </w:pPr>
                  <w:r w:rsidRPr="007A32F8">
                    <w:rPr>
                      <w:sz w:val="22"/>
                      <w:szCs w:val="22"/>
                    </w:rPr>
                    <w:t>Check the patient is not allergic to the antimicrobial prescribed prior to administration. In cases where the patient has been prescribed an antimicrobial that he/she is known to be allergic to, the dose should not be administered and the prescriber should be contact</w:t>
                  </w:r>
                  <w:r>
                    <w:rPr>
                      <w:sz w:val="22"/>
                      <w:szCs w:val="22"/>
                    </w:rPr>
                    <w:t>ed to clarify the prescription</w:t>
                  </w:r>
                </w:p>
                <w:p w14:paraId="68AFB2AD" w14:textId="77777777" w:rsidR="007A32F8" w:rsidRPr="007A32F8" w:rsidRDefault="007A32F8" w:rsidP="007A32F8">
                  <w:pPr>
                    <w:pStyle w:val="Default"/>
                    <w:jc w:val="both"/>
                    <w:rPr>
                      <w:sz w:val="22"/>
                      <w:szCs w:val="22"/>
                    </w:rPr>
                  </w:pPr>
                </w:p>
                <w:p w14:paraId="37668225" w14:textId="77777777" w:rsidR="007A32F8" w:rsidRDefault="007A32F8" w:rsidP="007A32F8">
                  <w:pPr>
                    <w:pStyle w:val="Default"/>
                    <w:numPr>
                      <w:ilvl w:val="0"/>
                      <w:numId w:val="24"/>
                    </w:numPr>
                    <w:jc w:val="both"/>
                    <w:rPr>
                      <w:sz w:val="22"/>
                      <w:szCs w:val="22"/>
                    </w:rPr>
                  </w:pPr>
                  <w:r w:rsidRPr="007A32F8">
                    <w:rPr>
                      <w:sz w:val="22"/>
                      <w:szCs w:val="22"/>
                    </w:rPr>
                    <w:t>Highlight to prescribers when antimicrobial durations are exceeded and the prescription needs further intervention to comply with this policy</w:t>
                  </w:r>
                </w:p>
                <w:p w14:paraId="729BA379" w14:textId="77777777" w:rsidR="007A32F8" w:rsidRDefault="007A32F8" w:rsidP="007A32F8">
                  <w:pPr>
                    <w:pStyle w:val="ListParagraph"/>
                    <w:rPr>
                      <w:szCs w:val="22"/>
                    </w:rPr>
                  </w:pPr>
                </w:p>
                <w:p w14:paraId="57DB5796" w14:textId="77777777" w:rsidR="007A32F8" w:rsidRDefault="007A32F8" w:rsidP="007A32F8">
                  <w:pPr>
                    <w:pStyle w:val="Default"/>
                    <w:numPr>
                      <w:ilvl w:val="0"/>
                      <w:numId w:val="24"/>
                    </w:numPr>
                    <w:jc w:val="both"/>
                    <w:rPr>
                      <w:sz w:val="22"/>
                      <w:szCs w:val="22"/>
                    </w:rPr>
                  </w:pPr>
                  <w:r w:rsidRPr="007A32F8">
                    <w:rPr>
                      <w:sz w:val="22"/>
                      <w:szCs w:val="22"/>
                    </w:rPr>
                    <w:t xml:space="preserve">Assess patient response and request the prescriber to review IV prescriptions </w:t>
                  </w:r>
                  <w:r>
                    <w:rPr>
                      <w:sz w:val="22"/>
                      <w:szCs w:val="22"/>
                    </w:rPr>
                    <w:t>48 to 72 hours after initiation</w:t>
                  </w:r>
                  <w:r w:rsidRPr="007A32F8">
                    <w:rPr>
                      <w:sz w:val="22"/>
                      <w:szCs w:val="22"/>
                    </w:rPr>
                    <w:t xml:space="preserve"> </w:t>
                  </w:r>
                </w:p>
                <w:p w14:paraId="14BBEE6F" w14:textId="77777777" w:rsidR="007A32F8" w:rsidRPr="007A32F8" w:rsidRDefault="007A32F8" w:rsidP="007A32F8">
                  <w:pPr>
                    <w:pStyle w:val="Default"/>
                    <w:jc w:val="both"/>
                    <w:rPr>
                      <w:sz w:val="22"/>
                      <w:szCs w:val="22"/>
                    </w:rPr>
                  </w:pPr>
                </w:p>
                <w:p w14:paraId="08B6E31B" w14:textId="77777777" w:rsidR="007A32F8" w:rsidRDefault="007A32F8" w:rsidP="007A32F8">
                  <w:pPr>
                    <w:pStyle w:val="Default"/>
                    <w:numPr>
                      <w:ilvl w:val="0"/>
                      <w:numId w:val="24"/>
                    </w:numPr>
                    <w:jc w:val="both"/>
                    <w:rPr>
                      <w:sz w:val="22"/>
                      <w:szCs w:val="22"/>
                    </w:rPr>
                  </w:pPr>
                  <w:r w:rsidRPr="007A32F8">
                    <w:rPr>
                      <w:sz w:val="22"/>
                      <w:szCs w:val="22"/>
                    </w:rPr>
                    <w:t>Antimicrobial therapy must not be withheld if the documented review date has passed without a prescribers review. Healthcare staff should contact the prescriber to review the pr</w:t>
                  </w:r>
                  <w:r>
                    <w:rPr>
                      <w:sz w:val="22"/>
                      <w:szCs w:val="22"/>
                    </w:rPr>
                    <w:t>escription</w:t>
                  </w:r>
                </w:p>
                <w:p w14:paraId="6B3340EC" w14:textId="77777777" w:rsidR="007A32F8" w:rsidRPr="007A32F8" w:rsidRDefault="007A32F8" w:rsidP="007A32F8">
                  <w:pPr>
                    <w:pStyle w:val="Default"/>
                    <w:jc w:val="both"/>
                    <w:rPr>
                      <w:sz w:val="22"/>
                      <w:szCs w:val="22"/>
                    </w:rPr>
                  </w:pPr>
                </w:p>
                <w:p w14:paraId="284E8DD4" w14:textId="77777777" w:rsidR="00C81051" w:rsidRDefault="007A32F8" w:rsidP="00C81051">
                  <w:pPr>
                    <w:pStyle w:val="Default"/>
                    <w:numPr>
                      <w:ilvl w:val="0"/>
                      <w:numId w:val="24"/>
                    </w:numPr>
                    <w:jc w:val="both"/>
                    <w:rPr>
                      <w:sz w:val="22"/>
                      <w:szCs w:val="22"/>
                    </w:rPr>
                  </w:pPr>
                  <w:r w:rsidRPr="007A32F8">
                    <w:rPr>
                      <w:sz w:val="22"/>
                      <w:szCs w:val="22"/>
                    </w:rPr>
                    <w:t xml:space="preserve">Doses of antimicrobials should ideally not be omitted. Antimicrobials are critical medicines and omitted doses can cause serious harm. If the medicines are not available, the nursing staff should make every reasonable effort to contact the pharmacist or the on-call pharmacist. </w:t>
                  </w:r>
                  <w:r>
                    <w:rPr>
                      <w:sz w:val="22"/>
                      <w:szCs w:val="22"/>
                    </w:rPr>
                    <w:t>If a dose is omitted</w:t>
                  </w:r>
                  <w:r w:rsidR="00374B72">
                    <w:rPr>
                      <w:sz w:val="22"/>
                      <w:szCs w:val="22"/>
                    </w:rPr>
                    <w:t xml:space="preserve">, it must be recorded on the </w:t>
                  </w:r>
                  <w:r w:rsidR="00C81051">
                    <w:rPr>
                      <w:sz w:val="22"/>
                      <w:szCs w:val="22"/>
                    </w:rPr>
                    <w:t>prescription chart</w:t>
                  </w:r>
                </w:p>
                <w:p w14:paraId="68A3CDAA" w14:textId="77777777" w:rsidR="00C81051" w:rsidRPr="00C81051" w:rsidRDefault="00C81051" w:rsidP="00C81051">
                  <w:pPr>
                    <w:pStyle w:val="Default"/>
                    <w:jc w:val="both"/>
                    <w:rPr>
                      <w:sz w:val="22"/>
                      <w:szCs w:val="22"/>
                    </w:rPr>
                  </w:pPr>
                </w:p>
                <w:p w14:paraId="6F15CFD1" w14:textId="77777777" w:rsidR="00C81051" w:rsidRPr="00C81051" w:rsidRDefault="00C81051" w:rsidP="00C81051">
                  <w:pPr>
                    <w:pStyle w:val="Default"/>
                    <w:numPr>
                      <w:ilvl w:val="0"/>
                      <w:numId w:val="24"/>
                    </w:numPr>
                    <w:jc w:val="both"/>
                    <w:rPr>
                      <w:sz w:val="22"/>
                      <w:szCs w:val="22"/>
                    </w:rPr>
                  </w:pPr>
                  <w:r w:rsidRPr="00C81051">
                    <w:rPr>
                      <w:sz w:val="22"/>
                      <w:szCs w:val="22"/>
                    </w:rPr>
                    <w:t xml:space="preserve">Adverse reactions to an antimicrobial should be reported to the prescribing team and further action on administration confirmed. </w:t>
                  </w:r>
                </w:p>
                <w:p w14:paraId="32D275B2" w14:textId="77777777" w:rsidR="00874D26" w:rsidRDefault="00874D26" w:rsidP="00C81051">
                  <w:pPr>
                    <w:pStyle w:val="Default"/>
                    <w:jc w:val="both"/>
                    <w:rPr>
                      <w:sz w:val="22"/>
                      <w:szCs w:val="22"/>
                    </w:rPr>
                  </w:pPr>
                </w:p>
              </w:tc>
            </w:tr>
            <w:tr w:rsidR="00C81051" w14:paraId="6EC9298C" w14:textId="77777777" w:rsidTr="00811B20">
              <w:trPr>
                <w:trHeight w:val="1639"/>
              </w:trPr>
              <w:tc>
                <w:tcPr>
                  <w:tcW w:w="1617" w:type="dxa"/>
                  <w:shd w:val="clear" w:color="auto" w:fill="auto"/>
                </w:tcPr>
                <w:p w14:paraId="65611B2D" w14:textId="77777777" w:rsidR="00C81051" w:rsidRDefault="00C81051" w:rsidP="008E0DF0">
                  <w:pPr>
                    <w:spacing w:before="0"/>
                  </w:pPr>
                  <w:r>
                    <w:t>Pharmacist</w:t>
                  </w:r>
                  <w:r w:rsidR="004C7F47">
                    <w:t>s</w:t>
                  </w:r>
                  <w:r>
                    <w:t xml:space="preserve"> and Pharmacy Staff</w:t>
                  </w:r>
                </w:p>
              </w:tc>
              <w:tc>
                <w:tcPr>
                  <w:tcW w:w="7063" w:type="dxa"/>
                  <w:shd w:val="clear" w:color="auto" w:fill="auto"/>
                </w:tcPr>
                <w:p w14:paraId="595C7D5D" w14:textId="77777777" w:rsidR="004C7F47" w:rsidRDefault="004C7F47" w:rsidP="004C7F47">
                  <w:pPr>
                    <w:pStyle w:val="Default"/>
                    <w:numPr>
                      <w:ilvl w:val="0"/>
                      <w:numId w:val="25"/>
                    </w:numPr>
                    <w:jc w:val="both"/>
                    <w:rPr>
                      <w:sz w:val="22"/>
                      <w:szCs w:val="22"/>
                    </w:rPr>
                  </w:pPr>
                  <w:r>
                    <w:rPr>
                      <w:rFonts w:cstheme="minorBidi"/>
                      <w:color w:val="auto"/>
                    </w:rPr>
                    <w:t>A</w:t>
                  </w:r>
                  <w:r>
                    <w:rPr>
                      <w:sz w:val="22"/>
                      <w:szCs w:val="22"/>
                    </w:rPr>
                    <w:t>re responsible for helping to promote awareness and adherence to the Policy and report any non-adherence</w:t>
                  </w:r>
                </w:p>
                <w:p w14:paraId="4C4247D4" w14:textId="77777777" w:rsidR="004C7F47" w:rsidRDefault="004C7F47" w:rsidP="004C7F47">
                  <w:pPr>
                    <w:pStyle w:val="Default"/>
                    <w:ind w:left="360"/>
                    <w:jc w:val="both"/>
                    <w:rPr>
                      <w:sz w:val="22"/>
                      <w:szCs w:val="22"/>
                    </w:rPr>
                  </w:pPr>
                </w:p>
                <w:p w14:paraId="25CA7133" w14:textId="77777777" w:rsidR="004C7F47" w:rsidRDefault="004C7F47" w:rsidP="004C7F47">
                  <w:pPr>
                    <w:pStyle w:val="Default"/>
                    <w:numPr>
                      <w:ilvl w:val="0"/>
                      <w:numId w:val="25"/>
                    </w:numPr>
                    <w:jc w:val="both"/>
                    <w:rPr>
                      <w:sz w:val="22"/>
                      <w:szCs w:val="22"/>
                    </w:rPr>
                  </w:pPr>
                  <w:r w:rsidRPr="004C7F47">
                    <w:rPr>
                      <w:sz w:val="22"/>
                      <w:szCs w:val="22"/>
                    </w:rPr>
                    <w:t xml:space="preserve">Promote safe antimicrobial prescribing </w:t>
                  </w:r>
                </w:p>
                <w:p w14:paraId="62657B8E" w14:textId="77777777" w:rsidR="004C7F47" w:rsidRPr="004C7F47" w:rsidRDefault="004C7F47" w:rsidP="004C7F47">
                  <w:pPr>
                    <w:pStyle w:val="Default"/>
                    <w:jc w:val="both"/>
                    <w:rPr>
                      <w:sz w:val="22"/>
                      <w:szCs w:val="22"/>
                    </w:rPr>
                  </w:pPr>
                </w:p>
                <w:p w14:paraId="6A41E21B" w14:textId="77777777" w:rsidR="004C7F47" w:rsidRDefault="004C7F47" w:rsidP="004C7F47">
                  <w:pPr>
                    <w:pStyle w:val="Default"/>
                    <w:numPr>
                      <w:ilvl w:val="0"/>
                      <w:numId w:val="25"/>
                    </w:numPr>
                    <w:jc w:val="both"/>
                    <w:rPr>
                      <w:sz w:val="22"/>
                      <w:szCs w:val="22"/>
                    </w:rPr>
                  </w:pPr>
                  <w:r w:rsidRPr="004C7F47">
                    <w:rPr>
                      <w:sz w:val="22"/>
                      <w:szCs w:val="22"/>
                    </w:rPr>
                    <w:t>Should help ensure prescribers are aware of the relevant local antimicrobial treatment guidelines and confirm prescribing is in accordance with the</w:t>
                  </w:r>
                  <w:r>
                    <w:rPr>
                      <w:sz w:val="22"/>
                      <w:szCs w:val="22"/>
                    </w:rPr>
                    <w:t>se documents where appropriate</w:t>
                  </w:r>
                </w:p>
                <w:p w14:paraId="7C8C18BF" w14:textId="77777777" w:rsidR="004C7F47" w:rsidRPr="004C7F47" w:rsidRDefault="004C7F47" w:rsidP="004C7F47">
                  <w:pPr>
                    <w:pStyle w:val="Default"/>
                    <w:jc w:val="both"/>
                    <w:rPr>
                      <w:sz w:val="22"/>
                      <w:szCs w:val="22"/>
                    </w:rPr>
                  </w:pPr>
                </w:p>
                <w:p w14:paraId="259E49A8" w14:textId="77777777" w:rsidR="004C7F47" w:rsidRDefault="004C7F47" w:rsidP="004C7F47">
                  <w:pPr>
                    <w:pStyle w:val="Default"/>
                    <w:numPr>
                      <w:ilvl w:val="0"/>
                      <w:numId w:val="25"/>
                    </w:numPr>
                    <w:jc w:val="both"/>
                    <w:rPr>
                      <w:sz w:val="22"/>
                      <w:szCs w:val="22"/>
                    </w:rPr>
                  </w:pPr>
                  <w:r>
                    <w:rPr>
                      <w:sz w:val="22"/>
                      <w:szCs w:val="22"/>
                    </w:rPr>
                    <w:t>Managing the safe, effective and economic use of medicines in the Trust. This process includes regular monitoring of prescriptions to ensure appropriateness, accuracy, safety and clarity of antimicrobial prescribing</w:t>
                  </w:r>
                </w:p>
                <w:p w14:paraId="447C65A8" w14:textId="77777777" w:rsidR="004C7F47" w:rsidRDefault="004C7F47" w:rsidP="004C7F47">
                  <w:pPr>
                    <w:pStyle w:val="Default"/>
                    <w:jc w:val="both"/>
                    <w:rPr>
                      <w:sz w:val="22"/>
                      <w:szCs w:val="22"/>
                    </w:rPr>
                  </w:pPr>
                </w:p>
                <w:p w14:paraId="7354BDA3" w14:textId="77777777" w:rsidR="004C7F47" w:rsidRDefault="004C7F47" w:rsidP="004C7F47">
                  <w:pPr>
                    <w:pStyle w:val="Default"/>
                    <w:numPr>
                      <w:ilvl w:val="0"/>
                      <w:numId w:val="25"/>
                    </w:numPr>
                    <w:jc w:val="both"/>
                    <w:rPr>
                      <w:sz w:val="22"/>
                      <w:szCs w:val="22"/>
                    </w:rPr>
                  </w:pPr>
                  <w:r>
                    <w:rPr>
                      <w:sz w:val="22"/>
                      <w:szCs w:val="22"/>
                    </w:rPr>
                    <w:t xml:space="preserve">As part of the prescription monitoring process pharmacists are responsible for: </w:t>
                  </w:r>
                </w:p>
                <w:p w14:paraId="14FC0DBA" w14:textId="77777777" w:rsidR="004C7F47" w:rsidRDefault="004C7F47" w:rsidP="004C7F47">
                  <w:pPr>
                    <w:pStyle w:val="Default"/>
                    <w:numPr>
                      <w:ilvl w:val="0"/>
                      <w:numId w:val="26"/>
                    </w:numPr>
                    <w:jc w:val="both"/>
                    <w:rPr>
                      <w:sz w:val="22"/>
                      <w:szCs w:val="22"/>
                    </w:rPr>
                  </w:pPr>
                  <w:r>
                    <w:rPr>
                      <w:sz w:val="22"/>
                      <w:szCs w:val="22"/>
                    </w:rPr>
                    <w:t xml:space="preserve">Ensure all antimicrobial prescriptions have </w:t>
                  </w:r>
                  <w:r w:rsidR="00BA5416">
                    <w:rPr>
                      <w:sz w:val="22"/>
                      <w:szCs w:val="22"/>
                    </w:rPr>
                    <w:t xml:space="preserve">indication, </w:t>
                  </w:r>
                  <w:r>
                    <w:rPr>
                      <w:sz w:val="22"/>
                      <w:szCs w:val="22"/>
                    </w:rPr>
                    <w:t>duration of therapy or review date speci</w:t>
                  </w:r>
                  <w:r w:rsidR="00702A59">
                    <w:rPr>
                      <w:sz w:val="22"/>
                      <w:szCs w:val="22"/>
                    </w:rPr>
                    <w:t>fied on RI</w:t>
                  </w:r>
                  <w:r w:rsidR="00AC6703">
                    <w:rPr>
                      <w:sz w:val="22"/>
                      <w:szCs w:val="22"/>
                    </w:rPr>
                    <w:t>O</w:t>
                  </w:r>
                  <w:r w:rsidR="008F27B6">
                    <w:rPr>
                      <w:sz w:val="22"/>
                      <w:szCs w:val="22"/>
                    </w:rPr>
                    <w:t>. If these are</w:t>
                  </w:r>
                  <w:r>
                    <w:rPr>
                      <w:sz w:val="22"/>
                      <w:szCs w:val="22"/>
                    </w:rPr>
                    <w:t xml:space="preserve"> not specified, every reasonable effort should be made to contact the prescriber and verbal agreement reached as to the appropriate</w:t>
                  </w:r>
                  <w:r w:rsidR="00BA5416">
                    <w:rPr>
                      <w:sz w:val="22"/>
                      <w:szCs w:val="22"/>
                    </w:rPr>
                    <w:t xml:space="preserve"> indication,</w:t>
                  </w:r>
                  <w:r>
                    <w:rPr>
                      <w:sz w:val="22"/>
                      <w:szCs w:val="22"/>
                    </w:rPr>
                    <w:t xml:space="preserve"> d</w:t>
                  </w:r>
                  <w:r w:rsidR="00014149">
                    <w:rPr>
                      <w:sz w:val="22"/>
                      <w:szCs w:val="22"/>
                    </w:rPr>
                    <w:t xml:space="preserve">uration or review period. The prescription chart </w:t>
                  </w:r>
                  <w:r>
                    <w:rPr>
                      <w:sz w:val="22"/>
                      <w:szCs w:val="22"/>
                    </w:rPr>
                    <w:t xml:space="preserve">should be clearly annotated with </w:t>
                  </w:r>
                  <w:r w:rsidR="00BA5416">
                    <w:rPr>
                      <w:sz w:val="22"/>
                      <w:szCs w:val="22"/>
                    </w:rPr>
                    <w:t xml:space="preserve">the indication and </w:t>
                  </w:r>
                  <w:r>
                    <w:rPr>
                      <w:sz w:val="22"/>
                      <w:szCs w:val="22"/>
                    </w:rPr>
                    <w:t>the agreed duration or review period</w:t>
                  </w:r>
                </w:p>
                <w:p w14:paraId="24A7679F" w14:textId="77777777" w:rsidR="004C7F47" w:rsidRDefault="004C7F47" w:rsidP="004C7F47">
                  <w:pPr>
                    <w:pStyle w:val="Default"/>
                    <w:numPr>
                      <w:ilvl w:val="0"/>
                      <w:numId w:val="26"/>
                    </w:numPr>
                    <w:jc w:val="both"/>
                    <w:rPr>
                      <w:sz w:val="22"/>
                      <w:szCs w:val="22"/>
                    </w:rPr>
                  </w:pPr>
                  <w:r w:rsidRPr="004C7F47">
                    <w:rPr>
                      <w:sz w:val="22"/>
                      <w:szCs w:val="22"/>
                    </w:rPr>
                    <w:t xml:space="preserve">Ensure that antimicrobial prescriptions are prescribed for the shortest effective course length in accordance and local guidelines (where available) </w:t>
                  </w:r>
                </w:p>
                <w:p w14:paraId="453F0A70" w14:textId="77777777" w:rsidR="004C7F47" w:rsidRDefault="004C7F47" w:rsidP="004C7F47">
                  <w:pPr>
                    <w:pStyle w:val="Default"/>
                    <w:numPr>
                      <w:ilvl w:val="0"/>
                      <w:numId w:val="26"/>
                    </w:numPr>
                    <w:jc w:val="both"/>
                    <w:rPr>
                      <w:sz w:val="22"/>
                      <w:szCs w:val="22"/>
                    </w:rPr>
                  </w:pPr>
                  <w:r w:rsidRPr="004C7F47">
                    <w:rPr>
                      <w:sz w:val="22"/>
                      <w:szCs w:val="22"/>
                    </w:rPr>
                    <w:t>Check the patient is not allergic to the antimicrobial prescribed prior to dispensing. In cases where the patient has been prescribed an antimicrobial that he/she is known to be allergic to, the dose should not be dispensed and the prescriber should be contact</w:t>
                  </w:r>
                  <w:r>
                    <w:rPr>
                      <w:sz w:val="22"/>
                      <w:szCs w:val="22"/>
                    </w:rPr>
                    <w:t>ed to clarify the prescription</w:t>
                  </w:r>
                </w:p>
                <w:p w14:paraId="1E805610" w14:textId="77777777" w:rsidR="004C7F47" w:rsidRDefault="004C7F47" w:rsidP="004C7F47">
                  <w:pPr>
                    <w:pStyle w:val="Default"/>
                    <w:numPr>
                      <w:ilvl w:val="0"/>
                      <w:numId w:val="26"/>
                    </w:numPr>
                    <w:jc w:val="both"/>
                    <w:rPr>
                      <w:sz w:val="22"/>
                      <w:szCs w:val="22"/>
                    </w:rPr>
                  </w:pPr>
                  <w:r w:rsidRPr="004C7F47">
                    <w:rPr>
                      <w:sz w:val="22"/>
                      <w:szCs w:val="22"/>
                    </w:rPr>
                    <w:t>Where long term prophylaxis is indicated, the pharmacist should endorse the prescription chart as such if not alread</w:t>
                  </w:r>
                  <w:r>
                    <w:rPr>
                      <w:sz w:val="22"/>
                      <w:szCs w:val="22"/>
                    </w:rPr>
                    <w:t>y documented by the prescriber</w:t>
                  </w:r>
                </w:p>
                <w:p w14:paraId="3C726274" w14:textId="77777777" w:rsidR="004C7F47" w:rsidRDefault="004C7F47" w:rsidP="004C7F47">
                  <w:pPr>
                    <w:pStyle w:val="Default"/>
                    <w:jc w:val="both"/>
                    <w:rPr>
                      <w:rFonts w:cstheme="minorBidi"/>
                      <w:color w:val="auto"/>
                    </w:rPr>
                  </w:pPr>
                </w:p>
                <w:p w14:paraId="0B37D04A" w14:textId="77777777" w:rsidR="004C7F47" w:rsidRDefault="004C7F47" w:rsidP="004C7F47">
                  <w:pPr>
                    <w:pStyle w:val="Default"/>
                    <w:numPr>
                      <w:ilvl w:val="0"/>
                      <w:numId w:val="27"/>
                    </w:numPr>
                    <w:jc w:val="both"/>
                    <w:rPr>
                      <w:sz w:val="22"/>
                      <w:szCs w:val="22"/>
                    </w:rPr>
                  </w:pPr>
                  <w:r>
                    <w:rPr>
                      <w:sz w:val="22"/>
                      <w:szCs w:val="22"/>
                    </w:rPr>
                    <w:t>Advise the prescriber regarding antimicrobials with good oral bioavailability that are prescribed intravenously, to ensure they are switched to the oral route as soon as it is clinically appropriate to do so</w:t>
                  </w:r>
                </w:p>
                <w:p w14:paraId="773E59AE" w14:textId="77777777" w:rsidR="004C7F47" w:rsidRDefault="004C7F47" w:rsidP="004C7F47">
                  <w:pPr>
                    <w:pStyle w:val="Default"/>
                    <w:ind w:left="360"/>
                    <w:jc w:val="both"/>
                    <w:rPr>
                      <w:sz w:val="22"/>
                      <w:szCs w:val="22"/>
                    </w:rPr>
                  </w:pPr>
                </w:p>
                <w:p w14:paraId="2E036E42" w14:textId="77777777" w:rsidR="004C7F47" w:rsidRDefault="004C7F47" w:rsidP="004C7F47">
                  <w:pPr>
                    <w:pStyle w:val="Default"/>
                    <w:numPr>
                      <w:ilvl w:val="0"/>
                      <w:numId w:val="27"/>
                    </w:numPr>
                    <w:jc w:val="both"/>
                    <w:rPr>
                      <w:sz w:val="22"/>
                      <w:szCs w:val="22"/>
                    </w:rPr>
                  </w:pPr>
                  <w:r w:rsidRPr="004C7F47">
                    <w:rPr>
                      <w:sz w:val="22"/>
                      <w:szCs w:val="22"/>
                    </w:rPr>
                    <w:t>Review all requests for restricted antimicrobials to ensure microbiology approval before placing an order or releas</w:t>
                  </w:r>
                  <w:r>
                    <w:rPr>
                      <w:sz w:val="22"/>
                      <w:szCs w:val="22"/>
                    </w:rPr>
                    <w:t>e of the product from pharmacy</w:t>
                  </w:r>
                </w:p>
                <w:p w14:paraId="54A9B22B" w14:textId="77777777" w:rsidR="004C7F47" w:rsidRPr="004C7F47" w:rsidRDefault="004C7F47" w:rsidP="004C7F47">
                  <w:pPr>
                    <w:pStyle w:val="Default"/>
                    <w:jc w:val="both"/>
                    <w:rPr>
                      <w:sz w:val="22"/>
                      <w:szCs w:val="22"/>
                    </w:rPr>
                  </w:pPr>
                </w:p>
                <w:p w14:paraId="0D24ED72" w14:textId="77777777" w:rsidR="003E133D" w:rsidRDefault="004C7F47" w:rsidP="003E133D">
                  <w:pPr>
                    <w:pStyle w:val="Default"/>
                    <w:numPr>
                      <w:ilvl w:val="0"/>
                      <w:numId w:val="27"/>
                    </w:numPr>
                    <w:jc w:val="both"/>
                    <w:rPr>
                      <w:sz w:val="22"/>
                      <w:szCs w:val="22"/>
                    </w:rPr>
                  </w:pPr>
                  <w:r w:rsidRPr="004C7F47">
                    <w:rPr>
                      <w:sz w:val="22"/>
                      <w:szCs w:val="22"/>
                    </w:rPr>
                    <w:t xml:space="preserve">Challenge any inappropriate prescribing of antimicrobials, such as prescribing where there is no clear indication of infection, inappropriate combination therapy and use of restricted antimicrobials. Any on-going breaches of policy should be reported to the </w:t>
                  </w:r>
                  <w:r w:rsidR="003E133D">
                    <w:rPr>
                      <w:sz w:val="22"/>
                      <w:szCs w:val="22"/>
                    </w:rPr>
                    <w:t>Lead</w:t>
                  </w:r>
                  <w:r w:rsidRPr="004C7F47">
                    <w:rPr>
                      <w:sz w:val="22"/>
                      <w:szCs w:val="22"/>
                    </w:rPr>
                    <w:t xml:space="preserve"> Pharmacist</w:t>
                  </w:r>
                  <w:r w:rsidR="003E133D">
                    <w:rPr>
                      <w:sz w:val="22"/>
                      <w:szCs w:val="22"/>
                    </w:rPr>
                    <w:t xml:space="preserve"> for</w:t>
                  </w:r>
                  <w:r w:rsidRPr="004C7F47">
                    <w:rPr>
                      <w:sz w:val="22"/>
                      <w:szCs w:val="22"/>
                    </w:rPr>
                    <w:t xml:space="preserve"> </w:t>
                  </w:r>
                  <w:r w:rsidR="003E133D">
                    <w:rPr>
                      <w:sz w:val="22"/>
                      <w:szCs w:val="22"/>
                    </w:rPr>
                    <w:t>Vaccinations and Antimicrobials and the Microbiologist</w:t>
                  </w:r>
                </w:p>
                <w:p w14:paraId="5CB5EF60" w14:textId="77777777" w:rsidR="003E133D" w:rsidRPr="003E133D" w:rsidRDefault="003E133D" w:rsidP="003E133D">
                  <w:pPr>
                    <w:pStyle w:val="Default"/>
                    <w:jc w:val="both"/>
                    <w:rPr>
                      <w:sz w:val="22"/>
                      <w:szCs w:val="22"/>
                    </w:rPr>
                  </w:pPr>
                </w:p>
                <w:p w14:paraId="4AAD2239" w14:textId="77777777" w:rsidR="004C7F47" w:rsidRPr="003E133D" w:rsidRDefault="003E133D" w:rsidP="003E133D">
                  <w:pPr>
                    <w:pStyle w:val="Default"/>
                    <w:numPr>
                      <w:ilvl w:val="0"/>
                      <w:numId w:val="27"/>
                    </w:numPr>
                    <w:jc w:val="both"/>
                    <w:rPr>
                      <w:sz w:val="22"/>
                      <w:szCs w:val="22"/>
                    </w:rPr>
                  </w:pPr>
                  <w:r w:rsidRPr="003E133D">
                    <w:rPr>
                      <w:sz w:val="22"/>
                      <w:szCs w:val="22"/>
                    </w:rPr>
                    <w:t>Educate patients on the use, administration and adverse effects of antimicrobial agents. In addition, patients should also be informed about the importance of completing an a</w:t>
                  </w:r>
                  <w:r>
                    <w:rPr>
                      <w:sz w:val="22"/>
                      <w:szCs w:val="22"/>
                    </w:rPr>
                    <w:t>ntimicrobial course of therapy</w:t>
                  </w:r>
                </w:p>
                <w:p w14:paraId="6F06B135" w14:textId="77777777" w:rsidR="00C81051" w:rsidRDefault="00C81051" w:rsidP="004C7F47">
                  <w:pPr>
                    <w:pStyle w:val="Default"/>
                    <w:jc w:val="both"/>
                    <w:rPr>
                      <w:sz w:val="22"/>
                      <w:szCs w:val="22"/>
                    </w:rPr>
                  </w:pPr>
                </w:p>
              </w:tc>
            </w:tr>
            <w:tr w:rsidR="003E133D" w14:paraId="12059DF3" w14:textId="77777777" w:rsidTr="00811B20">
              <w:trPr>
                <w:trHeight w:val="1639"/>
              </w:trPr>
              <w:tc>
                <w:tcPr>
                  <w:tcW w:w="1617" w:type="dxa"/>
                  <w:shd w:val="clear" w:color="auto" w:fill="auto"/>
                </w:tcPr>
                <w:p w14:paraId="364BE442" w14:textId="77777777" w:rsidR="003E133D" w:rsidRDefault="00BB2892" w:rsidP="00BB2892">
                  <w:pPr>
                    <w:spacing w:before="0"/>
                  </w:pPr>
                  <w:r w:rsidRPr="00D865E0">
                    <w:t>Director of Infection Prevention  and Control (DIPC)</w:t>
                  </w:r>
                </w:p>
              </w:tc>
              <w:tc>
                <w:tcPr>
                  <w:tcW w:w="7063" w:type="dxa"/>
                  <w:shd w:val="clear" w:color="auto" w:fill="auto"/>
                </w:tcPr>
                <w:p w14:paraId="18809052" w14:textId="77777777" w:rsidR="00662F39" w:rsidRDefault="00662F39" w:rsidP="00662F39">
                  <w:pPr>
                    <w:pStyle w:val="Default"/>
                    <w:numPr>
                      <w:ilvl w:val="0"/>
                      <w:numId w:val="28"/>
                    </w:numPr>
                    <w:jc w:val="both"/>
                    <w:rPr>
                      <w:sz w:val="22"/>
                      <w:szCs w:val="22"/>
                    </w:rPr>
                  </w:pPr>
                  <w:r>
                    <w:rPr>
                      <w:sz w:val="22"/>
                      <w:szCs w:val="22"/>
                    </w:rPr>
                    <w:t>Overall responsibility for overseeing the Antimicrobial Stewardship Policy and its implementation</w:t>
                  </w:r>
                </w:p>
                <w:p w14:paraId="172D5330" w14:textId="77777777" w:rsidR="00662F39" w:rsidRDefault="00662F39" w:rsidP="00662F39">
                  <w:pPr>
                    <w:pStyle w:val="Default"/>
                    <w:ind w:left="360"/>
                    <w:jc w:val="both"/>
                    <w:rPr>
                      <w:sz w:val="22"/>
                      <w:szCs w:val="22"/>
                    </w:rPr>
                  </w:pPr>
                </w:p>
                <w:p w14:paraId="40DD1129" w14:textId="77777777" w:rsidR="00662F39" w:rsidRPr="00662F39" w:rsidRDefault="00662F39" w:rsidP="00662F39">
                  <w:pPr>
                    <w:pStyle w:val="Default"/>
                    <w:numPr>
                      <w:ilvl w:val="0"/>
                      <w:numId w:val="28"/>
                    </w:numPr>
                    <w:jc w:val="both"/>
                    <w:rPr>
                      <w:sz w:val="22"/>
                      <w:szCs w:val="22"/>
                    </w:rPr>
                  </w:pPr>
                  <w:r w:rsidRPr="00662F39">
                    <w:rPr>
                      <w:sz w:val="22"/>
                      <w:szCs w:val="22"/>
                    </w:rPr>
                    <w:t xml:space="preserve">Ensuring regular review of the Trust Policy, promoting Trust wide awareness of the Policy, and overseeing the monitoring of adherence to the policy. </w:t>
                  </w:r>
                </w:p>
                <w:p w14:paraId="7BE818A0" w14:textId="77777777" w:rsidR="003E133D" w:rsidRDefault="003E133D" w:rsidP="00662F39">
                  <w:pPr>
                    <w:pStyle w:val="Default"/>
                    <w:ind w:left="360"/>
                    <w:jc w:val="both"/>
                    <w:rPr>
                      <w:rFonts w:cstheme="minorBidi"/>
                      <w:color w:val="auto"/>
                    </w:rPr>
                  </w:pPr>
                </w:p>
              </w:tc>
            </w:tr>
            <w:tr w:rsidR="00662F39" w14:paraId="41F91D1F" w14:textId="77777777" w:rsidTr="00811B20">
              <w:trPr>
                <w:trHeight w:val="1639"/>
              </w:trPr>
              <w:tc>
                <w:tcPr>
                  <w:tcW w:w="1617" w:type="dxa"/>
                  <w:shd w:val="clear" w:color="auto" w:fill="auto"/>
                </w:tcPr>
                <w:p w14:paraId="7C893570" w14:textId="77777777" w:rsidR="00662F39" w:rsidRDefault="00662F39" w:rsidP="00BB2892">
                  <w:pPr>
                    <w:spacing w:before="0"/>
                  </w:pPr>
                  <w:r>
                    <w:t>Microbiologists</w:t>
                  </w:r>
                </w:p>
              </w:tc>
              <w:tc>
                <w:tcPr>
                  <w:tcW w:w="7063" w:type="dxa"/>
                  <w:shd w:val="clear" w:color="auto" w:fill="auto"/>
                </w:tcPr>
                <w:p w14:paraId="36D3F270" w14:textId="77777777" w:rsidR="00662F39" w:rsidRDefault="00662F39" w:rsidP="00662F39">
                  <w:pPr>
                    <w:pStyle w:val="Default"/>
                    <w:numPr>
                      <w:ilvl w:val="0"/>
                      <w:numId w:val="29"/>
                    </w:numPr>
                    <w:jc w:val="both"/>
                    <w:rPr>
                      <w:sz w:val="22"/>
                      <w:szCs w:val="22"/>
                    </w:rPr>
                  </w:pPr>
                  <w:r>
                    <w:rPr>
                      <w:sz w:val="22"/>
                      <w:szCs w:val="22"/>
                    </w:rPr>
                    <w:t>Act as a source of expert advice on the use of antimicrobial agents and the management of specific patients and infections</w:t>
                  </w:r>
                </w:p>
                <w:p w14:paraId="7C088A20" w14:textId="77777777" w:rsidR="00662F39" w:rsidRDefault="00662F39" w:rsidP="00662F39">
                  <w:pPr>
                    <w:pStyle w:val="Default"/>
                    <w:ind w:left="360"/>
                    <w:jc w:val="both"/>
                    <w:rPr>
                      <w:sz w:val="22"/>
                      <w:szCs w:val="22"/>
                    </w:rPr>
                  </w:pPr>
                </w:p>
                <w:p w14:paraId="6EA7ECDA" w14:textId="77777777" w:rsidR="00662F39" w:rsidRDefault="00662F39" w:rsidP="00662F39">
                  <w:pPr>
                    <w:pStyle w:val="Default"/>
                    <w:numPr>
                      <w:ilvl w:val="0"/>
                      <w:numId w:val="29"/>
                    </w:numPr>
                    <w:jc w:val="both"/>
                    <w:rPr>
                      <w:sz w:val="22"/>
                      <w:szCs w:val="22"/>
                    </w:rPr>
                  </w:pPr>
                  <w:r w:rsidRPr="00662F39">
                    <w:rPr>
                      <w:sz w:val="22"/>
                      <w:szCs w:val="22"/>
                    </w:rPr>
                    <w:t>Advise on the appropriateness of the inclusion of an antimicrobial in the development of antimicrobial prescribing policies/guidelines and patient group directions (PGD)</w:t>
                  </w:r>
                </w:p>
                <w:p w14:paraId="3B365185" w14:textId="77777777" w:rsidR="00662F39" w:rsidRPr="00662F39" w:rsidRDefault="00662F39" w:rsidP="00662F39">
                  <w:pPr>
                    <w:pStyle w:val="Default"/>
                    <w:jc w:val="both"/>
                    <w:rPr>
                      <w:sz w:val="22"/>
                      <w:szCs w:val="22"/>
                    </w:rPr>
                  </w:pPr>
                </w:p>
                <w:p w14:paraId="2DE22B91" w14:textId="77777777" w:rsidR="00662F39" w:rsidRDefault="00662F39" w:rsidP="00662F39">
                  <w:pPr>
                    <w:pStyle w:val="Default"/>
                    <w:numPr>
                      <w:ilvl w:val="0"/>
                      <w:numId w:val="29"/>
                    </w:numPr>
                    <w:jc w:val="both"/>
                    <w:rPr>
                      <w:sz w:val="22"/>
                      <w:szCs w:val="22"/>
                    </w:rPr>
                  </w:pPr>
                  <w:r w:rsidRPr="00662F39">
                    <w:rPr>
                      <w:sz w:val="22"/>
                      <w:szCs w:val="22"/>
                    </w:rPr>
                    <w:t>Provide input into the development and provision of training on app</w:t>
                  </w:r>
                  <w:r>
                    <w:rPr>
                      <w:sz w:val="22"/>
                      <w:szCs w:val="22"/>
                    </w:rPr>
                    <w:t>ropriate use of antimicrobials</w:t>
                  </w:r>
                </w:p>
                <w:p w14:paraId="58AE21C1" w14:textId="77777777" w:rsidR="00662F39" w:rsidRPr="00662F39" w:rsidRDefault="00662F39" w:rsidP="00662F39">
                  <w:pPr>
                    <w:pStyle w:val="Default"/>
                    <w:jc w:val="both"/>
                    <w:rPr>
                      <w:sz w:val="22"/>
                      <w:szCs w:val="22"/>
                    </w:rPr>
                  </w:pPr>
                </w:p>
                <w:p w14:paraId="2B51DF47" w14:textId="77777777" w:rsidR="00662F39" w:rsidRPr="00662F39" w:rsidRDefault="00662F39" w:rsidP="00662F39">
                  <w:pPr>
                    <w:pStyle w:val="Default"/>
                    <w:numPr>
                      <w:ilvl w:val="0"/>
                      <w:numId w:val="29"/>
                    </w:numPr>
                    <w:jc w:val="both"/>
                    <w:rPr>
                      <w:sz w:val="22"/>
                      <w:szCs w:val="22"/>
                    </w:rPr>
                  </w:pPr>
                  <w:r w:rsidRPr="00662F39">
                    <w:rPr>
                      <w:sz w:val="22"/>
                      <w:szCs w:val="22"/>
                    </w:rPr>
                    <w:t xml:space="preserve">Work with the </w:t>
                  </w:r>
                  <w:r>
                    <w:rPr>
                      <w:sz w:val="22"/>
                      <w:szCs w:val="22"/>
                    </w:rPr>
                    <w:t xml:space="preserve">Lead Pharmacist for Vaccination and Antimicrobials </w:t>
                  </w:r>
                  <w:r w:rsidRPr="00662F39">
                    <w:rPr>
                      <w:sz w:val="22"/>
                      <w:szCs w:val="22"/>
                    </w:rPr>
                    <w:t>to monitor and advice on the aud</w:t>
                  </w:r>
                  <w:r>
                    <w:rPr>
                      <w:sz w:val="22"/>
                      <w:szCs w:val="22"/>
                    </w:rPr>
                    <w:t>it of antimicrobial prescribing</w:t>
                  </w:r>
                  <w:r w:rsidRPr="00662F39">
                    <w:rPr>
                      <w:sz w:val="22"/>
                      <w:szCs w:val="22"/>
                    </w:rPr>
                    <w:t xml:space="preserve"> </w:t>
                  </w:r>
                </w:p>
                <w:p w14:paraId="7EEF6B6C" w14:textId="77777777" w:rsidR="00662F39" w:rsidRDefault="00662F39" w:rsidP="00662F39">
                  <w:pPr>
                    <w:pStyle w:val="Default"/>
                    <w:jc w:val="both"/>
                    <w:rPr>
                      <w:sz w:val="22"/>
                      <w:szCs w:val="22"/>
                    </w:rPr>
                  </w:pPr>
                </w:p>
              </w:tc>
            </w:tr>
            <w:tr w:rsidR="00662F39" w14:paraId="4E55D56C" w14:textId="77777777" w:rsidTr="00662F39">
              <w:trPr>
                <w:trHeight w:val="984"/>
              </w:trPr>
              <w:tc>
                <w:tcPr>
                  <w:tcW w:w="1617" w:type="dxa"/>
                  <w:shd w:val="clear" w:color="auto" w:fill="auto"/>
                </w:tcPr>
                <w:p w14:paraId="0CDF1717" w14:textId="77777777" w:rsidR="00662F39" w:rsidRDefault="00662F39" w:rsidP="00BB2892">
                  <w:pPr>
                    <w:spacing w:before="0"/>
                  </w:pPr>
                  <w:r>
                    <w:t>Senior Health Professionals</w:t>
                  </w:r>
                </w:p>
              </w:tc>
              <w:tc>
                <w:tcPr>
                  <w:tcW w:w="7063" w:type="dxa"/>
                  <w:shd w:val="clear" w:color="auto" w:fill="auto"/>
                </w:tcPr>
                <w:p w14:paraId="65858540" w14:textId="77777777" w:rsidR="00662F39" w:rsidRPr="00662F39" w:rsidRDefault="00662F39" w:rsidP="00662F39">
                  <w:pPr>
                    <w:pStyle w:val="Default"/>
                    <w:numPr>
                      <w:ilvl w:val="0"/>
                      <w:numId w:val="30"/>
                    </w:numPr>
                    <w:jc w:val="both"/>
                    <w:rPr>
                      <w:sz w:val="22"/>
                      <w:szCs w:val="22"/>
                    </w:rPr>
                  </w:pPr>
                  <w:r>
                    <w:rPr>
                      <w:sz w:val="22"/>
                      <w:szCs w:val="22"/>
                    </w:rPr>
                    <w:t>Promote antimicrobial stewardship within their teams, recognising the influence that senior prescribers can have on the prescribing practices of colleagues</w:t>
                  </w:r>
                </w:p>
              </w:tc>
            </w:tr>
            <w:tr w:rsidR="00662F39" w14:paraId="39E811AD" w14:textId="77777777" w:rsidTr="00662F39">
              <w:trPr>
                <w:trHeight w:val="984"/>
              </w:trPr>
              <w:tc>
                <w:tcPr>
                  <w:tcW w:w="1617" w:type="dxa"/>
                  <w:shd w:val="clear" w:color="auto" w:fill="auto"/>
                </w:tcPr>
                <w:p w14:paraId="4DE95CA9" w14:textId="77777777" w:rsidR="00662F39" w:rsidRDefault="00662F39" w:rsidP="00BB2892">
                  <w:pPr>
                    <w:spacing w:before="0"/>
                  </w:pPr>
                  <w:r>
                    <w:t>Chief Pharmacist</w:t>
                  </w:r>
                </w:p>
              </w:tc>
              <w:tc>
                <w:tcPr>
                  <w:tcW w:w="7063" w:type="dxa"/>
                  <w:shd w:val="clear" w:color="auto" w:fill="auto"/>
                </w:tcPr>
                <w:p w14:paraId="0C94A3BA" w14:textId="77777777" w:rsidR="00662F39" w:rsidRDefault="00662F39" w:rsidP="00662F39">
                  <w:pPr>
                    <w:pStyle w:val="Default"/>
                    <w:numPr>
                      <w:ilvl w:val="0"/>
                      <w:numId w:val="30"/>
                    </w:numPr>
                    <w:jc w:val="both"/>
                    <w:rPr>
                      <w:sz w:val="22"/>
                      <w:szCs w:val="22"/>
                    </w:rPr>
                  </w:pPr>
                  <w:r>
                    <w:rPr>
                      <w:sz w:val="22"/>
                      <w:szCs w:val="22"/>
                    </w:rPr>
                    <w:t>Supporting and promoting awareness of the Trust Policy through the activities of the Trust pharmacists</w:t>
                  </w:r>
                </w:p>
                <w:p w14:paraId="3D59D25D" w14:textId="77777777" w:rsidR="00662F39" w:rsidRDefault="00662F39" w:rsidP="00662F39">
                  <w:pPr>
                    <w:pStyle w:val="Default"/>
                    <w:ind w:left="360"/>
                    <w:jc w:val="both"/>
                    <w:rPr>
                      <w:sz w:val="22"/>
                      <w:szCs w:val="22"/>
                    </w:rPr>
                  </w:pPr>
                </w:p>
              </w:tc>
            </w:tr>
            <w:tr w:rsidR="00662F39" w14:paraId="5E5BD4BA" w14:textId="77777777" w:rsidTr="00662F39">
              <w:trPr>
                <w:trHeight w:val="984"/>
              </w:trPr>
              <w:tc>
                <w:tcPr>
                  <w:tcW w:w="1617" w:type="dxa"/>
                  <w:shd w:val="clear" w:color="auto" w:fill="auto"/>
                </w:tcPr>
                <w:p w14:paraId="16FAF62A" w14:textId="77777777" w:rsidR="00662F39" w:rsidRDefault="00662F39" w:rsidP="00BB2892">
                  <w:pPr>
                    <w:spacing w:before="0"/>
                  </w:pPr>
                  <w:r>
                    <w:t>Divisional Nursing Directors</w:t>
                  </w:r>
                </w:p>
              </w:tc>
              <w:tc>
                <w:tcPr>
                  <w:tcW w:w="7063" w:type="dxa"/>
                  <w:shd w:val="clear" w:color="auto" w:fill="auto"/>
                </w:tcPr>
                <w:p w14:paraId="34C25458" w14:textId="77777777" w:rsidR="00662F39" w:rsidRDefault="00662F39" w:rsidP="00662F39">
                  <w:pPr>
                    <w:pStyle w:val="Default"/>
                    <w:numPr>
                      <w:ilvl w:val="0"/>
                      <w:numId w:val="30"/>
                    </w:numPr>
                    <w:jc w:val="both"/>
                    <w:rPr>
                      <w:sz w:val="22"/>
                      <w:szCs w:val="22"/>
                    </w:rPr>
                  </w:pPr>
                  <w:r>
                    <w:rPr>
                      <w:sz w:val="22"/>
                      <w:szCs w:val="22"/>
                    </w:rPr>
                    <w:t xml:space="preserve">Supporting the Trust Policy within their division. </w:t>
                  </w:r>
                </w:p>
                <w:p w14:paraId="1E2A7875" w14:textId="77777777" w:rsidR="00662F39" w:rsidRDefault="00662F39" w:rsidP="00662F39">
                  <w:pPr>
                    <w:pStyle w:val="Default"/>
                    <w:ind w:left="360"/>
                    <w:jc w:val="both"/>
                    <w:rPr>
                      <w:sz w:val="22"/>
                      <w:szCs w:val="22"/>
                    </w:rPr>
                  </w:pPr>
                </w:p>
              </w:tc>
            </w:tr>
            <w:tr w:rsidR="00662F39" w14:paraId="62BEC54E" w14:textId="77777777" w:rsidTr="00662F39">
              <w:trPr>
                <w:trHeight w:val="699"/>
              </w:trPr>
              <w:tc>
                <w:tcPr>
                  <w:tcW w:w="1617" w:type="dxa"/>
                  <w:shd w:val="clear" w:color="auto" w:fill="auto"/>
                </w:tcPr>
                <w:p w14:paraId="03FCD491" w14:textId="77777777" w:rsidR="00662F39" w:rsidRDefault="00662F39" w:rsidP="00BB2892">
                  <w:pPr>
                    <w:spacing w:before="0"/>
                  </w:pPr>
                  <w:r>
                    <w:t>Medical Director</w:t>
                  </w:r>
                </w:p>
              </w:tc>
              <w:tc>
                <w:tcPr>
                  <w:tcW w:w="7063" w:type="dxa"/>
                  <w:shd w:val="clear" w:color="auto" w:fill="auto"/>
                </w:tcPr>
                <w:p w14:paraId="15736EDC" w14:textId="77777777" w:rsidR="00662F39" w:rsidRDefault="00662F39" w:rsidP="00662F39">
                  <w:pPr>
                    <w:pStyle w:val="Default"/>
                    <w:numPr>
                      <w:ilvl w:val="0"/>
                      <w:numId w:val="30"/>
                    </w:numPr>
                    <w:jc w:val="both"/>
                    <w:rPr>
                      <w:sz w:val="22"/>
                      <w:szCs w:val="22"/>
                    </w:rPr>
                  </w:pPr>
                  <w:r>
                    <w:rPr>
                      <w:sz w:val="22"/>
                      <w:szCs w:val="22"/>
                    </w:rPr>
                    <w:t>Supporting the implementation of the Trust Policy and addressing non-compliance with prescribing within ELFT</w:t>
                  </w:r>
                </w:p>
                <w:p w14:paraId="08709989" w14:textId="77777777" w:rsidR="00662F39" w:rsidRDefault="00662F39" w:rsidP="00662F39">
                  <w:pPr>
                    <w:pStyle w:val="Default"/>
                    <w:jc w:val="both"/>
                    <w:rPr>
                      <w:sz w:val="22"/>
                      <w:szCs w:val="22"/>
                    </w:rPr>
                  </w:pPr>
                </w:p>
              </w:tc>
            </w:tr>
          </w:tbl>
          <w:p w14:paraId="4BA42571" w14:textId="77777777" w:rsidR="00833E32" w:rsidRDefault="00833E32" w:rsidP="00662F39">
            <w:pPr>
              <w:rPr>
                <w:b/>
              </w:rPr>
            </w:pPr>
            <w:r w:rsidRPr="000C4F31">
              <w:rPr>
                <w:b/>
              </w:rPr>
              <w:t>Appendix B – Definitions Used</w:t>
            </w:r>
          </w:p>
          <w:p w14:paraId="733D2D4D" w14:textId="77777777" w:rsidR="00D72B70" w:rsidRDefault="00D72B70" w:rsidP="00D72B70">
            <w:pPr>
              <w:pStyle w:val="Default"/>
              <w:jc w:val="both"/>
              <w:rPr>
                <w:sz w:val="22"/>
                <w:szCs w:val="22"/>
              </w:rPr>
            </w:pPr>
            <w:r>
              <w:rPr>
                <w:b/>
                <w:bCs/>
                <w:sz w:val="22"/>
                <w:szCs w:val="22"/>
              </w:rPr>
              <w:t xml:space="preserve">Antimicrobial agents / medicine: </w:t>
            </w:r>
            <w:r>
              <w:rPr>
                <w:sz w:val="22"/>
                <w:szCs w:val="22"/>
              </w:rPr>
              <w:t>this includes medicines for treating bacterial, fungal, viral and parasitic infections.</w:t>
            </w:r>
          </w:p>
          <w:p w14:paraId="0CFFC73B" w14:textId="77777777" w:rsidR="00D72B70" w:rsidRDefault="00D72B70" w:rsidP="00D72B70">
            <w:pPr>
              <w:pStyle w:val="Default"/>
              <w:jc w:val="both"/>
              <w:rPr>
                <w:sz w:val="22"/>
                <w:szCs w:val="22"/>
              </w:rPr>
            </w:pPr>
          </w:p>
          <w:p w14:paraId="4B8AD768" w14:textId="77777777" w:rsidR="00D72B70" w:rsidRDefault="00D72B70" w:rsidP="00D72B70">
            <w:pPr>
              <w:pStyle w:val="Default"/>
              <w:jc w:val="both"/>
              <w:rPr>
                <w:sz w:val="22"/>
                <w:szCs w:val="22"/>
              </w:rPr>
            </w:pPr>
            <w:r>
              <w:rPr>
                <w:b/>
                <w:bCs/>
                <w:sz w:val="22"/>
                <w:szCs w:val="22"/>
              </w:rPr>
              <w:t xml:space="preserve">Antimicrobial formulary: </w:t>
            </w:r>
            <w:r>
              <w:rPr>
                <w:sz w:val="22"/>
                <w:szCs w:val="22"/>
              </w:rPr>
              <w:t>Antimicrobials included in the ELFT formulary have been agreed with input from local microbiologists, according to local processes and procedures. New antimicrobials will not be added to the ELFT formulary without advice from and agreement with the local microbiology services, following local formulary development procedures. Non-formulary antimicrobials should not be used except on the advice of the microbiologist.</w:t>
            </w:r>
          </w:p>
          <w:p w14:paraId="28769ABB" w14:textId="77777777" w:rsidR="00D72B70" w:rsidRDefault="00D72B70" w:rsidP="00D72B70">
            <w:pPr>
              <w:pStyle w:val="Default"/>
              <w:rPr>
                <w:sz w:val="22"/>
                <w:szCs w:val="22"/>
              </w:rPr>
            </w:pPr>
          </w:p>
          <w:p w14:paraId="691ACBA0" w14:textId="77777777" w:rsidR="00D72B70" w:rsidRDefault="00D72B70" w:rsidP="00D72B70">
            <w:pPr>
              <w:pStyle w:val="Default"/>
              <w:jc w:val="both"/>
              <w:rPr>
                <w:sz w:val="22"/>
                <w:szCs w:val="22"/>
              </w:rPr>
            </w:pPr>
            <w:r>
              <w:rPr>
                <w:b/>
                <w:bCs/>
                <w:sz w:val="22"/>
                <w:szCs w:val="22"/>
              </w:rPr>
              <w:t xml:space="preserve">Antimicrobial Treatment guidelines: </w:t>
            </w:r>
            <w:r>
              <w:rPr>
                <w:sz w:val="22"/>
                <w:szCs w:val="22"/>
              </w:rPr>
              <w:t xml:space="preserve">Guidelines are based on evidence and nationally approved guidelines when available. It is understood that guidelines will be followed when appropriate, but it is impractical to produce guidelines to cover all eventualities. Where guidelines do not exist or when prescribing has to deviate from guidance (i.e. failing therapy, allergy), a discussion should be had with a medical microbiologist (see </w:t>
            </w:r>
            <w:r w:rsidRPr="00C7349E">
              <w:rPr>
                <w:i/>
                <w:sz w:val="22"/>
                <w:szCs w:val="22"/>
              </w:rPr>
              <w:t xml:space="preserve">Appendix C </w:t>
            </w:r>
            <w:r>
              <w:rPr>
                <w:sz w:val="22"/>
                <w:szCs w:val="22"/>
              </w:rPr>
              <w:t>for contact details).</w:t>
            </w:r>
          </w:p>
          <w:p w14:paraId="4402B535" w14:textId="77777777" w:rsidR="00D72B70" w:rsidRDefault="00D72B70" w:rsidP="00D72B70">
            <w:pPr>
              <w:pStyle w:val="Default"/>
              <w:rPr>
                <w:sz w:val="22"/>
                <w:szCs w:val="22"/>
              </w:rPr>
            </w:pPr>
          </w:p>
          <w:p w14:paraId="36EE844D" w14:textId="77777777" w:rsidR="00D72B70" w:rsidRDefault="00D72B70" w:rsidP="003354D3">
            <w:pPr>
              <w:pStyle w:val="Default"/>
              <w:jc w:val="both"/>
              <w:rPr>
                <w:sz w:val="22"/>
                <w:szCs w:val="22"/>
              </w:rPr>
            </w:pPr>
            <w:r>
              <w:rPr>
                <w:b/>
                <w:bCs/>
                <w:sz w:val="22"/>
                <w:szCs w:val="22"/>
              </w:rPr>
              <w:t xml:space="preserve">Restricted Antimicrobials: </w:t>
            </w:r>
            <w:r>
              <w:rPr>
                <w:sz w:val="22"/>
                <w:szCs w:val="22"/>
              </w:rPr>
              <w:t xml:space="preserve">Certain antimicrobial agents are designated as ‘restricted’ antimicrobial agents according to local processes and procedures to help ensure the effectiveness of antimicrobials is preserved and reduce the emergence of resistance. Restricted antimicrobials must not be prescribed without the discussion and authorisation of the microbiologist. </w:t>
            </w:r>
          </w:p>
          <w:p w14:paraId="775653D6" w14:textId="77777777" w:rsidR="00D72B70" w:rsidRDefault="00D72B70" w:rsidP="003354D3">
            <w:pPr>
              <w:pStyle w:val="Default"/>
              <w:jc w:val="both"/>
              <w:rPr>
                <w:sz w:val="22"/>
                <w:szCs w:val="22"/>
              </w:rPr>
            </w:pPr>
            <w:r>
              <w:rPr>
                <w:sz w:val="22"/>
                <w:szCs w:val="22"/>
              </w:rPr>
              <w:t xml:space="preserve">Within ELFT restricted antimicrobials are defined according to areas covered by local microbiology services and guidelines (refer to </w:t>
            </w:r>
            <w:r w:rsidRPr="00D72B70">
              <w:rPr>
                <w:i/>
                <w:sz w:val="22"/>
                <w:szCs w:val="22"/>
              </w:rPr>
              <w:t>Appendix C</w:t>
            </w:r>
            <w:r>
              <w:rPr>
                <w:sz w:val="22"/>
                <w:szCs w:val="22"/>
              </w:rPr>
              <w:t xml:space="preserve">). </w:t>
            </w:r>
          </w:p>
          <w:p w14:paraId="45DB3F17" w14:textId="77777777" w:rsidR="00D72B70" w:rsidRDefault="00D72B70" w:rsidP="003354D3">
            <w:pPr>
              <w:pStyle w:val="Default"/>
              <w:jc w:val="both"/>
              <w:rPr>
                <w:sz w:val="22"/>
                <w:szCs w:val="22"/>
              </w:rPr>
            </w:pPr>
          </w:p>
          <w:p w14:paraId="0710230F" w14:textId="77777777" w:rsidR="00D72B70" w:rsidRDefault="00D2286E" w:rsidP="003354D3">
            <w:pPr>
              <w:pStyle w:val="Default"/>
              <w:jc w:val="both"/>
              <w:rPr>
                <w:sz w:val="22"/>
                <w:szCs w:val="22"/>
              </w:rPr>
            </w:pPr>
            <w:r>
              <w:rPr>
                <w:b/>
                <w:bCs/>
                <w:sz w:val="22"/>
                <w:szCs w:val="22"/>
              </w:rPr>
              <w:t>Health and Social care practitio</w:t>
            </w:r>
            <w:r w:rsidR="00D72B70">
              <w:rPr>
                <w:b/>
                <w:bCs/>
                <w:sz w:val="22"/>
                <w:szCs w:val="22"/>
              </w:rPr>
              <w:t xml:space="preserve">ner: </w:t>
            </w:r>
            <w:r w:rsidR="00D72B70">
              <w:rPr>
                <w:sz w:val="22"/>
                <w:szCs w:val="22"/>
              </w:rPr>
              <w:t xml:space="preserve">A term used to define the wider care team including but not limited to GPs, dentists, podiatrists, pharmacists, pharmacy technicians, nurses, consultants, registrars, Junior doctors microbiologists, infection control staff, community nurses, community matrons, case managers, domiciliary care workers, care home staff and social workers. </w:t>
            </w:r>
          </w:p>
          <w:p w14:paraId="111DB7CA" w14:textId="77777777" w:rsidR="003354D3" w:rsidRDefault="003354D3" w:rsidP="00D72B70">
            <w:pPr>
              <w:pStyle w:val="Default"/>
              <w:rPr>
                <w:sz w:val="22"/>
                <w:szCs w:val="22"/>
              </w:rPr>
            </w:pPr>
          </w:p>
          <w:p w14:paraId="3C2082D8" w14:textId="77777777" w:rsidR="00D72B70" w:rsidRDefault="00D72B70" w:rsidP="00D72B70">
            <w:pPr>
              <w:pStyle w:val="Default"/>
              <w:rPr>
                <w:sz w:val="22"/>
                <w:szCs w:val="22"/>
              </w:rPr>
            </w:pPr>
            <w:r>
              <w:rPr>
                <w:b/>
                <w:bCs/>
                <w:sz w:val="22"/>
                <w:szCs w:val="22"/>
              </w:rPr>
              <w:t xml:space="preserve">Prescribers: </w:t>
            </w:r>
            <w:r>
              <w:rPr>
                <w:sz w:val="22"/>
                <w:szCs w:val="22"/>
              </w:rPr>
              <w:t xml:space="preserve">This includes medical and non-medical prescribers </w:t>
            </w:r>
          </w:p>
          <w:p w14:paraId="464876BA" w14:textId="77777777" w:rsidR="003354D3" w:rsidRDefault="003354D3" w:rsidP="00D72B70">
            <w:pPr>
              <w:pStyle w:val="Default"/>
              <w:rPr>
                <w:sz w:val="22"/>
                <w:szCs w:val="22"/>
              </w:rPr>
            </w:pPr>
          </w:p>
          <w:p w14:paraId="64FFAABD" w14:textId="77777777" w:rsidR="00D72B70" w:rsidRPr="00ED69A2" w:rsidRDefault="00D72B70" w:rsidP="00D72B70">
            <w:pPr>
              <w:pStyle w:val="Default"/>
              <w:rPr>
                <w:sz w:val="22"/>
                <w:szCs w:val="22"/>
                <w:lang w:val="it-IT"/>
              </w:rPr>
            </w:pPr>
            <w:r w:rsidRPr="00ED69A2">
              <w:rPr>
                <w:b/>
                <w:bCs/>
                <w:sz w:val="22"/>
                <w:szCs w:val="22"/>
                <w:lang w:val="it-IT"/>
              </w:rPr>
              <w:t xml:space="preserve">C.Difficile: </w:t>
            </w:r>
            <w:r w:rsidRPr="00ED69A2">
              <w:rPr>
                <w:sz w:val="22"/>
                <w:szCs w:val="22"/>
                <w:lang w:val="it-IT"/>
              </w:rPr>
              <w:t xml:space="preserve">Clostridium Difficile </w:t>
            </w:r>
          </w:p>
          <w:p w14:paraId="3F460773" w14:textId="77777777" w:rsidR="00D72B70" w:rsidRPr="00ED69A2" w:rsidRDefault="00D72B70" w:rsidP="00D72B70">
            <w:pPr>
              <w:pStyle w:val="Default"/>
              <w:rPr>
                <w:sz w:val="22"/>
                <w:szCs w:val="22"/>
                <w:lang w:val="it-IT"/>
              </w:rPr>
            </w:pPr>
            <w:r w:rsidRPr="00ED69A2">
              <w:rPr>
                <w:b/>
                <w:bCs/>
                <w:sz w:val="22"/>
                <w:szCs w:val="22"/>
                <w:lang w:val="it-IT"/>
              </w:rPr>
              <w:t xml:space="preserve">CPE: </w:t>
            </w:r>
            <w:r w:rsidRPr="00ED69A2">
              <w:rPr>
                <w:sz w:val="22"/>
                <w:szCs w:val="22"/>
                <w:lang w:val="it-IT"/>
              </w:rPr>
              <w:t xml:space="preserve">Carbapenemase Producing Enterobacteriaceae </w:t>
            </w:r>
          </w:p>
          <w:p w14:paraId="7C98AB1A" w14:textId="77777777" w:rsidR="00D72B70" w:rsidRDefault="00D72B70" w:rsidP="00D72B70">
            <w:pPr>
              <w:pStyle w:val="Default"/>
              <w:rPr>
                <w:sz w:val="22"/>
                <w:szCs w:val="22"/>
              </w:rPr>
            </w:pPr>
            <w:r>
              <w:rPr>
                <w:b/>
                <w:bCs/>
                <w:sz w:val="22"/>
                <w:szCs w:val="22"/>
              </w:rPr>
              <w:t xml:space="preserve">ESBL: </w:t>
            </w:r>
            <w:r>
              <w:rPr>
                <w:sz w:val="22"/>
                <w:szCs w:val="22"/>
              </w:rPr>
              <w:t xml:space="preserve">Extended-Spectrum Beta-Lactamases </w:t>
            </w:r>
          </w:p>
          <w:p w14:paraId="07E90CF8" w14:textId="77777777" w:rsidR="00D72B70" w:rsidRDefault="00D72B70" w:rsidP="00D72B70">
            <w:pPr>
              <w:pStyle w:val="Default"/>
              <w:rPr>
                <w:sz w:val="22"/>
                <w:szCs w:val="22"/>
              </w:rPr>
            </w:pPr>
            <w:r>
              <w:rPr>
                <w:b/>
                <w:bCs/>
                <w:sz w:val="22"/>
                <w:szCs w:val="22"/>
              </w:rPr>
              <w:t>HCAI</w:t>
            </w:r>
            <w:r>
              <w:rPr>
                <w:sz w:val="22"/>
                <w:szCs w:val="22"/>
              </w:rPr>
              <w:t xml:space="preserve">: Healthcare Acquired Infections </w:t>
            </w:r>
          </w:p>
          <w:p w14:paraId="12A337C6" w14:textId="77777777" w:rsidR="00D72B70" w:rsidRDefault="00D72B70" w:rsidP="00D72B70">
            <w:pPr>
              <w:pStyle w:val="Default"/>
              <w:rPr>
                <w:sz w:val="22"/>
                <w:szCs w:val="22"/>
              </w:rPr>
            </w:pPr>
            <w:r>
              <w:rPr>
                <w:b/>
                <w:bCs/>
                <w:sz w:val="22"/>
                <w:szCs w:val="22"/>
              </w:rPr>
              <w:t xml:space="preserve">IPC: </w:t>
            </w:r>
            <w:r>
              <w:rPr>
                <w:sz w:val="22"/>
                <w:szCs w:val="22"/>
              </w:rPr>
              <w:t xml:space="preserve">Infection Prevention and Control </w:t>
            </w:r>
          </w:p>
          <w:p w14:paraId="1A9F6AD1" w14:textId="77777777" w:rsidR="00D72B70" w:rsidRDefault="00D72B70" w:rsidP="00D72B70">
            <w:pPr>
              <w:pStyle w:val="Default"/>
              <w:rPr>
                <w:sz w:val="22"/>
                <w:szCs w:val="22"/>
              </w:rPr>
            </w:pPr>
            <w:r>
              <w:rPr>
                <w:b/>
                <w:bCs/>
                <w:sz w:val="22"/>
                <w:szCs w:val="22"/>
              </w:rPr>
              <w:t>IPCC</w:t>
            </w:r>
            <w:r>
              <w:rPr>
                <w:sz w:val="22"/>
                <w:szCs w:val="22"/>
              </w:rPr>
              <w:t xml:space="preserve">: Infection Prevention and Control Committee. </w:t>
            </w:r>
          </w:p>
          <w:p w14:paraId="70D19D21" w14:textId="77777777" w:rsidR="00D72B70" w:rsidRDefault="00D72B70" w:rsidP="00D72B70">
            <w:pPr>
              <w:pStyle w:val="Default"/>
              <w:rPr>
                <w:sz w:val="22"/>
                <w:szCs w:val="22"/>
              </w:rPr>
            </w:pPr>
            <w:r>
              <w:rPr>
                <w:b/>
                <w:bCs/>
                <w:sz w:val="22"/>
                <w:szCs w:val="22"/>
              </w:rPr>
              <w:t xml:space="preserve">IV: </w:t>
            </w:r>
            <w:r>
              <w:rPr>
                <w:sz w:val="22"/>
                <w:szCs w:val="22"/>
              </w:rPr>
              <w:t xml:space="preserve">Intravenous </w:t>
            </w:r>
          </w:p>
          <w:p w14:paraId="3485E696" w14:textId="5A9059E2" w:rsidR="00D72B70" w:rsidRDefault="00D72B70" w:rsidP="00D72B70">
            <w:pPr>
              <w:pStyle w:val="Default"/>
              <w:rPr>
                <w:sz w:val="22"/>
                <w:szCs w:val="22"/>
              </w:rPr>
            </w:pPr>
            <w:r>
              <w:rPr>
                <w:b/>
                <w:bCs/>
                <w:sz w:val="22"/>
                <w:szCs w:val="22"/>
              </w:rPr>
              <w:t xml:space="preserve">MRSA: </w:t>
            </w:r>
            <w:r>
              <w:rPr>
                <w:sz w:val="22"/>
                <w:szCs w:val="22"/>
              </w:rPr>
              <w:t>Met</w:t>
            </w:r>
            <w:r w:rsidR="007A39F9">
              <w:rPr>
                <w:sz w:val="22"/>
                <w:szCs w:val="22"/>
              </w:rPr>
              <w:t>h</w:t>
            </w:r>
            <w:r>
              <w:rPr>
                <w:sz w:val="22"/>
                <w:szCs w:val="22"/>
              </w:rPr>
              <w:t xml:space="preserve">icillin Resistant Staphylococcus Aureus </w:t>
            </w:r>
          </w:p>
          <w:p w14:paraId="66653369" w14:textId="77EA7489" w:rsidR="00D72B70" w:rsidRPr="00D229FE" w:rsidRDefault="00C10D2C" w:rsidP="00D72B70">
            <w:pPr>
              <w:pStyle w:val="Default"/>
              <w:rPr>
                <w:b/>
                <w:bCs/>
                <w:sz w:val="22"/>
                <w:szCs w:val="22"/>
              </w:rPr>
            </w:pPr>
            <w:r>
              <w:rPr>
                <w:b/>
                <w:bCs/>
                <w:sz w:val="22"/>
                <w:szCs w:val="22"/>
              </w:rPr>
              <w:t xml:space="preserve">UKHSA: </w:t>
            </w:r>
            <w:r w:rsidRPr="00C10D2C">
              <w:rPr>
                <w:bCs/>
                <w:sz w:val="22"/>
                <w:szCs w:val="22"/>
              </w:rPr>
              <w:t>UK Health Security Agency</w:t>
            </w:r>
            <w:r w:rsidR="00D72B70">
              <w:rPr>
                <w:sz w:val="22"/>
                <w:szCs w:val="22"/>
              </w:rPr>
              <w:t xml:space="preserve"> </w:t>
            </w:r>
          </w:p>
          <w:p w14:paraId="537243CC" w14:textId="77777777" w:rsidR="00D72B70" w:rsidRPr="00ED69A2" w:rsidRDefault="00D72B70" w:rsidP="00D72B70">
            <w:pPr>
              <w:pStyle w:val="Default"/>
              <w:rPr>
                <w:sz w:val="22"/>
                <w:szCs w:val="22"/>
                <w:lang w:val="it-IT"/>
              </w:rPr>
            </w:pPr>
            <w:r w:rsidRPr="00ED69A2">
              <w:rPr>
                <w:b/>
                <w:bCs/>
                <w:sz w:val="22"/>
                <w:szCs w:val="22"/>
                <w:lang w:val="it-IT"/>
              </w:rPr>
              <w:t xml:space="preserve">PO: </w:t>
            </w:r>
            <w:r w:rsidRPr="00ED69A2">
              <w:rPr>
                <w:sz w:val="22"/>
                <w:szCs w:val="22"/>
                <w:lang w:val="it-IT"/>
              </w:rPr>
              <w:t xml:space="preserve">Oral </w:t>
            </w:r>
          </w:p>
          <w:p w14:paraId="619FBE3A" w14:textId="77777777" w:rsidR="00D72B70" w:rsidRPr="00ED69A2" w:rsidRDefault="00D72B70" w:rsidP="00D72B70">
            <w:pPr>
              <w:rPr>
                <w:b/>
                <w:lang w:val="it-IT"/>
              </w:rPr>
            </w:pPr>
            <w:r w:rsidRPr="00ED69A2">
              <w:rPr>
                <w:b/>
                <w:bCs/>
                <w:szCs w:val="22"/>
                <w:lang w:val="it-IT"/>
              </w:rPr>
              <w:t xml:space="preserve">VRE/GRE: </w:t>
            </w:r>
            <w:r w:rsidRPr="00ED69A2">
              <w:rPr>
                <w:szCs w:val="22"/>
                <w:lang w:val="it-IT"/>
              </w:rPr>
              <w:t>Vancomycin Resistant Enteroccocci / Glycopeptide Resistant Enterococci</w:t>
            </w:r>
          </w:p>
          <w:p w14:paraId="7E2AF58D" w14:textId="1837C8AD" w:rsidR="000C4F31" w:rsidRPr="00ED69A2" w:rsidRDefault="000C4F31" w:rsidP="00662F39">
            <w:pPr>
              <w:rPr>
                <w:lang w:val="it-IT"/>
              </w:rPr>
            </w:pPr>
          </w:p>
          <w:p w14:paraId="2F1A525D" w14:textId="77777777" w:rsidR="00945E64" w:rsidRPr="00ED69A2" w:rsidRDefault="00945E64" w:rsidP="00662F39">
            <w:pPr>
              <w:rPr>
                <w:lang w:val="it-IT"/>
              </w:rPr>
            </w:pPr>
          </w:p>
          <w:p w14:paraId="511B2592" w14:textId="77777777" w:rsidR="00C7349E" w:rsidRPr="00ED69A2" w:rsidRDefault="00C7349E" w:rsidP="00662F39">
            <w:pPr>
              <w:rPr>
                <w:lang w:val="it-IT"/>
              </w:rPr>
            </w:pPr>
          </w:p>
          <w:p w14:paraId="197D3BEA" w14:textId="77777777" w:rsidR="00AA02D2" w:rsidRPr="009B0122" w:rsidRDefault="00AA02D2" w:rsidP="00662F39">
            <w:pPr>
              <w:rPr>
                <w:b/>
                <w:szCs w:val="22"/>
              </w:rPr>
            </w:pPr>
            <w:r w:rsidRPr="009B0122">
              <w:rPr>
                <w:b/>
                <w:szCs w:val="22"/>
              </w:rPr>
              <w:t>Appendix C - lists the antimicrobial gui</w:t>
            </w:r>
            <w:r w:rsidR="00E257AD" w:rsidRPr="009B0122">
              <w:rPr>
                <w:b/>
                <w:szCs w:val="22"/>
              </w:rPr>
              <w:t>delines to be followed per site</w:t>
            </w:r>
          </w:p>
          <w:p w14:paraId="74704CBB" w14:textId="237059BE" w:rsidR="000171C6" w:rsidRDefault="000171C6" w:rsidP="00662F39">
            <w:pPr>
              <w:rPr>
                <w:szCs w:val="22"/>
              </w:rPr>
            </w:pPr>
            <w:r>
              <w:rPr>
                <w:szCs w:val="22"/>
              </w:rPr>
              <w:t>The following provides the local Antimicrobial treatment guideline that should be used at each site across ELFT. Further advice relating to specific patients can be obtained from the local Consultant Microbiologist / ELFT Infection Control doctor. Please contact the appropriate microbiology department and ask for the duty consultant / registrar. Out of hours advice will be via the r</w:t>
            </w:r>
            <w:r w:rsidR="00A27BBC">
              <w:rPr>
                <w:szCs w:val="22"/>
              </w:rPr>
              <w:t xml:space="preserve">espective on-call service. </w:t>
            </w:r>
          </w:p>
          <w:p w14:paraId="133CA224" w14:textId="77777777" w:rsidR="00A27BBC" w:rsidRDefault="00A27BBC" w:rsidP="00A27BBC">
            <w:pPr>
              <w:pStyle w:val="Default"/>
              <w:rPr>
                <w:sz w:val="22"/>
                <w:szCs w:val="22"/>
              </w:rPr>
            </w:pPr>
            <w:r>
              <w:rPr>
                <w:sz w:val="22"/>
                <w:szCs w:val="22"/>
              </w:rPr>
              <w:t xml:space="preserve">See section 4.1 Antimicrobial Guidelines and Resources for more information </w:t>
            </w:r>
          </w:p>
          <w:p w14:paraId="1824EA77" w14:textId="3F1CC4F0" w:rsidR="000171C6" w:rsidRDefault="00A27BBC" w:rsidP="00A27BBC">
            <w:pPr>
              <w:rPr>
                <w:szCs w:val="22"/>
              </w:rPr>
            </w:pPr>
            <w:r>
              <w:rPr>
                <w:szCs w:val="22"/>
              </w:rPr>
              <w:t xml:space="preserve">ELFT services are associated with various partner organisations (Acute Hospital Trusts and </w:t>
            </w:r>
            <w:r w:rsidR="002226E1">
              <w:rPr>
                <w:szCs w:val="22"/>
              </w:rPr>
              <w:t>Integrated Care boards (ICB)</w:t>
            </w:r>
            <w:r>
              <w:rPr>
                <w:szCs w:val="22"/>
              </w:rPr>
              <w:t xml:space="preserve"> in certain areas and follow their antimicrobial treatment guidelines and formularies. ELFT works closely with the Trust responsible for the guideline and will ensure that the formulary is maintained and reviewed regularly. The formulary will indicate restrictions for use where necessary for specific agents.</w:t>
            </w:r>
          </w:p>
          <w:tbl>
            <w:tblPr>
              <w:tblStyle w:val="TableGrid"/>
              <w:tblW w:w="0" w:type="auto"/>
              <w:tblLayout w:type="fixed"/>
              <w:tblLook w:val="04A0" w:firstRow="1" w:lastRow="0" w:firstColumn="1" w:lastColumn="0" w:noHBand="0" w:noVBand="1"/>
            </w:tblPr>
            <w:tblGrid>
              <w:gridCol w:w="1592"/>
              <w:gridCol w:w="3680"/>
              <w:gridCol w:w="3260"/>
            </w:tblGrid>
            <w:tr w:rsidR="00B577EA" w14:paraId="39109092" w14:textId="77777777" w:rsidTr="00B577EA">
              <w:tc>
                <w:tcPr>
                  <w:tcW w:w="1592" w:type="dxa"/>
                  <w:shd w:val="clear" w:color="auto" w:fill="D9D9D9" w:themeFill="background1" w:themeFillShade="D9"/>
                </w:tcPr>
                <w:p w14:paraId="5B439139" w14:textId="77777777" w:rsidR="00B577EA" w:rsidRPr="00374B72" w:rsidRDefault="00374B72" w:rsidP="00C86D69">
                  <w:pPr>
                    <w:spacing w:before="0"/>
                    <w:rPr>
                      <w:b/>
                      <w:szCs w:val="22"/>
                    </w:rPr>
                  </w:pPr>
                  <w:r w:rsidRPr="00374B72">
                    <w:rPr>
                      <w:b/>
                      <w:szCs w:val="22"/>
                    </w:rPr>
                    <w:t>Locality</w:t>
                  </w:r>
                </w:p>
              </w:tc>
              <w:tc>
                <w:tcPr>
                  <w:tcW w:w="3680" w:type="dxa"/>
                  <w:shd w:val="clear" w:color="auto" w:fill="D9D9D9" w:themeFill="background1" w:themeFillShade="D9"/>
                </w:tcPr>
                <w:p w14:paraId="4A27282D" w14:textId="77777777" w:rsidR="00B577EA" w:rsidRPr="00374B72" w:rsidRDefault="00B577EA" w:rsidP="00C86D69">
                  <w:pPr>
                    <w:spacing w:before="0"/>
                    <w:rPr>
                      <w:b/>
                      <w:szCs w:val="22"/>
                    </w:rPr>
                  </w:pPr>
                  <w:r w:rsidRPr="00374B72">
                    <w:rPr>
                      <w:b/>
                      <w:szCs w:val="22"/>
                    </w:rPr>
                    <w:t>Antimicrobial</w:t>
                  </w:r>
                  <w:r w:rsidR="00322028">
                    <w:rPr>
                      <w:b/>
                      <w:szCs w:val="22"/>
                    </w:rPr>
                    <w:t>s</w:t>
                  </w:r>
                  <w:r w:rsidRPr="00374B72">
                    <w:rPr>
                      <w:b/>
                      <w:szCs w:val="22"/>
                    </w:rPr>
                    <w:t xml:space="preserve"> Guideline to be used</w:t>
                  </w:r>
                </w:p>
              </w:tc>
              <w:tc>
                <w:tcPr>
                  <w:tcW w:w="3260" w:type="dxa"/>
                  <w:shd w:val="clear" w:color="auto" w:fill="D9D9D9" w:themeFill="background1" w:themeFillShade="D9"/>
                </w:tcPr>
                <w:p w14:paraId="5B3D1279" w14:textId="77777777" w:rsidR="00B577EA" w:rsidRPr="00374B72" w:rsidRDefault="008D7808" w:rsidP="00C86D69">
                  <w:pPr>
                    <w:spacing w:before="0"/>
                    <w:rPr>
                      <w:b/>
                      <w:szCs w:val="22"/>
                    </w:rPr>
                  </w:pPr>
                  <w:r w:rsidRPr="00374B72">
                    <w:rPr>
                      <w:b/>
                      <w:szCs w:val="22"/>
                    </w:rPr>
                    <w:t>Path Lab</w:t>
                  </w:r>
                </w:p>
                <w:p w14:paraId="50FA9AC6" w14:textId="77777777" w:rsidR="00FE05B8" w:rsidRPr="00374B72" w:rsidRDefault="00FE05B8" w:rsidP="00C86D69">
                  <w:pPr>
                    <w:spacing w:before="0"/>
                    <w:rPr>
                      <w:b/>
                      <w:szCs w:val="22"/>
                    </w:rPr>
                  </w:pPr>
                </w:p>
              </w:tc>
            </w:tr>
            <w:tr w:rsidR="00B577EA" w14:paraId="037E1597" w14:textId="77777777" w:rsidTr="00B577EA">
              <w:tc>
                <w:tcPr>
                  <w:tcW w:w="1592" w:type="dxa"/>
                </w:tcPr>
                <w:p w14:paraId="4B87076E" w14:textId="77777777" w:rsidR="00B577EA" w:rsidRPr="00DF3BEC" w:rsidRDefault="00B577EA" w:rsidP="00C86D69">
                  <w:pPr>
                    <w:spacing w:before="0"/>
                    <w:rPr>
                      <w:szCs w:val="22"/>
                    </w:rPr>
                  </w:pPr>
                  <w:r w:rsidRPr="00DF3BEC">
                    <w:rPr>
                      <w:szCs w:val="22"/>
                    </w:rPr>
                    <w:t>Bedfordshire &amp; Luton</w:t>
                  </w:r>
                </w:p>
                <w:p w14:paraId="1634F15D" w14:textId="77777777" w:rsidR="00B577EA" w:rsidRPr="00DF3BEC" w:rsidRDefault="00B577EA" w:rsidP="00C86D69">
                  <w:pPr>
                    <w:spacing w:before="0"/>
                    <w:rPr>
                      <w:szCs w:val="22"/>
                    </w:rPr>
                  </w:pPr>
                </w:p>
              </w:tc>
              <w:tc>
                <w:tcPr>
                  <w:tcW w:w="3680" w:type="dxa"/>
                </w:tcPr>
                <w:p w14:paraId="081C2D91" w14:textId="1CF64D75" w:rsidR="00B577EA" w:rsidRDefault="002226E1" w:rsidP="009B0122">
                  <w:pPr>
                    <w:autoSpaceDE w:val="0"/>
                    <w:autoSpaceDN w:val="0"/>
                    <w:adjustRightInd w:val="0"/>
                    <w:spacing w:before="0"/>
                    <w:jc w:val="left"/>
                    <w:rPr>
                      <w:rFonts w:eastAsiaTheme="minorHAnsi" w:cs="Arial"/>
                      <w:szCs w:val="22"/>
                      <w:lang w:eastAsia="en-US"/>
                    </w:rPr>
                  </w:pPr>
                  <w:r>
                    <w:rPr>
                      <w:rFonts w:eastAsiaTheme="minorHAnsi" w:cs="Arial"/>
                      <w:szCs w:val="22"/>
                      <w:lang w:eastAsia="en-US"/>
                    </w:rPr>
                    <w:t xml:space="preserve">BLMK ICB Formularies </w:t>
                  </w:r>
                </w:p>
                <w:p w14:paraId="3C0CD0AB" w14:textId="03CE1EDF" w:rsidR="00DF63ED" w:rsidRDefault="001C523B" w:rsidP="009B0122">
                  <w:pPr>
                    <w:autoSpaceDE w:val="0"/>
                    <w:autoSpaceDN w:val="0"/>
                    <w:adjustRightInd w:val="0"/>
                    <w:spacing w:before="0"/>
                    <w:jc w:val="left"/>
                    <w:rPr>
                      <w:rStyle w:val="Hyperlink"/>
                      <w:rFonts w:eastAsiaTheme="minorHAnsi" w:cs="Arial"/>
                      <w:szCs w:val="22"/>
                      <w:lang w:eastAsia="en-US"/>
                    </w:rPr>
                  </w:pPr>
                  <w:hyperlink r:id="rId38" w:tgtFrame="_blank" w:history="1">
                    <w:r w:rsidRPr="001C523B">
                      <w:rPr>
                        <w:rStyle w:val="Hyperlink"/>
                        <w:rFonts w:eastAsiaTheme="minorHAnsi" w:cs="Arial"/>
                        <w:szCs w:val="22"/>
                        <w:lang w:eastAsia="en-US"/>
                      </w:rPr>
                      <w:t>https://www.bedsformulary.nhs.uk/</w:t>
                    </w:r>
                  </w:hyperlink>
                </w:p>
                <w:p w14:paraId="1582FD99" w14:textId="7C417F7A" w:rsidR="00D229FE" w:rsidRDefault="00D229FE" w:rsidP="009B0122">
                  <w:pPr>
                    <w:autoSpaceDE w:val="0"/>
                    <w:autoSpaceDN w:val="0"/>
                    <w:adjustRightInd w:val="0"/>
                    <w:spacing w:before="0"/>
                    <w:jc w:val="left"/>
                    <w:rPr>
                      <w:rFonts w:eastAsiaTheme="minorHAnsi" w:cs="Arial"/>
                      <w:szCs w:val="22"/>
                      <w:lang w:eastAsia="en-US"/>
                    </w:rPr>
                  </w:pPr>
                  <w:hyperlink r:id="rId39" w:tgtFrame="_blank" w:tooltip="Original URL: https://blmkantibioticspubliclive.azurewebsites.net/. Click or tap if you trust this link." w:history="1">
                    <w:r>
                      <w:rPr>
                        <w:rStyle w:val="Hyperlink"/>
                        <w:rFonts w:cs="Arial"/>
                        <w:szCs w:val="22"/>
                        <w:bdr w:val="none" w:sz="0" w:space="0" w:color="auto" w:frame="1"/>
                        <w:shd w:val="clear" w:color="auto" w:fill="FFFFFF"/>
                      </w:rPr>
                      <w:t>BLMK Antibiotics Live</w:t>
                    </w:r>
                  </w:hyperlink>
                </w:p>
                <w:p w14:paraId="52AE046A" w14:textId="77777777" w:rsidR="001C523B" w:rsidRDefault="001C523B" w:rsidP="009B0122">
                  <w:pPr>
                    <w:autoSpaceDE w:val="0"/>
                    <w:autoSpaceDN w:val="0"/>
                    <w:adjustRightInd w:val="0"/>
                    <w:spacing w:before="0"/>
                    <w:jc w:val="left"/>
                    <w:rPr>
                      <w:rFonts w:eastAsiaTheme="minorHAnsi" w:cs="Arial"/>
                      <w:szCs w:val="22"/>
                      <w:lang w:eastAsia="en-US"/>
                    </w:rPr>
                  </w:pPr>
                </w:p>
                <w:p w14:paraId="6DEB49B9" w14:textId="23B2C932" w:rsidR="00E6567A" w:rsidRDefault="00E6567A" w:rsidP="009B0122">
                  <w:pPr>
                    <w:autoSpaceDE w:val="0"/>
                    <w:autoSpaceDN w:val="0"/>
                    <w:adjustRightInd w:val="0"/>
                    <w:spacing w:before="0"/>
                    <w:jc w:val="left"/>
                    <w:rPr>
                      <w:rFonts w:eastAsiaTheme="minorHAnsi" w:cs="Arial"/>
                      <w:szCs w:val="22"/>
                      <w:lang w:eastAsia="en-US"/>
                    </w:rPr>
                  </w:pPr>
                  <w:r>
                    <w:rPr>
                      <w:rFonts w:eastAsiaTheme="minorHAnsi" w:cs="Arial"/>
                      <w:szCs w:val="22"/>
                      <w:lang w:eastAsia="en-US"/>
                    </w:rPr>
                    <w:t>Bedfordshire Hospitals foundation trust:</w:t>
                  </w:r>
                </w:p>
                <w:p w14:paraId="0C62C3A6" w14:textId="73FBFE2A" w:rsidR="007A3A3F" w:rsidRDefault="00E6567A" w:rsidP="00C86D69">
                  <w:pPr>
                    <w:spacing w:before="0"/>
                    <w:rPr>
                      <w:szCs w:val="22"/>
                    </w:rPr>
                  </w:pPr>
                  <w:hyperlink r:id="rId40" w:history="1">
                    <w:r w:rsidRPr="00D11D9D">
                      <w:rPr>
                        <w:rStyle w:val="Hyperlink"/>
                        <w:szCs w:val="22"/>
                      </w:rPr>
                      <w:t>https://www.eolasmedical.com/</w:t>
                    </w:r>
                  </w:hyperlink>
                </w:p>
                <w:p w14:paraId="5B970FF4" w14:textId="77777777" w:rsidR="00E6567A" w:rsidRDefault="00E6567A" w:rsidP="00C86D69">
                  <w:pPr>
                    <w:spacing w:before="0"/>
                    <w:rPr>
                      <w:szCs w:val="22"/>
                    </w:rPr>
                  </w:pPr>
                </w:p>
                <w:p w14:paraId="43F86E01" w14:textId="77777777" w:rsidR="007A3A3F" w:rsidRDefault="00255762" w:rsidP="00C86D69">
                  <w:pPr>
                    <w:spacing w:before="0"/>
                    <w:rPr>
                      <w:szCs w:val="22"/>
                    </w:rPr>
                  </w:pPr>
                  <w:r>
                    <w:rPr>
                      <w:szCs w:val="22"/>
                    </w:rPr>
                    <w:t>B&amp;L</w:t>
                  </w:r>
                  <w:r w:rsidR="007A3A3F">
                    <w:rPr>
                      <w:szCs w:val="22"/>
                    </w:rPr>
                    <w:t xml:space="preserve"> community:</w:t>
                  </w:r>
                </w:p>
                <w:p w14:paraId="2CA0E6C5" w14:textId="77777777" w:rsidR="007A3A3F" w:rsidRPr="00DF3BEC" w:rsidRDefault="007A3A3F" w:rsidP="00C86D69">
                  <w:pPr>
                    <w:spacing w:before="0"/>
                    <w:rPr>
                      <w:szCs w:val="22"/>
                    </w:rPr>
                  </w:pPr>
                  <w:hyperlink r:id="rId41" w:tgtFrame="_blank" w:history="1">
                    <w:r w:rsidRPr="007A3A3F">
                      <w:rPr>
                        <w:rStyle w:val="Hyperlink"/>
                        <w:szCs w:val="22"/>
                      </w:rPr>
                      <w:t>https://medicines.blmkccg.nhs.uk/wp-content/uploads/2020/09/antimicrobial-guidelines-updated-march-2021-NC.pdf</w:t>
                    </w:r>
                  </w:hyperlink>
                </w:p>
              </w:tc>
              <w:tc>
                <w:tcPr>
                  <w:tcW w:w="3260" w:type="dxa"/>
                </w:tcPr>
                <w:p w14:paraId="33C1D534" w14:textId="77777777" w:rsidR="00B577EA" w:rsidRPr="00DF3BEC" w:rsidRDefault="008D7808" w:rsidP="009B0122">
                  <w:pPr>
                    <w:autoSpaceDE w:val="0"/>
                    <w:autoSpaceDN w:val="0"/>
                    <w:adjustRightInd w:val="0"/>
                    <w:spacing w:before="0"/>
                    <w:jc w:val="left"/>
                    <w:rPr>
                      <w:rFonts w:eastAsiaTheme="minorHAnsi" w:cs="Arial"/>
                      <w:szCs w:val="22"/>
                      <w:lang w:eastAsia="en-US"/>
                    </w:rPr>
                  </w:pPr>
                  <w:r w:rsidRPr="00DF3BEC">
                    <w:rPr>
                      <w:rFonts w:eastAsiaTheme="minorHAnsi" w:cs="Arial"/>
                      <w:i/>
                      <w:szCs w:val="22"/>
                      <w:lang w:eastAsia="en-US"/>
                    </w:rPr>
                    <w:t>Bedford</w:t>
                  </w:r>
                  <w:r w:rsidRPr="00DF3BEC">
                    <w:rPr>
                      <w:rFonts w:eastAsiaTheme="minorHAnsi" w:cs="Arial"/>
                      <w:szCs w:val="22"/>
                      <w:lang w:eastAsia="en-US"/>
                    </w:rPr>
                    <w:t>: Bedford Hospital Path Lab – South Wing</w:t>
                  </w:r>
                </w:p>
                <w:p w14:paraId="2E1D0A3A" w14:textId="77777777" w:rsidR="008D7808" w:rsidRPr="00DF3BEC" w:rsidRDefault="008D7808" w:rsidP="009B0122">
                  <w:pPr>
                    <w:autoSpaceDE w:val="0"/>
                    <w:autoSpaceDN w:val="0"/>
                    <w:adjustRightInd w:val="0"/>
                    <w:spacing w:before="0"/>
                    <w:jc w:val="left"/>
                    <w:rPr>
                      <w:rFonts w:eastAsiaTheme="minorHAnsi" w:cs="Arial"/>
                      <w:szCs w:val="22"/>
                      <w:lang w:eastAsia="en-US"/>
                    </w:rPr>
                  </w:pPr>
                  <w:r w:rsidRPr="00DF3BEC">
                    <w:rPr>
                      <w:rFonts w:eastAsiaTheme="minorHAnsi" w:cs="Arial"/>
                      <w:szCs w:val="22"/>
                      <w:lang w:eastAsia="en-US"/>
                    </w:rPr>
                    <w:t>(courier collects specimens at 11:00hrs and 15:00hrs)</w:t>
                  </w:r>
                </w:p>
                <w:p w14:paraId="2B1E20D9" w14:textId="77777777" w:rsidR="008D7808" w:rsidRDefault="008D7808" w:rsidP="009B0122">
                  <w:pPr>
                    <w:autoSpaceDE w:val="0"/>
                    <w:autoSpaceDN w:val="0"/>
                    <w:adjustRightInd w:val="0"/>
                    <w:spacing w:before="0"/>
                    <w:jc w:val="left"/>
                    <w:rPr>
                      <w:rFonts w:eastAsiaTheme="minorHAnsi" w:cs="Arial"/>
                      <w:szCs w:val="22"/>
                      <w:lang w:eastAsia="en-US"/>
                    </w:rPr>
                  </w:pPr>
                </w:p>
                <w:p w14:paraId="3DDEED23" w14:textId="77777777" w:rsidR="00D2286E" w:rsidRDefault="00D2286E" w:rsidP="009B0122">
                  <w:pPr>
                    <w:autoSpaceDE w:val="0"/>
                    <w:autoSpaceDN w:val="0"/>
                    <w:adjustRightInd w:val="0"/>
                    <w:spacing w:before="0"/>
                    <w:jc w:val="left"/>
                    <w:rPr>
                      <w:rFonts w:eastAsiaTheme="minorHAnsi" w:cs="Arial"/>
                      <w:szCs w:val="22"/>
                      <w:lang w:eastAsia="en-US"/>
                    </w:rPr>
                  </w:pPr>
                </w:p>
                <w:p w14:paraId="2C3C3C6C" w14:textId="77777777" w:rsidR="00D2286E" w:rsidRDefault="00D2286E" w:rsidP="009B0122">
                  <w:pPr>
                    <w:autoSpaceDE w:val="0"/>
                    <w:autoSpaceDN w:val="0"/>
                    <w:adjustRightInd w:val="0"/>
                    <w:spacing w:before="0"/>
                    <w:jc w:val="left"/>
                    <w:rPr>
                      <w:rFonts w:eastAsiaTheme="minorHAnsi" w:cs="Arial"/>
                      <w:szCs w:val="22"/>
                      <w:lang w:eastAsia="en-US"/>
                    </w:rPr>
                  </w:pPr>
                </w:p>
                <w:p w14:paraId="1DE6B382" w14:textId="77777777" w:rsidR="00D2286E" w:rsidRPr="00DF3BEC" w:rsidRDefault="00D2286E" w:rsidP="009B0122">
                  <w:pPr>
                    <w:autoSpaceDE w:val="0"/>
                    <w:autoSpaceDN w:val="0"/>
                    <w:adjustRightInd w:val="0"/>
                    <w:spacing w:before="0"/>
                    <w:jc w:val="left"/>
                    <w:rPr>
                      <w:rFonts w:eastAsiaTheme="minorHAnsi" w:cs="Arial"/>
                      <w:szCs w:val="22"/>
                      <w:lang w:eastAsia="en-US"/>
                    </w:rPr>
                  </w:pPr>
                </w:p>
                <w:p w14:paraId="36814583" w14:textId="77777777" w:rsidR="008D7808" w:rsidRPr="00DF3BEC" w:rsidRDefault="008D7808" w:rsidP="009B0122">
                  <w:pPr>
                    <w:autoSpaceDE w:val="0"/>
                    <w:autoSpaceDN w:val="0"/>
                    <w:adjustRightInd w:val="0"/>
                    <w:spacing w:before="0"/>
                    <w:jc w:val="left"/>
                    <w:rPr>
                      <w:rFonts w:eastAsiaTheme="minorHAnsi" w:cs="Arial"/>
                      <w:szCs w:val="22"/>
                      <w:lang w:eastAsia="en-US"/>
                    </w:rPr>
                  </w:pPr>
                  <w:r w:rsidRPr="00DF3BEC">
                    <w:rPr>
                      <w:rFonts w:eastAsiaTheme="minorHAnsi" w:cs="Arial"/>
                      <w:i/>
                      <w:szCs w:val="22"/>
                      <w:lang w:eastAsia="en-US"/>
                    </w:rPr>
                    <w:t>Luton</w:t>
                  </w:r>
                  <w:r w:rsidRPr="00DF3BEC">
                    <w:rPr>
                      <w:rFonts w:eastAsiaTheme="minorHAnsi" w:cs="Arial"/>
                      <w:szCs w:val="22"/>
                      <w:lang w:eastAsia="en-US"/>
                    </w:rPr>
                    <w:t>: Luton and Dunstable Hospital Path Lab</w:t>
                  </w:r>
                </w:p>
                <w:p w14:paraId="185490C7" w14:textId="77777777" w:rsidR="008D7808" w:rsidRDefault="008D7808" w:rsidP="009B0122">
                  <w:pPr>
                    <w:autoSpaceDE w:val="0"/>
                    <w:autoSpaceDN w:val="0"/>
                    <w:adjustRightInd w:val="0"/>
                    <w:spacing w:before="0"/>
                    <w:jc w:val="left"/>
                    <w:rPr>
                      <w:rFonts w:eastAsiaTheme="minorHAnsi" w:cs="Arial"/>
                      <w:szCs w:val="22"/>
                      <w:lang w:eastAsia="en-US"/>
                    </w:rPr>
                  </w:pPr>
                  <w:r w:rsidRPr="00DF3BEC">
                    <w:rPr>
                      <w:rFonts w:eastAsiaTheme="minorHAnsi" w:cs="Arial"/>
                      <w:szCs w:val="22"/>
                      <w:lang w:eastAsia="en-US"/>
                    </w:rPr>
                    <w:t>(staff take specimens directly to the L&amp;D path lab)</w:t>
                  </w:r>
                </w:p>
                <w:p w14:paraId="7F42E221" w14:textId="77777777" w:rsidR="00D2286E" w:rsidRDefault="00D2286E" w:rsidP="009B0122">
                  <w:pPr>
                    <w:autoSpaceDE w:val="0"/>
                    <w:autoSpaceDN w:val="0"/>
                    <w:adjustRightInd w:val="0"/>
                    <w:spacing w:before="0"/>
                    <w:jc w:val="left"/>
                    <w:rPr>
                      <w:rFonts w:eastAsiaTheme="minorHAnsi" w:cs="Arial"/>
                      <w:szCs w:val="22"/>
                      <w:lang w:eastAsia="en-US"/>
                    </w:rPr>
                  </w:pPr>
                </w:p>
                <w:p w14:paraId="43EA02E6" w14:textId="77777777" w:rsidR="00D2286E" w:rsidRPr="00DF3BEC" w:rsidRDefault="00D2286E" w:rsidP="009B0122">
                  <w:pPr>
                    <w:autoSpaceDE w:val="0"/>
                    <w:autoSpaceDN w:val="0"/>
                    <w:adjustRightInd w:val="0"/>
                    <w:spacing w:before="0"/>
                    <w:jc w:val="left"/>
                    <w:rPr>
                      <w:rFonts w:eastAsiaTheme="minorHAnsi" w:cs="Arial"/>
                      <w:szCs w:val="22"/>
                      <w:lang w:eastAsia="en-US"/>
                    </w:rPr>
                  </w:pPr>
                </w:p>
              </w:tc>
            </w:tr>
            <w:tr w:rsidR="00B577EA" w14:paraId="3A661F19" w14:textId="77777777" w:rsidTr="00B577EA">
              <w:tc>
                <w:tcPr>
                  <w:tcW w:w="1592" w:type="dxa"/>
                </w:tcPr>
                <w:p w14:paraId="170EE1C7" w14:textId="77777777" w:rsidR="00B577EA" w:rsidRPr="00C86D69" w:rsidRDefault="00B577EA" w:rsidP="000E7DCD">
                  <w:pPr>
                    <w:spacing w:before="0"/>
                    <w:jc w:val="left"/>
                    <w:rPr>
                      <w:szCs w:val="22"/>
                    </w:rPr>
                  </w:pPr>
                  <w:r>
                    <w:rPr>
                      <w:szCs w:val="22"/>
                    </w:rPr>
                    <w:t>City and Hackney</w:t>
                  </w:r>
                </w:p>
              </w:tc>
              <w:tc>
                <w:tcPr>
                  <w:tcW w:w="3680" w:type="dxa"/>
                </w:tcPr>
                <w:p w14:paraId="30F8514E" w14:textId="77777777" w:rsidR="00B577EA" w:rsidRDefault="00B577EA" w:rsidP="00D451DC">
                  <w:pPr>
                    <w:spacing w:before="0"/>
                    <w:jc w:val="left"/>
                    <w:rPr>
                      <w:szCs w:val="22"/>
                    </w:rPr>
                  </w:pPr>
                  <w:r>
                    <w:rPr>
                      <w:szCs w:val="22"/>
                    </w:rPr>
                    <w:t>Homerton University Hospital Antimicrobial Guide</w:t>
                  </w:r>
                </w:p>
                <w:p w14:paraId="4D63A956" w14:textId="2017CD47" w:rsidR="00B577EA" w:rsidRDefault="00FD3635" w:rsidP="00C86D69">
                  <w:pPr>
                    <w:spacing w:before="0"/>
                    <w:rPr>
                      <w:szCs w:val="22"/>
                    </w:rPr>
                  </w:pPr>
                  <w:hyperlink r:id="rId42" w:history="1">
                    <w:r w:rsidRPr="00C15466">
                      <w:rPr>
                        <w:rStyle w:val="Hyperlink"/>
                        <w:szCs w:val="22"/>
                      </w:rPr>
                      <w:t>https://app.eolasmedical.com/auto-login/EOLAS%23ORG%23staging-homerton-university-hospital-nhs-foundation-trust%23bd5d3fc3-91c0-45f0-9e5d-393fb164ace5%23c738491f-be52-48eb-9263-e7e948041296</w:t>
                    </w:r>
                  </w:hyperlink>
                  <w:r>
                    <w:rPr>
                      <w:szCs w:val="22"/>
                    </w:rPr>
                    <w:t xml:space="preserve"> </w:t>
                  </w:r>
                </w:p>
                <w:p w14:paraId="036438CA" w14:textId="77777777" w:rsidR="00B577EA" w:rsidRPr="00C86D69" w:rsidRDefault="00B577EA" w:rsidP="00C86D69">
                  <w:pPr>
                    <w:spacing w:before="0"/>
                    <w:rPr>
                      <w:szCs w:val="22"/>
                    </w:rPr>
                  </w:pPr>
                </w:p>
              </w:tc>
              <w:tc>
                <w:tcPr>
                  <w:tcW w:w="3260" w:type="dxa"/>
                </w:tcPr>
                <w:p w14:paraId="36E34A1E" w14:textId="77777777" w:rsidR="002454D2" w:rsidRPr="002454D2" w:rsidRDefault="002454D2" w:rsidP="00D451DC">
                  <w:pPr>
                    <w:spacing w:before="0"/>
                    <w:jc w:val="left"/>
                    <w:rPr>
                      <w:szCs w:val="22"/>
                    </w:rPr>
                  </w:pPr>
                  <w:r w:rsidRPr="002454D2">
                    <w:rPr>
                      <w:szCs w:val="22"/>
                    </w:rPr>
                    <w:t>Staff take specimens directly to the Homerton path lab</w:t>
                  </w:r>
                </w:p>
                <w:p w14:paraId="489F253C" w14:textId="77777777" w:rsidR="002454D2" w:rsidRDefault="002454D2" w:rsidP="00D451DC">
                  <w:pPr>
                    <w:spacing w:before="0"/>
                    <w:jc w:val="left"/>
                    <w:rPr>
                      <w:szCs w:val="22"/>
                      <w:highlight w:val="yellow"/>
                    </w:rPr>
                  </w:pPr>
                </w:p>
                <w:p w14:paraId="1C643B73" w14:textId="77777777" w:rsidR="00B577EA" w:rsidRDefault="00D2286E" w:rsidP="00D451DC">
                  <w:pPr>
                    <w:spacing w:before="0"/>
                    <w:jc w:val="left"/>
                    <w:rPr>
                      <w:szCs w:val="22"/>
                    </w:rPr>
                  </w:pPr>
                  <w:r w:rsidRPr="005102D6">
                    <w:rPr>
                      <w:szCs w:val="22"/>
                    </w:rPr>
                    <w:t>Path Lab number:</w:t>
                  </w:r>
                </w:p>
                <w:p w14:paraId="4C497DA6" w14:textId="77777777" w:rsidR="00127782" w:rsidRDefault="00127782" w:rsidP="00D451DC">
                  <w:pPr>
                    <w:spacing w:before="0"/>
                    <w:jc w:val="left"/>
                    <w:rPr>
                      <w:szCs w:val="22"/>
                    </w:rPr>
                  </w:pPr>
                  <w:r w:rsidRPr="00127782">
                    <w:rPr>
                      <w:szCs w:val="22"/>
                    </w:rPr>
                    <w:t>0208510 7899 / 7889/7892</w:t>
                  </w:r>
                </w:p>
              </w:tc>
            </w:tr>
            <w:tr w:rsidR="00B577EA" w14:paraId="28EBE2B9" w14:textId="77777777" w:rsidTr="00B577EA">
              <w:tc>
                <w:tcPr>
                  <w:tcW w:w="1592" w:type="dxa"/>
                </w:tcPr>
                <w:p w14:paraId="7AC3DB18" w14:textId="77777777" w:rsidR="00B577EA" w:rsidRPr="00C86D69" w:rsidRDefault="00B577EA" w:rsidP="00077470">
                  <w:pPr>
                    <w:spacing w:before="0"/>
                    <w:jc w:val="left"/>
                    <w:rPr>
                      <w:szCs w:val="22"/>
                    </w:rPr>
                  </w:pPr>
                  <w:r>
                    <w:rPr>
                      <w:szCs w:val="22"/>
                    </w:rPr>
                    <w:t>Newham (inc CHN) and Tower Hamlets</w:t>
                  </w:r>
                </w:p>
              </w:tc>
              <w:tc>
                <w:tcPr>
                  <w:tcW w:w="3680" w:type="dxa"/>
                </w:tcPr>
                <w:p w14:paraId="46B91FD4" w14:textId="77777777" w:rsidR="003D0D14" w:rsidRPr="003D0D14" w:rsidRDefault="003D0D14" w:rsidP="003D0D14">
                  <w:pPr>
                    <w:spacing w:before="0"/>
                    <w:jc w:val="left"/>
                    <w:rPr>
                      <w:i/>
                      <w:szCs w:val="22"/>
                    </w:rPr>
                  </w:pPr>
                  <w:r w:rsidRPr="003D0D14">
                    <w:rPr>
                      <w:i/>
                      <w:szCs w:val="22"/>
                    </w:rPr>
                    <w:t>For Secondary Care:</w:t>
                  </w:r>
                </w:p>
                <w:p w14:paraId="4706E873" w14:textId="77777777" w:rsidR="00B577EA" w:rsidRDefault="00B577EA" w:rsidP="003D0D14">
                  <w:pPr>
                    <w:spacing w:before="0"/>
                    <w:jc w:val="left"/>
                    <w:rPr>
                      <w:szCs w:val="22"/>
                    </w:rPr>
                  </w:pPr>
                  <w:r>
                    <w:rPr>
                      <w:szCs w:val="22"/>
                    </w:rPr>
                    <w:t>Barts Health NHS Trust Antimicrobial Guide</w:t>
                  </w:r>
                </w:p>
                <w:p w14:paraId="6093F733" w14:textId="4C625A0B" w:rsidR="003D0D14" w:rsidRDefault="00FD3635" w:rsidP="00C86D69">
                  <w:pPr>
                    <w:spacing w:before="0"/>
                    <w:rPr>
                      <w:rStyle w:val="Hyperlink"/>
                      <w:szCs w:val="22"/>
                    </w:rPr>
                  </w:pPr>
                  <w:hyperlink r:id="rId43" w:history="1">
                    <w:r w:rsidRPr="00C15466">
                      <w:rPr>
                        <w:rStyle w:val="Hyperlink"/>
                        <w:szCs w:val="22"/>
                      </w:rPr>
                      <w:t>https://app.eolasmedical.com/organisation/Barts%20Health%20NHS%20Trust</w:t>
                    </w:r>
                  </w:hyperlink>
                </w:p>
                <w:p w14:paraId="7BDBD52E" w14:textId="77777777" w:rsidR="00FD3635" w:rsidRDefault="00FD3635" w:rsidP="00C86D69">
                  <w:pPr>
                    <w:spacing w:before="0"/>
                    <w:rPr>
                      <w:rStyle w:val="Hyperlink"/>
                      <w:szCs w:val="22"/>
                    </w:rPr>
                  </w:pPr>
                </w:p>
                <w:p w14:paraId="277F4ECC" w14:textId="77777777" w:rsidR="003D0D14" w:rsidRPr="003D0D14" w:rsidRDefault="003D0D14" w:rsidP="00C86D69">
                  <w:pPr>
                    <w:spacing w:before="0"/>
                    <w:rPr>
                      <w:rStyle w:val="Hyperlink"/>
                      <w:i/>
                      <w:color w:val="auto"/>
                      <w:u w:val="none"/>
                    </w:rPr>
                  </w:pPr>
                  <w:r w:rsidRPr="003D0D14">
                    <w:rPr>
                      <w:rStyle w:val="Hyperlink"/>
                      <w:i/>
                      <w:color w:val="auto"/>
                      <w:u w:val="none"/>
                    </w:rPr>
                    <w:t>For Primary care:</w:t>
                  </w:r>
                </w:p>
                <w:p w14:paraId="59FEB7D5" w14:textId="77777777" w:rsidR="00B577EA" w:rsidRPr="00D451DC" w:rsidRDefault="003D0D14" w:rsidP="00255762">
                  <w:pPr>
                    <w:spacing w:before="0"/>
                    <w:rPr>
                      <w:b/>
                      <w:szCs w:val="22"/>
                    </w:rPr>
                  </w:pPr>
                  <w:r>
                    <w:rPr>
                      <w:rStyle w:val="Hyperlink"/>
                      <w:color w:val="auto"/>
                      <w:u w:val="none"/>
                    </w:rPr>
                    <w:t>North East London (NEL) Management of Infection Guidance</w:t>
                  </w:r>
                </w:p>
              </w:tc>
              <w:tc>
                <w:tcPr>
                  <w:tcW w:w="3260" w:type="dxa"/>
                </w:tcPr>
                <w:p w14:paraId="1BDF4A69" w14:textId="77777777" w:rsidR="00B577EA" w:rsidRDefault="00691252" w:rsidP="00D451DC">
                  <w:pPr>
                    <w:spacing w:before="0"/>
                    <w:jc w:val="left"/>
                    <w:rPr>
                      <w:szCs w:val="22"/>
                    </w:rPr>
                  </w:pPr>
                  <w:r w:rsidRPr="00691252">
                    <w:rPr>
                      <w:szCs w:val="22"/>
                    </w:rPr>
                    <w:t>Switchboard number for Path Lab</w:t>
                  </w:r>
                  <w:r w:rsidR="00D2286E" w:rsidRPr="00691252">
                    <w:rPr>
                      <w:szCs w:val="22"/>
                    </w:rPr>
                    <w:t>:</w:t>
                  </w:r>
                </w:p>
                <w:p w14:paraId="6036646D" w14:textId="77777777" w:rsidR="00691252" w:rsidRDefault="00691252" w:rsidP="00D451DC">
                  <w:pPr>
                    <w:spacing w:before="0"/>
                    <w:jc w:val="left"/>
                    <w:rPr>
                      <w:szCs w:val="22"/>
                    </w:rPr>
                  </w:pPr>
                  <w:r w:rsidRPr="00691252">
                    <w:rPr>
                      <w:szCs w:val="22"/>
                    </w:rPr>
                    <w:t>02073777000</w:t>
                  </w:r>
                </w:p>
                <w:p w14:paraId="21B791FA" w14:textId="77777777" w:rsidR="00D17A64" w:rsidRDefault="00D17A64" w:rsidP="00D451DC">
                  <w:pPr>
                    <w:spacing w:before="0"/>
                    <w:jc w:val="left"/>
                    <w:rPr>
                      <w:szCs w:val="22"/>
                    </w:rPr>
                  </w:pPr>
                </w:p>
                <w:p w14:paraId="1A67D846" w14:textId="77777777" w:rsidR="005E0631" w:rsidRDefault="005E0631" w:rsidP="00D451DC">
                  <w:pPr>
                    <w:spacing w:before="0"/>
                    <w:jc w:val="left"/>
                    <w:rPr>
                      <w:szCs w:val="22"/>
                    </w:rPr>
                  </w:pPr>
                </w:p>
                <w:p w14:paraId="1CE0AE9A" w14:textId="77777777" w:rsidR="005E0631" w:rsidRDefault="005E0631" w:rsidP="00D451DC">
                  <w:pPr>
                    <w:spacing w:before="0"/>
                    <w:jc w:val="left"/>
                    <w:rPr>
                      <w:szCs w:val="22"/>
                    </w:rPr>
                  </w:pPr>
                </w:p>
                <w:p w14:paraId="7297141F" w14:textId="77777777" w:rsidR="00D17A64" w:rsidRDefault="005E0631" w:rsidP="00D451DC">
                  <w:pPr>
                    <w:spacing w:before="0"/>
                    <w:jc w:val="left"/>
                    <w:rPr>
                      <w:szCs w:val="22"/>
                    </w:rPr>
                  </w:pPr>
                  <w:r w:rsidRPr="005E0631">
                    <w:rPr>
                      <w:szCs w:val="22"/>
                    </w:rPr>
                    <w:t>https://northeastlondon.icb.nhs.uk/your-health/antimicrobial-resistance/</w:t>
                  </w:r>
                </w:p>
              </w:tc>
            </w:tr>
          </w:tbl>
          <w:p w14:paraId="41A4F187" w14:textId="77777777" w:rsidR="00786071" w:rsidRDefault="00786071" w:rsidP="00C20B75">
            <w:pPr>
              <w:pStyle w:val="Default"/>
              <w:rPr>
                <w:b/>
                <w:bCs/>
                <w:sz w:val="22"/>
                <w:szCs w:val="22"/>
              </w:rPr>
            </w:pPr>
          </w:p>
          <w:p w14:paraId="404CCDCC" w14:textId="77777777" w:rsidR="00786071" w:rsidRDefault="00786071" w:rsidP="00C20B75">
            <w:pPr>
              <w:pStyle w:val="Default"/>
              <w:rPr>
                <w:b/>
                <w:bCs/>
                <w:sz w:val="22"/>
                <w:szCs w:val="22"/>
              </w:rPr>
            </w:pPr>
          </w:p>
          <w:p w14:paraId="7C65979D" w14:textId="7E530ED2" w:rsidR="00C20B75" w:rsidRDefault="00C20B75" w:rsidP="00C20B75">
            <w:pPr>
              <w:pStyle w:val="Default"/>
              <w:rPr>
                <w:sz w:val="22"/>
                <w:szCs w:val="22"/>
              </w:rPr>
            </w:pPr>
            <w:r>
              <w:rPr>
                <w:b/>
                <w:bCs/>
                <w:sz w:val="22"/>
                <w:szCs w:val="22"/>
              </w:rPr>
              <w:t xml:space="preserve">Resources: </w:t>
            </w:r>
          </w:p>
          <w:p w14:paraId="60765C04" w14:textId="77777777" w:rsidR="00A27BBC" w:rsidRDefault="00C20B75" w:rsidP="00C20B75">
            <w:pPr>
              <w:rPr>
                <w:szCs w:val="22"/>
              </w:rPr>
            </w:pPr>
            <w:r>
              <w:rPr>
                <w:szCs w:val="22"/>
              </w:rPr>
              <w:t>As well as local antimicrobial guidelines prescribers can refer to the following resources for guidance on antimicrobial prescribing:</w:t>
            </w:r>
          </w:p>
          <w:p w14:paraId="37B4FA91" w14:textId="77777777" w:rsidR="00C20B75" w:rsidRDefault="00C20B75" w:rsidP="00C20B75">
            <w:pPr>
              <w:pStyle w:val="ListParagraph"/>
              <w:numPr>
                <w:ilvl w:val="0"/>
                <w:numId w:val="31"/>
              </w:numPr>
              <w:rPr>
                <w:szCs w:val="22"/>
              </w:rPr>
            </w:pPr>
            <w:r>
              <w:rPr>
                <w:szCs w:val="22"/>
              </w:rPr>
              <w:t xml:space="preserve">Public Health England: Primary Care Guidance: Diagnosing and Managing Infections: </w:t>
            </w:r>
            <w:hyperlink r:id="rId44" w:anchor="documents" w:history="1">
              <w:r w:rsidRPr="00B32BE8">
                <w:rPr>
                  <w:rStyle w:val="Hyperlink"/>
                  <w:szCs w:val="22"/>
                </w:rPr>
                <w:t>https://www.gov.uk/government/collections/primary-care-guidance-diagnosing-and-managing-infections#documents</w:t>
              </w:r>
            </w:hyperlink>
          </w:p>
          <w:p w14:paraId="34FD62D8" w14:textId="5AC4D393" w:rsidR="00C20B75" w:rsidRDefault="00C20B75" w:rsidP="00C20B75">
            <w:pPr>
              <w:pStyle w:val="ListParagraph"/>
              <w:numPr>
                <w:ilvl w:val="0"/>
                <w:numId w:val="31"/>
              </w:numPr>
              <w:rPr>
                <w:szCs w:val="22"/>
              </w:rPr>
            </w:pPr>
            <w:r>
              <w:rPr>
                <w:szCs w:val="22"/>
              </w:rPr>
              <w:t xml:space="preserve">NICE Pathways: </w:t>
            </w:r>
          </w:p>
          <w:p w14:paraId="4D3C87DD" w14:textId="77777777" w:rsidR="00A27931" w:rsidRDefault="00A27931" w:rsidP="00A27931">
            <w:pPr>
              <w:pStyle w:val="ListParagraph"/>
              <w:rPr>
                <w:szCs w:val="22"/>
              </w:rPr>
            </w:pPr>
            <w:hyperlink r:id="rId45" w:history="1">
              <w:r w:rsidRPr="005801EA">
                <w:rPr>
                  <w:rStyle w:val="Hyperlink"/>
                  <w:szCs w:val="22"/>
                </w:rPr>
                <w:t>https://www.nice.org.uk/about/what-we-do/our-programmes/nice-guidance/nice-guidelines</w:t>
              </w:r>
            </w:hyperlink>
          </w:p>
          <w:p w14:paraId="77C5CDF5" w14:textId="1B8EB82E" w:rsidR="00C20B75" w:rsidRPr="00A27931" w:rsidRDefault="00C20B75" w:rsidP="00A27931">
            <w:pPr>
              <w:pStyle w:val="ListParagraph"/>
              <w:numPr>
                <w:ilvl w:val="0"/>
                <w:numId w:val="31"/>
              </w:numPr>
              <w:rPr>
                <w:szCs w:val="22"/>
              </w:rPr>
            </w:pPr>
            <w:r w:rsidRPr="00A27931">
              <w:rPr>
                <w:szCs w:val="22"/>
              </w:rPr>
              <w:t xml:space="preserve">NICE Guidance: Respiratory tract infections (self-limiting): prescribing antibiotics </w:t>
            </w:r>
            <w:hyperlink r:id="rId46" w:history="1">
              <w:r w:rsidRPr="00A27931">
                <w:rPr>
                  <w:rStyle w:val="Hyperlink"/>
                  <w:szCs w:val="22"/>
                </w:rPr>
                <w:t>https://www.nice.org.uk/guidance/cg69</w:t>
              </w:r>
            </w:hyperlink>
          </w:p>
          <w:p w14:paraId="7A7B39DE" w14:textId="5B939703" w:rsidR="00C20B75" w:rsidRDefault="005522B0" w:rsidP="00C20B75">
            <w:pPr>
              <w:pStyle w:val="ListParagraph"/>
              <w:numPr>
                <w:ilvl w:val="0"/>
                <w:numId w:val="31"/>
              </w:numPr>
              <w:rPr>
                <w:szCs w:val="22"/>
              </w:rPr>
            </w:pPr>
            <w:r>
              <w:rPr>
                <w:szCs w:val="22"/>
              </w:rPr>
              <w:t xml:space="preserve">TARGET toolkit (Treat Antibiotics Responsibly, Guidance, Education, Tools) </w:t>
            </w:r>
            <w:r w:rsidR="00D229FE">
              <w:rPr>
                <w:rFonts w:cs="Arial"/>
                <w:color w:val="000000"/>
                <w:szCs w:val="22"/>
                <w:shd w:val="clear" w:color="auto" w:fill="FFFFFF"/>
              </w:rPr>
              <w:t> </w:t>
            </w:r>
            <w:hyperlink r:id="rId47" w:tgtFrame="_blank" w:tooltip="Original URL: https://elearning.rcgp.org.uk/course/view.php?id=553&amp;gad_source=1&amp;gclid=EAIaIQobChMImKCZsLT_iwMVkqNQBh33iTSFEAAYASAAEgJAePD_BwE. Click or tap if you trust this link." w:history="1">
              <w:r w:rsidR="00D229FE">
                <w:rPr>
                  <w:rStyle w:val="Hyperlink"/>
                  <w:rFonts w:cs="Arial"/>
                  <w:szCs w:val="22"/>
                  <w:bdr w:val="none" w:sz="0" w:space="0" w:color="auto" w:frame="1"/>
                  <w:shd w:val="clear" w:color="auto" w:fill="FFFFFF"/>
                </w:rPr>
                <w:t>Course: TARGET antibiotics toolkit hub | RCGP Learning</w:t>
              </w:r>
            </w:hyperlink>
          </w:p>
          <w:p w14:paraId="1C38EFEA" w14:textId="3DE61716" w:rsidR="00E0507E" w:rsidRPr="00495A91" w:rsidRDefault="005522B0" w:rsidP="00A97018">
            <w:pPr>
              <w:pStyle w:val="ListParagraph"/>
              <w:numPr>
                <w:ilvl w:val="0"/>
                <w:numId w:val="31"/>
              </w:numPr>
              <w:jc w:val="left"/>
              <w:rPr>
                <w:rStyle w:val="Hyperlink"/>
                <w:color w:val="auto"/>
                <w:szCs w:val="22"/>
                <w:u w:val="none"/>
              </w:rPr>
            </w:pPr>
            <w:r>
              <w:rPr>
                <w:szCs w:val="22"/>
              </w:rPr>
              <w:t xml:space="preserve">Start SMART, then FOCUS Toolkit </w:t>
            </w:r>
            <w:hyperlink r:id="rId48" w:history="1">
              <w:r w:rsidRPr="00B32BE8">
                <w:rPr>
                  <w:rStyle w:val="Hyperlink"/>
                  <w:szCs w:val="22"/>
                </w:rPr>
                <w:t>https://assets.publishing.service.gov.uk/government/uploads/system/uploads/attachment_data/file/417032/Start_Smart_Then_Focus_FINAL.PDF</w:t>
              </w:r>
            </w:hyperlink>
          </w:p>
          <w:p w14:paraId="3F1081CE" w14:textId="70A38576" w:rsidR="00495A91" w:rsidRDefault="00495A91" w:rsidP="00A97018">
            <w:pPr>
              <w:pStyle w:val="ListParagraph"/>
              <w:numPr>
                <w:ilvl w:val="0"/>
                <w:numId w:val="31"/>
              </w:numPr>
              <w:jc w:val="left"/>
              <w:rPr>
                <w:rStyle w:val="Hyperlink"/>
                <w:color w:val="auto"/>
                <w:szCs w:val="22"/>
                <w:u w:val="none"/>
              </w:rPr>
            </w:pPr>
            <w:r>
              <w:rPr>
                <w:rStyle w:val="Hyperlink"/>
                <w:color w:val="auto"/>
                <w:szCs w:val="22"/>
                <w:u w:val="none"/>
              </w:rPr>
              <w:t>Patient information leaflet on TARGET for those facing respiratory illness</w:t>
            </w:r>
          </w:p>
          <w:p w14:paraId="4C43E65E" w14:textId="3DB83430" w:rsidR="00495A91" w:rsidRPr="00495A91" w:rsidRDefault="00495A91" w:rsidP="00495A91">
            <w:pPr>
              <w:pStyle w:val="ListParagraph"/>
              <w:jc w:val="left"/>
              <w:rPr>
                <w:rStyle w:val="Hyperlink"/>
                <w:color w:val="auto"/>
                <w:szCs w:val="22"/>
                <w:u w:val="none"/>
              </w:rPr>
            </w:pPr>
            <w:hyperlink r:id="rId49" w:tgtFrame="_blank" w:tooltip="Original URL: https://elearning.rcgp.org.uk/mod/book/view.php?id=12653. Click or tap if you trust this link." w:history="1">
              <w:r>
                <w:rPr>
                  <w:rStyle w:val="Hyperlink"/>
                  <w:rFonts w:cs="Arial"/>
                  <w:szCs w:val="22"/>
                  <w:bdr w:val="none" w:sz="0" w:space="0" w:color="auto" w:frame="1"/>
                  <w:shd w:val="clear" w:color="auto" w:fill="FFFFFF"/>
                </w:rPr>
                <w:t>Respiratory tract infection resource suite: Patient facing materials | RCGP Learning</w:t>
              </w:r>
            </w:hyperlink>
          </w:p>
          <w:p w14:paraId="68112040" w14:textId="222E2016" w:rsidR="00495A91" w:rsidRPr="00A97018" w:rsidRDefault="00495A91" w:rsidP="00495A91">
            <w:pPr>
              <w:pStyle w:val="ListParagraph"/>
              <w:jc w:val="left"/>
              <w:rPr>
                <w:szCs w:val="22"/>
              </w:rPr>
            </w:pPr>
          </w:p>
          <w:p w14:paraId="5964DEA9" w14:textId="4D19E600" w:rsidR="001C67D1" w:rsidRPr="00564BE1" w:rsidRDefault="001C67D1" w:rsidP="00564BE1">
            <w:pPr>
              <w:rPr>
                <w:b/>
                <w:bCs/>
              </w:rPr>
            </w:pPr>
            <w:r w:rsidRPr="00564BE1">
              <w:rPr>
                <w:b/>
                <w:bCs/>
              </w:rPr>
              <w:t>Appendix D - Start Smart Then Focus Algorithm</w:t>
            </w:r>
          </w:p>
          <w:p w14:paraId="0DBEED76" w14:textId="77777777" w:rsidR="00564BE1" w:rsidRDefault="00564BE1" w:rsidP="00564BE1">
            <w:pPr>
              <w:rPr>
                <w:bCs/>
              </w:rPr>
            </w:pPr>
            <w:r w:rsidRPr="00564BE1">
              <w:rPr>
                <w:bCs/>
                <w:noProof/>
              </w:rPr>
              <w:drawing>
                <wp:inline distT="0" distB="0" distL="0" distR="0" wp14:anchorId="1B0697DA" wp14:editId="66FC352C">
                  <wp:extent cx="5454015" cy="396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56998" cy="3964567"/>
                          </a:xfrm>
                          <a:prstGeom prst="rect">
                            <a:avLst/>
                          </a:prstGeom>
                          <a:noFill/>
                          <a:ln>
                            <a:noFill/>
                          </a:ln>
                        </pic:spPr>
                      </pic:pic>
                    </a:graphicData>
                  </a:graphic>
                </wp:inline>
              </w:drawing>
            </w:r>
          </w:p>
          <w:p w14:paraId="70A88934" w14:textId="77777777" w:rsidR="000E2551" w:rsidRDefault="000E2551" w:rsidP="000E2551">
            <w:pPr>
              <w:rPr>
                <w:b/>
                <w:bCs/>
              </w:rPr>
            </w:pPr>
          </w:p>
          <w:p w14:paraId="0CA478B8" w14:textId="77777777" w:rsidR="00564BE1" w:rsidRPr="000E2551" w:rsidRDefault="003A52A9" w:rsidP="000E2551">
            <w:pPr>
              <w:rPr>
                <w:b/>
                <w:bCs/>
              </w:rPr>
            </w:pPr>
            <w:r w:rsidRPr="00564BE1">
              <w:rPr>
                <w:b/>
                <w:bCs/>
              </w:rPr>
              <w:t>Appendix E</w:t>
            </w:r>
            <w:r w:rsidR="00B91352" w:rsidRPr="00564BE1">
              <w:rPr>
                <w:b/>
                <w:bCs/>
              </w:rPr>
              <w:t xml:space="preserve"> – Hypersensitivity Reactions and Allergy Status</w:t>
            </w:r>
          </w:p>
          <w:p w14:paraId="1CB7E2D1" w14:textId="77777777" w:rsidR="00564BE1" w:rsidRDefault="00564BE1" w:rsidP="00564BE1">
            <w:pPr>
              <w:pStyle w:val="Default"/>
              <w:rPr>
                <w:sz w:val="22"/>
                <w:szCs w:val="22"/>
              </w:rPr>
            </w:pPr>
            <w:r>
              <w:rPr>
                <w:sz w:val="22"/>
                <w:szCs w:val="22"/>
              </w:rPr>
              <w:t>Hypersensitivity reactions can be broadly classified into four groups according to the time to onset of symptoms following administration of the medicine</w:t>
            </w:r>
            <w:r>
              <w:rPr>
                <w:sz w:val="14"/>
                <w:szCs w:val="14"/>
              </w:rPr>
              <w:t>1</w:t>
            </w:r>
            <w:r>
              <w:rPr>
                <w:sz w:val="22"/>
                <w:szCs w:val="22"/>
              </w:rPr>
              <w:t xml:space="preserve">. These are: </w:t>
            </w:r>
          </w:p>
          <w:p w14:paraId="558539B3" w14:textId="7000314B" w:rsidR="00564BE1" w:rsidRDefault="00564BE1" w:rsidP="00564BE1">
            <w:pPr>
              <w:pStyle w:val="Default"/>
              <w:numPr>
                <w:ilvl w:val="0"/>
                <w:numId w:val="32"/>
              </w:numPr>
              <w:spacing w:after="12"/>
              <w:rPr>
                <w:sz w:val="22"/>
                <w:szCs w:val="22"/>
              </w:rPr>
            </w:pPr>
            <w:r>
              <w:rPr>
                <w:b/>
                <w:bCs/>
                <w:sz w:val="22"/>
                <w:szCs w:val="22"/>
              </w:rPr>
              <w:t xml:space="preserve">Immediate (Type I): </w:t>
            </w:r>
            <w:r>
              <w:rPr>
                <w:sz w:val="22"/>
                <w:szCs w:val="22"/>
              </w:rPr>
              <w:t xml:space="preserve">This occurs less than 1 hour after drug administration. Classical signs and symptoms include (either alone or in combination): anaphylactic shock, widespread urticaria (hives), angioedema (swelling of lips, tongue), broncho-constriction, diffuse erythema, pruritus, laryngeal oedema, hyperperistalsis, hypotension, or cardiac arrhythmias. </w:t>
            </w:r>
          </w:p>
          <w:p w14:paraId="730376B2" w14:textId="57E169C6" w:rsidR="00564BE1" w:rsidRDefault="00564BE1" w:rsidP="00564BE1">
            <w:pPr>
              <w:pStyle w:val="Default"/>
              <w:numPr>
                <w:ilvl w:val="0"/>
                <w:numId w:val="32"/>
              </w:numPr>
              <w:spacing w:after="12"/>
              <w:rPr>
                <w:sz w:val="22"/>
                <w:szCs w:val="22"/>
              </w:rPr>
            </w:pPr>
            <w:r w:rsidRPr="00564BE1">
              <w:rPr>
                <w:b/>
                <w:bCs/>
                <w:sz w:val="22"/>
                <w:szCs w:val="22"/>
              </w:rPr>
              <w:t xml:space="preserve">Accelerated: </w:t>
            </w:r>
            <w:r w:rsidRPr="00564BE1">
              <w:rPr>
                <w:sz w:val="22"/>
                <w:szCs w:val="22"/>
              </w:rPr>
              <w:t xml:space="preserve">This usually occurs 1 - 72 hours following medication administration. This type of reaction usually results in symptoms of urticaria, morbilliform rash, pruritus, erythema multiforme, bullous erythema or erythroderma (generalised redness of the whole body). </w:t>
            </w:r>
          </w:p>
          <w:p w14:paraId="66ED6F5E" w14:textId="264721B3" w:rsidR="00564BE1" w:rsidRDefault="00564BE1" w:rsidP="00564BE1">
            <w:pPr>
              <w:pStyle w:val="Default"/>
              <w:numPr>
                <w:ilvl w:val="0"/>
                <w:numId w:val="32"/>
              </w:numPr>
              <w:spacing w:after="12"/>
              <w:rPr>
                <w:sz w:val="22"/>
                <w:szCs w:val="22"/>
              </w:rPr>
            </w:pPr>
            <w:r w:rsidRPr="00564BE1">
              <w:rPr>
                <w:b/>
                <w:bCs/>
                <w:sz w:val="22"/>
                <w:szCs w:val="22"/>
              </w:rPr>
              <w:t xml:space="preserve">Late: </w:t>
            </w:r>
            <w:r w:rsidRPr="00564BE1">
              <w:rPr>
                <w:sz w:val="22"/>
                <w:szCs w:val="22"/>
              </w:rPr>
              <w:t xml:space="preserve">This usually occurs longer than 72 hours after medication administration. The typical manifestation of this type of reaction is a maculopapular morbilliform rash which is usually localised to the arms or legs. </w:t>
            </w:r>
          </w:p>
          <w:p w14:paraId="3DD647C9" w14:textId="4C66A83A" w:rsidR="00564BE1" w:rsidRPr="00564BE1" w:rsidRDefault="00564BE1" w:rsidP="00564BE1">
            <w:pPr>
              <w:pStyle w:val="Default"/>
              <w:spacing w:after="12"/>
              <w:ind w:left="720"/>
              <w:rPr>
                <w:sz w:val="22"/>
                <w:szCs w:val="22"/>
              </w:rPr>
            </w:pPr>
          </w:p>
          <w:p w14:paraId="608CAD4E" w14:textId="013FD296" w:rsidR="00564BE1" w:rsidRDefault="00564BE1" w:rsidP="00564BE1">
            <w:pPr>
              <w:pStyle w:val="Default"/>
              <w:spacing w:after="13"/>
              <w:rPr>
                <w:sz w:val="22"/>
                <w:szCs w:val="22"/>
              </w:rPr>
            </w:pPr>
            <w:r>
              <w:rPr>
                <w:sz w:val="22"/>
                <w:szCs w:val="22"/>
              </w:rPr>
              <w:t xml:space="preserve">Other less common hypersensitivity reactions which occur after 72 hours include the following: </w:t>
            </w:r>
          </w:p>
          <w:p w14:paraId="0FE16786" w14:textId="5DDA1EF8" w:rsidR="00564BE1" w:rsidRDefault="00564BE1" w:rsidP="00564BE1">
            <w:pPr>
              <w:pStyle w:val="Default"/>
              <w:numPr>
                <w:ilvl w:val="0"/>
                <w:numId w:val="33"/>
              </w:numPr>
              <w:spacing w:after="13"/>
              <w:rPr>
                <w:sz w:val="22"/>
                <w:szCs w:val="22"/>
              </w:rPr>
            </w:pPr>
            <w:r>
              <w:rPr>
                <w:b/>
                <w:bCs/>
                <w:sz w:val="22"/>
                <w:szCs w:val="22"/>
              </w:rPr>
              <w:t xml:space="preserve">Type II reactions </w:t>
            </w:r>
            <w:r>
              <w:rPr>
                <w:sz w:val="22"/>
                <w:szCs w:val="22"/>
              </w:rPr>
              <w:t xml:space="preserve">- such as renal conditions (interstitial nephritis) or blood disorders (leucopenia, thrombocytopenia, anaemia). These may be a complication of long term &amp; high-dose treatment, such as for endocarditis </w:t>
            </w:r>
          </w:p>
          <w:p w14:paraId="554D3F85" w14:textId="33655F13" w:rsidR="00564BE1" w:rsidRDefault="00564BE1" w:rsidP="00564BE1">
            <w:pPr>
              <w:pStyle w:val="Default"/>
              <w:numPr>
                <w:ilvl w:val="0"/>
                <w:numId w:val="33"/>
              </w:numPr>
              <w:spacing w:after="13"/>
              <w:rPr>
                <w:sz w:val="22"/>
                <w:szCs w:val="22"/>
              </w:rPr>
            </w:pPr>
            <w:r w:rsidRPr="00564BE1">
              <w:rPr>
                <w:b/>
                <w:bCs/>
                <w:sz w:val="22"/>
                <w:szCs w:val="22"/>
              </w:rPr>
              <w:t xml:space="preserve">Type III reactions </w:t>
            </w:r>
            <w:r w:rsidRPr="00564BE1">
              <w:rPr>
                <w:sz w:val="22"/>
                <w:szCs w:val="22"/>
              </w:rPr>
              <w:t xml:space="preserve">- serum sickness, giving rise to skin rash, joint pains and fever (at 7-14 days) </w:t>
            </w:r>
          </w:p>
          <w:p w14:paraId="0F8AA1DE" w14:textId="289132B1" w:rsidR="00564BE1" w:rsidRDefault="00564BE1" w:rsidP="00564BE1">
            <w:pPr>
              <w:pStyle w:val="Default"/>
              <w:spacing w:after="13"/>
              <w:rPr>
                <w:b/>
                <w:bCs/>
                <w:sz w:val="22"/>
                <w:szCs w:val="22"/>
              </w:rPr>
            </w:pPr>
          </w:p>
          <w:p w14:paraId="54707F3D" w14:textId="0D67BF45" w:rsidR="00564BE1" w:rsidRDefault="00564BE1" w:rsidP="000E2551">
            <w:pPr>
              <w:pStyle w:val="Default"/>
              <w:spacing w:after="13"/>
              <w:jc w:val="both"/>
              <w:rPr>
                <w:sz w:val="22"/>
                <w:szCs w:val="22"/>
              </w:rPr>
            </w:pPr>
            <w:r w:rsidRPr="00564BE1">
              <w:rPr>
                <w:b/>
                <w:bCs/>
                <w:sz w:val="22"/>
                <w:szCs w:val="22"/>
              </w:rPr>
              <w:t xml:space="preserve">Pseudo allergic reactions: </w:t>
            </w:r>
            <w:r w:rsidRPr="00564BE1">
              <w:rPr>
                <w:sz w:val="22"/>
                <w:szCs w:val="22"/>
              </w:rPr>
              <w:t xml:space="preserve">A condition named for its similar presentation to a true allergy, though due to different causes. It may be due to alterations in the metabolism of histamine. It can be the cause of some forms of food intolerance. An example of a pseudo allergic reaction is red-man syndrome with Vancomycin. </w:t>
            </w:r>
          </w:p>
          <w:p w14:paraId="7ACE2CD6" w14:textId="3E20F4B6" w:rsidR="00564BE1" w:rsidRPr="00564BE1" w:rsidRDefault="00564BE1" w:rsidP="000E2551">
            <w:pPr>
              <w:pStyle w:val="Default"/>
              <w:spacing w:after="13"/>
              <w:jc w:val="both"/>
              <w:rPr>
                <w:sz w:val="22"/>
                <w:szCs w:val="22"/>
              </w:rPr>
            </w:pPr>
          </w:p>
          <w:p w14:paraId="529AFA3D" w14:textId="10FB87A9" w:rsidR="00564BE1" w:rsidRDefault="00564BE1" w:rsidP="000E2551">
            <w:pPr>
              <w:pStyle w:val="Default"/>
              <w:jc w:val="both"/>
              <w:rPr>
                <w:sz w:val="22"/>
                <w:szCs w:val="22"/>
              </w:rPr>
            </w:pPr>
            <w:r>
              <w:rPr>
                <w:sz w:val="22"/>
                <w:szCs w:val="22"/>
              </w:rPr>
              <w:t xml:space="preserve">Amoxicillin will produce a widespread morbilliform rash in patients with acute Epstein-Barr Virus (EBV) infection. This is not a manifestation of true allergy and does not recur when patients who have recovered are re-challenged with amoxicillin. </w:t>
            </w:r>
          </w:p>
          <w:p w14:paraId="1E7ED09A" w14:textId="2C870805" w:rsidR="00564BE1" w:rsidRDefault="00564BE1" w:rsidP="00662F39">
            <w:pPr>
              <w:rPr>
                <w:bCs/>
              </w:rPr>
            </w:pPr>
          </w:p>
          <w:p w14:paraId="021560A4" w14:textId="1158B400" w:rsidR="00CB75F1" w:rsidRDefault="004C4CB7" w:rsidP="00662F39">
            <w:pPr>
              <w:rPr>
                <w:b/>
                <w:bCs/>
              </w:rPr>
            </w:pPr>
            <w:r w:rsidRPr="00CB75F1">
              <w:rPr>
                <w:b/>
                <w:bCs/>
                <w:noProof/>
              </w:rPr>
              <w:drawing>
                <wp:anchor distT="0" distB="0" distL="114300" distR="114300" simplePos="0" relativeHeight="251658240" behindDoc="0" locked="0" layoutInCell="1" allowOverlap="1" wp14:anchorId="0ADA09FB" wp14:editId="1D3012AA">
                  <wp:simplePos x="0" y="0"/>
                  <wp:positionH relativeFrom="column">
                    <wp:posOffset>-71120</wp:posOffset>
                  </wp:positionH>
                  <wp:positionV relativeFrom="paragraph">
                    <wp:posOffset>279400</wp:posOffset>
                  </wp:positionV>
                  <wp:extent cx="5459095" cy="3806190"/>
                  <wp:effectExtent l="0" t="0" r="8255" b="3810"/>
                  <wp:wrapThrough wrapText="bothSides">
                    <wp:wrapPolygon edited="0">
                      <wp:start x="0" y="0"/>
                      <wp:lineTo x="0" y="21514"/>
                      <wp:lineTo x="21557" y="21514"/>
                      <wp:lineTo x="21557" y="0"/>
                      <wp:lineTo x="0" y="0"/>
                    </wp:wrapPolygon>
                  </wp:wrapThrough>
                  <wp:docPr id="5" name="Picture 5" descr="C:\Users\ContinoR\Desktop\Roberta\Antimicrobial\Penicillin Allergy 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ntinoR\Desktop\Roberta\Antimicrobial\Penicillin Allergy Poster.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59095" cy="3806190"/>
                          </a:xfrm>
                          <a:prstGeom prst="rect">
                            <a:avLst/>
                          </a:prstGeom>
                          <a:noFill/>
                          <a:ln>
                            <a:noFill/>
                          </a:ln>
                        </pic:spPr>
                      </pic:pic>
                    </a:graphicData>
                  </a:graphic>
                  <wp14:sizeRelH relativeFrom="page">
                    <wp14:pctWidth>0</wp14:pctWidth>
                  </wp14:sizeRelH>
                  <wp14:sizeRelV relativeFrom="page">
                    <wp14:pctHeight>0</wp14:pctHeight>
                  </wp14:sizeRelV>
                </wp:anchor>
              </w:drawing>
            </w:r>
            <w:r w:rsidR="003A52A9" w:rsidRPr="00CB75F1">
              <w:rPr>
                <w:b/>
                <w:bCs/>
              </w:rPr>
              <w:t>Appendix F</w:t>
            </w:r>
            <w:r w:rsidR="00B91352" w:rsidRPr="00CB75F1">
              <w:rPr>
                <w:b/>
                <w:bCs/>
              </w:rPr>
              <w:t xml:space="preserve"> – Penicillin Allergy Poster</w:t>
            </w:r>
          </w:p>
          <w:p w14:paraId="09292C01" w14:textId="5812EBEF" w:rsidR="00B575D3" w:rsidRDefault="00B575D3" w:rsidP="005B6EA8">
            <w:pPr>
              <w:jc w:val="left"/>
              <w:rPr>
                <w:b/>
                <w:bCs/>
              </w:rPr>
            </w:pPr>
          </w:p>
          <w:p w14:paraId="0B89CD3A" w14:textId="77777777" w:rsidR="003A52A9" w:rsidRPr="00A3274D" w:rsidRDefault="00964B9A" w:rsidP="00662F39">
            <w:pPr>
              <w:rPr>
                <w:b/>
              </w:rPr>
            </w:pPr>
            <w:r>
              <w:rPr>
                <w:b/>
                <w:bCs/>
              </w:rPr>
              <w:t xml:space="preserve">    </w:t>
            </w:r>
            <w:r w:rsidR="003A52A9" w:rsidRPr="00A3274D">
              <w:rPr>
                <w:b/>
                <w:bCs/>
              </w:rPr>
              <w:t>Appendix G – IV to Oral Switch</w:t>
            </w:r>
          </w:p>
        </w:tc>
        <w:tc>
          <w:tcPr>
            <w:tcW w:w="315" w:type="dxa"/>
            <w:vAlign w:val="center"/>
          </w:tcPr>
          <w:p w14:paraId="4092F0A5" w14:textId="77777777" w:rsidR="006F3719" w:rsidRPr="000955F7" w:rsidRDefault="006F3719" w:rsidP="00662F39">
            <w:pPr>
              <w:jc w:val="center"/>
            </w:pPr>
          </w:p>
        </w:tc>
      </w:tr>
      <w:tr w:rsidR="006F3719" w:rsidRPr="00C84CA8" w14:paraId="10003A92" w14:textId="77777777" w:rsidTr="00964B9A">
        <w:trPr>
          <w:jc w:val="center"/>
        </w:trPr>
        <w:tc>
          <w:tcPr>
            <w:tcW w:w="284" w:type="dxa"/>
            <w:vAlign w:val="center"/>
          </w:tcPr>
          <w:p w14:paraId="488388B0" w14:textId="6AC47543" w:rsidR="006F3719" w:rsidRPr="007E2317" w:rsidRDefault="006F3719" w:rsidP="00964B9A">
            <w:pPr>
              <w:spacing w:before="80" w:after="80"/>
            </w:pPr>
          </w:p>
        </w:tc>
        <w:tc>
          <w:tcPr>
            <w:tcW w:w="7833" w:type="dxa"/>
            <w:vAlign w:val="center"/>
          </w:tcPr>
          <w:p w14:paraId="791FA4FF" w14:textId="029BA23C" w:rsidR="00A3274D" w:rsidRDefault="00A3274D" w:rsidP="00964B9A">
            <w:pPr>
              <w:autoSpaceDE w:val="0"/>
              <w:autoSpaceDN w:val="0"/>
              <w:adjustRightInd w:val="0"/>
              <w:spacing w:before="0" w:after="0"/>
              <w:rPr>
                <w:rFonts w:eastAsiaTheme="minorHAnsi" w:cs="Arial"/>
                <w:color w:val="000000"/>
                <w:szCs w:val="22"/>
                <w:lang w:eastAsia="en-US"/>
              </w:rPr>
            </w:pPr>
            <w:r w:rsidRPr="00A3274D">
              <w:rPr>
                <w:rFonts w:eastAsiaTheme="minorHAnsi" w:cs="Arial"/>
                <w:color w:val="000000"/>
                <w:szCs w:val="22"/>
                <w:lang w:eastAsia="en-US"/>
              </w:rPr>
              <w:t>The intravenous route should be reserved for patients who are severely ill, unable to tolerate oral treatment, or where oral therapy would not provide adequate</w:t>
            </w:r>
            <w:r w:rsidR="00FA631E">
              <w:rPr>
                <w:rFonts w:eastAsiaTheme="minorHAnsi" w:cs="Arial"/>
                <w:color w:val="000000"/>
                <w:szCs w:val="22"/>
                <w:lang w:eastAsia="en-US"/>
              </w:rPr>
              <w:t xml:space="preserve"> coverage or tissue penetration.</w:t>
            </w:r>
          </w:p>
          <w:p w14:paraId="4E09BB67" w14:textId="77777777" w:rsidR="00964B9A" w:rsidRPr="00A3274D" w:rsidRDefault="00964B9A" w:rsidP="00964B9A">
            <w:pPr>
              <w:autoSpaceDE w:val="0"/>
              <w:autoSpaceDN w:val="0"/>
              <w:adjustRightInd w:val="0"/>
              <w:spacing w:before="0" w:after="0"/>
              <w:rPr>
                <w:rFonts w:eastAsiaTheme="minorHAnsi" w:cs="Arial"/>
                <w:color w:val="000000"/>
                <w:szCs w:val="22"/>
                <w:lang w:eastAsia="en-US"/>
              </w:rPr>
            </w:pPr>
          </w:p>
          <w:p w14:paraId="6667467E" w14:textId="77777777" w:rsidR="00A3274D" w:rsidRDefault="00A3274D" w:rsidP="00964B9A">
            <w:pPr>
              <w:autoSpaceDE w:val="0"/>
              <w:autoSpaceDN w:val="0"/>
              <w:adjustRightInd w:val="0"/>
              <w:spacing w:before="0" w:after="29"/>
              <w:rPr>
                <w:rFonts w:eastAsiaTheme="minorHAnsi" w:cs="Arial"/>
                <w:color w:val="000000"/>
                <w:szCs w:val="22"/>
                <w:lang w:eastAsia="en-US"/>
              </w:rPr>
            </w:pPr>
            <w:r w:rsidRPr="00A3274D">
              <w:rPr>
                <w:rFonts w:eastAsiaTheme="minorHAnsi" w:cs="Arial"/>
                <w:color w:val="000000"/>
                <w:szCs w:val="22"/>
                <w:lang w:eastAsia="en-US"/>
              </w:rPr>
              <w:t xml:space="preserve">Antimicrobials prescribed via the IV route must be reviewed within 48 hours to 72 hours in all health care settings (including community and outpatient services). </w:t>
            </w:r>
          </w:p>
          <w:p w14:paraId="23083514" w14:textId="77777777" w:rsidR="00964B9A" w:rsidRPr="00A3274D" w:rsidRDefault="00964B9A" w:rsidP="00964B9A">
            <w:pPr>
              <w:autoSpaceDE w:val="0"/>
              <w:autoSpaceDN w:val="0"/>
              <w:adjustRightInd w:val="0"/>
              <w:spacing w:before="0" w:after="29"/>
              <w:rPr>
                <w:rFonts w:eastAsiaTheme="minorHAnsi" w:cs="Arial"/>
                <w:color w:val="000000"/>
                <w:szCs w:val="22"/>
                <w:lang w:eastAsia="en-US"/>
              </w:rPr>
            </w:pPr>
          </w:p>
          <w:p w14:paraId="0CE909EC" w14:textId="77777777" w:rsidR="00A3274D" w:rsidRDefault="00A3274D" w:rsidP="00964B9A">
            <w:pPr>
              <w:autoSpaceDE w:val="0"/>
              <w:autoSpaceDN w:val="0"/>
              <w:adjustRightInd w:val="0"/>
              <w:spacing w:before="0" w:after="29"/>
              <w:rPr>
                <w:rFonts w:eastAsiaTheme="minorHAnsi" w:cs="Arial"/>
                <w:color w:val="000000"/>
                <w:szCs w:val="22"/>
                <w:lang w:eastAsia="en-US"/>
              </w:rPr>
            </w:pPr>
            <w:r w:rsidRPr="00A3274D">
              <w:rPr>
                <w:rFonts w:eastAsiaTheme="minorHAnsi" w:cs="Arial"/>
                <w:color w:val="000000"/>
                <w:szCs w:val="22"/>
                <w:lang w:eastAsia="en-US"/>
              </w:rPr>
              <w:t xml:space="preserve">The response to treatment and microbiological results should form part of the review, to determine if the antimicrobial needs to be continued and if so whether it can be </w:t>
            </w:r>
            <w:r w:rsidR="00964B9A">
              <w:rPr>
                <w:rFonts w:eastAsiaTheme="minorHAnsi" w:cs="Arial"/>
                <w:color w:val="000000"/>
                <w:szCs w:val="22"/>
                <w:lang w:eastAsia="en-US"/>
              </w:rPr>
              <w:t>switched to oral antimicrobial.</w:t>
            </w:r>
          </w:p>
          <w:p w14:paraId="632E6B6A" w14:textId="77777777" w:rsidR="00964B9A" w:rsidRPr="00A3274D" w:rsidRDefault="00964B9A" w:rsidP="00964B9A">
            <w:pPr>
              <w:autoSpaceDE w:val="0"/>
              <w:autoSpaceDN w:val="0"/>
              <w:adjustRightInd w:val="0"/>
              <w:spacing w:before="0" w:after="29"/>
              <w:rPr>
                <w:rFonts w:eastAsiaTheme="minorHAnsi" w:cs="Arial"/>
                <w:color w:val="000000"/>
                <w:szCs w:val="22"/>
                <w:lang w:eastAsia="en-US"/>
              </w:rPr>
            </w:pPr>
          </w:p>
          <w:p w14:paraId="06DBA2B2" w14:textId="77777777" w:rsidR="00A3274D" w:rsidRDefault="00A3274D" w:rsidP="00964B9A">
            <w:pPr>
              <w:autoSpaceDE w:val="0"/>
              <w:autoSpaceDN w:val="0"/>
              <w:adjustRightInd w:val="0"/>
              <w:spacing w:before="0" w:after="29"/>
              <w:rPr>
                <w:rFonts w:eastAsiaTheme="minorHAnsi" w:cs="Arial"/>
                <w:color w:val="000000"/>
                <w:szCs w:val="22"/>
                <w:lang w:eastAsia="en-US"/>
              </w:rPr>
            </w:pPr>
            <w:r w:rsidRPr="00A3274D">
              <w:rPr>
                <w:rFonts w:eastAsiaTheme="minorHAnsi" w:cs="Arial"/>
                <w:color w:val="000000"/>
                <w:szCs w:val="22"/>
                <w:lang w:eastAsia="en-US"/>
              </w:rPr>
              <w:t xml:space="preserve">The review must be documented in the patient medical record along with reasons for stopping, switching to oral or continuing with the IV antimicrobial. </w:t>
            </w:r>
          </w:p>
          <w:p w14:paraId="32FD2A55" w14:textId="77777777" w:rsidR="00964B9A" w:rsidRPr="00A3274D" w:rsidRDefault="00964B9A" w:rsidP="00964B9A">
            <w:pPr>
              <w:autoSpaceDE w:val="0"/>
              <w:autoSpaceDN w:val="0"/>
              <w:adjustRightInd w:val="0"/>
              <w:spacing w:before="0" w:after="29"/>
              <w:rPr>
                <w:rFonts w:eastAsiaTheme="minorHAnsi" w:cs="Arial"/>
                <w:color w:val="000000"/>
                <w:szCs w:val="22"/>
                <w:lang w:eastAsia="en-US"/>
              </w:rPr>
            </w:pPr>
          </w:p>
          <w:p w14:paraId="354DC40A" w14:textId="77777777" w:rsidR="00A3274D" w:rsidRPr="00A3274D" w:rsidRDefault="00A3274D" w:rsidP="00964B9A">
            <w:pPr>
              <w:autoSpaceDE w:val="0"/>
              <w:autoSpaceDN w:val="0"/>
              <w:adjustRightInd w:val="0"/>
              <w:spacing w:before="0" w:after="29"/>
              <w:rPr>
                <w:rFonts w:eastAsiaTheme="minorHAnsi" w:cs="Arial"/>
                <w:color w:val="000000"/>
                <w:szCs w:val="22"/>
                <w:lang w:eastAsia="en-US"/>
              </w:rPr>
            </w:pPr>
            <w:r w:rsidRPr="00A3274D">
              <w:rPr>
                <w:rFonts w:eastAsiaTheme="minorHAnsi" w:cs="Arial"/>
                <w:color w:val="000000"/>
                <w:szCs w:val="22"/>
                <w:lang w:eastAsia="en-US"/>
              </w:rPr>
              <w:t xml:space="preserve">IV antimicrobial therapy must be reviewed as outlined above and switched to the oral route as soon as it is clinically appropriate to do so. </w:t>
            </w:r>
          </w:p>
          <w:p w14:paraId="03668037" w14:textId="77777777" w:rsidR="00964B9A" w:rsidRDefault="00964B9A" w:rsidP="00964B9A">
            <w:pPr>
              <w:autoSpaceDE w:val="0"/>
              <w:autoSpaceDN w:val="0"/>
              <w:adjustRightInd w:val="0"/>
              <w:spacing w:before="0" w:after="0"/>
              <w:rPr>
                <w:rFonts w:eastAsiaTheme="minorHAnsi" w:cs="Arial"/>
                <w:color w:val="000000"/>
                <w:szCs w:val="22"/>
                <w:lang w:eastAsia="en-US"/>
              </w:rPr>
            </w:pPr>
          </w:p>
          <w:p w14:paraId="0E516386" w14:textId="77777777" w:rsidR="00A3274D" w:rsidRPr="00A3274D" w:rsidRDefault="00A3274D" w:rsidP="00964B9A">
            <w:pPr>
              <w:autoSpaceDE w:val="0"/>
              <w:autoSpaceDN w:val="0"/>
              <w:adjustRightInd w:val="0"/>
              <w:spacing w:before="0" w:after="0"/>
              <w:rPr>
                <w:rFonts w:eastAsiaTheme="minorHAnsi" w:cs="Arial"/>
                <w:color w:val="000000"/>
                <w:szCs w:val="22"/>
                <w:lang w:eastAsia="en-US"/>
              </w:rPr>
            </w:pPr>
            <w:r w:rsidRPr="00A3274D">
              <w:rPr>
                <w:rFonts w:eastAsiaTheme="minorHAnsi" w:cs="Arial"/>
                <w:color w:val="000000"/>
                <w:szCs w:val="22"/>
                <w:lang w:eastAsia="en-US"/>
              </w:rPr>
              <w:t xml:space="preserve">All of the criteria below should be met before switch to oral therapy: </w:t>
            </w:r>
          </w:p>
          <w:p w14:paraId="6363BF3B" w14:textId="77777777" w:rsidR="00964B9A" w:rsidRDefault="00A3274D" w:rsidP="00964B9A">
            <w:pPr>
              <w:pStyle w:val="ListParagraph"/>
              <w:numPr>
                <w:ilvl w:val="0"/>
                <w:numId w:val="34"/>
              </w:numPr>
              <w:autoSpaceDE w:val="0"/>
              <w:autoSpaceDN w:val="0"/>
              <w:adjustRightInd w:val="0"/>
              <w:spacing w:before="0" w:after="14"/>
              <w:rPr>
                <w:rFonts w:eastAsiaTheme="minorHAnsi" w:cs="Arial"/>
                <w:color w:val="000000"/>
                <w:szCs w:val="22"/>
                <w:lang w:eastAsia="en-US"/>
              </w:rPr>
            </w:pPr>
            <w:r w:rsidRPr="00964B9A">
              <w:rPr>
                <w:rFonts w:eastAsiaTheme="minorHAnsi" w:cs="Arial"/>
                <w:b/>
                <w:bCs/>
                <w:color w:val="000000"/>
                <w:szCs w:val="22"/>
                <w:lang w:eastAsia="en-US"/>
              </w:rPr>
              <w:t xml:space="preserve">Clinical improvement. </w:t>
            </w:r>
            <w:r w:rsidRPr="00964B9A">
              <w:rPr>
                <w:rFonts w:eastAsiaTheme="minorHAnsi" w:cs="Arial"/>
                <w:color w:val="000000"/>
                <w:szCs w:val="22"/>
                <w:lang w:eastAsia="en-US"/>
              </w:rPr>
              <w:t xml:space="preserve">Signs &amp; symptoms of infection improving &amp; haemodynamically stable. </w:t>
            </w:r>
          </w:p>
          <w:p w14:paraId="04AC1314" w14:textId="77777777" w:rsidR="00964B9A" w:rsidRDefault="00A3274D" w:rsidP="00964B9A">
            <w:pPr>
              <w:pStyle w:val="ListParagraph"/>
              <w:numPr>
                <w:ilvl w:val="0"/>
                <w:numId w:val="34"/>
              </w:numPr>
              <w:autoSpaceDE w:val="0"/>
              <w:autoSpaceDN w:val="0"/>
              <w:adjustRightInd w:val="0"/>
              <w:spacing w:before="0" w:after="14"/>
              <w:rPr>
                <w:rFonts w:eastAsiaTheme="minorHAnsi" w:cs="Arial"/>
                <w:color w:val="000000"/>
                <w:szCs w:val="22"/>
                <w:lang w:eastAsia="en-US"/>
              </w:rPr>
            </w:pPr>
            <w:r w:rsidRPr="00964B9A">
              <w:rPr>
                <w:rFonts w:eastAsiaTheme="minorHAnsi" w:cs="Arial"/>
                <w:b/>
                <w:bCs/>
                <w:color w:val="000000"/>
                <w:szCs w:val="22"/>
                <w:lang w:eastAsia="en-US"/>
              </w:rPr>
              <w:t xml:space="preserve">Oral route not compromised. </w:t>
            </w:r>
            <w:r w:rsidRPr="00964B9A">
              <w:rPr>
                <w:rFonts w:eastAsiaTheme="minorHAnsi" w:cs="Arial"/>
                <w:color w:val="000000"/>
                <w:szCs w:val="22"/>
                <w:lang w:eastAsia="en-US"/>
              </w:rPr>
              <w:t xml:space="preserve">Able to tolerate oral fluids, no malabsorption problems, suitable oral antimicrobial available. </w:t>
            </w:r>
          </w:p>
          <w:p w14:paraId="5864952B" w14:textId="3C0C07A2" w:rsidR="00964B9A" w:rsidRDefault="00A3274D" w:rsidP="00964B9A">
            <w:pPr>
              <w:pStyle w:val="ListParagraph"/>
              <w:numPr>
                <w:ilvl w:val="0"/>
                <w:numId w:val="34"/>
              </w:numPr>
              <w:autoSpaceDE w:val="0"/>
              <w:autoSpaceDN w:val="0"/>
              <w:adjustRightInd w:val="0"/>
              <w:spacing w:before="0" w:after="14"/>
              <w:rPr>
                <w:rFonts w:eastAsiaTheme="minorHAnsi" w:cs="Arial"/>
                <w:color w:val="000000"/>
                <w:szCs w:val="22"/>
                <w:lang w:eastAsia="en-US"/>
              </w:rPr>
            </w:pPr>
            <w:r w:rsidRPr="00964B9A">
              <w:rPr>
                <w:rFonts w:eastAsiaTheme="minorHAnsi" w:cs="Arial"/>
                <w:b/>
                <w:bCs/>
                <w:color w:val="000000"/>
                <w:szCs w:val="22"/>
                <w:lang w:eastAsia="en-US"/>
              </w:rPr>
              <w:t xml:space="preserve">Markers show trend towards normal. </w:t>
            </w:r>
            <w:r w:rsidRPr="00964B9A">
              <w:rPr>
                <w:rFonts w:eastAsiaTheme="minorHAnsi" w:cs="Arial"/>
                <w:color w:val="000000"/>
                <w:szCs w:val="22"/>
                <w:lang w:eastAsia="en-US"/>
              </w:rPr>
              <w:t xml:space="preserve">Temperature resolving, White Cell Count (WCC) and </w:t>
            </w:r>
            <w:r w:rsidR="00E6567A" w:rsidRPr="00964B9A">
              <w:rPr>
                <w:rFonts w:eastAsiaTheme="minorHAnsi" w:cs="Arial"/>
                <w:color w:val="000000"/>
                <w:szCs w:val="22"/>
                <w:lang w:eastAsia="en-US"/>
              </w:rPr>
              <w:t>C - reactive protein</w:t>
            </w:r>
            <w:r w:rsidRPr="00964B9A">
              <w:rPr>
                <w:rFonts w:eastAsiaTheme="minorHAnsi" w:cs="Arial"/>
                <w:color w:val="000000"/>
                <w:szCs w:val="22"/>
                <w:lang w:eastAsia="en-US"/>
              </w:rPr>
              <w:t xml:space="preserve"> (CRP) normalising, Heart Rate (HR) &lt;90bpm, Blood Pressure stable, Respiratory rate &lt;20 breath. s/min </w:t>
            </w:r>
          </w:p>
          <w:p w14:paraId="25BB8796" w14:textId="5F4E331E" w:rsidR="00A3274D" w:rsidRDefault="00A3274D" w:rsidP="00964B9A">
            <w:pPr>
              <w:pStyle w:val="ListParagraph"/>
              <w:numPr>
                <w:ilvl w:val="0"/>
                <w:numId w:val="34"/>
              </w:numPr>
              <w:autoSpaceDE w:val="0"/>
              <w:autoSpaceDN w:val="0"/>
              <w:adjustRightInd w:val="0"/>
              <w:spacing w:before="0" w:after="14"/>
              <w:rPr>
                <w:rFonts w:eastAsiaTheme="minorHAnsi" w:cs="Arial"/>
                <w:color w:val="000000"/>
                <w:szCs w:val="22"/>
                <w:lang w:eastAsia="en-US"/>
              </w:rPr>
            </w:pPr>
            <w:r w:rsidRPr="00964B9A">
              <w:rPr>
                <w:rFonts w:eastAsiaTheme="minorHAnsi" w:cs="Arial"/>
                <w:b/>
                <w:bCs/>
                <w:color w:val="000000"/>
                <w:szCs w:val="22"/>
                <w:lang w:eastAsia="en-US"/>
              </w:rPr>
              <w:t xml:space="preserve">Specific </w:t>
            </w:r>
            <w:r w:rsidRPr="00964B9A">
              <w:rPr>
                <w:rFonts w:eastAsiaTheme="minorHAnsi" w:cs="Arial"/>
                <w:color w:val="000000"/>
                <w:szCs w:val="22"/>
                <w:lang w:eastAsia="en-US"/>
              </w:rPr>
              <w:t xml:space="preserve">indication/deep seated infection requiring high tissue concentrations not present (see exclusion criteria) </w:t>
            </w:r>
          </w:p>
          <w:p w14:paraId="560BFBD6" w14:textId="6ED9D20A" w:rsidR="00FA631E" w:rsidRDefault="00FA631E" w:rsidP="00FA631E">
            <w:pPr>
              <w:autoSpaceDE w:val="0"/>
              <w:autoSpaceDN w:val="0"/>
              <w:adjustRightInd w:val="0"/>
              <w:spacing w:before="0" w:after="14"/>
              <w:rPr>
                <w:rFonts w:eastAsiaTheme="minorHAnsi" w:cs="Arial"/>
                <w:color w:val="000000"/>
                <w:szCs w:val="22"/>
                <w:lang w:eastAsia="en-US"/>
              </w:rPr>
            </w:pPr>
          </w:p>
          <w:p w14:paraId="355BC5C8" w14:textId="03D5069E" w:rsidR="00FA631E" w:rsidRDefault="00FA631E" w:rsidP="00FA631E">
            <w:pPr>
              <w:autoSpaceDE w:val="0"/>
              <w:autoSpaceDN w:val="0"/>
              <w:adjustRightInd w:val="0"/>
              <w:spacing w:before="0" w:after="14"/>
              <w:rPr>
                <w:rFonts w:eastAsiaTheme="minorHAnsi" w:cs="Arial"/>
                <w:color w:val="000000"/>
                <w:szCs w:val="22"/>
                <w:lang w:eastAsia="en-US"/>
              </w:rPr>
            </w:pPr>
            <w:r>
              <w:rPr>
                <w:rFonts w:eastAsiaTheme="minorHAnsi" w:cs="Arial"/>
                <w:color w:val="000000"/>
                <w:szCs w:val="22"/>
                <w:lang w:eastAsia="en-US"/>
              </w:rPr>
              <w:t>Guidance to support can be found below;</w:t>
            </w:r>
          </w:p>
          <w:p w14:paraId="1E6B8F7A" w14:textId="16A3C08A" w:rsidR="00FA631E" w:rsidRDefault="00FA631E" w:rsidP="00FA631E">
            <w:pPr>
              <w:autoSpaceDE w:val="0"/>
              <w:autoSpaceDN w:val="0"/>
              <w:adjustRightInd w:val="0"/>
              <w:spacing w:before="0" w:after="14"/>
              <w:rPr>
                <w:rFonts w:eastAsiaTheme="minorHAnsi" w:cs="Arial"/>
                <w:color w:val="000000"/>
                <w:szCs w:val="22"/>
                <w:lang w:eastAsia="en-US"/>
              </w:rPr>
            </w:pPr>
            <w:hyperlink r:id="rId52" w:history="1">
              <w:r w:rsidRPr="005801EA">
                <w:rPr>
                  <w:rStyle w:val="Hyperlink"/>
                  <w:rFonts w:eastAsiaTheme="minorHAnsi" w:cs="Arial"/>
                  <w:szCs w:val="22"/>
                  <w:lang w:eastAsia="en-US"/>
                </w:rPr>
                <w:t>https://www.gov.uk/government/publications/antimicrobial-intravenous-to-oral-switch-criteria-for-early-switch</w:t>
              </w:r>
            </w:hyperlink>
          </w:p>
          <w:p w14:paraId="2DB374D2" w14:textId="77777777" w:rsidR="00FA631E" w:rsidRPr="00FA631E" w:rsidRDefault="00FA631E" w:rsidP="00FA631E">
            <w:pPr>
              <w:autoSpaceDE w:val="0"/>
              <w:autoSpaceDN w:val="0"/>
              <w:adjustRightInd w:val="0"/>
              <w:spacing w:before="0" w:after="14"/>
              <w:rPr>
                <w:rFonts w:eastAsiaTheme="minorHAnsi" w:cs="Arial"/>
                <w:color w:val="000000"/>
                <w:szCs w:val="22"/>
                <w:lang w:eastAsia="en-US"/>
              </w:rPr>
            </w:pPr>
          </w:p>
          <w:p w14:paraId="7EAB8FF0" w14:textId="6212C237" w:rsidR="00A3274D" w:rsidRPr="00A3274D" w:rsidRDefault="00A3274D" w:rsidP="00964B9A">
            <w:pPr>
              <w:autoSpaceDE w:val="0"/>
              <w:autoSpaceDN w:val="0"/>
              <w:adjustRightInd w:val="0"/>
              <w:spacing w:before="0" w:after="0"/>
              <w:rPr>
                <w:rFonts w:eastAsiaTheme="minorHAnsi" w:cs="Arial"/>
                <w:color w:val="000000"/>
                <w:szCs w:val="22"/>
                <w:lang w:eastAsia="en-US"/>
              </w:rPr>
            </w:pPr>
            <w:r w:rsidRPr="00A3274D">
              <w:rPr>
                <w:rFonts w:eastAsiaTheme="minorHAnsi" w:cs="Arial"/>
                <w:b/>
                <w:bCs/>
                <w:color w:val="000000"/>
                <w:szCs w:val="22"/>
                <w:lang w:eastAsia="en-US"/>
              </w:rPr>
              <w:t xml:space="preserve">Exclusion criteria </w:t>
            </w:r>
          </w:p>
          <w:p w14:paraId="16BDF34F" w14:textId="77777777" w:rsidR="00A3274D" w:rsidRPr="00A3274D" w:rsidRDefault="00A3274D" w:rsidP="00964B9A">
            <w:pPr>
              <w:autoSpaceDE w:val="0"/>
              <w:autoSpaceDN w:val="0"/>
              <w:adjustRightInd w:val="0"/>
              <w:spacing w:before="0" w:after="0"/>
              <w:rPr>
                <w:rFonts w:eastAsiaTheme="minorHAnsi" w:cs="Arial"/>
                <w:color w:val="000000"/>
                <w:szCs w:val="22"/>
                <w:lang w:eastAsia="en-US"/>
              </w:rPr>
            </w:pPr>
            <w:r w:rsidRPr="00A3274D">
              <w:rPr>
                <w:rFonts w:eastAsiaTheme="minorHAnsi" w:cs="Arial"/>
                <w:color w:val="000000"/>
                <w:szCs w:val="22"/>
                <w:lang w:eastAsia="en-US"/>
              </w:rPr>
              <w:t xml:space="preserve">Deep seated infections where high tissue concentrations are essential, and therefore require prolonged IV therapy e.g. </w:t>
            </w:r>
          </w:p>
          <w:p w14:paraId="102BE0C3" w14:textId="77777777" w:rsidR="00964B9A" w:rsidRDefault="00A3274D" w:rsidP="00964B9A">
            <w:pPr>
              <w:pStyle w:val="ListParagraph"/>
              <w:numPr>
                <w:ilvl w:val="0"/>
                <w:numId w:val="35"/>
              </w:numPr>
              <w:autoSpaceDE w:val="0"/>
              <w:autoSpaceDN w:val="0"/>
              <w:adjustRightInd w:val="0"/>
              <w:spacing w:before="0" w:after="30"/>
              <w:rPr>
                <w:rFonts w:eastAsiaTheme="minorHAnsi" w:cs="Arial"/>
                <w:color w:val="000000"/>
                <w:szCs w:val="22"/>
                <w:lang w:eastAsia="en-US"/>
              </w:rPr>
            </w:pPr>
            <w:r w:rsidRPr="00964B9A">
              <w:rPr>
                <w:rFonts w:eastAsiaTheme="minorHAnsi" w:cs="Arial"/>
                <w:color w:val="000000"/>
                <w:szCs w:val="22"/>
                <w:lang w:eastAsia="en-US"/>
              </w:rPr>
              <w:t xml:space="preserve">Sepsis including neutropenic sepsis </w:t>
            </w:r>
          </w:p>
          <w:p w14:paraId="7E5A621E" w14:textId="77777777" w:rsidR="00964B9A" w:rsidRDefault="00A3274D" w:rsidP="00964B9A">
            <w:pPr>
              <w:pStyle w:val="ListParagraph"/>
              <w:numPr>
                <w:ilvl w:val="0"/>
                <w:numId w:val="35"/>
              </w:numPr>
              <w:autoSpaceDE w:val="0"/>
              <w:autoSpaceDN w:val="0"/>
              <w:adjustRightInd w:val="0"/>
              <w:spacing w:before="0" w:after="30"/>
              <w:rPr>
                <w:rFonts w:eastAsiaTheme="minorHAnsi" w:cs="Arial"/>
                <w:color w:val="000000"/>
                <w:szCs w:val="22"/>
                <w:lang w:eastAsia="en-US"/>
              </w:rPr>
            </w:pPr>
            <w:r w:rsidRPr="00964B9A">
              <w:rPr>
                <w:rFonts w:eastAsiaTheme="minorHAnsi" w:cs="Arial"/>
                <w:color w:val="000000"/>
                <w:szCs w:val="22"/>
                <w:lang w:eastAsia="en-US"/>
              </w:rPr>
              <w:t xml:space="preserve">Central Nervous System infections (meningitis, encephalitis, brain abscess) </w:t>
            </w:r>
          </w:p>
          <w:p w14:paraId="6C730B76" w14:textId="77777777" w:rsidR="00964B9A" w:rsidRDefault="00A3274D" w:rsidP="00964B9A">
            <w:pPr>
              <w:pStyle w:val="ListParagraph"/>
              <w:numPr>
                <w:ilvl w:val="0"/>
                <w:numId w:val="35"/>
              </w:numPr>
              <w:autoSpaceDE w:val="0"/>
              <w:autoSpaceDN w:val="0"/>
              <w:adjustRightInd w:val="0"/>
              <w:spacing w:before="0" w:after="30"/>
              <w:rPr>
                <w:rFonts w:eastAsiaTheme="minorHAnsi" w:cs="Arial"/>
                <w:color w:val="000000"/>
                <w:szCs w:val="22"/>
                <w:lang w:eastAsia="en-US"/>
              </w:rPr>
            </w:pPr>
            <w:r w:rsidRPr="00964B9A">
              <w:rPr>
                <w:rFonts w:eastAsiaTheme="minorHAnsi" w:cs="Arial"/>
                <w:color w:val="000000"/>
                <w:szCs w:val="22"/>
                <w:lang w:eastAsia="en-US"/>
              </w:rPr>
              <w:t xml:space="preserve">Abscess (deep abscess, liver, lung) </w:t>
            </w:r>
          </w:p>
          <w:p w14:paraId="148BA3BB" w14:textId="77777777" w:rsidR="00964B9A" w:rsidRDefault="00A3274D" w:rsidP="00964B9A">
            <w:pPr>
              <w:pStyle w:val="ListParagraph"/>
              <w:numPr>
                <w:ilvl w:val="0"/>
                <w:numId w:val="35"/>
              </w:numPr>
              <w:autoSpaceDE w:val="0"/>
              <w:autoSpaceDN w:val="0"/>
              <w:adjustRightInd w:val="0"/>
              <w:spacing w:before="0" w:after="30"/>
              <w:rPr>
                <w:rFonts w:eastAsiaTheme="minorHAnsi" w:cs="Arial"/>
                <w:color w:val="000000"/>
                <w:szCs w:val="22"/>
                <w:lang w:eastAsia="en-US"/>
              </w:rPr>
            </w:pPr>
            <w:r w:rsidRPr="00964B9A">
              <w:rPr>
                <w:rFonts w:eastAsiaTheme="minorHAnsi" w:cs="Arial"/>
                <w:color w:val="000000"/>
                <w:szCs w:val="22"/>
                <w:lang w:eastAsia="en-US"/>
              </w:rPr>
              <w:t xml:space="preserve">Endocarditis </w:t>
            </w:r>
          </w:p>
          <w:p w14:paraId="4C150C22" w14:textId="77777777" w:rsidR="00964B9A" w:rsidRDefault="00A3274D" w:rsidP="00964B9A">
            <w:pPr>
              <w:pStyle w:val="ListParagraph"/>
              <w:numPr>
                <w:ilvl w:val="0"/>
                <w:numId w:val="35"/>
              </w:numPr>
              <w:autoSpaceDE w:val="0"/>
              <w:autoSpaceDN w:val="0"/>
              <w:adjustRightInd w:val="0"/>
              <w:spacing w:before="0" w:after="30"/>
              <w:rPr>
                <w:rFonts w:eastAsiaTheme="minorHAnsi" w:cs="Arial"/>
                <w:color w:val="000000"/>
                <w:szCs w:val="22"/>
                <w:lang w:eastAsia="en-US"/>
              </w:rPr>
            </w:pPr>
            <w:r w:rsidRPr="00964B9A">
              <w:rPr>
                <w:rFonts w:eastAsiaTheme="minorHAnsi" w:cs="Arial"/>
                <w:color w:val="000000"/>
                <w:szCs w:val="22"/>
                <w:lang w:eastAsia="en-US"/>
              </w:rPr>
              <w:t xml:space="preserve">Empyema </w:t>
            </w:r>
          </w:p>
          <w:p w14:paraId="5E7F4DF7" w14:textId="77777777" w:rsidR="00964B9A" w:rsidRDefault="00A3274D" w:rsidP="00964B9A">
            <w:pPr>
              <w:pStyle w:val="ListParagraph"/>
              <w:numPr>
                <w:ilvl w:val="0"/>
                <w:numId w:val="35"/>
              </w:numPr>
              <w:autoSpaceDE w:val="0"/>
              <w:autoSpaceDN w:val="0"/>
              <w:adjustRightInd w:val="0"/>
              <w:spacing w:before="0" w:after="30"/>
              <w:rPr>
                <w:rFonts w:eastAsiaTheme="minorHAnsi" w:cs="Arial"/>
                <w:color w:val="000000"/>
                <w:szCs w:val="22"/>
                <w:lang w:eastAsia="en-US"/>
              </w:rPr>
            </w:pPr>
            <w:r w:rsidRPr="00964B9A">
              <w:rPr>
                <w:rFonts w:eastAsiaTheme="minorHAnsi" w:cs="Arial"/>
                <w:color w:val="000000"/>
                <w:szCs w:val="22"/>
                <w:lang w:eastAsia="en-US"/>
              </w:rPr>
              <w:t xml:space="preserve">Cystic fibrosis </w:t>
            </w:r>
          </w:p>
          <w:p w14:paraId="54DEDFDC" w14:textId="77777777" w:rsidR="00964B9A" w:rsidRDefault="00A3274D" w:rsidP="00964B9A">
            <w:pPr>
              <w:pStyle w:val="ListParagraph"/>
              <w:numPr>
                <w:ilvl w:val="0"/>
                <w:numId w:val="35"/>
              </w:numPr>
              <w:autoSpaceDE w:val="0"/>
              <w:autoSpaceDN w:val="0"/>
              <w:adjustRightInd w:val="0"/>
              <w:spacing w:before="0" w:after="30"/>
              <w:rPr>
                <w:rFonts w:eastAsiaTheme="minorHAnsi" w:cs="Arial"/>
                <w:color w:val="000000"/>
                <w:szCs w:val="22"/>
                <w:lang w:eastAsia="en-US"/>
              </w:rPr>
            </w:pPr>
            <w:r w:rsidRPr="00964B9A">
              <w:rPr>
                <w:rFonts w:eastAsiaTheme="minorHAnsi" w:cs="Arial"/>
                <w:color w:val="000000"/>
                <w:szCs w:val="22"/>
                <w:lang w:eastAsia="en-US"/>
              </w:rPr>
              <w:t xml:space="preserve">Bone &amp; joint infections – osteomyelitis, septic arthritis </w:t>
            </w:r>
          </w:p>
          <w:p w14:paraId="053EE0AE" w14:textId="77777777" w:rsidR="00964B9A" w:rsidRDefault="00A3274D" w:rsidP="00964B9A">
            <w:pPr>
              <w:pStyle w:val="ListParagraph"/>
              <w:numPr>
                <w:ilvl w:val="0"/>
                <w:numId w:val="35"/>
              </w:numPr>
              <w:autoSpaceDE w:val="0"/>
              <w:autoSpaceDN w:val="0"/>
              <w:adjustRightInd w:val="0"/>
              <w:spacing w:before="0" w:after="30"/>
              <w:rPr>
                <w:rFonts w:eastAsiaTheme="minorHAnsi" w:cs="Arial"/>
                <w:color w:val="000000"/>
                <w:szCs w:val="22"/>
                <w:lang w:eastAsia="en-US"/>
              </w:rPr>
            </w:pPr>
            <w:r w:rsidRPr="00964B9A">
              <w:rPr>
                <w:rFonts w:eastAsiaTheme="minorHAnsi" w:cs="Arial"/>
                <w:color w:val="000000"/>
                <w:szCs w:val="22"/>
                <w:lang w:eastAsia="en-US"/>
              </w:rPr>
              <w:t xml:space="preserve">Severe soft tissue infections (necrotising fasciitis, severe cellulitis) </w:t>
            </w:r>
          </w:p>
          <w:p w14:paraId="583E19F3" w14:textId="77777777" w:rsidR="00A3274D" w:rsidRPr="00964B9A" w:rsidRDefault="00A3274D" w:rsidP="00964B9A">
            <w:pPr>
              <w:pStyle w:val="ListParagraph"/>
              <w:numPr>
                <w:ilvl w:val="0"/>
                <w:numId w:val="35"/>
              </w:numPr>
              <w:autoSpaceDE w:val="0"/>
              <w:autoSpaceDN w:val="0"/>
              <w:adjustRightInd w:val="0"/>
              <w:spacing w:before="0" w:after="30"/>
              <w:rPr>
                <w:rFonts w:eastAsiaTheme="minorHAnsi" w:cs="Arial"/>
                <w:color w:val="000000"/>
                <w:szCs w:val="22"/>
                <w:lang w:eastAsia="en-US"/>
              </w:rPr>
            </w:pPr>
            <w:r w:rsidRPr="00964B9A">
              <w:rPr>
                <w:rFonts w:eastAsiaTheme="minorHAnsi" w:cs="Arial"/>
                <w:color w:val="000000"/>
                <w:szCs w:val="22"/>
                <w:lang w:eastAsia="en-US"/>
              </w:rPr>
              <w:t xml:space="preserve">Staphylococcal bacteraemia IV therapy should be reviewed every 48 hours with a view to switch to oral as soon as appropriate. </w:t>
            </w:r>
          </w:p>
          <w:p w14:paraId="61765598" w14:textId="77777777" w:rsidR="006F3719" w:rsidRPr="0003298D" w:rsidRDefault="006F3719" w:rsidP="00964B9A">
            <w:pPr>
              <w:spacing w:before="80" w:after="80"/>
            </w:pPr>
          </w:p>
        </w:tc>
        <w:tc>
          <w:tcPr>
            <w:tcW w:w="987" w:type="dxa"/>
            <w:gridSpan w:val="2"/>
            <w:vAlign w:val="center"/>
          </w:tcPr>
          <w:p w14:paraId="13BE8BA7" w14:textId="77777777" w:rsidR="006F3719" w:rsidRPr="000955F7" w:rsidRDefault="006F3719" w:rsidP="00662F39">
            <w:pPr>
              <w:spacing w:before="80" w:after="80"/>
              <w:jc w:val="center"/>
            </w:pPr>
          </w:p>
        </w:tc>
      </w:tr>
    </w:tbl>
    <w:p w14:paraId="73D3AFA7" w14:textId="36C0D7A7" w:rsidR="006F3719" w:rsidRDefault="006F3719" w:rsidP="006F3719"/>
    <w:sectPr w:rsidR="006F3719"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1BC21" w14:textId="77777777" w:rsidR="00C757F3" w:rsidRDefault="00C757F3" w:rsidP="006F3719">
      <w:pPr>
        <w:spacing w:before="0" w:after="0"/>
      </w:pPr>
      <w:r>
        <w:separator/>
      </w:r>
    </w:p>
  </w:endnote>
  <w:endnote w:type="continuationSeparator" w:id="0">
    <w:p w14:paraId="1F7E2174" w14:textId="77777777" w:rsidR="00C757F3" w:rsidRDefault="00C757F3" w:rsidP="006F37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AB38" w14:textId="77777777" w:rsidR="00D229FE" w:rsidRDefault="00D229FE" w:rsidP="00662F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8E4103" w14:textId="77777777" w:rsidR="00D229FE" w:rsidRDefault="00D229FE" w:rsidP="00662F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CA0F" w14:textId="7112647D" w:rsidR="00D229FE" w:rsidRDefault="00D229FE" w:rsidP="00662F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567A">
      <w:rPr>
        <w:rStyle w:val="PageNumber"/>
        <w:noProof/>
      </w:rPr>
      <w:t>20</w:t>
    </w:r>
    <w:r>
      <w:rPr>
        <w:rStyle w:val="PageNumber"/>
      </w:rPr>
      <w:fldChar w:fldCharType="end"/>
    </w:r>
  </w:p>
  <w:p w14:paraId="0138645D" w14:textId="77777777" w:rsidR="00D229FE" w:rsidRDefault="00D229FE" w:rsidP="00662F39">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D927" w14:textId="39D48286" w:rsidR="00D229FE" w:rsidRDefault="00D229FE" w:rsidP="00662F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567A">
      <w:rPr>
        <w:rStyle w:val="PageNumber"/>
        <w:noProof/>
      </w:rPr>
      <w:t>1</w:t>
    </w:r>
    <w:r>
      <w:rPr>
        <w:rStyle w:val="PageNumber"/>
      </w:rPr>
      <w:fldChar w:fldCharType="end"/>
    </w:r>
  </w:p>
  <w:p w14:paraId="49E29432" w14:textId="77777777" w:rsidR="00D229FE" w:rsidRDefault="00D229FE" w:rsidP="00662F3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65D8A" w14:textId="77777777" w:rsidR="00C757F3" w:rsidRDefault="00C757F3" w:rsidP="006F3719">
      <w:pPr>
        <w:spacing w:before="0" w:after="0"/>
      </w:pPr>
      <w:r>
        <w:separator/>
      </w:r>
    </w:p>
  </w:footnote>
  <w:footnote w:type="continuationSeparator" w:id="0">
    <w:p w14:paraId="53390595" w14:textId="77777777" w:rsidR="00C757F3" w:rsidRDefault="00C757F3" w:rsidP="006F37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0445" w14:textId="3E93183B" w:rsidR="00D229FE" w:rsidRDefault="00D22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6970" w14:textId="77777777" w:rsidR="00D229FE" w:rsidRDefault="00D229FE" w:rsidP="00742373">
    <w:pPr>
      <w:pStyle w:val="Header"/>
      <w:tabs>
        <w:tab w:val="clear" w:pos="4513"/>
        <w:tab w:val="clear" w:pos="9026"/>
        <w:tab w:val="left" w:pos="6420"/>
      </w:tabs>
    </w:pPr>
    <w:r>
      <w:tab/>
    </w:r>
    <w:r>
      <w:rPr>
        <w:noProof/>
      </w:rPr>
      <w:drawing>
        <wp:inline distT="0" distB="0" distL="0" distR="0" wp14:anchorId="5276FC37" wp14:editId="39B6B67A">
          <wp:extent cx="1638300" cy="929640"/>
          <wp:effectExtent l="0" t="0" r="0" b="3810"/>
          <wp:docPr id="3" name="Picture 3"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505"/>
    <w:multiLevelType w:val="hybridMultilevel"/>
    <w:tmpl w:val="1F30F13E"/>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CE32BA"/>
    <w:multiLevelType w:val="hybridMultilevel"/>
    <w:tmpl w:val="A41C64C0"/>
    <w:lvl w:ilvl="0" w:tplc="08090001">
      <w:start w:val="1"/>
      <w:numFmt w:val="bullet"/>
      <w:lvlText w:val=""/>
      <w:lvlJc w:val="left"/>
      <w:pPr>
        <w:ind w:left="1080" w:hanging="360"/>
      </w:pPr>
      <w:rPr>
        <w:rFonts w:ascii="Symbol" w:hAnsi="Symbol"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3562A"/>
    <w:multiLevelType w:val="hybridMultilevel"/>
    <w:tmpl w:val="BECC3DB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D662CE5"/>
    <w:multiLevelType w:val="hybridMultilevel"/>
    <w:tmpl w:val="AA3C2A6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680" w:hanging="360"/>
      </w:pPr>
      <w:rPr>
        <w:rFonts w:ascii="Courier New" w:hAnsi="Courier New" w:cs="Courier New" w:hint="default"/>
      </w:rPr>
    </w:lvl>
    <w:lvl w:ilvl="2" w:tplc="08090005">
      <w:start w:val="1"/>
      <w:numFmt w:val="bullet"/>
      <w:lvlText w:val=""/>
      <w:lvlJc w:val="left"/>
      <w:pPr>
        <w:ind w:left="1400" w:hanging="360"/>
      </w:pPr>
      <w:rPr>
        <w:rFonts w:ascii="Wingdings" w:hAnsi="Wingdings" w:hint="default"/>
      </w:rPr>
    </w:lvl>
    <w:lvl w:ilvl="3" w:tplc="0809000B">
      <w:start w:val="1"/>
      <w:numFmt w:val="bullet"/>
      <w:lvlText w:val=""/>
      <w:lvlJc w:val="left"/>
      <w:pPr>
        <w:ind w:left="2120" w:hanging="360"/>
      </w:pPr>
      <w:rPr>
        <w:rFonts w:ascii="Wingdings" w:hAnsi="Wingdings" w:hint="default"/>
      </w:rPr>
    </w:lvl>
    <w:lvl w:ilvl="4" w:tplc="3D9ACA02">
      <w:numFmt w:val="bullet"/>
      <w:lvlText w:val="-"/>
      <w:lvlJc w:val="left"/>
      <w:pPr>
        <w:ind w:left="2840" w:hanging="360"/>
      </w:pPr>
      <w:rPr>
        <w:rFonts w:ascii="Arial" w:eastAsia="Times New Roman" w:hAnsi="Arial" w:cs="Arial" w:hint="default"/>
      </w:rPr>
    </w:lvl>
    <w:lvl w:ilvl="5" w:tplc="08090005" w:tentative="1">
      <w:start w:val="1"/>
      <w:numFmt w:val="bullet"/>
      <w:lvlText w:val=""/>
      <w:lvlJc w:val="left"/>
      <w:pPr>
        <w:ind w:left="3560" w:hanging="360"/>
      </w:pPr>
      <w:rPr>
        <w:rFonts w:ascii="Wingdings" w:hAnsi="Wingdings" w:hint="default"/>
      </w:rPr>
    </w:lvl>
    <w:lvl w:ilvl="6" w:tplc="08090001" w:tentative="1">
      <w:start w:val="1"/>
      <w:numFmt w:val="bullet"/>
      <w:lvlText w:val=""/>
      <w:lvlJc w:val="left"/>
      <w:pPr>
        <w:ind w:left="4280" w:hanging="360"/>
      </w:pPr>
      <w:rPr>
        <w:rFonts w:ascii="Symbol" w:hAnsi="Symbol" w:hint="default"/>
      </w:rPr>
    </w:lvl>
    <w:lvl w:ilvl="7" w:tplc="08090003" w:tentative="1">
      <w:start w:val="1"/>
      <w:numFmt w:val="bullet"/>
      <w:lvlText w:val="o"/>
      <w:lvlJc w:val="left"/>
      <w:pPr>
        <w:ind w:left="5000" w:hanging="360"/>
      </w:pPr>
      <w:rPr>
        <w:rFonts w:ascii="Courier New" w:hAnsi="Courier New" w:cs="Courier New" w:hint="default"/>
      </w:rPr>
    </w:lvl>
    <w:lvl w:ilvl="8" w:tplc="08090005" w:tentative="1">
      <w:start w:val="1"/>
      <w:numFmt w:val="bullet"/>
      <w:lvlText w:val=""/>
      <w:lvlJc w:val="left"/>
      <w:pPr>
        <w:ind w:left="5720" w:hanging="360"/>
      </w:pPr>
      <w:rPr>
        <w:rFonts w:ascii="Wingdings" w:hAnsi="Wingdings" w:hint="default"/>
      </w:rPr>
    </w:lvl>
  </w:abstractNum>
  <w:abstractNum w:abstractNumId="4" w15:restartNumberingAfterBreak="0">
    <w:nsid w:val="0DFC29AF"/>
    <w:multiLevelType w:val="hybridMultilevel"/>
    <w:tmpl w:val="D73242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9B5D75"/>
    <w:multiLevelType w:val="hybridMultilevel"/>
    <w:tmpl w:val="A622F8C8"/>
    <w:lvl w:ilvl="0" w:tplc="3E6C1046">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1636CB"/>
    <w:multiLevelType w:val="hybridMultilevel"/>
    <w:tmpl w:val="82B24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44E96"/>
    <w:multiLevelType w:val="hybridMultilevel"/>
    <w:tmpl w:val="527CF5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5C2757"/>
    <w:multiLevelType w:val="hybridMultilevel"/>
    <w:tmpl w:val="D63EAAA6"/>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88009D1"/>
    <w:multiLevelType w:val="hybridMultilevel"/>
    <w:tmpl w:val="0986A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FA52D0"/>
    <w:multiLevelType w:val="hybridMultilevel"/>
    <w:tmpl w:val="5AC24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70101"/>
    <w:multiLevelType w:val="hybridMultilevel"/>
    <w:tmpl w:val="668EF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12" w15:restartNumberingAfterBreak="0">
    <w:nsid w:val="28A20FB9"/>
    <w:multiLevelType w:val="hybridMultilevel"/>
    <w:tmpl w:val="C250325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B482348"/>
    <w:multiLevelType w:val="hybridMultilevel"/>
    <w:tmpl w:val="6F3E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D0F02"/>
    <w:multiLevelType w:val="multilevel"/>
    <w:tmpl w:val="5C082D28"/>
    <w:lvl w:ilvl="0">
      <w:start w:val="1"/>
      <w:numFmt w:val="decimal"/>
      <w:lvlText w:val="%1."/>
      <w:lvlJc w:val="left"/>
      <w:pPr>
        <w:ind w:left="360" w:hanging="360"/>
      </w:pPr>
    </w:lvl>
    <w:lvl w:ilvl="1">
      <w:start w:val="1"/>
      <w:numFmt w:val="decimal"/>
      <w:isLgl/>
      <w:lvlText w:val="%1.%2"/>
      <w:lvlJc w:val="left"/>
      <w:pPr>
        <w:ind w:left="76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300F652A"/>
    <w:multiLevelType w:val="hybridMultilevel"/>
    <w:tmpl w:val="91A882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234A57"/>
    <w:multiLevelType w:val="hybridMultilevel"/>
    <w:tmpl w:val="4D4AA880"/>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35B401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EF7EA5"/>
    <w:multiLevelType w:val="hybridMultilevel"/>
    <w:tmpl w:val="942CE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F66145"/>
    <w:multiLevelType w:val="hybridMultilevel"/>
    <w:tmpl w:val="AA16C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992640"/>
    <w:multiLevelType w:val="hybridMultilevel"/>
    <w:tmpl w:val="D2A469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1" w15:restartNumberingAfterBreak="0">
    <w:nsid w:val="43A41D5A"/>
    <w:multiLevelType w:val="hybridMultilevel"/>
    <w:tmpl w:val="D666B5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6CE04FB"/>
    <w:multiLevelType w:val="hybridMultilevel"/>
    <w:tmpl w:val="2758CDA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C15518"/>
    <w:multiLevelType w:val="hybridMultilevel"/>
    <w:tmpl w:val="A11EA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7D4F14"/>
    <w:multiLevelType w:val="hybridMultilevel"/>
    <w:tmpl w:val="EB74863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06A372C"/>
    <w:multiLevelType w:val="hybridMultilevel"/>
    <w:tmpl w:val="4470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D12C9"/>
    <w:multiLevelType w:val="hybridMultilevel"/>
    <w:tmpl w:val="C7B61A74"/>
    <w:lvl w:ilvl="0" w:tplc="08090001">
      <w:start w:val="1"/>
      <w:numFmt w:val="bullet"/>
      <w:lvlText w:val=""/>
      <w:lvlJc w:val="left"/>
      <w:pPr>
        <w:ind w:left="1840" w:hanging="360"/>
      </w:pPr>
      <w:rPr>
        <w:rFonts w:ascii="Symbol" w:hAnsi="Symbol" w:hint="default"/>
      </w:rPr>
    </w:lvl>
    <w:lvl w:ilvl="1" w:tplc="08090005">
      <w:start w:val="1"/>
      <w:numFmt w:val="bullet"/>
      <w:lvlText w:val=""/>
      <w:lvlJc w:val="left"/>
      <w:pPr>
        <w:ind w:left="2560" w:hanging="360"/>
      </w:pPr>
      <w:rPr>
        <w:rFonts w:ascii="Wingdings" w:hAnsi="Wingdings" w:hint="default"/>
      </w:rPr>
    </w:lvl>
    <w:lvl w:ilvl="2" w:tplc="08090005">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27" w15:restartNumberingAfterBreak="0">
    <w:nsid w:val="578958DA"/>
    <w:multiLevelType w:val="hybridMultilevel"/>
    <w:tmpl w:val="00C84734"/>
    <w:lvl w:ilvl="0" w:tplc="5B6EDE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E011091"/>
    <w:multiLevelType w:val="hybridMultilevel"/>
    <w:tmpl w:val="62BC3D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5F6567C1"/>
    <w:multiLevelType w:val="hybridMultilevel"/>
    <w:tmpl w:val="55B0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985610"/>
    <w:multiLevelType w:val="hybridMultilevel"/>
    <w:tmpl w:val="7BFCD60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0A047B"/>
    <w:multiLevelType w:val="hybridMultilevel"/>
    <w:tmpl w:val="1652A310"/>
    <w:lvl w:ilvl="0" w:tplc="12802F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870679E"/>
    <w:multiLevelType w:val="hybridMultilevel"/>
    <w:tmpl w:val="CC0C73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3" w15:restartNumberingAfterBreak="0">
    <w:nsid w:val="6B4639CB"/>
    <w:multiLevelType w:val="multilevel"/>
    <w:tmpl w:val="AC7A41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36307D"/>
    <w:multiLevelType w:val="hybridMultilevel"/>
    <w:tmpl w:val="B8867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1C2FE3"/>
    <w:multiLevelType w:val="hybridMultilevel"/>
    <w:tmpl w:val="A22E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74E2B"/>
    <w:multiLevelType w:val="hybridMultilevel"/>
    <w:tmpl w:val="A680F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64214086">
    <w:abstractNumId w:val="30"/>
  </w:num>
  <w:num w:numId="2" w16cid:durableId="475219616">
    <w:abstractNumId w:val="14"/>
  </w:num>
  <w:num w:numId="3" w16cid:durableId="1629242721">
    <w:abstractNumId w:val="17"/>
  </w:num>
  <w:num w:numId="4" w16cid:durableId="1617635304">
    <w:abstractNumId w:val="7"/>
  </w:num>
  <w:num w:numId="5" w16cid:durableId="2093306707">
    <w:abstractNumId w:val="4"/>
  </w:num>
  <w:num w:numId="6" w16cid:durableId="2108698296">
    <w:abstractNumId w:val="8"/>
  </w:num>
  <w:num w:numId="7" w16cid:durableId="703292740">
    <w:abstractNumId w:val="1"/>
  </w:num>
  <w:num w:numId="8" w16cid:durableId="2000495325">
    <w:abstractNumId w:val="12"/>
  </w:num>
  <w:num w:numId="9" w16cid:durableId="1108818844">
    <w:abstractNumId w:val="2"/>
  </w:num>
  <w:num w:numId="10" w16cid:durableId="1967931762">
    <w:abstractNumId w:val="16"/>
  </w:num>
  <w:num w:numId="11" w16cid:durableId="1977488564">
    <w:abstractNumId w:val="26"/>
  </w:num>
  <w:num w:numId="12" w16cid:durableId="2058817284">
    <w:abstractNumId w:val="3"/>
  </w:num>
  <w:num w:numId="13" w16cid:durableId="1782436">
    <w:abstractNumId w:val="36"/>
  </w:num>
  <w:num w:numId="14" w16cid:durableId="439449532">
    <w:abstractNumId w:val="24"/>
  </w:num>
  <w:num w:numId="15" w16cid:durableId="595942834">
    <w:abstractNumId w:val="0"/>
  </w:num>
  <w:num w:numId="16" w16cid:durableId="163281594">
    <w:abstractNumId w:val="21"/>
  </w:num>
  <w:num w:numId="17" w16cid:durableId="217128517">
    <w:abstractNumId w:val="32"/>
  </w:num>
  <w:num w:numId="18" w16cid:durableId="1794131048">
    <w:abstractNumId w:val="28"/>
  </w:num>
  <w:num w:numId="19" w16cid:durableId="339241559">
    <w:abstractNumId w:val="5"/>
  </w:num>
  <w:num w:numId="20" w16cid:durableId="1658337624">
    <w:abstractNumId w:val="22"/>
  </w:num>
  <w:num w:numId="21" w16cid:durableId="1452088475">
    <w:abstractNumId w:val="31"/>
  </w:num>
  <w:num w:numId="22" w16cid:durableId="263878708">
    <w:abstractNumId w:val="11"/>
  </w:num>
  <w:num w:numId="23" w16cid:durableId="876771071">
    <w:abstractNumId w:val="20"/>
  </w:num>
  <w:num w:numId="24" w16cid:durableId="820848393">
    <w:abstractNumId w:val="23"/>
  </w:num>
  <w:num w:numId="25" w16cid:durableId="182787702">
    <w:abstractNumId w:val="19"/>
  </w:num>
  <w:num w:numId="26" w16cid:durableId="1079788300">
    <w:abstractNumId w:val="6"/>
  </w:num>
  <w:num w:numId="27" w16cid:durableId="629894164">
    <w:abstractNumId w:val="18"/>
  </w:num>
  <w:num w:numId="28" w16cid:durableId="924336714">
    <w:abstractNumId w:val="15"/>
  </w:num>
  <w:num w:numId="29" w16cid:durableId="1070616866">
    <w:abstractNumId w:val="34"/>
  </w:num>
  <w:num w:numId="30" w16cid:durableId="430860663">
    <w:abstractNumId w:val="9"/>
  </w:num>
  <w:num w:numId="31" w16cid:durableId="305745026">
    <w:abstractNumId w:val="25"/>
  </w:num>
  <w:num w:numId="32" w16cid:durableId="1132482744">
    <w:abstractNumId w:val="29"/>
  </w:num>
  <w:num w:numId="33" w16cid:durableId="1747458743">
    <w:abstractNumId w:val="35"/>
  </w:num>
  <w:num w:numId="34" w16cid:durableId="79303374">
    <w:abstractNumId w:val="10"/>
  </w:num>
  <w:num w:numId="35" w16cid:durableId="992875239">
    <w:abstractNumId w:val="13"/>
  </w:num>
  <w:num w:numId="36" w16cid:durableId="595095291">
    <w:abstractNumId w:val="33"/>
  </w:num>
  <w:num w:numId="37" w16cid:durableId="3727317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000E9"/>
    <w:rsid w:val="00010588"/>
    <w:rsid w:val="00014149"/>
    <w:rsid w:val="000171C6"/>
    <w:rsid w:val="00023E61"/>
    <w:rsid w:val="000258F9"/>
    <w:rsid w:val="00036164"/>
    <w:rsid w:val="000467EE"/>
    <w:rsid w:val="00051A13"/>
    <w:rsid w:val="00077470"/>
    <w:rsid w:val="000838E7"/>
    <w:rsid w:val="00085083"/>
    <w:rsid w:val="00090C6F"/>
    <w:rsid w:val="000A4F93"/>
    <w:rsid w:val="000B4C93"/>
    <w:rsid w:val="000C2007"/>
    <w:rsid w:val="000C4F31"/>
    <w:rsid w:val="000C560C"/>
    <w:rsid w:val="000C580B"/>
    <w:rsid w:val="000E2551"/>
    <w:rsid w:val="000E7DCD"/>
    <w:rsid w:val="0010486F"/>
    <w:rsid w:val="001105E2"/>
    <w:rsid w:val="0011598E"/>
    <w:rsid w:val="00127782"/>
    <w:rsid w:val="00145ECE"/>
    <w:rsid w:val="00150B3E"/>
    <w:rsid w:val="00156138"/>
    <w:rsid w:val="00156553"/>
    <w:rsid w:val="001603D0"/>
    <w:rsid w:val="00193C69"/>
    <w:rsid w:val="001B2357"/>
    <w:rsid w:val="001C523B"/>
    <w:rsid w:val="001C67D1"/>
    <w:rsid w:val="001D061F"/>
    <w:rsid w:val="001D07D3"/>
    <w:rsid w:val="001E15C4"/>
    <w:rsid w:val="001F0610"/>
    <w:rsid w:val="001F1E93"/>
    <w:rsid w:val="001F34AA"/>
    <w:rsid w:val="00201EA4"/>
    <w:rsid w:val="00210932"/>
    <w:rsid w:val="00220F1C"/>
    <w:rsid w:val="002226E1"/>
    <w:rsid w:val="00232256"/>
    <w:rsid w:val="0023740F"/>
    <w:rsid w:val="002408E9"/>
    <w:rsid w:val="00243EEE"/>
    <w:rsid w:val="002454D2"/>
    <w:rsid w:val="00255762"/>
    <w:rsid w:val="0027297A"/>
    <w:rsid w:val="00275B8A"/>
    <w:rsid w:val="00291DB2"/>
    <w:rsid w:val="00292A7C"/>
    <w:rsid w:val="00293902"/>
    <w:rsid w:val="00294741"/>
    <w:rsid w:val="002A2877"/>
    <w:rsid w:val="002A7CDC"/>
    <w:rsid w:val="002B7445"/>
    <w:rsid w:val="002B7928"/>
    <w:rsid w:val="002D40AC"/>
    <w:rsid w:val="002E1683"/>
    <w:rsid w:val="002F068F"/>
    <w:rsid w:val="002F3FE6"/>
    <w:rsid w:val="002F48B0"/>
    <w:rsid w:val="00316DEC"/>
    <w:rsid w:val="00322028"/>
    <w:rsid w:val="00324A0F"/>
    <w:rsid w:val="003354D3"/>
    <w:rsid w:val="003520BB"/>
    <w:rsid w:val="00374B72"/>
    <w:rsid w:val="00387EC2"/>
    <w:rsid w:val="00393AB0"/>
    <w:rsid w:val="003945B3"/>
    <w:rsid w:val="00396C3C"/>
    <w:rsid w:val="003A52A9"/>
    <w:rsid w:val="003A6562"/>
    <w:rsid w:val="003C419D"/>
    <w:rsid w:val="003C4408"/>
    <w:rsid w:val="003D0D14"/>
    <w:rsid w:val="003E133D"/>
    <w:rsid w:val="003E2DDA"/>
    <w:rsid w:val="003F3135"/>
    <w:rsid w:val="003F5165"/>
    <w:rsid w:val="0040218B"/>
    <w:rsid w:val="004055D4"/>
    <w:rsid w:val="004131CE"/>
    <w:rsid w:val="00422950"/>
    <w:rsid w:val="0042348D"/>
    <w:rsid w:val="004327F1"/>
    <w:rsid w:val="004507FB"/>
    <w:rsid w:val="00462A3B"/>
    <w:rsid w:val="00472A3A"/>
    <w:rsid w:val="00476325"/>
    <w:rsid w:val="0048524D"/>
    <w:rsid w:val="0048635A"/>
    <w:rsid w:val="004909D2"/>
    <w:rsid w:val="004954CE"/>
    <w:rsid w:val="00495A91"/>
    <w:rsid w:val="004A0E1A"/>
    <w:rsid w:val="004B4F71"/>
    <w:rsid w:val="004C4CB7"/>
    <w:rsid w:val="004C7F47"/>
    <w:rsid w:val="004D3B05"/>
    <w:rsid w:val="004D4AA1"/>
    <w:rsid w:val="004F6C8C"/>
    <w:rsid w:val="005037CA"/>
    <w:rsid w:val="005102D6"/>
    <w:rsid w:val="005267CB"/>
    <w:rsid w:val="00533BB3"/>
    <w:rsid w:val="005410F8"/>
    <w:rsid w:val="0054218F"/>
    <w:rsid w:val="00547497"/>
    <w:rsid w:val="005522B0"/>
    <w:rsid w:val="00564BE1"/>
    <w:rsid w:val="0059270D"/>
    <w:rsid w:val="00597509"/>
    <w:rsid w:val="005A0C48"/>
    <w:rsid w:val="005B6EA8"/>
    <w:rsid w:val="005C2059"/>
    <w:rsid w:val="005E0631"/>
    <w:rsid w:val="005E3196"/>
    <w:rsid w:val="005E7BEF"/>
    <w:rsid w:val="00606568"/>
    <w:rsid w:val="006066E1"/>
    <w:rsid w:val="006473E1"/>
    <w:rsid w:val="00651CC1"/>
    <w:rsid w:val="00662EA3"/>
    <w:rsid w:val="00662F39"/>
    <w:rsid w:val="006671B8"/>
    <w:rsid w:val="00685704"/>
    <w:rsid w:val="00691252"/>
    <w:rsid w:val="006923DD"/>
    <w:rsid w:val="006B286F"/>
    <w:rsid w:val="006C5ADC"/>
    <w:rsid w:val="006D0B1C"/>
    <w:rsid w:val="006D2DC8"/>
    <w:rsid w:val="006D6073"/>
    <w:rsid w:val="006D6E97"/>
    <w:rsid w:val="006F3719"/>
    <w:rsid w:val="00702232"/>
    <w:rsid w:val="00702A59"/>
    <w:rsid w:val="00723AC8"/>
    <w:rsid w:val="0073116F"/>
    <w:rsid w:val="00742373"/>
    <w:rsid w:val="00742C3D"/>
    <w:rsid w:val="0075297B"/>
    <w:rsid w:val="00756517"/>
    <w:rsid w:val="00757B45"/>
    <w:rsid w:val="007600AB"/>
    <w:rsid w:val="00766634"/>
    <w:rsid w:val="00781D80"/>
    <w:rsid w:val="00786071"/>
    <w:rsid w:val="007A32F8"/>
    <w:rsid w:val="007A39F9"/>
    <w:rsid w:val="007A3A3F"/>
    <w:rsid w:val="007C1074"/>
    <w:rsid w:val="007C49DB"/>
    <w:rsid w:val="00811B20"/>
    <w:rsid w:val="008215AC"/>
    <w:rsid w:val="0082529A"/>
    <w:rsid w:val="00833E32"/>
    <w:rsid w:val="0084474D"/>
    <w:rsid w:val="00854516"/>
    <w:rsid w:val="00874D26"/>
    <w:rsid w:val="008836E9"/>
    <w:rsid w:val="00884DC5"/>
    <w:rsid w:val="00894310"/>
    <w:rsid w:val="008A50C9"/>
    <w:rsid w:val="008D4A37"/>
    <w:rsid w:val="008D7808"/>
    <w:rsid w:val="008E0DF0"/>
    <w:rsid w:val="008E2FFC"/>
    <w:rsid w:val="008E515E"/>
    <w:rsid w:val="008F27B6"/>
    <w:rsid w:val="008F7064"/>
    <w:rsid w:val="009072D1"/>
    <w:rsid w:val="00922453"/>
    <w:rsid w:val="0092268F"/>
    <w:rsid w:val="00930C0A"/>
    <w:rsid w:val="00936E65"/>
    <w:rsid w:val="00945E64"/>
    <w:rsid w:val="00962C22"/>
    <w:rsid w:val="00964B9A"/>
    <w:rsid w:val="00977689"/>
    <w:rsid w:val="00982228"/>
    <w:rsid w:val="0099272A"/>
    <w:rsid w:val="00993B3B"/>
    <w:rsid w:val="0099567D"/>
    <w:rsid w:val="009A025D"/>
    <w:rsid w:val="009B0122"/>
    <w:rsid w:val="009B6DC2"/>
    <w:rsid w:val="009C15CD"/>
    <w:rsid w:val="009C5F30"/>
    <w:rsid w:val="009F7A7D"/>
    <w:rsid w:val="00A153B3"/>
    <w:rsid w:val="00A15C24"/>
    <w:rsid w:val="00A15D62"/>
    <w:rsid w:val="00A23B16"/>
    <w:rsid w:val="00A27931"/>
    <w:rsid w:val="00A27BBC"/>
    <w:rsid w:val="00A3274D"/>
    <w:rsid w:val="00A41DAA"/>
    <w:rsid w:val="00A64009"/>
    <w:rsid w:val="00A66509"/>
    <w:rsid w:val="00A7129A"/>
    <w:rsid w:val="00A7394A"/>
    <w:rsid w:val="00A77420"/>
    <w:rsid w:val="00A831B6"/>
    <w:rsid w:val="00A8602B"/>
    <w:rsid w:val="00A87DA0"/>
    <w:rsid w:val="00A97018"/>
    <w:rsid w:val="00AA02D2"/>
    <w:rsid w:val="00AC131C"/>
    <w:rsid w:val="00AC14CF"/>
    <w:rsid w:val="00AC6703"/>
    <w:rsid w:val="00AD0CDD"/>
    <w:rsid w:val="00AE047A"/>
    <w:rsid w:val="00B011B5"/>
    <w:rsid w:val="00B42324"/>
    <w:rsid w:val="00B46F73"/>
    <w:rsid w:val="00B53B80"/>
    <w:rsid w:val="00B562D9"/>
    <w:rsid w:val="00B575D3"/>
    <w:rsid w:val="00B577EA"/>
    <w:rsid w:val="00B65394"/>
    <w:rsid w:val="00B70C69"/>
    <w:rsid w:val="00B7344C"/>
    <w:rsid w:val="00B91352"/>
    <w:rsid w:val="00B93055"/>
    <w:rsid w:val="00BA0154"/>
    <w:rsid w:val="00BA194E"/>
    <w:rsid w:val="00BA1C7D"/>
    <w:rsid w:val="00BA4D25"/>
    <w:rsid w:val="00BA5416"/>
    <w:rsid w:val="00BB0173"/>
    <w:rsid w:val="00BB1DF5"/>
    <w:rsid w:val="00BB2892"/>
    <w:rsid w:val="00BD55DE"/>
    <w:rsid w:val="00BE48A2"/>
    <w:rsid w:val="00BF6D4E"/>
    <w:rsid w:val="00C01756"/>
    <w:rsid w:val="00C026B9"/>
    <w:rsid w:val="00C10D2C"/>
    <w:rsid w:val="00C20B75"/>
    <w:rsid w:val="00C23419"/>
    <w:rsid w:val="00C4011F"/>
    <w:rsid w:val="00C510B2"/>
    <w:rsid w:val="00C53EBF"/>
    <w:rsid w:val="00C540B7"/>
    <w:rsid w:val="00C633CA"/>
    <w:rsid w:val="00C673FA"/>
    <w:rsid w:val="00C7349E"/>
    <w:rsid w:val="00C757F3"/>
    <w:rsid w:val="00C81051"/>
    <w:rsid w:val="00C86D69"/>
    <w:rsid w:val="00CA2DC1"/>
    <w:rsid w:val="00CA7DAF"/>
    <w:rsid w:val="00CB75F1"/>
    <w:rsid w:val="00CD01E2"/>
    <w:rsid w:val="00CD70F2"/>
    <w:rsid w:val="00CE155C"/>
    <w:rsid w:val="00CE1830"/>
    <w:rsid w:val="00CE66AE"/>
    <w:rsid w:val="00CE71E2"/>
    <w:rsid w:val="00CF1CF1"/>
    <w:rsid w:val="00CF2550"/>
    <w:rsid w:val="00D060A5"/>
    <w:rsid w:val="00D17A64"/>
    <w:rsid w:val="00D2286E"/>
    <w:rsid w:val="00D229FE"/>
    <w:rsid w:val="00D24C5D"/>
    <w:rsid w:val="00D315F4"/>
    <w:rsid w:val="00D451DC"/>
    <w:rsid w:val="00D51CC4"/>
    <w:rsid w:val="00D51EA9"/>
    <w:rsid w:val="00D57532"/>
    <w:rsid w:val="00D64677"/>
    <w:rsid w:val="00D70D3B"/>
    <w:rsid w:val="00D72B70"/>
    <w:rsid w:val="00D865E0"/>
    <w:rsid w:val="00DA61BC"/>
    <w:rsid w:val="00DC6880"/>
    <w:rsid w:val="00DD47C6"/>
    <w:rsid w:val="00DF3BEC"/>
    <w:rsid w:val="00DF4394"/>
    <w:rsid w:val="00DF63ED"/>
    <w:rsid w:val="00E01179"/>
    <w:rsid w:val="00E0507E"/>
    <w:rsid w:val="00E05FFE"/>
    <w:rsid w:val="00E16FAA"/>
    <w:rsid w:val="00E16FC7"/>
    <w:rsid w:val="00E2113D"/>
    <w:rsid w:val="00E24898"/>
    <w:rsid w:val="00E257AD"/>
    <w:rsid w:val="00E33936"/>
    <w:rsid w:val="00E37542"/>
    <w:rsid w:val="00E419F8"/>
    <w:rsid w:val="00E41B90"/>
    <w:rsid w:val="00E43BCA"/>
    <w:rsid w:val="00E6567A"/>
    <w:rsid w:val="00E772E4"/>
    <w:rsid w:val="00E85795"/>
    <w:rsid w:val="00EA129A"/>
    <w:rsid w:val="00EA47BA"/>
    <w:rsid w:val="00EB0503"/>
    <w:rsid w:val="00EC2A2A"/>
    <w:rsid w:val="00EC4F6D"/>
    <w:rsid w:val="00ED4759"/>
    <w:rsid w:val="00ED69A2"/>
    <w:rsid w:val="00EE15E3"/>
    <w:rsid w:val="00EE164C"/>
    <w:rsid w:val="00EF0269"/>
    <w:rsid w:val="00EF601B"/>
    <w:rsid w:val="00F1582B"/>
    <w:rsid w:val="00F21592"/>
    <w:rsid w:val="00F578E7"/>
    <w:rsid w:val="00F70176"/>
    <w:rsid w:val="00F706D9"/>
    <w:rsid w:val="00F81EE2"/>
    <w:rsid w:val="00F87615"/>
    <w:rsid w:val="00FA631E"/>
    <w:rsid w:val="00FC3FA6"/>
    <w:rsid w:val="00FC5E7C"/>
    <w:rsid w:val="00FD3635"/>
    <w:rsid w:val="00FD7169"/>
    <w:rsid w:val="00FE05B8"/>
    <w:rsid w:val="00FE168A"/>
    <w:rsid w:val="00FE6D7A"/>
    <w:rsid w:val="00FE70F9"/>
    <w:rsid w:val="00FF6E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583589"/>
  <w15:docId w15:val="{31BD90C0-BDE4-4BB1-A077-00EB88E3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19"/>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before="0"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5E2"/>
    <w:pPr>
      <w:ind w:left="720"/>
      <w:contextualSpacing/>
    </w:pPr>
  </w:style>
  <w:style w:type="paragraph" w:customStyle="1" w:styleId="Default">
    <w:name w:val="Default"/>
    <w:rsid w:val="00930C0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7394A"/>
    <w:rPr>
      <w:color w:val="0000FF" w:themeColor="hyperlink"/>
      <w:u w:val="single"/>
    </w:rPr>
  </w:style>
  <w:style w:type="character" w:styleId="CommentReference">
    <w:name w:val="annotation reference"/>
    <w:basedOn w:val="DefaultParagraphFont"/>
    <w:uiPriority w:val="99"/>
    <w:semiHidden/>
    <w:unhideWhenUsed/>
    <w:rsid w:val="004507FB"/>
    <w:rPr>
      <w:sz w:val="16"/>
      <w:szCs w:val="16"/>
    </w:rPr>
  </w:style>
  <w:style w:type="paragraph" w:styleId="CommentText">
    <w:name w:val="annotation text"/>
    <w:basedOn w:val="Normal"/>
    <w:link w:val="CommentTextChar"/>
    <w:uiPriority w:val="99"/>
    <w:semiHidden/>
    <w:unhideWhenUsed/>
    <w:rsid w:val="004507FB"/>
    <w:rPr>
      <w:sz w:val="20"/>
      <w:szCs w:val="20"/>
    </w:rPr>
  </w:style>
  <w:style w:type="character" w:customStyle="1" w:styleId="CommentTextChar">
    <w:name w:val="Comment Text Char"/>
    <w:basedOn w:val="DefaultParagraphFont"/>
    <w:link w:val="CommentText"/>
    <w:uiPriority w:val="99"/>
    <w:semiHidden/>
    <w:rsid w:val="004507FB"/>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507FB"/>
    <w:rPr>
      <w:b/>
      <w:bCs/>
    </w:rPr>
  </w:style>
  <w:style w:type="character" w:customStyle="1" w:styleId="CommentSubjectChar">
    <w:name w:val="Comment Subject Char"/>
    <w:basedOn w:val="CommentTextChar"/>
    <w:link w:val="CommentSubject"/>
    <w:uiPriority w:val="99"/>
    <w:semiHidden/>
    <w:rsid w:val="004507FB"/>
    <w:rPr>
      <w:rFonts w:ascii="Arial" w:eastAsia="Times New Roman" w:hAnsi="Arial" w:cs="Times New Roman"/>
      <w:b/>
      <w:bCs/>
      <w:sz w:val="20"/>
      <w:szCs w:val="20"/>
      <w:lang w:eastAsia="en-GB"/>
    </w:rPr>
  </w:style>
  <w:style w:type="character" w:styleId="FollowedHyperlink">
    <w:name w:val="FollowedHyperlink"/>
    <w:basedOn w:val="DefaultParagraphFont"/>
    <w:uiPriority w:val="99"/>
    <w:semiHidden/>
    <w:unhideWhenUsed/>
    <w:rsid w:val="004909D2"/>
    <w:rPr>
      <w:color w:val="800080" w:themeColor="followedHyperlink"/>
      <w:u w:val="single"/>
    </w:rPr>
  </w:style>
  <w:style w:type="paragraph" w:styleId="Revision">
    <w:name w:val="Revision"/>
    <w:hidden/>
    <w:uiPriority w:val="99"/>
    <w:semiHidden/>
    <w:rsid w:val="007A39F9"/>
    <w:pPr>
      <w:spacing w:after="0" w:line="240" w:lineRule="auto"/>
    </w:pPr>
    <w:rPr>
      <w:rFonts w:ascii="Arial" w:eastAsia="Times New Roman" w:hAnsi="Arial" w:cs="Times New Roman"/>
      <w:szCs w:val="24"/>
      <w:lang w:eastAsia="en-GB"/>
    </w:rPr>
  </w:style>
  <w:style w:type="character" w:customStyle="1" w:styleId="UnresolvedMention1">
    <w:name w:val="Unresolved Mention1"/>
    <w:basedOn w:val="DefaultParagraphFont"/>
    <w:uiPriority w:val="99"/>
    <w:semiHidden/>
    <w:unhideWhenUsed/>
    <w:rsid w:val="007A3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67703">
      <w:bodyDiv w:val="1"/>
      <w:marLeft w:val="0"/>
      <w:marRight w:val="0"/>
      <w:marTop w:val="0"/>
      <w:marBottom w:val="0"/>
      <w:divBdr>
        <w:top w:val="none" w:sz="0" w:space="0" w:color="auto"/>
        <w:left w:val="none" w:sz="0" w:space="0" w:color="auto"/>
        <w:bottom w:val="none" w:sz="0" w:space="0" w:color="auto"/>
        <w:right w:val="none" w:sz="0" w:space="0" w:color="auto"/>
      </w:divBdr>
      <w:divsChild>
        <w:div w:id="508953527">
          <w:marLeft w:val="0"/>
          <w:marRight w:val="0"/>
          <w:marTop w:val="0"/>
          <w:marBottom w:val="0"/>
          <w:divBdr>
            <w:top w:val="none" w:sz="0" w:space="0" w:color="auto"/>
            <w:left w:val="none" w:sz="0" w:space="0" w:color="auto"/>
            <w:bottom w:val="none" w:sz="0" w:space="0" w:color="auto"/>
            <w:right w:val="none" w:sz="0" w:space="0" w:color="auto"/>
          </w:divBdr>
        </w:div>
      </w:divsChild>
    </w:div>
    <w:div w:id="1926914153">
      <w:bodyDiv w:val="1"/>
      <w:marLeft w:val="0"/>
      <w:marRight w:val="0"/>
      <w:marTop w:val="0"/>
      <w:marBottom w:val="0"/>
      <w:divBdr>
        <w:top w:val="none" w:sz="0" w:space="0" w:color="auto"/>
        <w:left w:val="none" w:sz="0" w:space="0" w:color="auto"/>
        <w:bottom w:val="none" w:sz="0" w:space="0" w:color="auto"/>
        <w:right w:val="none" w:sz="0" w:space="0" w:color="auto"/>
      </w:divBdr>
      <w:divsChild>
        <w:div w:id="1746955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ng51" TargetMode="External"/><Relationship Id="rId18" Type="http://schemas.openxmlformats.org/officeDocument/2006/relationships/hyperlink" Target="https://www.gov.uk/government/publications/the-health-and-social-care-act-2008-code-of-practice-on-the-prevention-and-control-of-infections-and-related-guidance" TargetMode="External"/><Relationship Id="rId26" Type="http://schemas.openxmlformats.org/officeDocument/2006/relationships/hyperlink" Target="https://assets.publishing.service.gov.uk/government/uploads/system/uploads/attachment_data/file/843129/English_Surveillance_Programme_for_Antimicrobial_Utilisation_and_Resistance_2019.pdf" TargetMode="External"/><Relationship Id="rId39" Type="http://schemas.openxmlformats.org/officeDocument/2006/relationships/hyperlink" Target="https://gbr01.safelinks.protection.outlook.com/?url=https%3A%2F%2Fblmkantibioticspubliclive.azurewebsites.net%2F&amp;data=05%7C02%7Cjanan.kabir1%40nhs.net%7C2e8038142e60446af24508dd632171cd%7C37c354b285b047f5b22207b48d774ee3%7C0%7C0%7C638775718915679448%7CUnknown%7CTWFpbGZsb3d8eyJFbXB0eU1hcGkiOnRydWUsIlYiOiIwLjAuMDAwMCIsIlAiOiJXaW4zMiIsIkFOIjoiTWFpbCIsIldUIjoyfQ%3D%3D%7C0%7C%7C%7C&amp;sdata=WnwdrXusuGF%2FFxxlx%2FBuQqIy%2Bgpe0bzV2QBKvaxOT80%3D&amp;reserved=0" TargetMode="External"/><Relationship Id="rId21" Type="http://schemas.openxmlformats.org/officeDocument/2006/relationships/hyperlink" Target="https://www.england.nhs.uk/patientsafety/2015/08/18/psa-amr/" TargetMode="External"/><Relationship Id="rId34" Type="http://schemas.openxmlformats.org/officeDocument/2006/relationships/hyperlink" Target="https://www.nice.org.uk/guidance/cg183" TargetMode="External"/><Relationship Id="rId42" Type="http://schemas.openxmlformats.org/officeDocument/2006/relationships/hyperlink" Target="https://app.eolasmedical.com/auto-login/EOLAS%23ORG%23staging-homerton-university-hospital-nhs-foundation-trust%23bd5d3fc3-91c0-45f0-9e5d-393fb164ace5%23c738491f-be52-48eb-9263-e7e948041296" TargetMode="External"/><Relationship Id="rId47" Type="http://schemas.openxmlformats.org/officeDocument/2006/relationships/hyperlink" Target="https://gbr01.safelinks.protection.outlook.com/?url=https%3A%2F%2Felearning.rcgp.org.uk%2Fcourse%2Fview.php%3Fid%3D553%26gad_source%3D1%26gclid%3DEAIaIQobChMImKCZsLT_iwMVkqNQBh33iTSFEAAYASAAEgJAePD_BwE&amp;data=05%7C02%7Cjanan.kabir1%40nhs.net%7C2e8038142e60446af24508dd632171cd%7C37c354b285b047f5b22207b48d774ee3%7C0%7C0%7C638775718915692650%7CUnknown%7CTWFpbGZsb3d8eyJFbXB0eU1hcGkiOnRydWUsIlYiOiIwLjAuMDAwMCIsIlAiOiJXaW4zMiIsIkFOIjoiTWFpbCIsIldUIjoyfQ%3D%3D%7C0%7C%7C%7C&amp;sdata=ga3piMMGICfYbrq9FezbHP9hBcdndlduY0WCoWJdiP4%3D&amp;reserved=0" TargetMode="External"/><Relationship Id="rId50" Type="http://schemas.openxmlformats.org/officeDocument/2006/relationships/image" Target="media/image2.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arningacademy.elft.nhs.uk/totara/catalog/index.php?orderbykey=text&amp;itemstyle=narrow" TargetMode="External"/><Relationship Id="rId29" Type="http://schemas.openxmlformats.org/officeDocument/2006/relationships/hyperlink" Target="http://pathways.nice.org.uk/" TargetMode="External"/><Relationship Id="rId11" Type="http://schemas.openxmlformats.org/officeDocument/2006/relationships/header" Target="header2.xml"/><Relationship Id="rId24" Type="http://schemas.openxmlformats.org/officeDocument/2006/relationships/hyperlink" Target="http://www.rcgp.org.uk/clinical-and-research/toolkits/target-antibiotic-toolkit.aspx" TargetMode="External"/><Relationship Id="rId32" Type="http://schemas.openxmlformats.org/officeDocument/2006/relationships/hyperlink" Target="http://www.e-lfh.org.uk/programmes/antimicrobial-resistance/" TargetMode="External"/><Relationship Id="rId37" Type="http://schemas.openxmlformats.org/officeDocument/2006/relationships/hyperlink" Target="https://assets.publishing.service.gov.uk/government/uploads/system/uploads/attachment_data/file/773065/uk-20-year-vision-for-antimicrobial-resistance.pdf" TargetMode="External"/><Relationship Id="rId40" Type="http://schemas.openxmlformats.org/officeDocument/2006/relationships/hyperlink" Target="https://www.eolasmedical.com/" TargetMode="External"/><Relationship Id="rId45" Type="http://schemas.openxmlformats.org/officeDocument/2006/relationships/hyperlink" Target="https://www.nice.org.uk/about/what-we-do/our-programmes/nice-guidance/nice-guideline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s://www.gov.uk/government/publications/uk-5-year-antimicrobial-resistance-strategy-2013-to-2018" TargetMode="External"/><Relationship Id="rId31" Type="http://schemas.openxmlformats.org/officeDocument/2006/relationships/hyperlink" Target="http://www.hpa.org.uk/Topics/InfectiousDiseases/InfectionsAZ/NotificationsOfInfectiousDiseases/ListOfNotifiableDiseases" TargetMode="External"/><Relationship Id="rId44" Type="http://schemas.openxmlformats.org/officeDocument/2006/relationships/hyperlink" Target="https://www.gov.uk/government/collections/primary-care-guidance-diagnosing-and-managing-infections" TargetMode="External"/><Relationship Id="rId52" Type="http://schemas.openxmlformats.org/officeDocument/2006/relationships/hyperlink" Target="https://www.gov.uk/government/publications/antimicrobial-intravenous-to-oral-switch-criteria-for-early-swit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guidance/ng15/resources/using-antimicrobial-medicines-safely-and-wisely-to-treat-infections-327009432517" TargetMode="External"/><Relationship Id="rId22" Type="http://schemas.openxmlformats.org/officeDocument/2006/relationships/hyperlink" Target="https://www.nice.org.uk/guidance/ph36" TargetMode="External"/><Relationship Id="rId27" Type="http://schemas.openxmlformats.org/officeDocument/2006/relationships/hyperlink" Target="https://www.gov.uk/government/publications/antimicrobial-intravenous-to-oral-switch-criteria-for-early-switch" TargetMode="External"/><Relationship Id="rId30" Type="http://schemas.openxmlformats.org/officeDocument/2006/relationships/hyperlink" Target="https://www.gov.uk/government/uploads/system/uploads/attachment_data/file/619772/Urinary_tract_infection_UTI_guidance.pdf" TargetMode="External"/><Relationship Id="rId35" Type="http://schemas.openxmlformats.org/officeDocument/2006/relationships/hyperlink" Target="https://www.nice.org.uk/guidance/ng84" TargetMode="External"/><Relationship Id="rId43" Type="http://schemas.openxmlformats.org/officeDocument/2006/relationships/hyperlink" Target="https://app.eolasmedical.com/organisation/Barts%20Health%20NHS%20Trust" TargetMode="External"/><Relationship Id="rId48" Type="http://schemas.openxmlformats.org/officeDocument/2006/relationships/hyperlink" Target="https://assets.publishing.service.gov.uk/government/uploads/system/uploads/attachment_data/file/417032/Start_Smart_Then_Focus_FINAL.PDF" TargetMode="External"/><Relationship Id="rId8" Type="http://schemas.openxmlformats.org/officeDocument/2006/relationships/header" Target="header1.xml"/><Relationship Id="rId51" Type="http://schemas.openxmlformats.org/officeDocument/2006/relationships/image" Target="media/image3.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e-lfh.org.uk/programmes/antimicrobial-resistance/" TargetMode="External"/><Relationship Id="rId25" Type="http://schemas.openxmlformats.org/officeDocument/2006/relationships/hyperlink" Target="https://www.nice.org.uk/guidance/ng63" TargetMode="External"/><Relationship Id="rId33" Type="http://schemas.openxmlformats.org/officeDocument/2006/relationships/hyperlink" Target="https://www.gov.uk/government/publications/antimicrobial-prescribing-and-stewardship-competencies" TargetMode="External"/><Relationship Id="rId38" Type="http://schemas.openxmlformats.org/officeDocument/2006/relationships/hyperlink" Target="https://www.bedsformulary.nhs.uk/" TargetMode="External"/><Relationship Id="rId46" Type="http://schemas.openxmlformats.org/officeDocument/2006/relationships/hyperlink" Target="https://www.nice.org.uk/guidance/cg69" TargetMode="External"/><Relationship Id="rId20" Type="http://schemas.openxmlformats.org/officeDocument/2006/relationships/hyperlink" Target="https://www.nice.org.uk/guidance/ng15" TargetMode="External"/><Relationship Id="rId41" Type="http://schemas.openxmlformats.org/officeDocument/2006/relationships/hyperlink" Target="https://medicines.blmkccg.nhs.uk/wp-content/uploads/2020/09/antimicrobial-guidelines-updated-march-2021-NC.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uidance/notifiable-diseases-and-causative-organisms-how-to-report" TargetMode="External"/><Relationship Id="rId23" Type="http://schemas.openxmlformats.org/officeDocument/2006/relationships/hyperlink" Target="https://www.gov.uk/government/publications/antimicrobial-stewardship-start-smart-then-focus%20Accessed%2026/01/18" TargetMode="External"/><Relationship Id="rId28" Type="http://schemas.openxmlformats.org/officeDocument/2006/relationships/hyperlink" Target="https://www.gov.uk/government/publications/managing-common-infections-guidance-for-primary-care" TargetMode="External"/><Relationship Id="rId36" Type="http://schemas.openxmlformats.org/officeDocument/2006/relationships/hyperlink" Target="https://assets.publishing.service.gov.uk/government/uploads/system/uploads/attachment_data/file/784894/UK_AMR_5_year_national_action_plan.pdf" TargetMode="External"/><Relationship Id="rId49" Type="http://schemas.openxmlformats.org/officeDocument/2006/relationships/hyperlink" Target="https://gbr01.safelinks.protection.outlook.com/?url=https%3A%2F%2Felearning.rcgp.org.uk%2Fmod%2Fbook%2Fview.php%3Fid%3D12653&amp;data=05%7C02%7Cjanan.kabir1%40nhs.net%7C2e8038142e60446af24508dd632171cd%7C37c354b285b047f5b22207b48d774ee3%7C0%7C0%7C638775718915705591%7CUnknown%7CTWFpbGZsb3d8eyJFbXB0eU1hcGkiOnRydWUsIlYiOiIwLjAuMDAwMCIsIlAiOiJXaW4zMiIsIkFOIjoiTWFpbCIsIldUIjoyfQ%3D%3D%7C0%7C%7C%7C&amp;sdata=pAjT6rStbm82zzuVfPcp5yCfIUzXtl%2FMFejcoG41Jrc%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AC174-4962-4F14-B7D6-DE4FAD046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8205</Words>
  <Characters>46774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54870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fitzgeraldm</dc:creator>
  <cp:keywords/>
  <dc:description/>
  <cp:lastModifiedBy>KHATUN, Rashida (EAST LONDON NHS FOUNDATION TRUST)</cp:lastModifiedBy>
  <cp:revision>3</cp:revision>
  <dcterms:created xsi:type="dcterms:W3CDTF">2025-03-24T14:19:00Z</dcterms:created>
  <dcterms:modified xsi:type="dcterms:W3CDTF">2025-03-24T14:37:00Z</dcterms:modified>
</cp:coreProperties>
</file>