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F83A0" w14:textId="05FE0394" w:rsidR="00965683" w:rsidRDefault="00965683" w:rsidP="00F06F81">
      <w:pPr>
        <w:jc w:val="center"/>
        <w:rPr>
          <w:rFonts w:ascii="Arial" w:hAnsi="Arial" w:cs="Arial"/>
          <w:sz w:val="28"/>
          <w:szCs w:val="28"/>
        </w:rPr>
      </w:pPr>
      <w:r w:rsidRPr="00FD1F91">
        <w:rPr>
          <w:rFonts w:ascii="Arial" w:hAnsi="Arial" w:cs="Arial"/>
          <w:b/>
          <w:bCs/>
          <w:sz w:val="28"/>
          <w:szCs w:val="28"/>
        </w:rPr>
        <w:t xml:space="preserve">Policy in a Nutshell </w:t>
      </w:r>
      <w:r w:rsidR="00B72C3E" w:rsidRPr="00FD1F91">
        <w:rPr>
          <w:rFonts w:ascii="Arial" w:hAnsi="Arial" w:cs="Arial"/>
          <w:sz w:val="28"/>
          <w:szCs w:val="28"/>
        </w:rPr>
        <w:t>(</w:t>
      </w:r>
      <w:r w:rsidR="00FD1F91" w:rsidRPr="00FD1F91">
        <w:rPr>
          <w:rFonts w:ascii="Arial" w:hAnsi="Arial" w:cs="Arial"/>
          <w:sz w:val="28"/>
          <w:szCs w:val="28"/>
        </w:rPr>
        <w:t>Febr</w:t>
      </w:r>
      <w:r w:rsidR="00B72C3E" w:rsidRPr="00FD1F91">
        <w:rPr>
          <w:rFonts w:ascii="Arial" w:hAnsi="Arial" w:cs="Arial"/>
          <w:sz w:val="28"/>
          <w:szCs w:val="28"/>
        </w:rPr>
        <w:t>uary 2025</w:t>
      </w:r>
      <w:r w:rsidRPr="00FD1F91">
        <w:rPr>
          <w:rFonts w:ascii="Arial" w:hAnsi="Arial" w:cs="Arial"/>
          <w:sz w:val="28"/>
          <w:szCs w:val="28"/>
        </w:rPr>
        <w:t>)</w:t>
      </w:r>
    </w:p>
    <w:p w14:paraId="576DF214" w14:textId="77777777" w:rsidR="00FD1F91" w:rsidRPr="00FD1F91" w:rsidRDefault="00FD1F91" w:rsidP="00F06F81">
      <w:pPr>
        <w:jc w:val="center"/>
        <w:rPr>
          <w:rFonts w:ascii="Arial" w:hAnsi="Arial" w:cs="Arial"/>
          <w:sz w:val="28"/>
          <w:szCs w:val="28"/>
        </w:rPr>
      </w:pPr>
    </w:p>
    <w:p w14:paraId="28096DE3" w14:textId="2FECD11E" w:rsidR="00965683" w:rsidRPr="009B0763" w:rsidRDefault="00965683" w:rsidP="00965683">
      <w:pPr>
        <w:rPr>
          <w:rFonts w:ascii="Arial" w:hAnsi="Arial" w:cs="Arial"/>
        </w:rPr>
      </w:pPr>
      <w:r w:rsidRPr="009B0763">
        <w:rPr>
          <w:rFonts w:ascii="Arial" w:hAnsi="Arial" w:cs="Arial"/>
        </w:rPr>
        <w:t>The following policies were ratified or extended recently by the Quality Committee</w:t>
      </w:r>
      <w:r w:rsidR="00FD1F91">
        <w:rPr>
          <w:rFonts w:ascii="Arial" w:hAnsi="Arial" w:cs="Arial"/>
        </w:rPr>
        <w:t>:</w:t>
      </w:r>
      <w:r w:rsidRPr="009B0763">
        <w:rPr>
          <w:rFonts w:ascii="Arial" w:hAnsi="Arial" w:cs="Arial"/>
        </w:rPr>
        <w:t xml:space="preserve"> </w:t>
      </w:r>
    </w:p>
    <w:p w14:paraId="318B3797" w14:textId="0CC9725D" w:rsidR="00BE3A04" w:rsidRPr="009B0763" w:rsidRDefault="00965683" w:rsidP="00965683">
      <w:pPr>
        <w:rPr>
          <w:rFonts w:ascii="Arial" w:hAnsi="Arial" w:cs="Arial"/>
          <w:b/>
          <w:bCs/>
        </w:rPr>
      </w:pPr>
      <w:r w:rsidRPr="009B0763">
        <w:rPr>
          <w:rFonts w:ascii="Arial" w:hAnsi="Arial" w:cs="Arial"/>
          <w:b/>
          <w:bCs/>
        </w:rPr>
        <w:t>Policies Ratified</w:t>
      </w:r>
    </w:p>
    <w:p w14:paraId="23A16D66" w14:textId="77777777" w:rsidR="00FD1F91" w:rsidRDefault="00FD1F91" w:rsidP="00FD1F91">
      <w:pPr>
        <w:rPr>
          <w:rFonts w:ascii="Arial" w:hAnsi="Arial" w:cs="Arial"/>
        </w:rPr>
      </w:pPr>
      <w:r w:rsidRPr="00FD1F91">
        <w:rPr>
          <w:rFonts w:ascii="Arial" w:hAnsi="Arial" w:cs="Arial"/>
        </w:rPr>
        <w:t>The objective of t</w:t>
      </w:r>
      <w:r>
        <w:rPr>
          <w:rFonts w:ascii="Arial" w:hAnsi="Arial" w:cs="Arial"/>
        </w:rPr>
        <w:t xml:space="preserve">he </w:t>
      </w:r>
      <w:r w:rsidRPr="00FD1F91">
        <w:rPr>
          <w:rFonts w:ascii="Arial" w:hAnsi="Arial" w:cs="Arial"/>
          <w:b/>
          <w:bCs/>
        </w:rPr>
        <w:t>Flood Plan</w:t>
      </w:r>
      <w:r w:rsidRPr="00FD1F91">
        <w:rPr>
          <w:rFonts w:ascii="Arial" w:hAnsi="Arial" w:cs="Arial"/>
        </w:rPr>
        <w:t xml:space="preserve"> is to establish a unified approach for managing the threat of flooding, ensuring preparedness and effective response. </w:t>
      </w:r>
    </w:p>
    <w:p w14:paraId="197D6AF5" w14:textId="08BBDF61" w:rsidR="00FD1F91" w:rsidRDefault="00FD1F91" w:rsidP="00FD1F91">
      <w:pPr>
        <w:rPr>
          <w:rFonts w:ascii="Arial" w:hAnsi="Arial" w:cs="Arial"/>
        </w:rPr>
      </w:pPr>
      <w:r w:rsidRPr="00FD1F91">
        <w:rPr>
          <w:rFonts w:ascii="Arial" w:hAnsi="Arial" w:cs="Arial"/>
        </w:rPr>
        <w:t>The Trust recognises that a rapid and accurate assessment of any emergency, especially flooding, is essential for an effective response. Understanding flood risks and preparing for them ensures continued operations, reduces damage, and mitigates distress. While East London Trust properties are not at risk from river or sea flooding, extreme events could affect urban areas due to overwhelmed drainage systems. However, the Luton &amp; Bedfordshire Directorate faces flood risks from the River Great Ouse in certain areas.</w:t>
      </w:r>
    </w:p>
    <w:p w14:paraId="05010FC5" w14:textId="2A75354D" w:rsidR="00FD1F91" w:rsidRPr="00FD1F91" w:rsidRDefault="00FD1F91" w:rsidP="00FD1F91">
      <w:pPr>
        <w:rPr>
          <w:rFonts w:ascii="Arial" w:hAnsi="Arial" w:cs="Arial"/>
        </w:rPr>
      </w:pPr>
      <w:r w:rsidRPr="00FD1F91">
        <w:rPr>
          <w:rFonts w:ascii="Arial" w:hAnsi="Arial" w:cs="Arial"/>
        </w:rPr>
        <w:t>The plan aims to:</w:t>
      </w:r>
    </w:p>
    <w:p w14:paraId="14C6B9D5" w14:textId="783B2FC1" w:rsidR="00FD1F91" w:rsidRPr="00FD1F91" w:rsidRDefault="00FD1F91" w:rsidP="00FD1F91">
      <w:pPr>
        <w:pStyle w:val="ListParagraph"/>
        <w:numPr>
          <w:ilvl w:val="0"/>
          <w:numId w:val="6"/>
        </w:numPr>
        <w:rPr>
          <w:rFonts w:ascii="Arial" w:hAnsi="Arial" w:cs="Arial"/>
        </w:rPr>
      </w:pPr>
      <w:r w:rsidRPr="00FD1F91">
        <w:rPr>
          <w:rFonts w:ascii="Arial" w:hAnsi="Arial" w:cs="Arial"/>
        </w:rPr>
        <w:t>Clarify responsibilities for flood preparedness and management</w:t>
      </w:r>
    </w:p>
    <w:p w14:paraId="26D3DBE0" w14:textId="283CED5C" w:rsidR="00FD1F91" w:rsidRPr="00FD1F91" w:rsidRDefault="00FD1F91" w:rsidP="00FD1F91">
      <w:pPr>
        <w:pStyle w:val="ListParagraph"/>
        <w:numPr>
          <w:ilvl w:val="0"/>
          <w:numId w:val="6"/>
        </w:numPr>
        <w:rPr>
          <w:rFonts w:ascii="Arial" w:hAnsi="Arial" w:cs="Arial"/>
        </w:rPr>
      </w:pPr>
      <w:r w:rsidRPr="00FD1F91">
        <w:rPr>
          <w:rFonts w:ascii="Arial" w:hAnsi="Arial" w:cs="Arial"/>
        </w:rPr>
        <w:t>Protect lives and safeguard critical facilities</w:t>
      </w:r>
    </w:p>
    <w:p w14:paraId="2461D520" w14:textId="728CE9DF" w:rsidR="00FD1F91" w:rsidRPr="00FD1F91" w:rsidRDefault="00FD1F91" w:rsidP="00FD1F91">
      <w:pPr>
        <w:pStyle w:val="ListParagraph"/>
        <w:numPr>
          <w:ilvl w:val="0"/>
          <w:numId w:val="6"/>
        </w:numPr>
        <w:rPr>
          <w:rFonts w:ascii="Arial" w:hAnsi="Arial" w:cs="Arial"/>
        </w:rPr>
      </w:pPr>
      <w:r w:rsidRPr="00FD1F91">
        <w:rPr>
          <w:rFonts w:ascii="Arial" w:hAnsi="Arial" w:cs="Arial"/>
        </w:rPr>
        <w:t>Outline business continuity measures to ensure service delivery during flooding events</w:t>
      </w:r>
    </w:p>
    <w:p w14:paraId="48FA2104" w14:textId="5839FC93" w:rsidR="009D33ED" w:rsidRPr="009B0763" w:rsidRDefault="00FD1F91" w:rsidP="00FD1F91">
      <w:pPr>
        <w:rPr>
          <w:rFonts w:ascii="Arial" w:hAnsi="Arial" w:cs="Arial"/>
        </w:rPr>
      </w:pPr>
      <w:r w:rsidRPr="00FD1F91">
        <w:rPr>
          <w:rFonts w:ascii="Arial" w:hAnsi="Arial" w:cs="Arial"/>
        </w:rPr>
        <w:t>By having these strategies in place, the Trust seeks to prevent flooding impacts on its properties and continue operations smoothly during emergencies.</w:t>
      </w:r>
    </w:p>
    <w:p w14:paraId="67458C5E" w14:textId="04025050" w:rsidR="009B0763" w:rsidRDefault="00FD1F91" w:rsidP="00965683">
      <w:pPr>
        <w:rPr>
          <w:rFonts w:ascii="Arial" w:hAnsi="Arial" w:cs="Arial"/>
        </w:rPr>
      </w:pPr>
      <w:r w:rsidRPr="00FD1F91">
        <w:rPr>
          <w:rFonts w:ascii="Arial" w:hAnsi="Arial" w:cs="Arial"/>
        </w:rPr>
        <w:t xml:space="preserve">The policy was reviewed as part of the annual review process, no significant changes </w:t>
      </w:r>
      <w:r w:rsidR="0069092A">
        <w:rPr>
          <w:rFonts w:ascii="Arial" w:hAnsi="Arial" w:cs="Arial"/>
        </w:rPr>
        <w:t xml:space="preserve">were </w:t>
      </w:r>
      <w:r w:rsidRPr="00FD1F91">
        <w:rPr>
          <w:rFonts w:ascii="Arial" w:hAnsi="Arial" w:cs="Arial"/>
        </w:rPr>
        <w:t>made</w:t>
      </w:r>
      <w:r>
        <w:rPr>
          <w:rFonts w:ascii="Arial" w:hAnsi="Arial" w:cs="Arial"/>
        </w:rPr>
        <w:t>.</w:t>
      </w:r>
    </w:p>
    <w:p w14:paraId="7BC31CE1" w14:textId="1DEFE3C1" w:rsidR="00FD1F91" w:rsidRDefault="00FD1F91" w:rsidP="00965683">
      <w:pPr>
        <w:rPr>
          <w:rFonts w:ascii="Arial" w:hAnsi="Arial" w:cs="Arial"/>
        </w:rPr>
      </w:pPr>
      <w:hyperlink r:id="rId5" w:history="1">
        <w:r w:rsidRPr="005D2A39">
          <w:rPr>
            <w:rStyle w:val="Hyperlink"/>
            <w:rFonts w:ascii="Arial" w:hAnsi="Arial" w:cs="Arial"/>
          </w:rPr>
          <w:t>https://www.elft.nhs.uk/intranet/documents/flood-plan-15</w:t>
        </w:r>
      </w:hyperlink>
      <w:r>
        <w:rPr>
          <w:rFonts w:ascii="Arial" w:hAnsi="Arial" w:cs="Arial"/>
        </w:rPr>
        <w:t xml:space="preserve"> </w:t>
      </w:r>
    </w:p>
    <w:p w14:paraId="1B69075C" w14:textId="77777777" w:rsidR="00FD1F91" w:rsidRDefault="00FD1F91" w:rsidP="00965683">
      <w:pPr>
        <w:rPr>
          <w:rFonts w:ascii="Arial" w:hAnsi="Arial" w:cs="Arial"/>
        </w:rPr>
      </w:pPr>
    </w:p>
    <w:p w14:paraId="190D06AD" w14:textId="77777777" w:rsidR="00FD1F91" w:rsidRDefault="00FD1F91" w:rsidP="00965683">
      <w:pPr>
        <w:rPr>
          <w:rFonts w:ascii="Arial" w:hAnsi="Arial" w:cs="Arial"/>
        </w:rPr>
      </w:pPr>
    </w:p>
    <w:p w14:paraId="3E8DCBDB" w14:textId="7CCCD253" w:rsidR="00FD1F91" w:rsidRPr="00FD1F91" w:rsidRDefault="00FD1F91" w:rsidP="00FD1F91">
      <w:pPr>
        <w:rPr>
          <w:rFonts w:ascii="Arial" w:hAnsi="Arial" w:cs="Arial"/>
        </w:rPr>
      </w:pPr>
      <w:r w:rsidRPr="00FD1F91">
        <w:rPr>
          <w:rFonts w:ascii="Arial" w:hAnsi="Arial" w:cs="Arial"/>
        </w:rPr>
        <w:t>Th</w:t>
      </w:r>
      <w:r>
        <w:rPr>
          <w:rFonts w:ascii="Arial" w:hAnsi="Arial" w:cs="Arial"/>
        </w:rPr>
        <w:t>e</w:t>
      </w:r>
      <w:r w:rsidRPr="00FD1F91">
        <w:rPr>
          <w:rFonts w:ascii="Arial" w:hAnsi="Arial" w:cs="Arial"/>
        </w:rPr>
        <w:t xml:space="preserve"> </w:t>
      </w:r>
      <w:r w:rsidRPr="00FD1F91">
        <w:rPr>
          <w:rFonts w:ascii="Arial" w:hAnsi="Arial" w:cs="Arial"/>
          <w:b/>
          <w:bCs/>
        </w:rPr>
        <w:t>Fuel Shortage Plan</w:t>
      </w:r>
      <w:r w:rsidRPr="00FD1F91">
        <w:rPr>
          <w:rFonts w:ascii="Arial" w:hAnsi="Arial" w:cs="Arial"/>
        </w:rPr>
        <w:t xml:space="preserve"> outlines the Trust’s approach to managing fuel supply disruptions within the UK, ensuring that care services can continue uninterrupted. It focuses on the planning and response to disruptions in petrol and diesel supplies, which could arise from factors like scarcity, technical issues, industrial action, or panic buying. The policy identifies the NHS as a priority user for fuel during crises, in line with the Civil Contingencies Act 2004.</w:t>
      </w:r>
    </w:p>
    <w:p w14:paraId="60D256C4" w14:textId="77777777" w:rsidR="00FD1F91" w:rsidRPr="00FD1F91" w:rsidRDefault="00FD1F91" w:rsidP="00FD1F91">
      <w:pPr>
        <w:rPr>
          <w:rFonts w:ascii="Arial" w:hAnsi="Arial" w:cs="Arial"/>
        </w:rPr>
      </w:pPr>
      <w:r w:rsidRPr="00FD1F91">
        <w:rPr>
          <w:rFonts w:ascii="Arial" w:hAnsi="Arial" w:cs="Arial"/>
        </w:rPr>
        <w:t>The policy covers:</w:t>
      </w:r>
    </w:p>
    <w:p w14:paraId="37A1059B" w14:textId="7988954A" w:rsidR="00FD1F91" w:rsidRPr="00FD1F91" w:rsidRDefault="00FD1F91" w:rsidP="00FD1F91">
      <w:pPr>
        <w:pStyle w:val="ListParagraph"/>
        <w:numPr>
          <w:ilvl w:val="0"/>
          <w:numId w:val="7"/>
        </w:numPr>
        <w:rPr>
          <w:rFonts w:ascii="Arial" w:hAnsi="Arial" w:cs="Arial"/>
        </w:rPr>
      </w:pPr>
      <w:r w:rsidRPr="00FD1F91">
        <w:rPr>
          <w:rFonts w:ascii="Arial" w:hAnsi="Arial" w:cs="Arial"/>
        </w:rPr>
        <w:t>Responsibilities for planning and managing fuel disruptions.</w:t>
      </w:r>
    </w:p>
    <w:p w14:paraId="3760EA78" w14:textId="7CB0750A" w:rsidR="00FD1F91" w:rsidRPr="00FD1F91" w:rsidRDefault="00FD1F91" w:rsidP="00FD1F91">
      <w:pPr>
        <w:pStyle w:val="ListParagraph"/>
        <w:numPr>
          <w:ilvl w:val="0"/>
          <w:numId w:val="7"/>
        </w:numPr>
        <w:rPr>
          <w:rFonts w:ascii="Arial" w:hAnsi="Arial" w:cs="Arial"/>
        </w:rPr>
      </w:pPr>
      <w:r w:rsidRPr="00FD1F91">
        <w:rPr>
          <w:rFonts w:ascii="Arial" w:hAnsi="Arial" w:cs="Arial"/>
        </w:rPr>
        <w:t>Procedures for maintaining fuel supply during shortages.</w:t>
      </w:r>
    </w:p>
    <w:p w14:paraId="271ECB1E" w14:textId="6FEDD2FF" w:rsidR="00FD1F91" w:rsidRPr="00FD1F91" w:rsidRDefault="00FD1F91" w:rsidP="00FD1F91">
      <w:pPr>
        <w:pStyle w:val="ListParagraph"/>
        <w:numPr>
          <w:ilvl w:val="0"/>
          <w:numId w:val="7"/>
        </w:numPr>
        <w:rPr>
          <w:rFonts w:ascii="Arial" w:hAnsi="Arial" w:cs="Arial"/>
        </w:rPr>
      </w:pPr>
      <w:r w:rsidRPr="00FD1F91">
        <w:rPr>
          <w:rFonts w:ascii="Arial" w:hAnsi="Arial" w:cs="Arial"/>
        </w:rPr>
        <w:t>Contingency measures for short-term disruptions to ensure continued care.</w:t>
      </w:r>
    </w:p>
    <w:p w14:paraId="6A398ED9" w14:textId="11C46DCF" w:rsidR="00FD1F91" w:rsidRPr="00FD1F91" w:rsidRDefault="00FD1F91" w:rsidP="00FD1F91">
      <w:pPr>
        <w:rPr>
          <w:rFonts w:ascii="Arial" w:hAnsi="Arial" w:cs="Arial"/>
        </w:rPr>
      </w:pPr>
      <w:r w:rsidRPr="00FD1F91">
        <w:rPr>
          <w:rFonts w:ascii="Arial" w:hAnsi="Arial" w:cs="Arial"/>
        </w:rPr>
        <w:t>The purpose is to ensure the Trust can maintain its operations and deliver essential services during fuel supply disruptions.</w:t>
      </w:r>
    </w:p>
    <w:p w14:paraId="2AA4168E" w14:textId="36F6569A" w:rsidR="00FD1F91" w:rsidRDefault="00FD1F91" w:rsidP="00FD1F91">
      <w:pPr>
        <w:rPr>
          <w:rFonts w:ascii="Arial" w:hAnsi="Arial" w:cs="Arial"/>
        </w:rPr>
      </w:pPr>
      <w:r w:rsidRPr="00FD1F91">
        <w:rPr>
          <w:rFonts w:ascii="Arial" w:hAnsi="Arial" w:cs="Arial"/>
        </w:rPr>
        <w:t xml:space="preserve">The policy was reviewed as part of the annual review process, no significant changes </w:t>
      </w:r>
      <w:r w:rsidR="0069092A">
        <w:rPr>
          <w:rFonts w:ascii="Arial" w:hAnsi="Arial" w:cs="Arial"/>
        </w:rPr>
        <w:t xml:space="preserve">were </w:t>
      </w:r>
      <w:r w:rsidRPr="00FD1F91">
        <w:rPr>
          <w:rFonts w:ascii="Arial" w:hAnsi="Arial" w:cs="Arial"/>
        </w:rPr>
        <w:t>made.</w:t>
      </w:r>
    </w:p>
    <w:p w14:paraId="45CB4053" w14:textId="02886D93" w:rsidR="00FD1F91" w:rsidRDefault="00FD1F91" w:rsidP="00FD1F91">
      <w:pPr>
        <w:rPr>
          <w:rFonts w:ascii="Arial" w:hAnsi="Arial" w:cs="Arial"/>
        </w:rPr>
      </w:pPr>
      <w:hyperlink r:id="rId6" w:history="1">
        <w:r w:rsidRPr="005D2A39">
          <w:rPr>
            <w:rStyle w:val="Hyperlink"/>
            <w:rFonts w:ascii="Arial" w:hAnsi="Arial" w:cs="Arial"/>
          </w:rPr>
          <w:t>https://www.elft.nhs.uk/intranet/documents/fuel-shortage-plan-16</w:t>
        </w:r>
      </w:hyperlink>
      <w:r>
        <w:rPr>
          <w:rFonts w:ascii="Arial" w:hAnsi="Arial" w:cs="Arial"/>
        </w:rPr>
        <w:t xml:space="preserve"> </w:t>
      </w:r>
    </w:p>
    <w:p w14:paraId="50BF6E68" w14:textId="77777777" w:rsidR="007C726B" w:rsidRDefault="007C726B" w:rsidP="00837C00">
      <w:pPr>
        <w:shd w:val="clear" w:color="auto" w:fill="FFFFFF"/>
        <w:jc w:val="both"/>
        <w:rPr>
          <w:rFonts w:ascii="Arial" w:hAnsi="Arial" w:cs="Arial"/>
        </w:rPr>
      </w:pPr>
    </w:p>
    <w:p w14:paraId="1494B590" w14:textId="77777777" w:rsidR="00FD1F91" w:rsidRPr="009B0763" w:rsidRDefault="00FD1F91" w:rsidP="00837C00">
      <w:pPr>
        <w:shd w:val="clear" w:color="auto" w:fill="FFFFFF"/>
        <w:jc w:val="both"/>
        <w:rPr>
          <w:rFonts w:ascii="Arial" w:hAnsi="Arial" w:cs="Arial"/>
          <w:bCs/>
        </w:rPr>
      </w:pPr>
    </w:p>
    <w:p w14:paraId="687C86A9" w14:textId="3564E781" w:rsidR="009D33ED" w:rsidRPr="009B0763" w:rsidRDefault="00F06F81" w:rsidP="00F06F81">
      <w:pPr>
        <w:rPr>
          <w:rFonts w:ascii="Arial" w:hAnsi="Arial" w:cs="Arial"/>
          <w:b/>
          <w:u w:val="single"/>
        </w:rPr>
      </w:pPr>
      <w:r w:rsidRPr="009B0763">
        <w:rPr>
          <w:rFonts w:ascii="Arial" w:hAnsi="Arial" w:cs="Arial"/>
          <w:b/>
          <w:u w:val="single"/>
        </w:rPr>
        <w:t>Existing policies which have been extended whilst under review</w:t>
      </w:r>
    </w:p>
    <w:p w14:paraId="64222548" w14:textId="77777777" w:rsidR="00FD1F91" w:rsidRPr="00976202" w:rsidRDefault="00FD1F91" w:rsidP="00FD1F91">
      <w:pPr>
        <w:shd w:val="clear" w:color="auto" w:fill="FFFFFF"/>
        <w:jc w:val="both"/>
        <w:rPr>
          <w:rFonts w:ascii="Arial" w:hAnsi="Arial" w:cs="Arial"/>
          <w:bCs/>
        </w:rPr>
      </w:pPr>
    </w:p>
    <w:tbl>
      <w:tblPr>
        <w:tblStyle w:val="TableGrid"/>
        <w:tblW w:w="9555" w:type="dxa"/>
        <w:tblLook w:val="04A0" w:firstRow="1" w:lastRow="0" w:firstColumn="1" w:lastColumn="0" w:noHBand="0" w:noVBand="1"/>
      </w:tblPr>
      <w:tblGrid>
        <w:gridCol w:w="2972"/>
        <w:gridCol w:w="142"/>
        <w:gridCol w:w="2614"/>
        <w:gridCol w:w="3827"/>
      </w:tblGrid>
      <w:tr w:rsidR="00FD1F91" w:rsidRPr="00FE79F3" w14:paraId="39BB9E42" w14:textId="77777777" w:rsidTr="00FD1F91">
        <w:tc>
          <w:tcPr>
            <w:tcW w:w="2972" w:type="dxa"/>
          </w:tcPr>
          <w:p w14:paraId="0CFD275B" w14:textId="77777777" w:rsidR="00FD1F91" w:rsidRPr="00FE79F3" w:rsidRDefault="00FD1F91" w:rsidP="00DB1F6A">
            <w:pPr>
              <w:shd w:val="clear" w:color="auto" w:fill="FFFFFF"/>
              <w:jc w:val="both"/>
              <w:rPr>
                <w:rFonts w:ascii="Arial" w:hAnsi="Arial" w:cs="Arial"/>
                <w:b/>
                <w:bCs/>
                <w:sz w:val="22"/>
                <w:szCs w:val="22"/>
              </w:rPr>
            </w:pPr>
            <w:r w:rsidRPr="00FE79F3">
              <w:rPr>
                <w:rFonts w:ascii="Arial" w:hAnsi="Arial" w:cs="Arial"/>
                <w:b/>
                <w:bCs/>
                <w:sz w:val="22"/>
                <w:szCs w:val="22"/>
              </w:rPr>
              <w:t>Policy Name</w:t>
            </w:r>
          </w:p>
        </w:tc>
        <w:tc>
          <w:tcPr>
            <w:tcW w:w="2756" w:type="dxa"/>
            <w:gridSpan w:val="2"/>
          </w:tcPr>
          <w:p w14:paraId="45C03748" w14:textId="77777777" w:rsidR="00FD1F91" w:rsidRDefault="00FD1F91" w:rsidP="00FD1F91">
            <w:pPr>
              <w:shd w:val="clear" w:color="auto" w:fill="FFFFFF"/>
              <w:rPr>
                <w:rFonts w:ascii="Arial" w:hAnsi="Arial" w:cs="Arial"/>
                <w:b/>
                <w:bCs/>
                <w:sz w:val="22"/>
                <w:szCs w:val="22"/>
              </w:rPr>
            </w:pPr>
            <w:r w:rsidRPr="00FE79F3">
              <w:rPr>
                <w:rFonts w:ascii="Arial" w:hAnsi="Arial" w:cs="Arial"/>
                <w:b/>
                <w:bCs/>
                <w:sz w:val="22"/>
                <w:szCs w:val="22"/>
              </w:rPr>
              <w:t>Extension requested to</w:t>
            </w:r>
          </w:p>
          <w:p w14:paraId="66DB8C9F" w14:textId="77777777" w:rsidR="00FD1F91" w:rsidRPr="00FE79F3" w:rsidRDefault="00FD1F91" w:rsidP="00FD1F91">
            <w:pPr>
              <w:shd w:val="clear" w:color="auto" w:fill="FFFFFF"/>
              <w:rPr>
                <w:rFonts w:ascii="Arial" w:hAnsi="Arial" w:cs="Arial"/>
                <w:b/>
                <w:bCs/>
                <w:sz w:val="22"/>
                <w:szCs w:val="22"/>
              </w:rPr>
            </w:pPr>
          </w:p>
        </w:tc>
        <w:tc>
          <w:tcPr>
            <w:tcW w:w="3827" w:type="dxa"/>
          </w:tcPr>
          <w:p w14:paraId="0FAEA34E" w14:textId="77777777" w:rsidR="00FD1F91" w:rsidRPr="00FE79F3" w:rsidRDefault="00FD1F91" w:rsidP="00DB1F6A">
            <w:pPr>
              <w:shd w:val="clear" w:color="auto" w:fill="FFFFFF"/>
              <w:jc w:val="both"/>
              <w:rPr>
                <w:rFonts w:ascii="Arial" w:hAnsi="Arial" w:cs="Arial"/>
                <w:b/>
                <w:bCs/>
                <w:sz w:val="22"/>
                <w:szCs w:val="22"/>
              </w:rPr>
            </w:pPr>
            <w:r w:rsidRPr="00FE79F3">
              <w:rPr>
                <w:rFonts w:ascii="Arial" w:hAnsi="Arial" w:cs="Arial"/>
                <w:b/>
                <w:bCs/>
                <w:sz w:val="22"/>
                <w:szCs w:val="22"/>
              </w:rPr>
              <w:t>Rationale</w:t>
            </w:r>
          </w:p>
        </w:tc>
      </w:tr>
      <w:tr w:rsidR="00FD1F91" w:rsidRPr="00FE79F3" w14:paraId="0FC1774F" w14:textId="77777777" w:rsidTr="00FD1F91">
        <w:tc>
          <w:tcPr>
            <w:tcW w:w="3114" w:type="dxa"/>
            <w:gridSpan w:val="2"/>
          </w:tcPr>
          <w:p w14:paraId="6DB32948" w14:textId="77777777" w:rsidR="00FD1F91" w:rsidRPr="00760C24" w:rsidRDefault="00FD1F91" w:rsidP="00DB1F6A">
            <w:pPr>
              <w:shd w:val="clear" w:color="auto" w:fill="FFFFFF"/>
              <w:rPr>
                <w:rFonts w:ascii="Arial" w:hAnsi="Arial" w:cs="Arial"/>
                <w:bCs/>
                <w:sz w:val="22"/>
                <w:szCs w:val="22"/>
              </w:rPr>
            </w:pPr>
            <w:r w:rsidRPr="00760C24">
              <w:rPr>
                <w:rFonts w:ascii="Arial" w:hAnsi="Arial" w:cs="Arial"/>
                <w:bCs/>
                <w:sz w:val="22"/>
                <w:szCs w:val="22"/>
              </w:rPr>
              <w:t>PALS and Complaints Policy</w:t>
            </w:r>
          </w:p>
          <w:p w14:paraId="0D43B129" w14:textId="77777777" w:rsidR="00FD1F91" w:rsidRPr="00FE79F3" w:rsidRDefault="00FD1F91" w:rsidP="00DB1F6A">
            <w:pPr>
              <w:shd w:val="clear" w:color="auto" w:fill="FFFFFF"/>
              <w:rPr>
                <w:rFonts w:ascii="Arial" w:hAnsi="Arial" w:cs="Arial"/>
                <w:bCs/>
                <w:sz w:val="22"/>
                <w:szCs w:val="22"/>
              </w:rPr>
            </w:pPr>
          </w:p>
        </w:tc>
        <w:tc>
          <w:tcPr>
            <w:tcW w:w="2614" w:type="dxa"/>
          </w:tcPr>
          <w:p w14:paraId="78F02B10" w14:textId="77777777" w:rsidR="00FD1F91" w:rsidRPr="00FE79F3" w:rsidRDefault="00FD1F91" w:rsidP="00DB1F6A">
            <w:pPr>
              <w:shd w:val="clear" w:color="auto" w:fill="FFFFFF"/>
              <w:jc w:val="both"/>
              <w:rPr>
                <w:rFonts w:ascii="Arial" w:hAnsi="Arial" w:cs="Arial"/>
                <w:bCs/>
                <w:sz w:val="22"/>
                <w:szCs w:val="22"/>
              </w:rPr>
            </w:pPr>
            <w:r>
              <w:rPr>
                <w:rFonts w:ascii="Arial" w:hAnsi="Arial" w:cs="Arial"/>
                <w:bCs/>
                <w:sz w:val="22"/>
                <w:szCs w:val="22"/>
              </w:rPr>
              <w:t>August 2025</w:t>
            </w:r>
          </w:p>
        </w:tc>
        <w:tc>
          <w:tcPr>
            <w:tcW w:w="3827" w:type="dxa"/>
          </w:tcPr>
          <w:p w14:paraId="30B0F55B" w14:textId="77777777" w:rsidR="00FD1F91" w:rsidRPr="00FE79F3" w:rsidRDefault="00FD1F91" w:rsidP="00DB1F6A">
            <w:pPr>
              <w:shd w:val="clear" w:color="auto" w:fill="FFFFFF"/>
              <w:rPr>
                <w:rFonts w:ascii="Arial" w:hAnsi="Arial" w:cs="Arial"/>
                <w:bCs/>
                <w:sz w:val="22"/>
                <w:szCs w:val="22"/>
              </w:rPr>
            </w:pPr>
            <w:r w:rsidRPr="00760C24">
              <w:rPr>
                <w:rFonts w:ascii="Arial" w:hAnsi="Arial" w:cs="Arial"/>
                <w:bCs/>
                <w:sz w:val="22"/>
                <w:szCs w:val="22"/>
              </w:rPr>
              <w:t>Extended for 6 months for review to enable full consideration of recent and pending changes to the process.</w:t>
            </w:r>
          </w:p>
        </w:tc>
      </w:tr>
      <w:tr w:rsidR="00FD1F91" w:rsidRPr="00FE79F3" w14:paraId="4F699900" w14:textId="77777777" w:rsidTr="00FD1F91">
        <w:tc>
          <w:tcPr>
            <w:tcW w:w="3114" w:type="dxa"/>
            <w:gridSpan w:val="2"/>
          </w:tcPr>
          <w:p w14:paraId="0C0ABD9C" w14:textId="77777777" w:rsidR="00FD1F91" w:rsidRPr="0080723B" w:rsidRDefault="00FD1F91" w:rsidP="00DB1F6A">
            <w:pPr>
              <w:shd w:val="clear" w:color="auto" w:fill="FFFFFF"/>
              <w:rPr>
                <w:rFonts w:ascii="Arial" w:hAnsi="Arial" w:cs="Arial"/>
                <w:bCs/>
                <w:sz w:val="22"/>
              </w:rPr>
            </w:pPr>
            <w:r w:rsidRPr="0080723B">
              <w:rPr>
                <w:rFonts w:ascii="Arial" w:hAnsi="Arial" w:cs="Arial"/>
                <w:sz w:val="22"/>
              </w:rPr>
              <w:t>Risk Management Framework</w:t>
            </w:r>
          </w:p>
        </w:tc>
        <w:tc>
          <w:tcPr>
            <w:tcW w:w="2614" w:type="dxa"/>
          </w:tcPr>
          <w:p w14:paraId="1318CE16" w14:textId="77777777" w:rsidR="00FD1F91" w:rsidRPr="0080723B" w:rsidRDefault="00FD1F91" w:rsidP="00DB1F6A">
            <w:pPr>
              <w:shd w:val="clear" w:color="auto" w:fill="FFFFFF"/>
              <w:jc w:val="both"/>
              <w:rPr>
                <w:rFonts w:ascii="Arial" w:hAnsi="Arial" w:cs="Arial"/>
                <w:bCs/>
                <w:sz w:val="22"/>
              </w:rPr>
            </w:pPr>
            <w:r>
              <w:rPr>
                <w:rFonts w:ascii="Arial" w:hAnsi="Arial" w:cs="Arial"/>
                <w:sz w:val="22"/>
              </w:rPr>
              <w:t>June</w:t>
            </w:r>
            <w:r w:rsidRPr="0080723B">
              <w:rPr>
                <w:rFonts w:ascii="Arial" w:hAnsi="Arial" w:cs="Arial"/>
                <w:sz w:val="22"/>
              </w:rPr>
              <w:t xml:space="preserve"> 2025</w:t>
            </w:r>
          </w:p>
        </w:tc>
        <w:tc>
          <w:tcPr>
            <w:tcW w:w="3827" w:type="dxa"/>
          </w:tcPr>
          <w:p w14:paraId="39A6CF40" w14:textId="77777777" w:rsidR="00FD1F91" w:rsidRPr="00760C24" w:rsidRDefault="00FD1F91" w:rsidP="00DB1F6A">
            <w:pPr>
              <w:shd w:val="clear" w:color="auto" w:fill="FFFFFF"/>
              <w:rPr>
                <w:rFonts w:ascii="Arial" w:hAnsi="Arial" w:cs="Arial"/>
                <w:bCs/>
              </w:rPr>
            </w:pPr>
            <w:r w:rsidRPr="0080723B">
              <w:rPr>
                <w:rFonts w:ascii="Arial" w:hAnsi="Arial" w:cs="Arial"/>
                <w:bCs/>
                <w:sz w:val="22"/>
              </w:rPr>
              <w:t xml:space="preserve">To accommodate changes in risk management processes and </w:t>
            </w:r>
            <w:proofErr w:type="spellStart"/>
            <w:r w:rsidRPr="0080723B">
              <w:rPr>
                <w:rFonts w:ascii="Arial" w:hAnsi="Arial" w:cs="Arial"/>
                <w:bCs/>
                <w:sz w:val="22"/>
              </w:rPr>
              <w:t>Inphase</w:t>
            </w:r>
            <w:proofErr w:type="spellEnd"/>
          </w:p>
        </w:tc>
      </w:tr>
    </w:tbl>
    <w:p w14:paraId="7B120192" w14:textId="77777777" w:rsidR="007C726B" w:rsidRPr="009B0763" w:rsidRDefault="007C726B" w:rsidP="00F06F81">
      <w:pPr>
        <w:rPr>
          <w:rFonts w:ascii="Arial" w:hAnsi="Arial" w:cs="Arial"/>
          <w:b/>
          <w:u w:val="single"/>
        </w:rPr>
      </w:pPr>
    </w:p>
    <w:p w14:paraId="0A650337" w14:textId="5BC15BA4" w:rsidR="00FD1F91" w:rsidRPr="00FD1F91" w:rsidRDefault="00FD1F91" w:rsidP="00FD1F91">
      <w:pPr>
        <w:shd w:val="clear" w:color="auto" w:fill="FFFFFF"/>
        <w:jc w:val="both"/>
        <w:rPr>
          <w:rFonts w:ascii="Arial" w:hAnsi="Arial" w:cs="Arial"/>
          <w:b/>
          <w:bCs/>
          <w:u w:val="single"/>
        </w:rPr>
      </w:pPr>
      <w:r w:rsidRPr="00FE79F3">
        <w:rPr>
          <w:rFonts w:ascii="Arial" w:hAnsi="Arial" w:cs="Arial"/>
          <w:b/>
          <w:bCs/>
          <w:u w:val="single"/>
        </w:rPr>
        <w:t>Additional Updates</w:t>
      </w:r>
    </w:p>
    <w:p w14:paraId="04CD1BC9" w14:textId="7B4F6E9F" w:rsidR="00FD1F91" w:rsidRDefault="00FD1F91" w:rsidP="00FD1F91">
      <w:pPr>
        <w:shd w:val="clear" w:color="auto" w:fill="FFFFFF"/>
        <w:jc w:val="both"/>
        <w:rPr>
          <w:rFonts w:ascii="Arial" w:hAnsi="Arial" w:cs="Arial"/>
          <w:bCs/>
        </w:rPr>
      </w:pPr>
      <w:r w:rsidRPr="00FE79F3">
        <w:rPr>
          <w:rFonts w:ascii="Arial" w:hAnsi="Arial" w:cs="Arial"/>
          <w:bCs/>
        </w:rPr>
        <w:t>The following polic</w:t>
      </w:r>
      <w:r>
        <w:rPr>
          <w:rFonts w:ascii="Arial" w:hAnsi="Arial" w:cs="Arial"/>
          <w:bCs/>
        </w:rPr>
        <w:t>y</w:t>
      </w:r>
      <w:r w:rsidRPr="00FE79F3">
        <w:rPr>
          <w:rFonts w:ascii="Arial" w:hAnsi="Arial" w:cs="Arial"/>
          <w:bCs/>
        </w:rPr>
        <w:t xml:space="preserve"> </w:t>
      </w:r>
      <w:r>
        <w:rPr>
          <w:rFonts w:ascii="Arial" w:hAnsi="Arial" w:cs="Arial"/>
          <w:bCs/>
        </w:rPr>
        <w:t>was</w:t>
      </w:r>
      <w:r w:rsidRPr="00FE79F3">
        <w:rPr>
          <w:rFonts w:ascii="Arial" w:hAnsi="Arial" w:cs="Arial"/>
          <w:bCs/>
        </w:rPr>
        <w:t xml:space="preserve"> made redundant this month:</w:t>
      </w:r>
    </w:p>
    <w:p w14:paraId="7313C188" w14:textId="77777777" w:rsidR="00FD1F91" w:rsidRPr="00FE79F3" w:rsidRDefault="00FD1F91" w:rsidP="00FD1F91">
      <w:pPr>
        <w:shd w:val="clear" w:color="auto" w:fill="FFFFFF"/>
        <w:jc w:val="both"/>
        <w:rPr>
          <w:rFonts w:ascii="Arial" w:hAnsi="Arial" w:cs="Arial"/>
          <w:bCs/>
        </w:rPr>
      </w:pPr>
    </w:p>
    <w:tbl>
      <w:tblPr>
        <w:tblStyle w:val="TableGrid"/>
        <w:tblW w:w="0" w:type="auto"/>
        <w:tblLook w:val="04A0" w:firstRow="1" w:lastRow="0" w:firstColumn="1" w:lastColumn="0" w:noHBand="0" w:noVBand="1"/>
      </w:tblPr>
      <w:tblGrid>
        <w:gridCol w:w="4506"/>
        <w:gridCol w:w="4510"/>
      </w:tblGrid>
      <w:tr w:rsidR="00FD1F91" w:rsidRPr="00FE79F3" w14:paraId="4204B628" w14:textId="77777777" w:rsidTr="00DB1F6A">
        <w:tc>
          <w:tcPr>
            <w:tcW w:w="4848" w:type="dxa"/>
          </w:tcPr>
          <w:p w14:paraId="4BAFAB63" w14:textId="77777777" w:rsidR="00FD1F91" w:rsidRPr="00FE79F3" w:rsidRDefault="00FD1F91" w:rsidP="00DB1F6A">
            <w:pPr>
              <w:jc w:val="both"/>
              <w:rPr>
                <w:rFonts w:ascii="Arial" w:hAnsi="Arial" w:cs="Arial"/>
                <w:b/>
                <w:bCs/>
                <w:sz w:val="22"/>
                <w:szCs w:val="22"/>
              </w:rPr>
            </w:pPr>
            <w:r w:rsidRPr="00FE79F3">
              <w:rPr>
                <w:rFonts w:ascii="Arial" w:hAnsi="Arial" w:cs="Arial"/>
                <w:b/>
                <w:bCs/>
                <w:sz w:val="22"/>
                <w:szCs w:val="22"/>
              </w:rPr>
              <w:t>Name of Policy</w:t>
            </w:r>
          </w:p>
        </w:tc>
        <w:tc>
          <w:tcPr>
            <w:tcW w:w="4849" w:type="dxa"/>
          </w:tcPr>
          <w:p w14:paraId="2D4EC5BD" w14:textId="77777777" w:rsidR="00FD1F91" w:rsidRPr="00FE79F3" w:rsidRDefault="00FD1F91" w:rsidP="00DB1F6A">
            <w:pPr>
              <w:jc w:val="both"/>
              <w:rPr>
                <w:rFonts w:ascii="Arial" w:hAnsi="Arial" w:cs="Arial"/>
                <w:b/>
                <w:bCs/>
                <w:sz w:val="22"/>
                <w:szCs w:val="22"/>
              </w:rPr>
            </w:pPr>
            <w:r w:rsidRPr="00FE79F3">
              <w:rPr>
                <w:rFonts w:ascii="Arial" w:hAnsi="Arial" w:cs="Arial"/>
                <w:b/>
                <w:bCs/>
                <w:sz w:val="22"/>
                <w:szCs w:val="22"/>
              </w:rPr>
              <w:t>Rationale for being made redundant</w:t>
            </w:r>
          </w:p>
        </w:tc>
      </w:tr>
      <w:tr w:rsidR="00FD1F91" w:rsidRPr="00FE79F3" w14:paraId="419A3B3B" w14:textId="77777777" w:rsidTr="00DB1F6A">
        <w:tc>
          <w:tcPr>
            <w:tcW w:w="4848" w:type="dxa"/>
          </w:tcPr>
          <w:p w14:paraId="49CCF5D8" w14:textId="77777777" w:rsidR="00FD1F91" w:rsidRPr="00FE79F3" w:rsidRDefault="00FD1F91" w:rsidP="00DB1F6A">
            <w:pPr>
              <w:jc w:val="both"/>
              <w:rPr>
                <w:rFonts w:ascii="Arial" w:hAnsi="Arial" w:cs="Arial"/>
                <w:bCs/>
                <w:sz w:val="22"/>
                <w:szCs w:val="22"/>
              </w:rPr>
            </w:pPr>
            <w:r w:rsidRPr="003321F3">
              <w:rPr>
                <w:rFonts w:ascii="Arial" w:hAnsi="Arial" w:cs="Arial"/>
                <w:bCs/>
                <w:sz w:val="22"/>
                <w:szCs w:val="22"/>
              </w:rPr>
              <w:t>Infection Prevention and Control Manual</w:t>
            </w:r>
          </w:p>
        </w:tc>
        <w:tc>
          <w:tcPr>
            <w:tcW w:w="4849" w:type="dxa"/>
          </w:tcPr>
          <w:p w14:paraId="57004D16" w14:textId="77777777" w:rsidR="00FD1F91" w:rsidRPr="00FE79F3" w:rsidRDefault="00FD1F91" w:rsidP="00DB1F6A">
            <w:pPr>
              <w:jc w:val="both"/>
              <w:rPr>
                <w:rFonts w:ascii="Arial" w:hAnsi="Arial" w:cs="Arial"/>
                <w:bCs/>
                <w:sz w:val="22"/>
                <w:szCs w:val="22"/>
              </w:rPr>
            </w:pPr>
            <w:r>
              <w:rPr>
                <w:rFonts w:ascii="Arial" w:hAnsi="Arial" w:cs="Arial"/>
                <w:bCs/>
                <w:sz w:val="22"/>
                <w:szCs w:val="22"/>
              </w:rPr>
              <w:t>T</w:t>
            </w:r>
            <w:r w:rsidRPr="00A52C99">
              <w:rPr>
                <w:rFonts w:ascii="Arial" w:hAnsi="Arial" w:cs="Arial"/>
                <w:bCs/>
                <w:sz w:val="22"/>
                <w:szCs w:val="22"/>
              </w:rPr>
              <w:t xml:space="preserve">his document is </w:t>
            </w:r>
            <w:r w:rsidRPr="003321F3">
              <w:rPr>
                <w:rFonts w:ascii="Arial" w:hAnsi="Arial" w:cs="Arial"/>
                <w:bCs/>
                <w:sz w:val="22"/>
                <w:szCs w:val="22"/>
              </w:rPr>
              <w:t xml:space="preserve">no longer in use </w:t>
            </w:r>
            <w:r>
              <w:rPr>
                <w:rFonts w:ascii="Arial" w:hAnsi="Arial" w:cs="Arial"/>
                <w:bCs/>
                <w:sz w:val="22"/>
                <w:szCs w:val="22"/>
              </w:rPr>
              <w:t>and</w:t>
            </w:r>
            <w:r w:rsidRPr="003321F3">
              <w:rPr>
                <w:rFonts w:ascii="Arial" w:hAnsi="Arial" w:cs="Arial"/>
                <w:bCs/>
                <w:sz w:val="22"/>
                <w:szCs w:val="22"/>
              </w:rPr>
              <w:t xml:space="preserve"> has been replaced with the NHSE IPC Policy Manual</w:t>
            </w:r>
          </w:p>
        </w:tc>
      </w:tr>
    </w:tbl>
    <w:p w14:paraId="05F5A0FC" w14:textId="3441F400" w:rsidR="00837C00" w:rsidRPr="009B0763" w:rsidRDefault="00837C00" w:rsidP="00837C00">
      <w:pPr>
        <w:shd w:val="clear" w:color="auto" w:fill="FFFFFF"/>
        <w:jc w:val="both"/>
        <w:rPr>
          <w:rFonts w:ascii="Arial" w:hAnsi="Arial" w:cs="Arial"/>
          <w:bCs/>
        </w:rPr>
      </w:pPr>
    </w:p>
    <w:p w14:paraId="613A6E8D" w14:textId="77777777" w:rsidR="00F06F81" w:rsidRPr="009B0763" w:rsidRDefault="00F06F81" w:rsidP="00837C00">
      <w:pPr>
        <w:shd w:val="clear" w:color="auto" w:fill="FFFFFF"/>
        <w:jc w:val="both"/>
        <w:rPr>
          <w:rFonts w:ascii="Arial" w:hAnsi="Arial" w:cs="Arial"/>
          <w:bCs/>
        </w:rPr>
      </w:pPr>
    </w:p>
    <w:p w14:paraId="66EE05D7" w14:textId="77777777" w:rsidR="00837C00" w:rsidRPr="009B0763" w:rsidRDefault="00837C00" w:rsidP="00837C00">
      <w:pPr>
        <w:rPr>
          <w:rFonts w:ascii="Arial" w:hAnsi="Arial" w:cs="Arial"/>
        </w:rPr>
      </w:pPr>
    </w:p>
    <w:sectPr w:rsidR="00837C00" w:rsidRPr="009B07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1FBB"/>
    <w:multiLevelType w:val="hybridMultilevel"/>
    <w:tmpl w:val="5D946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B600AC"/>
    <w:multiLevelType w:val="hybridMultilevel"/>
    <w:tmpl w:val="C6E24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104E1A"/>
    <w:multiLevelType w:val="hybridMultilevel"/>
    <w:tmpl w:val="C6322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58144D"/>
    <w:multiLevelType w:val="hybridMultilevel"/>
    <w:tmpl w:val="D46E3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D61D14"/>
    <w:multiLevelType w:val="hybridMultilevel"/>
    <w:tmpl w:val="7C88152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7A195F7C"/>
    <w:multiLevelType w:val="hybridMultilevel"/>
    <w:tmpl w:val="17C8B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077F67"/>
    <w:multiLevelType w:val="hybridMultilevel"/>
    <w:tmpl w:val="FEB03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8141917">
    <w:abstractNumId w:val="5"/>
  </w:num>
  <w:num w:numId="2" w16cid:durableId="570774161">
    <w:abstractNumId w:val="4"/>
  </w:num>
  <w:num w:numId="3" w16cid:durableId="225185074">
    <w:abstractNumId w:val="3"/>
  </w:num>
  <w:num w:numId="4" w16cid:durableId="867376249">
    <w:abstractNumId w:val="2"/>
  </w:num>
  <w:num w:numId="5" w16cid:durableId="1576665601">
    <w:abstractNumId w:val="6"/>
  </w:num>
  <w:num w:numId="6" w16cid:durableId="1588155096">
    <w:abstractNumId w:val="1"/>
  </w:num>
  <w:num w:numId="7" w16cid:durableId="734665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683"/>
    <w:rsid w:val="000152F4"/>
    <w:rsid w:val="001C4F23"/>
    <w:rsid w:val="001E114B"/>
    <w:rsid w:val="001E1BFE"/>
    <w:rsid w:val="002550DC"/>
    <w:rsid w:val="002C51CD"/>
    <w:rsid w:val="0037187A"/>
    <w:rsid w:val="003D21EF"/>
    <w:rsid w:val="003F269D"/>
    <w:rsid w:val="00453284"/>
    <w:rsid w:val="004642CB"/>
    <w:rsid w:val="00595A21"/>
    <w:rsid w:val="0069092A"/>
    <w:rsid w:val="006B65C9"/>
    <w:rsid w:val="006D000B"/>
    <w:rsid w:val="006F3F1F"/>
    <w:rsid w:val="007C726B"/>
    <w:rsid w:val="00837C00"/>
    <w:rsid w:val="00965683"/>
    <w:rsid w:val="009B0763"/>
    <w:rsid w:val="009D33ED"/>
    <w:rsid w:val="009D5F7E"/>
    <w:rsid w:val="00B72C3E"/>
    <w:rsid w:val="00B73BFE"/>
    <w:rsid w:val="00BE3A04"/>
    <w:rsid w:val="00C826F6"/>
    <w:rsid w:val="00D6086E"/>
    <w:rsid w:val="00DD4632"/>
    <w:rsid w:val="00E6405C"/>
    <w:rsid w:val="00EE356F"/>
    <w:rsid w:val="00F06F81"/>
    <w:rsid w:val="00FD1F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A8ACB"/>
  <w15:chartTrackingRefBased/>
  <w15:docId w15:val="{2525C32B-F83A-467B-83D4-9B8E42C85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568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6568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6568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6568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6568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656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56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56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56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68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6568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6568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6568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6568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656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56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56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5683"/>
    <w:rPr>
      <w:rFonts w:eastAsiaTheme="majorEastAsia" w:cstheme="majorBidi"/>
      <w:color w:val="272727" w:themeColor="text1" w:themeTint="D8"/>
    </w:rPr>
  </w:style>
  <w:style w:type="paragraph" w:styleId="Title">
    <w:name w:val="Title"/>
    <w:basedOn w:val="Normal"/>
    <w:next w:val="Normal"/>
    <w:link w:val="TitleChar"/>
    <w:uiPriority w:val="10"/>
    <w:qFormat/>
    <w:rsid w:val="009656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56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56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56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5683"/>
    <w:pPr>
      <w:spacing w:before="160"/>
      <w:jc w:val="center"/>
    </w:pPr>
    <w:rPr>
      <w:i/>
      <w:iCs/>
      <w:color w:val="404040" w:themeColor="text1" w:themeTint="BF"/>
    </w:rPr>
  </w:style>
  <w:style w:type="character" w:customStyle="1" w:styleId="QuoteChar">
    <w:name w:val="Quote Char"/>
    <w:basedOn w:val="DefaultParagraphFont"/>
    <w:link w:val="Quote"/>
    <w:uiPriority w:val="29"/>
    <w:rsid w:val="00965683"/>
    <w:rPr>
      <w:i/>
      <w:iCs/>
      <w:color w:val="404040" w:themeColor="text1" w:themeTint="BF"/>
    </w:rPr>
  </w:style>
  <w:style w:type="paragraph" w:styleId="ListParagraph">
    <w:name w:val="List Paragraph"/>
    <w:basedOn w:val="Normal"/>
    <w:uiPriority w:val="34"/>
    <w:qFormat/>
    <w:rsid w:val="00965683"/>
    <w:pPr>
      <w:ind w:left="720"/>
      <w:contextualSpacing/>
    </w:pPr>
  </w:style>
  <w:style w:type="character" w:styleId="IntenseEmphasis">
    <w:name w:val="Intense Emphasis"/>
    <w:basedOn w:val="DefaultParagraphFont"/>
    <w:uiPriority w:val="21"/>
    <w:qFormat/>
    <w:rsid w:val="00965683"/>
    <w:rPr>
      <w:i/>
      <w:iCs/>
      <w:color w:val="2E74B5" w:themeColor="accent1" w:themeShade="BF"/>
    </w:rPr>
  </w:style>
  <w:style w:type="paragraph" w:styleId="IntenseQuote">
    <w:name w:val="Intense Quote"/>
    <w:basedOn w:val="Normal"/>
    <w:next w:val="Normal"/>
    <w:link w:val="IntenseQuoteChar"/>
    <w:uiPriority w:val="30"/>
    <w:qFormat/>
    <w:rsid w:val="0096568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65683"/>
    <w:rPr>
      <w:i/>
      <w:iCs/>
      <w:color w:val="2E74B5" w:themeColor="accent1" w:themeShade="BF"/>
    </w:rPr>
  </w:style>
  <w:style w:type="character" w:styleId="IntenseReference">
    <w:name w:val="Intense Reference"/>
    <w:basedOn w:val="DefaultParagraphFont"/>
    <w:uiPriority w:val="32"/>
    <w:qFormat/>
    <w:rsid w:val="00965683"/>
    <w:rPr>
      <w:b/>
      <w:bCs/>
      <w:smallCaps/>
      <w:color w:val="2E74B5" w:themeColor="accent1" w:themeShade="BF"/>
      <w:spacing w:val="5"/>
    </w:rPr>
  </w:style>
  <w:style w:type="table" w:styleId="TableGrid">
    <w:name w:val="Table Grid"/>
    <w:basedOn w:val="TableNormal"/>
    <w:rsid w:val="00F06F81"/>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06F81"/>
    <w:rPr>
      <w:color w:val="0563C1" w:themeColor="hyperlink"/>
      <w:u w:val="single"/>
    </w:rPr>
  </w:style>
  <w:style w:type="character" w:customStyle="1" w:styleId="UnresolvedMention1">
    <w:name w:val="Unresolved Mention1"/>
    <w:basedOn w:val="DefaultParagraphFont"/>
    <w:uiPriority w:val="99"/>
    <w:semiHidden/>
    <w:unhideWhenUsed/>
    <w:rsid w:val="00C826F6"/>
    <w:rPr>
      <w:color w:val="605E5C"/>
      <w:shd w:val="clear" w:color="auto" w:fill="E1DFDD"/>
    </w:rPr>
  </w:style>
  <w:style w:type="character" w:customStyle="1" w:styleId="UnresolvedMention2">
    <w:name w:val="Unresolved Mention2"/>
    <w:basedOn w:val="DefaultParagraphFont"/>
    <w:uiPriority w:val="99"/>
    <w:semiHidden/>
    <w:unhideWhenUsed/>
    <w:rsid w:val="006D000B"/>
    <w:rPr>
      <w:color w:val="605E5C"/>
      <w:shd w:val="clear" w:color="auto" w:fill="E1DFDD"/>
    </w:rPr>
  </w:style>
  <w:style w:type="paragraph" w:styleId="Revision">
    <w:name w:val="Revision"/>
    <w:hidden/>
    <w:uiPriority w:val="99"/>
    <w:semiHidden/>
    <w:rsid w:val="000152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lft.nhs.uk/intranet/documents/fuel-shortage-plan-16" TargetMode="External"/><Relationship Id="rId5" Type="http://schemas.openxmlformats.org/officeDocument/2006/relationships/hyperlink" Target="https://www.elft.nhs.uk/intranet/documents/flood-plan-1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458</Words>
  <Characters>2614</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KHATUN, Rashida (EAST LONDON NHS FOUNDATION TRUST)</dc:creator>
  <cp:keywords/>
  <dc:description/>
  <cp:lastModifiedBy>KHATUN, Rashida (EAST LONDON NHS FOUNDATION TRUST)</cp:lastModifiedBy>
  <cp:revision>2</cp:revision>
  <dcterms:created xsi:type="dcterms:W3CDTF">2025-03-04T08:14:00Z</dcterms:created>
  <dcterms:modified xsi:type="dcterms:W3CDTF">2025-03-04T08:14:00Z</dcterms:modified>
</cp:coreProperties>
</file>