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83A0" w14:textId="18F98488" w:rsidR="00965683" w:rsidRPr="00983FE6" w:rsidRDefault="00965683" w:rsidP="00F06F81">
      <w:pPr>
        <w:jc w:val="center"/>
        <w:rPr>
          <w:rFonts w:ascii="Arial" w:hAnsi="Arial" w:cs="Arial"/>
          <w:sz w:val="24"/>
          <w:szCs w:val="24"/>
        </w:rPr>
      </w:pPr>
      <w:r w:rsidRPr="00983FE6">
        <w:rPr>
          <w:rFonts w:ascii="Arial" w:hAnsi="Arial" w:cs="Arial"/>
          <w:b/>
          <w:bCs/>
          <w:sz w:val="24"/>
          <w:szCs w:val="24"/>
        </w:rPr>
        <w:t xml:space="preserve">Policy in a Nutshell </w:t>
      </w:r>
      <w:r w:rsidR="00B72C3E" w:rsidRPr="00983FE6">
        <w:rPr>
          <w:rFonts w:ascii="Arial" w:hAnsi="Arial" w:cs="Arial"/>
          <w:sz w:val="24"/>
          <w:szCs w:val="24"/>
        </w:rPr>
        <w:t>(</w:t>
      </w:r>
      <w:r w:rsidR="00983FE6" w:rsidRPr="00983FE6">
        <w:rPr>
          <w:rFonts w:ascii="Arial" w:hAnsi="Arial" w:cs="Arial"/>
          <w:sz w:val="24"/>
          <w:szCs w:val="24"/>
        </w:rPr>
        <w:t>April</w:t>
      </w:r>
      <w:r w:rsidR="00A72E97" w:rsidRPr="00983FE6">
        <w:rPr>
          <w:rFonts w:ascii="Arial" w:hAnsi="Arial" w:cs="Arial"/>
          <w:sz w:val="24"/>
          <w:szCs w:val="24"/>
        </w:rPr>
        <w:t xml:space="preserve"> 2025</w:t>
      </w:r>
      <w:r w:rsidRPr="00983FE6">
        <w:rPr>
          <w:rFonts w:ascii="Arial" w:hAnsi="Arial" w:cs="Arial"/>
          <w:sz w:val="24"/>
          <w:szCs w:val="24"/>
        </w:rPr>
        <w:t>)</w:t>
      </w:r>
    </w:p>
    <w:p w14:paraId="576DF214" w14:textId="77777777" w:rsidR="00FD1F91" w:rsidRPr="00983FE6" w:rsidRDefault="00FD1F91" w:rsidP="00F06F81">
      <w:pPr>
        <w:jc w:val="center"/>
        <w:rPr>
          <w:rFonts w:ascii="Arial" w:hAnsi="Arial" w:cs="Arial"/>
        </w:rPr>
      </w:pPr>
    </w:p>
    <w:p w14:paraId="28096DE3" w14:textId="2FECD11E" w:rsidR="00965683" w:rsidRPr="00983FE6" w:rsidRDefault="00965683" w:rsidP="00965683">
      <w:pPr>
        <w:rPr>
          <w:rFonts w:ascii="Arial" w:hAnsi="Arial" w:cs="Arial"/>
        </w:rPr>
      </w:pPr>
      <w:r w:rsidRPr="00983FE6">
        <w:rPr>
          <w:rFonts w:ascii="Arial" w:hAnsi="Arial" w:cs="Arial"/>
        </w:rPr>
        <w:t>The following policies were ratified or extended recently by the Quality Committee</w:t>
      </w:r>
      <w:r w:rsidR="00FD1F91" w:rsidRPr="00983FE6">
        <w:rPr>
          <w:rFonts w:ascii="Arial" w:hAnsi="Arial" w:cs="Arial"/>
        </w:rPr>
        <w:t>:</w:t>
      </w:r>
      <w:r w:rsidRPr="00983FE6">
        <w:rPr>
          <w:rFonts w:ascii="Arial" w:hAnsi="Arial" w:cs="Arial"/>
        </w:rPr>
        <w:t xml:space="preserve"> </w:t>
      </w:r>
    </w:p>
    <w:p w14:paraId="318B3797" w14:textId="0CC9725D" w:rsidR="00BE3A04" w:rsidRPr="00983FE6" w:rsidRDefault="00965683" w:rsidP="00965683">
      <w:pPr>
        <w:rPr>
          <w:rFonts w:ascii="Arial" w:hAnsi="Arial" w:cs="Arial"/>
          <w:b/>
          <w:bCs/>
        </w:rPr>
      </w:pPr>
      <w:r w:rsidRPr="00983FE6">
        <w:rPr>
          <w:rFonts w:ascii="Arial" w:hAnsi="Arial" w:cs="Arial"/>
          <w:b/>
          <w:bCs/>
        </w:rPr>
        <w:t>Policies Ratified</w:t>
      </w:r>
    </w:p>
    <w:p w14:paraId="1229F9BF" w14:textId="5169D604" w:rsidR="00983FE6" w:rsidRPr="00983FE6" w:rsidRDefault="00A72E97" w:rsidP="00983FE6">
      <w:pPr>
        <w:rPr>
          <w:rFonts w:ascii="Arial" w:hAnsi="Arial" w:cs="Arial"/>
        </w:rPr>
      </w:pPr>
      <w:r w:rsidRPr="00983FE6">
        <w:rPr>
          <w:rFonts w:ascii="Arial" w:hAnsi="Arial" w:cs="Arial"/>
        </w:rPr>
        <w:t>The</w:t>
      </w:r>
      <w:r w:rsidRPr="00983FE6">
        <w:rPr>
          <w:rFonts w:ascii="Arial" w:hAnsi="Arial" w:cs="Arial"/>
          <w:b/>
          <w:bCs/>
        </w:rPr>
        <w:t xml:space="preserve"> </w:t>
      </w:r>
      <w:r w:rsidR="00983FE6" w:rsidRPr="00983FE6">
        <w:rPr>
          <w:rFonts w:ascii="Arial" w:hAnsi="Arial" w:cs="Arial"/>
          <w:b/>
          <w:bCs/>
        </w:rPr>
        <w:t xml:space="preserve">non-Health Records Policy </w:t>
      </w:r>
      <w:r w:rsidR="00983FE6" w:rsidRPr="00983FE6">
        <w:rPr>
          <w:rFonts w:ascii="Arial" w:hAnsi="Arial" w:cs="Arial"/>
        </w:rPr>
        <w:t>sets out a framework to ensure corporate records (in all media and formats) are managed and controlled effectively, commensurate with legal, operational and information requirements.</w:t>
      </w:r>
    </w:p>
    <w:p w14:paraId="21A4E0C7" w14:textId="64442D3E" w:rsidR="00983FE6" w:rsidRPr="00983FE6" w:rsidRDefault="00983FE6" w:rsidP="00983FE6">
      <w:pPr>
        <w:rPr>
          <w:rFonts w:ascii="Arial" w:hAnsi="Arial" w:cs="Arial"/>
        </w:rPr>
      </w:pPr>
      <w:r w:rsidRPr="00983FE6">
        <w:rPr>
          <w:rFonts w:ascii="Arial" w:hAnsi="Arial" w:cs="Arial"/>
        </w:rPr>
        <w:t>This policy refers to corporate (non-health) records. Health records are addressed in the Health Records Policy.</w:t>
      </w:r>
    </w:p>
    <w:p w14:paraId="1B69075C" w14:textId="2688A2E7" w:rsidR="00FD1F91" w:rsidRPr="00983FE6" w:rsidRDefault="00983FE6" w:rsidP="00983FE6">
      <w:pPr>
        <w:rPr>
          <w:rFonts w:ascii="Arial" w:hAnsi="Arial" w:cs="Arial"/>
        </w:rPr>
      </w:pPr>
      <w:r w:rsidRPr="00983FE6">
        <w:rPr>
          <w:rFonts w:ascii="Arial" w:hAnsi="Arial" w:cs="Arial"/>
        </w:rPr>
        <w:t>The non-Health Records Policy was updated to include the latest version of the Records Management NHS Code of Practice (2023) with an updated link inserted. Minor amendments were also made to job titles within the policy.</w:t>
      </w:r>
      <w:r w:rsidR="00A72E97" w:rsidRPr="00983FE6">
        <w:rPr>
          <w:rFonts w:ascii="Arial" w:hAnsi="Arial" w:cs="Arial"/>
        </w:rPr>
        <w:t xml:space="preserve"> </w:t>
      </w:r>
    </w:p>
    <w:p w14:paraId="04BCDF1F" w14:textId="0FB4A070" w:rsidR="00983FE6" w:rsidRDefault="006A4EF2" w:rsidP="00965683">
      <w:pPr>
        <w:rPr>
          <w:rFonts w:ascii="Arial" w:hAnsi="Arial" w:cs="Arial"/>
        </w:rPr>
      </w:pPr>
      <w:hyperlink r:id="rId5" w:history="1">
        <w:r w:rsidRPr="00322EF0">
          <w:rPr>
            <w:rStyle w:val="Hyperlink"/>
            <w:rFonts w:ascii="Arial" w:hAnsi="Arial" w:cs="Arial"/>
          </w:rPr>
          <w:t>https://www.elft.nhs.uk/intranet/documents/non-health-records-policy-15</w:t>
        </w:r>
      </w:hyperlink>
      <w:r>
        <w:rPr>
          <w:rFonts w:ascii="Arial" w:hAnsi="Arial" w:cs="Arial"/>
        </w:rPr>
        <w:t xml:space="preserve"> </w:t>
      </w:r>
    </w:p>
    <w:p w14:paraId="42F21BEB" w14:textId="77777777" w:rsidR="0071013B" w:rsidRDefault="0071013B" w:rsidP="00965683">
      <w:pPr>
        <w:rPr>
          <w:rFonts w:ascii="Arial" w:hAnsi="Arial" w:cs="Arial"/>
        </w:rPr>
      </w:pPr>
    </w:p>
    <w:p w14:paraId="6476252D" w14:textId="77777777" w:rsidR="006A4EF2" w:rsidRPr="00983FE6" w:rsidRDefault="006A4EF2" w:rsidP="00965683">
      <w:pPr>
        <w:rPr>
          <w:rFonts w:ascii="Arial" w:hAnsi="Arial" w:cs="Arial"/>
        </w:rPr>
      </w:pPr>
    </w:p>
    <w:p w14:paraId="40D0C473" w14:textId="24D8AEF5" w:rsidR="00983FE6" w:rsidRPr="00983FE6" w:rsidRDefault="00A72E97" w:rsidP="00983FE6">
      <w:pPr>
        <w:jc w:val="both"/>
        <w:rPr>
          <w:rFonts w:ascii="Arial" w:hAnsi="Arial" w:cs="Arial"/>
        </w:rPr>
      </w:pPr>
      <w:r w:rsidRPr="00983FE6">
        <w:rPr>
          <w:rFonts w:ascii="Arial" w:hAnsi="Arial" w:cs="Arial"/>
        </w:rPr>
        <w:t xml:space="preserve">The purpose of the </w:t>
      </w:r>
      <w:r w:rsidR="00983FE6" w:rsidRPr="00983FE6">
        <w:rPr>
          <w:rFonts w:ascii="Arial" w:eastAsia="Calibri" w:hAnsi="Arial" w:cs="Arial"/>
          <w:b/>
          <w:kern w:val="0"/>
          <w14:ligatures w14:val="none"/>
        </w:rPr>
        <w:t>Responsible Clinician and Nominated Deputy Allocation Policy</w:t>
      </w:r>
      <w:r w:rsidR="00983FE6" w:rsidRPr="00983FE6">
        <w:rPr>
          <w:rFonts w:ascii="Arial" w:eastAsia="Calibri" w:hAnsi="Arial" w:cs="Arial"/>
          <w:b/>
          <w:kern w:val="0"/>
          <w14:ligatures w14:val="none"/>
        </w:rPr>
        <w:t xml:space="preserve"> </w:t>
      </w:r>
      <w:r w:rsidR="00983FE6" w:rsidRPr="00983FE6">
        <w:rPr>
          <w:rFonts w:ascii="Arial" w:hAnsi="Arial" w:cs="Arial"/>
        </w:rPr>
        <w:t>is to s</w:t>
      </w:r>
      <w:r w:rsidR="00983FE6" w:rsidRPr="00983FE6">
        <w:rPr>
          <w:rFonts w:ascii="Arial" w:hAnsi="Arial" w:cs="Arial"/>
        </w:rPr>
        <w:t>et</w:t>
      </w:r>
      <w:r w:rsidR="00983FE6" w:rsidRPr="00983FE6">
        <w:rPr>
          <w:rFonts w:ascii="Arial" w:hAnsi="Arial" w:cs="Arial"/>
        </w:rPr>
        <w:t xml:space="preserve"> </w:t>
      </w:r>
      <w:r w:rsidR="00983FE6" w:rsidRPr="00983FE6">
        <w:rPr>
          <w:rFonts w:ascii="Arial" w:hAnsi="Arial" w:cs="Arial"/>
        </w:rPr>
        <w:t>out how the Responsible Clinician role is allocated within the trust; where this information should be recorded and how eligibility to take on the role is monitored.</w:t>
      </w:r>
    </w:p>
    <w:p w14:paraId="29AEE806" w14:textId="27BCA0C8" w:rsidR="00983FE6" w:rsidRPr="00983FE6" w:rsidRDefault="00983FE6" w:rsidP="00983FE6">
      <w:pPr>
        <w:jc w:val="both"/>
        <w:rPr>
          <w:rFonts w:ascii="Arial" w:hAnsi="Arial" w:cs="Arial"/>
        </w:rPr>
      </w:pPr>
      <w:r w:rsidRPr="00983FE6">
        <w:rPr>
          <w:rFonts w:ascii="Arial" w:hAnsi="Arial" w:cs="Arial"/>
        </w:rPr>
        <w:t>The policy should be read in accordance with the Mental Health Act 1983 (‘the MHA’) and the Mental Health Act Code of Practice 2015 (‘the Code’).</w:t>
      </w:r>
    </w:p>
    <w:p w14:paraId="0D0F21C7" w14:textId="5074A9F0" w:rsidR="00480688" w:rsidRPr="00983FE6" w:rsidRDefault="00983FE6" w:rsidP="00983FE6">
      <w:pPr>
        <w:jc w:val="both"/>
        <w:rPr>
          <w:rFonts w:ascii="Arial" w:hAnsi="Arial" w:cs="Arial"/>
        </w:rPr>
      </w:pPr>
      <w:r w:rsidRPr="00983FE6">
        <w:rPr>
          <w:rFonts w:ascii="Arial" w:hAnsi="Arial" w:cs="Arial"/>
        </w:rPr>
        <w:t>Changes made to the policy during this review include added provisions for Nominated Deputy in the Luton and Bedfordshire directorate.</w:t>
      </w:r>
    </w:p>
    <w:p w14:paraId="45BA5869" w14:textId="68900884" w:rsidR="00983FE6" w:rsidRDefault="006A4EF2" w:rsidP="00983FE6">
      <w:pPr>
        <w:jc w:val="both"/>
        <w:rPr>
          <w:rFonts w:ascii="Arial" w:hAnsi="Arial" w:cs="Arial"/>
        </w:rPr>
      </w:pPr>
      <w:hyperlink r:id="rId6" w:history="1">
        <w:r w:rsidRPr="00322EF0">
          <w:rPr>
            <w:rStyle w:val="Hyperlink"/>
            <w:rFonts w:ascii="Arial" w:hAnsi="Arial" w:cs="Arial"/>
          </w:rPr>
          <w:t>https://www.elft.nhs.uk/intranet/documents/responsible-clinician-and-nominated-deputy-allocation-policy-20</w:t>
        </w:r>
      </w:hyperlink>
      <w:r>
        <w:rPr>
          <w:rFonts w:ascii="Arial" w:hAnsi="Arial" w:cs="Arial"/>
        </w:rPr>
        <w:t xml:space="preserve"> </w:t>
      </w:r>
    </w:p>
    <w:p w14:paraId="0E8DA685" w14:textId="77777777" w:rsidR="0071013B" w:rsidRDefault="0071013B" w:rsidP="00983FE6">
      <w:pPr>
        <w:jc w:val="both"/>
        <w:rPr>
          <w:rFonts w:ascii="Arial" w:hAnsi="Arial" w:cs="Arial"/>
        </w:rPr>
      </w:pPr>
    </w:p>
    <w:p w14:paraId="3939D0C2" w14:textId="77777777" w:rsidR="006A4EF2" w:rsidRPr="00983FE6" w:rsidRDefault="006A4EF2" w:rsidP="00983FE6">
      <w:pPr>
        <w:jc w:val="both"/>
        <w:rPr>
          <w:rFonts w:ascii="Arial" w:hAnsi="Arial" w:cs="Arial"/>
        </w:rPr>
      </w:pPr>
    </w:p>
    <w:p w14:paraId="256E462F" w14:textId="5B36E78E" w:rsidR="00983FE6" w:rsidRPr="00983FE6" w:rsidRDefault="00480688" w:rsidP="00983FE6">
      <w:pPr>
        <w:shd w:val="clear" w:color="auto" w:fill="FFFFFF"/>
        <w:jc w:val="both"/>
        <w:rPr>
          <w:rFonts w:ascii="Arial" w:hAnsi="Arial" w:cs="Arial"/>
          <w:bCs/>
        </w:rPr>
      </w:pPr>
      <w:r w:rsidRPr="00983FE6">
        <w:rPr>
          <w:rFonts w:ascii="Arial" w:hAnsi="Arial" w:cs="Arial"/>
          <w:bCs/>
        </w:rPr>
        <w:lastRenderedPageBreak/>
        <w:t xml:space="preserve">The </w:t>
      </w:r>
      <w:r w:rsidR="00983FE6" w:rsidRPr="00983FE6">
        <w:rPr>
          <w:rFonts w:ascii="Arial" w:hAnsi="Arial" w:cs="Arial"/>
          <w:b/>
          <w:bCs/>
        </w:rPr>
        <w:t>Mental Health Law Supplementary Policy</w:t>
      </w:r>
      <w:r w:rsidR="00983FE6" w:rsidRPr="00983FE6">
        <w:rPr>
          <w:rFonts w:ascii="Arial" w:hAnsi="Arial" w:cs="Arial"/>
          <w:b/>
          <w:bCs/>
        </w:rPr>
        <w:t xml:space="preserve"> </w:t>
      </w:r>
      <w:r w:rsidR="00983FE6" w:rsidRPr="00983FE6">
        <w:rPr>
          <w:rFonts w:ascii="Arial" w:hAnsi="Arial" w:cs="Arial"/>
          <w:bCs/>
        </w:rPr>
        <w:t>directs the practice of Trust staff in relation to various aspects of mental health law that are not already covered in other Trust policies – Giving Information, Emergency Detention, Holding Powers, Receipt &amp; Scrutiny of section papers, renewals of detention, extensions of Community Treatment Orders, Welfare of Children in Hospital, Leave and Discharge.</w:t>
      </w:r>
    </w:p>
    <w:p w14:paraId="69293359" w14:textId="645E22AD" w:rsidR="00983FE6" w:rsidRPr="00983FE6" w:rsidRDefault="00983FE6" w:rsidP="00983FE6">
      <w:pPr>
        <w:shd w:val="clear" w:color="auto" w:fill="FFFFFF"/>
        <w:jc w:val="both"/>
        <w:rPr>
          <w:rFonts w:ascii="Arial" w:hAnsi="Arial" w:cs="Arial"/>
          <w:bCs/>
        </w:rPr>
      </w:pPr>
      <w:r w:rsidRPr="00983FE6">
        <w:rPr>
          <w:rFonts w:ascii="Arial" w:hAnsi="Arial" w:cs="Arial"/>
          <w:bCs/>
        </w:rPr>
        <w:t>The policy should be read in accordance with the Mental Health Act 1983 ('the Act’), the Mental Health Act Code of Practice 2015, associated legislation, case-law and relevant Trust policies and guidance.</w:t>
      </w:r>
    </w:p>
    <w:p w14:paraId="6CA3BB4A" w14:textId="77777777" w:rsidR="00983FE6" w:rsidRPr="00983FE6" w:rsidRDefault="00983FE6" w:rsidP="00983FE6">
      <w:pPr>
        <w:shd w:val="clear" w:color="auto" w:fill="FFFFFF"/>
        <w:jc w:val="both"/>
        <w:rPr>
          <w:rFonts w:ascii="Arial" w:hAnsi="Arial" w:cs="Arial"/>
          <w:bCs/>
        </w:rPr>
      </w:pPr>
      <w:r w:rsidRPr="00983FE6">
        <w:rPr>
          <w:rFonts w:ascii="Arial" w:hAnsi="Arial" w:cs="Arial"/>
          <w:bCs/>
        </w:rPr>
        <w:t xml:space="preserve">The policy was updated to include updated job titles, added references to </w:t>
      </w:r>
      <w:proofErr w:type="spellStart"/>
      <w:r w:rsidRPr="00983FE6">
        <w:rPr>
          <w:rFonts w:ascii="Arial" w:hAnsi="Arial" w:cs="Arial"/>
          <w:bCs/>
        </w:rPr>
        <w:t>eMHA</w:t>
      </w:r>
      <w:proofErr w:type="spellEnd"/>
      <w:r w:rsidRPr="00983FE6">
        <w:rPr>
          <w:rFonts w:ascii="Arial" w:hAnsi="Arial" w:cs="Arial"/>
          <w:bCs/>
        </w:rPr>
        <w:t xml:space="preserve"> and to Receipt and Acceptance training.</w:t>
      </w:r>
    </w:p>
    <w:p w14:paraId="573D82B6" w14:textId="791F371D" w:rsidR="00134492" w:rsidRPr="00983FE6" w:rsidRDefault="006A4EF2" w:rsidP="00480688">
      <w:pPr>
        <w:shd w:val="clear" w:color="auto" w:fill="FFFFFF"/>
        <w:jc w:val="both"/>
        <w:rPr>
          <w:rFonts w:ascii="Arial" w:hAnsi="Arial" w:cs="Arial"/>
          <w:bCs/>
        </w:rPr>
      </w:pPr>
      <w:hyperlink r:id="rId7" w:history="1">
        <w:r w:rsidRPr="00322EF0">
          <w:rPr>
            <w:rStyle w:val="Hyperlink"/>
            <w:rFonts w:ascii="Arial" w:hAnsi="Arial" w:cs="Arial"/>
            <w:bCs/>
          </w:rPr>
          <w:t>https://www.elft.nhs.uk/intranet/documents/mental-health-law-supplementary-policy-20</w:t>
        </w:r>
      </w:hyperlink>
      <w:r>
        <w:rPr>
          <w:rFonts w:ascii="Arial" w:hAnsi="Arial" w:cs="Arial"/>
          <w:bCs/>
        </w:rPr>
        <w:t xml:space="preserve"> </w:t>
      </w:r>
    </w:p>
    <w:p w14:paraId="31FE339F" w14:textId="77777777" w:rsidR="0071013B" w:rsidRDefault="0071013B" w:rsidP="00480688">
      <w:pPr>
        <w:shd w:val="clear" w:color="auto" w:fill="FFFFFF"/>
        <w:jc w:val="both"/>
        <w:rPr>
          <w:rFonts w:ascii="Arial" w:hAnsi="Arial" w:cs="Arial"/>
          <w:bCs/>
        </w:rPr>
      </w:pPr>
    </w:p>
    <w:p w14:paraId="7DD4922A" w14:textId="77777777" w:rsidR="006A4EF2" w:rsidRPr="00983FE6" w:rsidRDefault="006A4EF2" w:rsidP="00480688">
      <w:pPr>
        <w:shd w:val="clear" w:color="auto" w:fill="FFFFFF"/>
        <w:jc w:val="both"/>
        <w:rPr>
          <w:rFonts w:ascii="Arial" w:hAnsi="Arial" w:cs="Arial"/>
          <w:bCs/>
        </w:rPr>
      </w:pPr>
    </w:p>
    <w:p w14:paraId="0A650337" w14:textId="5BC15BA4" w:rsidR="00FD1F91" w:rsidRPr="00983FE6" w:rsidRDefault="00FD1F91" w:rsidP="00FD1F91">
      <w:pPr>
        <w:shd w:val="clear" w:color="auto" w:fill="FFFFFF"/>
        <w:jc w:val="both"/>
        <w:rPr>
          <w:rFonts w:ascii="Arial" w:hAnsi="Arial" w:cs="Arial"/>
          <w:b/>
          <w:bCs/>
          <w:u w:val="single"/>
        </w:rPr>
      </w:pPr>
      <w:r w:rsidRPr="00983FE6">
        <w:rPr>
          <w:rFonts w:ascii="Arial" w:hAnsi="Arial" w:cs="Arial"/>
          <w:b/>
          <w:bCs/>
          <w:u w:val="single"/>
        </w:rPr>
        <w:t>Additional Updates</w:t>
      </w:r>
    </w:p>
    <w:p w14:paraId="20FD223C" w14:textId="000F26D1" w:rsidR="00983FE6" w:rsidRPr="00983FE6" w:rsidRDefault="00FD1F91" w:rsidP="00983FE6">
      <w:pPr>
        <w:shd w:val="clear" w:color="auto" w:fill="FFFFFF"/>
        <w:jc w:val="both"/>
        <w:rPr>
          <w:rFonts w:ascii="Arial" w:hAnsi="Arial" w:cs="Arial"/>
          <w:bCs/>
        </w:rPr>
      </w:pPr>
      <w:r w:rsidRPr="00983FE6">
        <w:rPr>
          <w:rFonts w:ascii="Arial" w:hAnsi="Arial" w:cs="Arial"/>
          <w:bCs/>
        </w:rPr>
        <w:t>The following policy was made redundant this month:</w:t>
      </w:r>
    </w:p>
    <w:tbl>
      <w:tblPr>
        <w:tblStyle w:val="TableGrid"/>
        <w:tblW w:w="0" w:type="auto"/>
        <w:tblLook w:val="04A0" w:firstRow="1" w:lastRow="0" w:firstColumn="1" w:lastColumn="0" w:noHBand="0" w:noVBand="1"/>
      </w:tblPr>
      <w:tblGrid>
        <w:gridCol w:w="4510"/>
        <w:gridCol w:w="4506"/>
      </w:tblGrid>
      <w:tr w:rsidR="00983FE6" w:rsidRPr="00983FE6" w14:paraId="632F63E7" w14:textId="77777777" w:rsidTr="00A95815">
        <w:tc>
          <w:tcPr>
            <w:tcW w:w="4848" w:type="dxa"/>
          </w:tcPr>
          <w:p w14:paraId="2A171C5C" w14:textId="77777777" w:rsidR="00983FE6" w:rsidRPr="00983FE6" w:rsidRDefault="00983FE6" w:rsidP="00A95815">
            <w:pPr>
              <w:jc w:val="both"/>
              <w:rPr>
                <w:rFonts w:ascii="Arial" w:hAnsi="Arial" w:cs="Arial"/>
                <w:b/>
                <w:bCs/>
                <w:sz w:val="22"/>
                <w:szCs w:val="22"/>
              </w:rPr>
            </w:pPr>
            <w:r w:rsidRPr="00983FE6">
              <w:rPr>
                <w:rFonts w:ascii="Arial" w:hAnsi="Arial" w:cs="Arial"/>
                <w:b/>
                <w:bCs/>
                <w:sz w:val="22"/>
                <w:szCs w:val="22"/>
              </w:rPr>
              <w:t>Name of Policy</w:t>
            </w:r>
          </w:p>
        </w:tc>
        <w:tc>
          <w:tcPr>
            <w:tcW w:w="4849" w:type="dxa"/>
          </w:tcPr>
          <w:p w14:paraId="53A7B09D" w14:textId="77777777" w:rsidR="00983FE6" w:rsidRPr="00983FE6" w:rsidRDefault="00983FE6" w:rsidP="00A95815">
            <w:pPr>
              <w:jc w:val="both"/>
              <w:rPr>
                <w:rFonts w:ascii="Arial" w:hAnsi="Arial" w:cs="Arial"/>
                <w:b/>
                <w:bCs/>
                <w:sz w:val="22"/>
                <w:szCs w:val="22"/>
              </w:rPr>
            </w:pPr>
            <w:r w:rsidRPr="00983FE6">
              <w:rPr>
                <w:rFonts w:ascii="Arial" w:hAnsi="Arial" w:cs="Arial"/>
                <w:b/>
                <w:bCs/>
                <w:sz w:val="22"/>
                <w:szCs w:val="22"/>
              </w:rPr>
              <w:t>Rationale for being made redundant</w:t>
            </w:r>
          </w:p>
        </w:tc>
      </w:tr>
      <w:tr w:rsidR="00983FE6" w:rsidRPr="00983FE6" w14:paraId="2BA0637B" w14:textId="77777777" w:rsidTr="00A95815">
        <w:tc>
          <w:tcPr>
            <w:tcW w:w="4848" w:type="dxa"/>
          </w:tcPr>
          <w:p w14:paraId="2C189233" w14:textId="77777777" w:rsidR="00983FE6" w:rsidRPr="00983FE6" w:rsidRDefault="00983FE6" w:rsidP="00A95815">
            <w:pPr>
              <w:jc w:val="both"/>
              <w:rPr>
                <w:rFonts w:ascii="Arial" w:hAnsi="Arial" w:cs="Arial"/>
                <w:bCs/>
                <w:sz w:val="22"/>
                <w:szCs w:val="22"/>
              </w:rPr>
            </w:pPr>
            <w:r w:rsidRPr="00983FE6">
              <w:rPr>
                <w:rFonts w:ascii="Arial" w:hAnsi="Arial" w:cs="Arial"/>
                <w:bCs/>
                <w:sz w:val="22"/>
                <w:szCs w:val="22"/>
              </w:rPr>
              <w:t>Operating Cash Management Policy</w:t>
            </w:r>
          </w:p>
        </w:tc>
        <w:tc>
          <w:tcPr>
            <w:tcW w:w="4849" w:type="dxa"/>
          </w:tcPr>
          <w:p w14:paraId="45AD7CFA" w14:textId="77777777" w:rsidR="00983FE6" w:rsidRPr="00983FE6" w:rsidRDefault="00983FE6" w:rsidP="00A95815">
            <w:pPr>
              <w:jc w:val="both"/>
              <w:rPr>
                <w:rFonts w:ascii="Arial" w:hAnsi="Arial" w:cs="Arial"/>
                <w:bCs/>
                <w:sz w:val="22"/>
                <w:szCs w:val="22"/>
              </w:rPr>
            </w:pPr>
            <w:r w:rsidRPr="00983FE6">
              <w:rPr>
                <w:rFonts w:ascii="Arial" w:hAnsi="Arial" w:cs="Arial"/>
                <w:bCs/>
                <w:sz w:val="22"/>
                <w:szCs w:val="22"/>
              </w:rPr>
              <w:t>Superseded by the Treasury Management Policy</w:t>
            </w:r>
          </w:p>
        </w:tc>
      </w:tr>
      <w:tr w:rsidR="00983FE6" w:rsidRPr="00983FE6" w14:paraId="701E955A" w14:textId="77777777" w:rsidTr="00A95815">
        <w:tc>
          <w:tcPr>
            <w:tcW w:w="4848" w:type="dxa"/>
          </w:tcPr>
          <w:p w14:paraId="4315254C" w14:textId="77777777" w:rsidR="00983FE6" w:rsidRPr="00983FE6" w:rsidRDefault="00983FE6" w:rsidP="00A95815">
            <w:pPr>
              <w:jc w:val="both"/>
              <w:rPr>
                <w:rFonts w:ascii="Arial" w:hAnsi="Arial" w:cs="Arial"/>
                <w:bCs/>
                <w:sz w:val="22"/>
                <w:szCs w:val="22"/>
              </w:rPr>
            </w:pPr>
            <w:r w:rsidRPr="00983FE6">
              <w:rPr>
                <w:rFonts w:ascii="Arial" w:hAnsi="Arial" w:cs="Arial"/>
                <w:bCs/>
                <w:sz w:val="22"/>
                <w:szCs w:val="22"/>
              </w:rPr>
              <w:t>CAMHS Rapid Tranquillisation Guidelines</w:t>
            </w:r>
          </w:p>
        </w:tc>
        <w:tc>
          <w:tcPr>
            <w:tcW w:w="4849" w:type="dxa"/>
          </w:tcPr>
          <w:p w14:paraId="1D44B69E" w14:textId="77777777" w:rsidR="00983FE6" w:rsidRPr="00983FE6" w:rsidRDefault="00983FE6" w:rsidP="00A95815">
            <w:pPr>
              <w:jc w:val="both"/>
              <w:rPr>
                <w:rFonts w:ascii="Arial" w:hAnsi="Arial" w:cs="Arial"/>
                <w:bCs/>
                <w:sz w:val="22"/>
                <w:szCs w:val="22"/>
              </w:rPr>
            </w:pPr>
            <w:r w:rsidRPr="00983FE6">
              <w:rPr>
                <w:rFonts w:ascii="Arial" w:hAnsi="Arial" w:cs="Arial"/>
                <w:bCs/>
                <w:sz w:val="22"/>
                <w:szCs w:val="22"/>
              </w:rPr>
              <w:t>Superseded by the Rapid Tranquilisation Policy which covers all ages</w:t>
            </w:r>
          </w:p>
        </w:tc>
      </w:tr>
      <w:tr w:rsidR="00983FE6" w:rsidRPr="00983FE6" w14:paraId="49F8728C" w14:textId="77777777" w:rsidTr="00A95815">
        <w:tc>
          <w:tcPr>
            <w:tcW w:w="4848" w:type="dxa"/>
          </w:tcPr>
          <w:p w14:paraId="6054823F" w14:textId="77777777" w:rsidR="00983FE6" w:rsidRPr="00983FE6" w:rsidRDefault="00983FE6" w:rsidP="00A95815">
            <w:pPr>
              <w:jc w:val="both"/>
              <w:rPr>
                <w:rFonts w:ascii="Arial" w:hAnsi="Arial" w:cs="Arial"/>
                <w:bCs/>
                <w:sz w:val="22"/>
                <w:szCs w:val="22"/>
              </w:rPr>
            </w:pPr>
            <w:r w:rsidRPr="00983FE6">
              <w:rPr>
                <w:rFonts w:ascii="Arial" w:hAnsi="Arial" w:cs="Arial"/>
                <w:bCs/>
                <w:sz w:val="22"/>
                <w:szCs w:val="22"/>
              </w:rPr>
              <w:t>Rapid Tranquilisation Policy for Adults and Older People</w:t>
            </w:r>
          </w:p>
        </w:tc>
        <w:tc>
          <w:tcPr>
            <w:tcW w:w="4849" w:type="dxa"/>
          </w:tcPr>
          <w:p w14:paraId="2515A219" w14:textId="77777777" w:rsidR="00983FE6" w:rsidRPr="00983FE6" w:rsidRDefault="00983FE6" w:rsidP="00A95815">
            <w:pPr>
              <w:jc w:val="both"/>
              <w:rPr>
                <w:rFonts w:ascii="Arial" w:hAnsi="Arial" w:cs="Arial"/>
                <w:bCs/>
                <w:sz w:val="22"/>
                <w:szCs w:val="22"/>
              </w:rPr>
            </w:pPr>
            <w:r w:rsidRPr="00983FE6">
              <w:rPr>
                <w:rFonts w:ascii="Arial" w:hAnsi="Arial" w:cs="Arial"/>
                <w:bCs/>
                <w:sz w:val="22"/>
                <w:szCs w:val="22"/>
              </w:rPr>
              <w:t>Superseded by the</w:t>
            </w:r>
            <w:r w:rsidRPr="00983FE6">
              <w:rPr>
                <w:sz w:val="22"/>
                <w:szCs w:val="22"/>
              </w:rPr>
              <w:t xml:space="preserve"> </w:t>
            </w:r>
            <w:r w:rsidRPr="00983FE6">
              <w:rPr>
                <w:rFonts w:ascii="Arial" w:hAnsi="Arial" w:cs="Arial"/>
                <w:bCs/>
                <w:sz w:val="22"/>
                <w:szCs w:val="22"/>
              </w:rPr>
              <w:t>Rapid Tranquilisation Policy</w:t>
            </w:r>
            <w:r w:rsidRPr="00983FE6">
              <w:rPr>
                <w:sz w:val="22"/>
                <w:szCs w:val="22"/>
              </w:rPr>
              <w:t xml:space="preserve"> </w:t>
            </w:r>
            <w:r w:rsidRPr="00983FE6">
              <w:rPr>
                <w:rFonts w:ascii="Arial" w:hAnsi="Arial" w:cs="Arial"/>
                <w:bCs/>
                <w:sz w:val="22"/>
                <w:szCs w:val="22"/>
              </w:rPr>
              <w:t>which covers all ages</w:t>
            </w:r>
          </w:p>
        </w:tc>
      </w:tr>
    </w:tbl>
    <w:p w14:paraId="05DAE868" w14:textId="77777777" w:rsidR="00134492" w:rsidRPr="00983FE6" w:rsidRDefault="00134492" w:rsidP="00FD1F91">
      <w:pPr>
        <w:shd w:val="clear" w:color="auto" w:fill="FFFFFF"/>
        <w:jc w:val="both"/>
        <w:rPr>
          <w:rFonts w:ascii="Arial" w:hAnsi="Arial" w:cs="Arial"/>
          <w:bCs/>
        </w:rPr>
      </w:pPr>
    </w:p>
    <w:p w14:paraId="05F5A0FC" w14:textId="3441F400" w:rsidR="00837C00" w:rsidRPr="00983FE6" w:rsidRDefault="00837C00" w:rsidP="00837C00">
      <w:pPr>
        <w:shd w:val="clear" w:color="auto" w:fill="FFFFFF"/>
        <w:jc w:val="both"/>
        <w:rPr>
          <w:rFonts w:ascii="Arial" w:hAnsi="Arial" w:cs="Arial"/>
          <w:bCs/>
        </w:rPr>
      </w:pPr>
    </w:p>
    <w:p w14:paraId="613A6E8D" w14:textId="77777777" w:rsidR="00F06F81" w:rsidRPr="00983FE6" w:rsidRDefault="00F06F81" w:rsidP="00837C00">
      <w:pPr>
        <w:shd w:val="clear" w:color="auto" w:fill="FFFFFF"/>
        <w:jc w:val="both"/>
        <w:rPr>
          <w:rFonts w:ascii="Arial" w:hAnsi="Arial" w:cs="Arial"/>
          <w:bCs/>
        </w:rPr>
      </w:pPr>
    </w:p>
    <w:p w14:paraId="66EE05D7" w14:textId="77777777" w:rsidR="00837C00" w:rsidRPr="00983FE6" w:rsidRDefault="00837C00" w:rsidP="00837C00">
      <w:pPr>
        <w:rPr>
          <w:rFonts w:ascii="Arial" w:hAnsi="Arial" w:cs="Arial"/>
        </w:rPr>
      </w:pPr>
    </w:p>
    <w:sectPr w:rsidR="00837C00" w:rsidRPr="00983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FBB"/>
    <w:multiLevelType w:val="hybridMultilevel"/>
    <w:tmpl w:val="5D94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67F56"/>
    <w:multiLevelType w:val="hybridMultilevel"/>
    <w:tmpl w:val="D1F8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600AC"/>
    <w:multiLevelType w:val="hybridMultilevel"/>
    <w:tmpl w:val="C6E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EE784A"/>
    <w:multiLevelType w:val="hybridMultilevel"/>
    <w:tmpl w:val="F27C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104E1A"/>
    <w:multiLevelType w:val="hybridMultilevel"/>
    <w:tmpl w:val="C632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58144D"/>
    <w:multiLevelType w:val="hybridMultilevel"/>
    <w:tmpl w:val="D46E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F5915"/>
    <w:multiLevelType w:val="hybridMultilevel"/>
    <w:tmpl w:val="A6E8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D61D14"/>
    <w:multiLevelType w:val="hybridMultilevel"/>
    <w:tmpl w:val="7C8815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A195F7C"/>
    <w:multiLevelType w:val="hybridMultilevel"/>
    <w:tmpl w:val="17C8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77F67"/>
    <w:multiLevelType w:val="hybridMultilevel"/>
    <w:tmpl w:val="FEB0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141917">
    <w:abstractNumId w:val="8"/>
  </w:num>
  <w:num w:numId="2" w16cid:durableId="570774161">
    <w:abstractNumId w:val="7"/>
  </w:num>
  <w:num w:numId="3" w16cid:durableId="225185074">
    <w:abstractNumId w:val="5"/>
  </w:num>
  <w:num w:numId="4" w16cid:durableId="867376249">
    <w:abstractNumId w:val="4"/>
  </w:num>
  <w:num w:numId="5" w16cid:durableId="1576665601">
    <w:abstractNumId w:val="9"/>
  </w:num>
  <w:num w:numId="6" w16cid:durableId="1588155096">
    <w:abstractNumId w:val="2"/>
  </w:num>
  <w:num w:numId="7" w16cid:durableId="734665514">
    <w:abstractNumId w:val="0"/>
  </w:num>
  <w:num w:numId="8" w16cid:durableId="1968974012">
    <w:abstractNumId w:val="6"/>
  </w:num>
  <w:num w:numId="9" w16cid:durableId="1798796778">
    <w:abstractNumId w:val="3"/>
  </w:num>
  <w:num w:numId="10" w16cid:durableId="25060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83"/>
    <w:rsid w:val="000152F4"/>
    <w:rsid w:val="00134492"/>
    <w:rsid w:val="001C4F23"/>
    <w:rsid w:val="001E114B"/>
    <w:rsid w:val="001E1BFE"/>
    <w:rsid w:val="002550DC"/>
    <w:rsid w:val="002C498C"/>
    <w:rsid w:val="002C51CD"/>
    <w:rsid w:val="0037187A"/>
    <w:rsid w:val="003D21EF"/>
    <w:rsid w:val="003F269D"/>
    <w:rsid w:val="00453284"/>
    <w:rsid w:val="004642CB"/>
    <w:rsid w:val="00480688"/>
    <w:rsid w:val="00595A21"/>
    <w:rsid w:val="005A2BEA"/>
    <w:rsid w:val="0069092A"/>
    <w:rsid w:val="006A4EF2"/>
    <w:rsid w:val="006B65C9"/>
    <w:rsid w:val="006D000B"/>
    <w:rsid w:val="006F3F1F"/>
    <w:rsid w:val="0071013B"/>
    <w:rsid w:val="007C726B"/>
    <w:rsid w:val="00837C00"/>
    <w:rsid w:val="008F4DB2"/>
    <w:rsid w:val="00965683"/>
    <w:rsid w:val="00983FE6"/>
    <w:rsid w:val="009B0763"/>
    <w:rsid w:val="009D33ED"/>
    <w:rsid w:val="009D5F7E"/>
    <w:rsid w:val="00A72E97"/>
    <w:rsid w:val="00B72C3E"/>
    <w:rsid w:val="00B73BFE"/>
    <w:rsid w:val="00BE3A04"/>
    <w:rsid w:val="00C826F6"/>
    <w:rsid w:val="00D6086E"/>
    <w:rsid w:val="00DD4632"/>
    <w:rsid w:val="00E6405C"/>
    <w:rsid w:val="00EE356F"/>
    <w:rsid w:val="00F06F81"/>
    <w:rsid w:val="00FD1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8ACB"/>
  <w15:chartTrackingRefBased/>
  <w15:docId w15:val="{2525C32B-F83A-467B-83D4-9B8E42C8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6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56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568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56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56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5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8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568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568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56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56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5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683"/>
    <w:rPr>
      <w:rFonts w:eastAsiaTheme="majorEastAsia" w:cstheme="majorBidi"/>
      <w:color w:val="272727" w:themeColor="text1" w:themeTint="D8"/>
    </w:rPr>
  </w:style>
  <w:style w:type="paragraph" w:styleId="Title">
    <w:name w:val="Title"/>
    <w:basedOn w:val="Normal"/>
    <w:next w:val="Normal"/>
    <w:link w:val="TitleChar"/>
    <w:uiPriority w:val="10"/>
    <w:qFormat/>
    <w:rsid w:val="00965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683"/>
    <w:pPr>
      <w:spacing w:before="160"/>
      <w:jc w:val="center"/>
    </w:pPr>
    <w:rPr>
      <w:i/>
      <w:iCs/>
      <w:color w:val="404040" w:themeColor="text1" w:themeTint="BF"/>
    </w:rPr>
  </w:style>
  <w:style w:type="character" w:customStyle="1" w:styleId="QuoteChar">
    <w:name w:val="Quote Char"/>
    <w:basedOn w:val="DefaultParagraphFont"/>
    <w:link w:val="Quote"/>
    <w:uiPriority w:val="29"/>
    <w:rsid w:val="00965683"/>
    <w:rPr>
      <w:i/>
      <w:iCs/>
      <w:color w:val="404040" w:themeColor="text1" w:themeTint="BF"/>
    </w:rPr>
  </w:style>
  <w:style w:type="paragraph" w:styleId="ListParagraph">
    <w:name w:val="List Paragraph"/>
    <w:basedOn w:val="Normal"/>
    <w:uiPriority w:val="34"/>
    <w:qFormat/>
    <w:rsid w:val="00965683"/>
    <w:pPr>
      <w:ind w:left="720"/>
      <w:contextualSpacing/>
    </w:pPr>
  </w:style>
  <w:style w:type="character" w:styleId="IntenseEmphasis">
    <w:name w:val="Intense Emphasis"/>
    <w:basedOn w:val="DefaultParagraphFont"/>
    <w:uiPriority w:val="21"/>
    <w:qFormat/>
    <w:rsid w:val="00965683"/>
    <w:rPr>
      <w:i/>
      <w:iCs/>
      <w:color w:val="2E74B5" w:themeColor="accent1" w:themeShade="BF"/>
    </w:rPr>
  </w:style>
  <w:style w:type="paragraph" w:styleId="IntenseQuote">
    <w:name w:val="Intense Quote"/>
    <w:basedOn w:val="Normal"/>
    <w:next w:val="Normal"/>
    <w:link w:val="IntenseQuoteChar"/>
    <w:uiPriority w:val="30"/>
    <w:qFormat/>
    <w:rsid w:val="009656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5683"/>
    <w:rPr>
      <w:i/>
      <w:iCs/>
      <w:color w:val="2E74B5" w:themeColor="accent1" w:themeShade="BF"/>
    </w:rPr>
  </w:style>
  <w:style w:type="character" w:styleId="IntenseReference">
    <w:name w:val="Intense Reference"/>
    <w:basedOn w:val="DefaultParagraphFont"/>
    <w:uiPriority w:val="32"/>
    <w:qFormat/>
    <w:rsid w:val="00965683"/>
    <w:rPr>
      <w:b/>
      <w:bCs/>
      <w:smallCaps/>
      <w:color w:val="2E74B5" w:themeColor="accent1" w:themeShade="BF"/>
      <w:spacing w:val="5"/>
    </w:rPr>
  </w:style>
  <w:style w:type="table" w:styleId="TableGrid">
    <w:name w:val="Table Grid"/>
    <w:basedOn w:val="TableNormal"/>
    <w:rsid w:val="00F06F8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F81"/>
    <w:rPr>
      <w:color w:val="0563C1" w:themeColor="hyperlink"/>
      <w:u w:val="single"/>
    </w:rPr>
  </w:style>
  <w:style w:type="character" w:customStyle="1" w:styleId="UnresolvedMention1">
    <w:name w:val="Unresolved Mention1"/>
    <w:basedOn w:val="DefaultParagraphFont"/>
    <w:uiPriority w:val="99"/>
    <w:semiHidden/>
    <w:unhideWhenUsed/>
    <w:rsid w:val="00C826F6"/>
    <w:rPr>
      <w:color w:val="605E5C"/>
      <w:shd w:val="clear" w:color="auto" w:fill="E1DFDD"/>
    </w:rPr>
  </w:style>
  <w:style w:type="character" w:customStyle="1" w:styleId="UnresolvedMention2">
    <w:name w:val="Unresolved Mention2"/>
    <w:basedOn w:val="DefaultParagraphFont"/>
    <w:uiPriority w:val="99"/>
    <w:semiHidden/>
    <w:unhideWhenUsed/>
    <w:rsid w:val="006D000B"/>
    <w:rPr>
      <w:color w:val="605E5C"/>
      <w:shd w:val="clear" w:color="auto" w:fill="E1DFDD"/>
    </w:rPr>
  </w:style>
  <w:style w:type="paragraph" w:styleId="Revision">
    <w:name w:val="Revision"/>
    <w:hidden/>
    <w:uiPriority w:val="99"/>
    <w:semiHidden/>
    <w:rsid w:val="000152F4"/>
    <w:pPr>
      <w:spacing w:after="0" w:line="240" w:lineRule="auto"/>
    </w:pPr>
  </w:style>
  <w:style w:type="character" w:styleId="UnresolvedMention">
    <w:name w:val="Unresolved Mention"/>
    <w:basedOn w:val="DefaultParagraphFont"/>
    <w:uiPriority w:val="99"/>
    <w:semiHidden/>
    <w:unhideWhenUsed/>
    <w:rsid w:val="00A7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ft.nhs.uk/intranet/documents/mental-health-law-supplementary-policy-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ft.nhs.uk/intranet/documents/responsible-clinician-and-nominated-deputy-allocation-policy-20" TargetMode="External"/><Relationship Id="rId5" Type="http://schemas.openxmlformats.org/officeDocument/2006/relationships/hyperlink" Target="https://www.elft.nhs.uk/intranet/documents/non-health-records-policy-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dc:description/>
  <cp:lastModifiedBy>KHATUN, Rashida (EAST LONDON NHS FOUNDATION TRUST)</cp:lastModifiedBy>
  <cp:revision>4</cp:revision>
  <dcterms:created xsi:type="dcterms:W3CDTF">2025-04-24T12:50:00Z</dcterms:created>
  <dcterms:modified xsi:type="dcterms:W3CDTF">2025-04-24T15:22:00Z</dcterms:modified>
</cp:coreProperties>
</file>