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0E9F" w14:textId="77777777" w:rsidR="006F3719" w:rsidRDefault="006F3719" w:rsidP="006F3719">
      <w:pPr>
        <w:jc w:val="center"/>
        <w:rPr>
          <w:sz w:val="40"/>
          <w:szCs w:val="40"/>
        </w:rPr>
      </w:pPr>
    </w:p>
    <w:p w14:paraId="4239E984" w14:textId="68FD18B8" w:rsidR="006F3719" w:rsidRDefault="001F6825" w:rsidP="006F3719">
      <w:pPr>
        <w:jc w:val="center"/>
      </w:pPr>
      <w:r>
        <w:rPr>
          <w:sz w:val="40"/>
          <w:szCs w:val="40"/>
        </w:rPr>
        <w:t>Community Treatment Order Policy</w:t>
      </w:r>
    </w:p>
    <w:p w14:paraId="42C03B41" w14:textId="77777777" w:rsidR="006F3719" w:rsidRDefault="006F3719" w:rsidP="006F3719"/>
    <w:p w14:paraId="63ADFF55"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45E8389A" w14:textId="77777777" w:rsidTr="00C26327">
        <w:trPr>
          <w:trHeight w:val="416"/>
        </w:trPr>
        <w:tc>
          <w:tcPr>
            <w:tcW w:w="4513" w:type="dxa"/>
          </w:tcPr>
          <w:p w14:paraId="25294E1A" w14:textId="6E084C57" w:rsidR="0084474D" w:rsidRDefault="0084474D" w:rsidP="0084474D">
            <w:pPr>
              <w:spacing w:before="40" w:after="40"/>
            </w:pPr>
            <w:r>
              <w:t xml:space="preserve">Version number </w:t>
            </w:r>
          </w:p>
        </w:tc>
        <w:tc>
          <w:tcPr>
            <w:tcW w:w="4487" w:type="dxa"/>
          </w:tcPr>
          <w:p w14:paraId="7EA09CDC" w14:textId="3B6C4A3F" w:rsidR="001F6825" w:rsidRDefault="00FC0463" w:rsidP="001F6825">
            <w:pPr>
              <w:spacing w:before="40" w:after="40"/>
            </w:pPr>
            <w:r>
              <w:t>2.0</w:t>
            </w:r>
          </w:p>
          <w:p w14:paraId="3CA5F657" w14:textId="6D7C6FA2" w:rsidR="0084474D" w:rsidRDefault="0084474D" w:rsidP="001F6825">
            <w:pPr>
              <w:spacing w:before="40" w:after="40"/>
            </w:pPr>
          </w:p>
        </w:tc>
      </w:tr>
      <w:tr w:rsidR="0084474D" w14:paraId="6AA09AF9" w14:textId="77777777" w:rsidTr="0084474D">
        <w:tc>
          <w:tcPr>
            <w:tcW w:w="4513" w:type="dxa"/>
          </w:tcPr>
          <w:p w14:paraId="78D05358" w14:textId="77777777" w:rsidR="0084474D" w:rsidRDefault="0084474D" w:rsidP="0084474D">
            <w:pPr>
              <w:spacing w:before="40" w:after="40"/>
            </w:pPr>
            <w:r>
              <w:t xml:space="preserve">Consultation Groups </w:t>
            </w:r>
          </w:p>
        </w:tc>
        <w:tc>
          <w:tcPr>
            <w:tcW w:w="4487" w:type="dxa"/>
          </w:tcPr>
          <w:p w14:paraId="5D5129CC" w14:textId="77777777" w:rsidR="00CE29EA" w:rsidRDefault="00CE29EA" w:rsidP="001F6825">
            <w:pPr>
              <w:spacing w:before="40" w:after="40"/>
            </w:pPr>
            <w:r>
              <w:t>Mental Health</w:t>
            </w:r>
            <w:r w:rsidR="000B2AC8" w:rsidRPr="000B2AC8">
              <w:t xml:space="preserve"> Directorate M</w:t>
            </w:r>
            <w:r>
              <w:t xml:space="preserve">anagement </w:t>
            </w:r>
            <w:r w:rsidR="000B2AC8" w:rsidRPr="000B2AC8">
              <w:t>T</w:t>
            </w:r>
            <w:r>
              <w:t>eam meetings</w:t>
            </w:r>
          </w:p>
          <w:p w14:paraId="5C70644A" w14:textId="77777777" w:rsidR="00CE29EA" w:rsidRDefault="000B2AC8" w:rsidP="001F6825">
            <w:pPr>
              <w:spacing w:before="40" w:after="40"/>
            </w:pPr>
            <w:r w:rsidRPr="000B2AC8">
              <w:t>Medical Managers</w:t>
            </w:r>
          </w:p>
          <w:p w14:paraId="6B1A4A48" w14:textId="64CDF4A5" w:rsidR="001F6825" w:rsidRDefault="000B2AC8" w:rsidP="001F6825">
            <w:pPr>
              <w:spacing w:before="40" w:after="40"/>
            </w:pPr>
            <w:r>
              <w:t>AMHP Leads</w:t>
            </w:r>
          </w:p>
        </w:tc>
      </w:tr>
      <w:tr w:rsidR="0084474D" w14:paraId="42EA343F" w14:textId="77777777" w:rsidTr="0084474D">
        <w:tc>
          <w:tcPr>
            <w:tcW w:w="4513" w:type="dxa"/>
          </w:tcPr>
          <w:p w14:paraId="2E66352C" w14:textId="77777777" w:rsidR="0084474D" w:rsidRDefault="0084474D" w:rsidP="0084474D">
            <w:pPr>
              <w:spacing w:before="40" w:after="40"/>
            </w:pPr>
            <w:r>
              <w:t>Approved by (Sponsor Group)</w:t>
            </w:r>
          </w:p>
        </w:tc>
        <w:tc>
          <w:tcPr>
            <w:tcW w:w="4487" w:type="dxa"/>
          </w:tcPr>
          <w:p w14:paraId="2212B659" w14:textId="663F9D59" w:rsidR="0084474D" w:rsidRDefault="00FC0463" w:rsidP="0084474D">
            <w:pPr>
              <w:spacing w:before="40" w:after="40"/>
            </w:pPr>
            <w:r>
              <w:t xml:space="preserve">Mental Health Law </w:t>
            </w:r>
            <w:r w:rsidR="00CE29EA">
              <w:t xml:space="preserve">Monitoring </w:t>
            </w:r>
            <w:r>
              <w:t>Group</w:t>
            </w:r>
          </w:p>
        </w:tc>
      </w:tr>
      <w:tr w:rsidR="00B575AD" w14:paraId="54C60E61" w14:textId="77777777" w:rsidTr="0084474D">
        <w:tc>
          <w:tcPr>
            <w:tcW w:w="4513" w:type="dxa"/>
          </w:tcPr>
          <w:p w14:paraId="6230DCA4" w14:textId="1437607E" w:rsidR="00B575AD" w:rsidRDefault="00B575AD" w:rsidP="0084474D">
            <w:pPr>
              <w:spacing w:before="40" w:after="40"/>
            </w:pPr>
            <w:r>
              <w:t>Date approved</w:t>
            </w:r>
          </w:p>
        </w:tc>
        <w:tc>
          <w:tcPr>
            <w:tcW w:w="4487" w:type="dxa"/>
          </w:tcPr>
          <w:p w14:paraId="078D5A18" w14:textId="346B4AF7" w:rsidR="00B575AD" w:rsidRPr="001F6825" w:rsidRDefault="000B2AC8" w:rsidP="0084474D">
            <w:pPr>
              <w:spacing w:before="40" w:after="40"/>
              <w:rPr>
                <w:color w:val="FF0000"/>
              </w:rPr>
            </w:pPr>
            <w:r w:rsidRPr="007E2223">
              <w:rPr>
                <w:color w:val="000000" w:themeColor="text1"/>
              </w:rPr>
              <w:t>19/05/2025</w:t>
            </w:r>
          </w:p>
        </w:tc>
      </w:tr>
      <w:tr w:rsidR="0084474D" w14:paraId="3AF2BC4E" w14:textId="77777777" w:rsidTr="0084474D">
        <w:tc>
          <w:tcPr>
            <w:tcW w:w="4513" w:type="dxa"/>
          </w:tcPr>
          <w:p w14:paraId="2DE32C68" w14:textId="77777777" w:rsidR="0084474D" w:rsidRDefault="0084474D" w:rsidP="0084474D">
            <w:pPr>
              <w:spacing w:before="40" w:after="40"/>
            </w:pPr>
            <w:r>
              <w:t>Ratified by:</w:t>
            </w:r>
          </w:p>
        </w:tc>
        <w:tc>
          <w:tcPr>
            <w:tcW w:w="4487" w:type="dxa"/>
          </w:tcPr>
          <w:p w14:paraId="7F2B4B3F" w14:textId="1327B54F" w:rsidR="0084474D" w:rsidRDefault="00FC0463" w:rsidP="0084474D">
            <w:pPr>
              <w:spacing w:before="40" w:after="40"/>
            </w:pPr>
            <w:r>
              <w:t>Quality Committee</w:t>
            </w:r>
          </w:p>
        </w:tc>
      </w:tr>
      <w:tr w:rsidR="0084474D" w14:paraId="439588E2" w14:textId="77777777" w:rsidTr="0084474D">
        <w:tc>
          <w:tcPr>
            <w:tcW w:w="4513" w:type="dxa"/>
          </w:tcPr>
          <w:p w14:paraId="0D2EBF1A" w14:textId="77777777" w:rsidR="0084474D" w:rsidRDefault="0084474D" w:rsidP="0084474D">
            <w:pPr>
              <w:spacing w:before="40" w:after="40"/>
            </w:pPr>
            <w:r>
              <w:t>Date ratified:</w:t>
            </w:r>
          </w:p>
        </w:tc>
        <w:tc>
          <w:tcPr>
            <w:tcW w:w="4487" w:type="dxa"/>
          </w:tcPr>
          <w:p w14:paraId="5565F5DA" w14:textId="7995E07E" w:rsidR="0084474D" w:rsidRDefault="00C26327" w:rsidP="0084474D">
            <w:pPr>
              <w:spacing w:before="40" w:after="40"/>
            </w:pPr>
            <w:r>
              <w:t>23</w:t>
            </w:r>
            <w:r w:rsidRPr="00C26327">
              <w:rPr>
                <w:vertAlign w:val="superscript"/>
              </w:rPr>
              <w:t>rd</w:t>
            </w:r>
            <w:r>
              <w:t xml:space="preserve"> July 2025</w:t>
            </w:r>
          </w:p>
        </w:tc>
      </w:tr>
      <w:tr w:rsidR="0084474D" w14:paraId="5B8EC97B" w14:textId="77777777" w:rsidTr="0084474D">
        <w:tc>
          <w:tcPr>
            <w:tcW w:w="4513" w:type="dxa"/>
          </w:tcPr>
          <w:p w14:paraId="5AB11407" w14:textId="4F659253" w:rsidR="0084474D" w:rsidRDefault="0084474D" w:rsidP="0084474D">
            <w:pPr>
              <w:spacing w:before="40" w:after="40"/>
            </w:pPr>
            <w:r>
              <w:t>Name of originator/author</w:t>
            </w:r>
          </w:p>
        </w:tc>
        <w:tc>
          <w:tcPr>
            <w:tcW w:w="4487" w:type="dxa"/>
          </w:tcPr>
          <w:p w14:paraId="565A26C9" w14:textId="3EA60BE3" w:rsidR="0084474D" w:rsidRDefault="001F6825" w:rsidP="001F6825">
            <w:pPr>
              <w:spacing w:before="40" w:after="40"/>
            </w:pPr>
            <w:r>
              <w:t>Mental Health Law Manager (MHA)</w:t>
            </w:r>
          </w:p>
        </w:tc>
      </w:tr>
      <w:tr w:rsidR="0084474D" w14:paraId="5615F4FE" w14:textId="77777777" w:rsidTr="0084474D">
        <w:tc>
          <w:tcPr>
            <w:tcW w:w="4513" w:type="dxa"/>
          </w:tcPr>
          <w:p w14:paraId="0FD45312" w14:textId="06AB6993" w:rsidR="0084474D" w:rsidRDefault="0084474D" w:rsidP="0084474D">
            <w:pPr>
              <w:spacing w:before="40" w:after="40"/>
            </w:pPr>
            <w:r>
              <w:t xml:space="preserve">Executive Director lead </w:t>
            </w:r>
          </w:p>
        </w:tc>
        <w:tc>
          <w:tcPr>
            <w:tcW w:w="4487" w:type="dxa"/>
          </w:tcPr>
          <w:p w14:paraId="5F8395C8" w14:textId="0322E8B2" w:rsidR="0084474D" w:rsidRDefault="001F6825" w:rsidP="0084474D">
            <w:pPr>
              <w:spacing w:before="40" w:after="40"/>
            </w:pPr>
            <w:r w:rsidRPr="001F6825">
              <w:t>Chief Medical Officer</w:t>
            </w:r>
          </w:p>
        </w:tc>
      </w:tr>
      <w:tr w:rsidR="0084474D" w14:paraId="12797924" w14:textId="77777777" w:rsidTr="0084474D">
        <w:tc>
          <w:tcPr>
            <w:tcW w:w="4513" w:type="dxa"/>
          </w:tcPr>
          <w:p w14:paraId="23649E39" w14:textId="78FDE3B2" w:rsidR="0084474D" w:rsidRDefault="0084474D" w:rsidP="0084474D">
            <w:pPr>
              <w:spacing w:before="40" w:after="40"/>
            </w:pPr>
            <w:r>
              <w:t xml:space="preserve">Implementation Date </w:t>
            </w:r>
          </w:p>
        </w:tc>
        <w:tc>
          <w:tcPr>
            <w:tcW w:w="4487" w:type="dxa"/>
          </w:tcPr>
          <w:p w14:paraId="6616C466" w14:textId="5B810391" w:rsidR="0084474D" w:rsidRDefault="00CE29EA" w:rsidP="0084474D">
            <w:pPr>
              <w:spacing w:before="40" w:after="40"/>
            </w:pPr>
            <w:r w:rsidRPr="00CE29EA">
              <w:t>August</w:t>
            </w:r>
            <w:r w:rsidR="007E2223" w:rsidRPr="00CE29EA">
              <w:t xml:space="preserve"> 2025</w:t>
            </w:r>
          </w:p>
        </w:tc>
      </w:tr>
      <w:tr w:rsidR="0084474D" w14:paraId="3C6902BD" w14:textId="77777777" w:rsidTr="0084474D">
        <w:tc>
          <w:tcPr>
            <w:tcW w:w="4513" w:type="dxa"/>
          </w:tcPr>
          <w:p w14:paraId="592905C3" w14:textId="77777777" w:rsidR="0084474D" w:rsidRDefault="0084474D" w:rsidP="0084474D">
            <w:pPr>
              <w:spacing w:before="40" w:after="40"/>
            </w:pPr>
            <w:r>
              <w:t xml:space="preserve">Last Review Date </w:t>
            </w:r>
          </w:p>
        </w:tc>
        <w:tc>
          <w:tcPr>
            <w:tcW w:w="4487" w:type="dxa"/>
          </w:tcPr>
          <w:p w14:paraId="15CEDFB6" w14:textId="34D466A4" w:rsidR="0084474D" w:rsidRDefault="001F6825" w:rsidP="0084474D">
            <w:pPr>
              <w:spacing w:before="40" w:after="40"/>
            </w:pPr>
            <w:r>
              <w:t>March 2025</w:t>
            </w:r>
          </w:p>
        </w:tc>
      </w:tr>
      <w:tr w:rsidR="0084474D" w14:paraId="694A9B32" w14:textId="77777777" w:rsidTr="0084474D">
        <w:tc>
          <w:tcPr>
            <w:tcW w:w="4513" w:type="dxa"/>
          </w:tcPr>
          <w:p w14:paraId="239ADA4A" w14:textId="77777777" w:rsidR="0084474D" w:rsidRDefault="0084474D" w:rsidP="0084474D">
            <w:pPr>
              <w:spacing w:before="40" w:after="40"/>
            </w:pPr>
            <w:r>
              <w:t>Next Review date:</w:t>
            </w:r>
          </w:p>
        </w:tc>
        <w:tc>
          <w:tcPr>
            <w:tcW w:w="4487" w:type="dxa"/>
          </w:tcPr>
          <w:p w14:paraId="06B50341" w14:textId="07485967" w:rsidR="0084474D" w:rsidRDefault="003E3A1A" w:rsidP="0084474D">
            <w:pPr>
              <w:spacing w:before="40" w:after="40"/>
            </w:pPr>
            <w:r>
              <w:t xml:space="preserve">March </w:t>
            </w:r>
            <w:r w:rsidR="001F6825">
              <w:t>2028</w:t>
            </w:r>
          </w:p>
        </w:tc>
      </w:tr>
    </w:tbl>
    <w:p w14:paraId="6E30AB0C" w14:textId="77777777" w:rsidR="006F3719" w:rsidRDefault="006F3719" w:rsidP="006F3719"/>
    <w:p w14:paraId="5C1EDC0D"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07CB7B72" w14:textId="77777777" w:rsidTr="002408E9">
        <w:tc>
          <w:tcPr>
            <w:tcW w:w="4621" w:type="dxa"/>
          </w:tcPr>
          <w:p w14:paraId="26ECBFC2" w14:textId="77777777" w:rsidR="002408E9" w:rsidRDefault="0084474D" w:rsidP="006F3719">
            <w:r>
              <w:t xml:space="preserve">Services </w:t>
            </w:r>
          </w:p>
        </w:tc>
        <w:tc>
          <w:tcPr>
            <w:tcW w:w="4621" w:type="dxa"/>
          </w:tcPr>
          <w:p w14:paraId="63853191" w14:textId="77777777" w:rsidR="002408E9" w:rsidRDefault="0084474D" w:rsidP="006F3719">
            <w:r>
              <w:t xml:space="preserve">Applicable </w:t>
            </w:r>
          </w:p>
        </w:tc>
      </w:tr>
      <w:tr w:rsidR="002408E9" w14:paraId="6645A955" w14:textId="77777777" w:rsidTr="002408E9">
        <w:tc>
          <w:tcPr>
            <w:tcW w:w="4621" w:type="dxa"/>
          </w:tcPr>
          <w:p w14:paraId="244B69E1" w14:textId="77777777" w:rsidR="002408E9" w:rsidRDefault="00936923" w:rsidP="006F3719">
            <w:r>
              <w:t>Trust wide</w:t>
            </w:r>
          </w:p>
        </w:tc>
        <w:tc>
          <w:tcPr>
            <w:tcW w:w="4621" w:type="dxa"/>
          </w:tcPr>
          <w:p w14:paraId="7C29AFAE" w14:textId="525C98DB" w:rsidR="002408E9" w:rsidRDefault="002408E9" w:rsidP="006F3719"/>
        </w:tc>
      </w:tr>
      <w:tr w:rsidR="002408E9" w14:paraId="3E17575C" w14:textId="77777777" w:rsidTr="002408E9">
        <w:tc>
          <w:tcPr>
            <w:tcW w:w="4621" w:type="dxa"/>
          </w:tcPr>
          <w:p w14:paraId="197E1D4A" w14:textId="77777777" w:rsidR="002408E9" w:rsidRDefault="0084474D" w:rsidP="006F3719">
            <w:r>
              <w:t xml:space="preserve">Mental Health and LD </w:t>
            </w:r>
          </w:p>
        </w:tc>
        <w:tc>
          <w:tcPr>
            <w:tcW w:w="4621" w:type="dxa"/>
          </w:tcPr>
          <w:p w14:paraId="16365995" w14:textId="50EF60AF" w:rsidR="002408E9" w:rsidRDefault="00FC0463" w:rsidP="006F3719">
            <w:r>
              <w:t>x</w:t>
            </w:r>
          </w:p>
        </w:tc>
      </w:tr>
      <w:tr w:rsidR="002408E9" w14:paraId="7DDE346E" w14:textId="77777777" w:rsidTr="002408E9">
        <w:tc>
          <w:tcPr>
            <w:tcW w:w="4621" w:type="dxa"/>
          </w:tcPr>
          <w:p w14:paraId="207F4109" w14:textId="77777777" w:rsidR="002408E9" w:rsidRDefault="0084474D" w:rsidP="0084474D">
            <w:r>
              <w:t xml:space="preserve">Community Health Services </w:t>
            </w:r>
          </w:p>
        </w:tc>
        <w:tc>
          <w:tcPr>
            <w:tcW w:w="4621" w:type="dxa"/>
          </w:tcPr>
          <w:p w14:paraId="4CEEBD3A" w14:textId="77777777" w:rsidR="002408E9" w:rsidRDefault="002408E9" w:rsidP="006F3719"/>
        </w:tc>
      </w:tr>
      <w:tr w:rsidR="00FC0463" w14:paraId="5D1023A5" w14:textId="77777777" w:rsidTr="002408E9">
        <w:tc>
          <w:tcPr>
            <w:tcW w:w="4621" w:type="dxa"/>
          </w:tcPr>
          <w:p w14:paraId="26EF51C2" w14:textId="16A604A3" w:rsidR="00FC0463" w:rsidRDefault="00FC0463" w:rsidP="0084474D">
            <w:r>
              <w:t>Primary Care</w:t>
            </w:r>
          </w:p>
        </w:tc>
        <w:tc>
          <w:tcPr>
            <w:tcW w:w="4621" w:type="dxa"/>
          </w:tcPr>
          <w:p w14:paraId="462037F9" w14:textId="77777777" w:rsidR="00FC0463" w:rsidRDefault="00FC0463" w:rsidP="006F3719"/>
        </w:tc>
      </w:tr>
    </w:tbl>
    <w:p w14:paraId="508E6269" w14:textId="77777777" w:rsidR="006F3719" w:rsidRDefault="006F3719" w:rsidP="006F3719">
      <w:pPr>
        <w:sectPr w:rsidR="006F3719" w:rsidSect="00471898">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01623921"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30365871" w14:textId="77777777"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76"/>
        <w:gridCol w:w="1476"/>
        <w:gridCol w:w="935"/>
        <w:gridCol w:w="3492"/>
      </w:tblGrid>
      <w:tr w:rsidR="006F3719" w:rsidRPr="00C84CA8" w14:paraId="5E6FA8FC" w14:textId="77777777" w:rsidTr="001F6825">
        <w:tc>
          <w:tcPr>
            <w:tcW w:w="1117" w:type="dxa"/>
          </w:tcPr>
          <w:p w14:paraId="2FEBBC66" w14:textId="77777777" w:rsidR="006F3719" w:rsidRPr="00C84CA8" w:rsidRDefault="006F3719" w:rsidP="00471898">
            <w:pPr>
              <w:rPr>
                <w:b/>
              </w:rPr>
            </w:pPr>
            <w:r w:rsidRPr="00C84CA8">
              <w:rPr>
                <w:b/>
              </w:rPr>
              <w:t>Version</w:t>
            </w:r>
          </w:p>
        </w:tc>
        <w:tc>
          <w:tcPr>
            <w:tcW w:w="1276" w:type="dxa"/>
          </w:tcPr>
          <w:p w14:paraId="01A74FC4" w14:textId="77777777" w:rsidR="006F3719" w:rsidRPr="00C84CA8" w:rsidRDefault="006F3719" w:rsidP="00471898">
            <w:pPr>
              <w:rPr>
                <w:b/>
              </w:rPr>
            </w:pPr>
            <w:r w:rsidRPr="00C84CA8">
              <w:rPr>
                <w:b/>
              </w:rPr>
              <w:t>Date</w:t>
            </w:r>
          </w:p>
        </w:tc>
        <w:tc>
          <w:tcPr>
            <w:tcW w:w="1476" w:type="dxa"/>
          </w:tcPr>
          <w:p w14:paraId="0AABBE9A" w14:textId="77777777" w:rsidR="006F3719" w:rsidRPr="00C84CA8" w:rsidRDefault="006F3719" w:rsidP="00471898">
            <w:pPr>
              <w:rPr>
                <w:b/>
              </w:rPr>
            </w:pPr>
            <w:r w:rsidRPr="00C84CA8">
              <w:rPr>
                <w:b/>
              </w:rPr>
              <w:t>Author</w:t>
            </w:r>
          </w:p>
        </w:tc>
        <w:tc>
          <w:tcPr>
            <w:tcW w:w="935" w:type="dxa"/>
          </w:tcPr>
          <w:p w14:paraId="79BBD21A" w14:textId="77777777" w:rsidR="006F3719" w:rsidRPr="00C84CA8" w:rsidRDefault="006F3719" w:rsidP="00471898">
            <w:pPr>
              <w:rPr>
                <w:b/>
              </w:rPr>
            </w:pPr>
            <w:r w:rsidRPr="00C84CA8">
              <w:rPr>
                <w:b/>
              </w:rPr>
              <w:t>Status</w:t>
            </w:r>
          </w:p>
        </w:tc>
        <w:tc>
          <w:tcPr>
            <w:tcW w:w="3492" w:type="dxa"/>
          </w:tcPr>
          <w:p w14:paraId="35782D53" w14:textId="77777777" w:rsidR="006F3719" w:rsidRPr="00C84CA8" w:rsidRDefault="006F3719" w:rsidP="00471898">
            <w:pPr>
              <w:rPr>
                <w:b/>
              </w:rPr>
            </w:pPr>
            <w:r w:rsidRPr="00C84CA8">
              <w:rPr>
                <w:b/>
              </w:rPr>
              <w:t>Comment</w:t>
            </w:r>
          </w:p>
        </w:tc>
      </w:tr>
      <w:tr w:rsidR="001F6825" w14:paraId="172D1981" w14:textId="77777777" w:rsidTr="001F6825">
        <w:tc>
          <w:tcPr>
            <w:tcW w:w="1117" w:type="dxa"/>
          </w:tcPr>
          <w:p w14:paraId="7CB2B199" w14:textId="6C87128C" w:rsidR="001F6825" w:rsidRDefault="001F6825" w:rsidP="001F6825">
            <w:r w:rsidRPr="00B83C87">
              <w:rPr>
                <w:rFonts w:cs="Arial"/>
              </w:rPr>
              <w:t>1.3</w:t>
            </w:r>
          </w:p>
        </w:tc>
        <w:tc>
          <w:tcPr>
            <w:tcW w:w="1276" w:type="dxa"/>
          </w:tcPr>
          <w:p w14:paraId="6E54238E" w14:textId="14DF7003" w:rsidR="001F6825" w:rsidRDefault="001F6825" w:rsidP="001F6825">
            <w:r w:rsidRPr="00B83C87">
              <w:rPr>
                <w:rFonts w:cs="Arial"/>
              </w:rPr>
              <w:t>20</w:t>
            </w:r>
            <w:r w:rsidRPr="00B83C87">
              <w:rPr>
                <w:rFonts w:cs="Arial"/>
                <w:vertAlign w:val="superscript"/>
              </w:rPr>
              <w:t>th</w:t>
            </w:r>
            <w:r w:rsidRPr="00B83C87">
              <w:rPr>
                <w:rFonts w:cs="Arial"/>
              </w:rPr>
              <w:t xml:space="preserve"> January 2016</w:t>
            </w:r>
          </w:p>
        </w:tc>
        <w:tc>
          <w:tcPr>
            <w:tcW w:w="1476" w:type="dxa"/>
          </w:tcPr>
          <w:p w14:paraId="2CE4EADC" w14:textId="5AD8CCF9" w:rsidR="001F6825" w:rsidRDefault="001F6825" w:rsidP="001F6825">
            <w:r w:rsidRPr="00B83C87">
              <w:rPr>
                <w:rFonts w:cs="Arial"/>
              </w:rPr>
              <w:t>Johanna Turner</w:t>
            </w:r>
          </w:p>
        </w:tc>
        <w:tc>
          <w:tcPr>
            <w:tcW w:w="935" w:type="dxa"/>
          </w:tcPr>
          <w:p w14:paraId="6512BF87" w14:textId="4A3C5AE7" w:rsidR="001F6825" w:rsidRDefault="001F6825" w:rsidP="001F6825">
            <w:r w:rsidRPr="00B83C87">
              <w:rPr>
                <w:rFonts w:cs="Arial"/>
              </w:rPr>
              <w:t>Final</w:t>
            </w:r>
          </w:p>
        </w:tc>
        <w:tc>
          <w:tcPr>
            <w:tcW w:w="3492" w:type="dxa"/>
          </w:tcPr>
          <w:p w14:paraId="1B4A946F" w14:textId="08781FB8" w:rsidR="001F6825" w:rsidRDefault="001F6825" w:rsidP="001F6825">
            <w:r w:rsidRPr="00B83C87">
              <w:rPr>
                <w:rFonts w:cs="Arial"/>
              </w:rPr>
              <w:t>Updated following changes to MHA Code of Practice</w:t>
            </w:r>
          </w:p>
        </w:tc>
      </w:tr>
      <w:tr w:rsidR="001F6825" w14:paraId="3FD7527B" w14:textId="77777777" w:rsidTr="001F6825">
        <w:tc>
          <w:tcPr>
            <w:tcW w:w="1117" w:type="dxa"/>
          </w:tcPr>
          <w:p w14:paraId="67F2CF9B" w14:textId="03659A7B" w:rsidR="001F6825" w:rsidRDefault="001F6825" w:rsidP="001F6825">
            <w:r w:rsidRPr="00B83C87">
              <w:rPr>
                <w:rFonts w:cs="Arial"/>
              </w:rPr>
              <w:t>1.4</w:t>
            </w:r>
          </w:p>
        </w:tc>
        <w:tc>
          <w:tcPr>
            <w:tcW w:w="1276" w:type="dxa"/>
          </w:tcPr>
          <w:p w14:paraId="69135E73" w14:textId="6BE422D8" w:rsidR="001F6825" w:rsidRDefault="001F6825" w:rsidP="001F6825">
            <w:r w:rsidRPr="00B83C87">
              <w:rPr>
                <w:rFonts w:cs="Arial"/>
              </w:rPr>
              <w:t>February 2021</w:t>
            </w:r>
          </w:p>
        </w:tc>
        <w:tc>
          <w:tcPr>
            <w:tcW w:w="1476" w:type="dxa"/>
          </w:tcPr>
          <w:p w14:paraId="271B4642" w14:textId="2A19A138" w:rsidR="001F6825" w:rsidRDefault="001F6825" w:rsidP="001F6825">
            <w:r w:rsidRPr="00B83C87">
              <w:rPr>
                <w:rFonts w:cs="Arial"/>
              </w:rPr>
              <w:t>Sazi Banda/David Markovitch</w:t>
            </w:r>
          </w:p>
        </w:tc>
        <w:tc>
          <w:tcPr>
            <w:tcW w:w="935" w:type="dxa"/>
          </w:tcPr>
          <w:p w14:paraId="5C631BB4" w14:textId="344AB8C9" w:rsidR="001F6825" w:rsidRDefault="001F6825" w:rsidP="001F6825">
            <w:r>
              <w:rPr>
                <w:rFonts w:cs="Arial"/>
              </w:rPr>
              <w:t>Final</w:t>
            </w:r>
          </w:p>
        </w:tc>
        <w:tc>
          <w:tcPr>
            <w:tcW w:w="3492" w:type="dxa"/>
          </w:tcPr>
          <w:p w14:paraId="319FCFE3" w14:textId="77777777" w:rsidR="001F6825" w:rsidRPr="00B83C87" w:rsidRDefault="001F6825" w:rsidP="001F6825">
            <w:pPr>
              <w:rPr>
                <w:rFonts w:cs="Arial"/>
              </w:rPr>
            </w:pPr>
            <w:r w:rsidRPr="00B83C87">
              <w:rPr>
                <w:rFonts w:cs="Arial"/>
              </w:rPr>
              <w:t>Updated in line with Review Date and current Devon Partnership NHS Trust v SSHC [2021] High Court Judgement – 9.1</w:t>
            </w:r>
          </w:p>
          <w:p w14:paraId="5AF6FB46" w14:textId="77777777" w:rsidR="001F6825" w:rsidRPr="00B83C87" w:rsidRDefault="001F6825" w:rsidP="001F6825">
            <w:pPr>
              <w:rPr>
                <w:rFonts w:cs="Arial"/>
              </w:rPr>
            </w:pPr>
            <w:r w:rsidRPr="00B83C87">
              <w:rPr>
                <w:rFonts w:cs="Arial"/>
              </w:rPr>
              <w:t>3.8 Once the CTO is completed, the statutory forms must be sent to the local Mental Health Law office via email. The forms can now be submitted by electronic means due to the changes in MHA Regulations.</w:t>
            </w:r>
          </w:p>
          <w:p w14:paraId="50129507" w14:textId="77777777" w:rsidR="001F6825" w:rsidRPr="00B83C87" w:rsidRDefault="001F6825" w:rsidP="001F6825">
            <w:pPr>
              <w:rPr>
                <w:rFonts w:cs="Arial"/>
              </w:rPr>
            </w:pPr>
            <w:r w:rsidRPr="00B83C87">
              <w:rPr>
                <w:rFonts w:cs="Arial"/>
              </w:rPr>
              <w:t xml:space="preserve">7.4 CTO recall </w:t>
            </w:r>
            <w:r w:rsidRPr="00B83C87">
              <w:rPr>
                <w:rFonts w:cs="Arial"/>
                <w:b/>
                <w:u w:val="single"/>
              </w:rPr>
              <w:t xml:space="preserve">cannot </w:t>
            </w:r>
            <w:r w:rsidRPr="00B83C87">
              <w:rPr>
                <w:rFonts w:cs="Arial"/>
              </w:rPr>
              <w:t>be furnished by electronic means to the service user with the changes to MHA Regulations</w:t>
            </w:r>
          </w:p>
          <w:p w14:paraId="612ABE67" w14:textId="73EC1D42" w:rsidR="001F6825" w:rsidRDefault="001F6825" w:rsidP="001F6825">
            <w:r w:rsidRPr="00B83C87">
              <w:rPr>
                <w:rFonts w:cs="Arial"/>
              </w:rPr>
              <w:t>10.3 Nearest Relative request for discharge of Part II CTO service user can be made by email</w:t>
            </w:r>
            <w:r>
              <w:rPr>
                <w:rFonts w:cs="Arial"/>
              </w:rPr>
              <w:t>.</w:t>
            </w:r>
          </w:p>
        </w:tc>
      </w:tr>
      <w:tr w:rsidR="001F6825" w14:paraId="6508F290" w14:textId="77777777" w:rsidTr="001F6825">
        <w:tc>
          <w:tcPr>
            <w:tcW w:w="1117" w:type="dxa"/>
          </w:tcPr>
          <w:p w14:paraId="259F0454" w14:textId="442B6683" w:rsidR="001F6825" w:rsidRDefault="001F6825" w:rsidP="001F6825">
            <w:r>
              <w:rPr>
                <w:rFonts w:cs="Arial"/>
              </w:rPr>
              <w:t>1.5</w:t>
            </w:r>
          </w:p>
        </w:tc>
        <w:tc>
          <w:tcPr>
            <w:tcW w:w="1276" w:type="dxa"/>
          </w:tcPr>
          <w:p w14:paraId="6075C123" w14:textId="50087B0B" w:rsidR="001F6825" w:rsidRDefault="001F6825" w:rsidP="001F6825">
            <w:r>
              <w:rPr>
                <w:rFonts w:cs="Arial"/>
              </w:rPr>
              <w:t>21</w:t>
            </w:r>
            <w:r w:rsidRPr="00B153EF">
              <w:rPr>
                <w:rFonts w:cs="Arial"/>
                <w:vertAlign w:val="superscript"/>
              </w:rPr>
              <w:t>st</w:t>
            </w:r>
            <w:r>
              <w:rPr>
                <w:rFonts w:cs="Arial"/>
              </w:rPr>
              <w:t xml:space="preserve"> March 2022</w:t>
            </w:r>
          </w:p>
        </w:tc>
        <w:tc>
          <w:tcPr>
            <w:tcW w:w="1476" w:type="dxa"/>
          </w:tcPr>
          <w:p w14:paraId="207F4584" w14:textId="70652B76" w:rsidR="001F6825" w:rsidRDefault="001F6825" w:rsidP="001F6825">
            <w:r>
              <w:rPr>
                <w:rFonts w:cs="Arial"/>
              </w:rPr>
              <w:t>Guy Davis</w:t>
            </w:r>
          </w:p>
        </w:tc>
        <w:tc>
          <w:tcPr>
            <w:tcW w:w="935" w:type="dxa"/>
          </w:tcPr>
          <w:p w14:paraId="4D9A9EB6" w14:textId="74413F3B" w:rsidR="001F6825" w:rsidRDefault="001F6825" w:rsidP="001F6825">
            <w:r>
              <w:rPr>
                <w:rFonts w:cs="Arial"/>
              </w:rPr>
              <w:t>Final</w:t>
            </w:r>
          </w:p>
        </w:tc>
        <w:tc>
          <w:tcPr>
            <w:tcW w:w="3492" w:type="dxa"/>
          </w:tcPr>
          <w:p w14:paraId="3FC78A14" w14:textId="0623B3E5" w:rsidR="001F6825" w:rsidRDefault="001F6825" w:rsidP="001F6825">
            <w:r>
              <w:rPr>
                <w:rFonts w:cs="Arial"/>
              </w:rPr>
              <w:t>References to sending documents via electronic means, added throughout.</w:t>
            </w:r>
          </w:p>
        </w:tc>
      </w:tr>
      <w:tr w:rsidR="001F6825" w14:paraId="2895AF14" w14:textId="77777777" w:rsidTr="001F6825">
        <w:tc>
          <w:tcPr>
            <w:tcW w:w="1117" w:type="dxa"/>
          </w:tcPr>
          <w:p w14:paraId="347E79F8" w14:textId="7D9ED933" w:rsidR="001F6825" w:rsidRDefault="004C0B99" w:rsidP="001F6825">
            <w:r>
              <w:t>2.0</w:t>
            </w:r>
          </w:p>
        </w:tc>
        <w:tc>
          <w:tcPr>
            <w:tcW w:w="1276" w:type="dxa"/>
          </w:tcPr>
          <w:p w14:paraId="7319FF13" w14:textId="61E540A3" w:rsidR="001F6825" w:rsidRDefault="005A09C3" w:rsidP="001F6825">
            <w:r>
              <w:t>15</w:t>
            </w:r>
            <w:r w:rsidRPr="005A09C3">
              <w:rPr>
                <w:vertAlign w:val="superscript"/>
              </w:rPr>
              <w:t>th</w:t>
            </w:r>
            <w:r>
              <w:t xml:space="preserve"> April, 2025</w:t>
            </w:r>
          </w:p>
        </w:tc>
        <w:tc>
          <w:tcPr>
            <w:tcW w:w="1476" w:type="dxa"/>
          </w:tcPr>
          <w:p w14:paraId="475B6FE4" w14:textId="324938DD" w:rsidR="001F6825" w:rsidRDefault="005A09C3" w:rsidP="001F6825">
            <w:r>
              <w:t>David Markovitch</w:t>
            </w:r>
          </w:p>
        </w:tc>
        <w:tc>
          <w:tcPr>
            <w:tcW w:w="935" w:type="dxa"/>
          </w:tcPr>
          <w:p w14:paraId="19E05E90" w14:textId="3339B81F" w:rsidR="001F6825" w:rsidRDefault="00FC0463" w:rsidP="001F6825">
            <w:r>
              <w:t>Final</w:t>
            </w:r>
          </w:p>
        </w:tc>
        <w:tc>
          <w:tcPr>
            <w:tcW w:w="3492" w:type="dxa"/>
          </w:tcPr>
          <w:p w14:paraId="4F9880E5" w14:textId="5A483F20" w:rsidR="005A09C3" w:rsidRDefault="005A09C3" w:rsidP="001F6825">
            <w:r>
              <w:t>Contents rejigged for flow</w:t>
            </w:r>
          </w:p>
        </w:tc>
      </w:tr>
      <w:bookmarkEnd w:id="0"/>
      <w:bookmarkEnd w:id="1"/>
    </w:tbl>
    <w:p w14:paraId="38381FAA" w14:textId="77777777" w:rsidR="006F3719" w:rsidRDefault="006F3719" w:rsidP="006F3719">
      <w:pPr>
        <w:rPr>
          <w:b/>
          <w:sz w:val="28"/>
          <w:szCs w:val="28"/>
        </w:rPr>
      </w:pPr>
    </w:p>
    <w:p w14:paraId="5C238044" w14:textId="77777777" w:rsidR="006F3719" w:rsidRDefault="006F3719" w:rsidP="006F3719">
      <w:pPr>
        <w:rPr>
          <w:b/>
          <w:sz w:val="28"/>
          <w:szCs w:val="28"/>
        </w:rPr>
      </w:pPr>
      <w:r>
        <w:rPr>
          <w:b/>
          <w:sz w:val="28"/>
          <w:szCs w:val="28"/>
        </w:rPr>
        <w:br w:type="page"/>
      </w:r>
    </w:p>
    <w:p w14:paraId="44283685" w14:textId="3B70B393" w:rsidR="00F56311" w:rsidRDefault="00D1477F" w:rsidP="00D1477F">
      <w:pPr>
        <w:jc w:val="center"/>
        <w:rPr>
          <w:b/>
        </w:rPr>
      </w:pPr>
      <w:r>
        <w:rPr>
          <w:b/>
        </w:rPr>
        <w:lastRenderedPageBreak/>
        <w:t>Contents Page</w:t>
      </w:r>
    </w:p>
    <w:p w14:paraId="6DA5E3D1" w14:textId="77777777" w:rsidR="00074D4A" w:rsidRDefault="00074D4A" w:rsidP="00D1477F">
      <w:pPr>
        <w:jc w:val="center"/>
        <w:rPr>
          <w:b/>
        </w:rPr>
      </w:pPr>
    </w:p>
    <w:p w14:paraId="63FA7291" w14:textId="7660462A" w:rsidR="00D1477F" w:rsidRPr="00D1477F" w:rsidRDefault="00D1477F" w:rsidP="00D1477F">
      <w:pPr>
        <w:rPr>
          <w:i/>
        </w:rPr>
      </w:pPr>
      <w:r w:rsidRPr="00D1477F">
        <w:rPr>
          <w:i/>
        </w:rPr>
        <w:t xml:space="preserve">Paragraph      Content                                                 </w:t>
      </w:r>
      <w:r w:rsidR="00AC5FCD">
        <w:rPr>
          <w:i/>
        </w:rPr>
        <w:t xml:space="preserve">                                                      </w:t>
      </w:r>
      <w:r w:rsidRPr="00D1477F">
        <w:rPr>
          <w:i/>
        </w:rPr>
        <w:t>Page</w:t>
      </w:r>
    </w:p>
    <w:p w14:paraId="05C34F7A" w14:textId="4DF17BAE" w:rsidR="00D1477F" w:rsidRDefault="00D1477F" w:rsidP="00D1477F">
      <w:pPr>
        <w:rPr>
          <w:b/>
        </w:rPr>
      </w:pPr>
      <w:r>
        <w:rPr>
          <w:b/>
        </w:rPr>
        <w:t xml:space="preserve">                       Executive Summary </w:t>
      </w:r>
      <w:r>
        <w:rPr>
          <w:b/>
        </w:rPr>
        <w:tab/>
      </w:r>
      <w:r>
        <w:rPr>
          <w:b/>
        </w:rPr>
        <w:tab/>
      </w:r>
      <w:r w:rsidR="007E2223">
        <w:rPr>
          <w:b/>
        </w:rPr>
        <w:t xml:space="preserve">      </w:t>
      </w:r>
      <w:r w:rsidR="00AC5FCD">
        <w:rPr>
          <w:b/>
        </w:rPr>
        <w:t xml:space="preserve">                           </w:t>
      </w:r>
      <w:r w:rsidR="007E2223">
        <w:rPr>
          <w:b/>
        </w:rPr>
        <w:t xml:space="preserve"> </w:t>
      </w:r>
      <w:r w:rsidR="00AC5FCD">
        <w:rPr>
          <w:b/>
        </w:rPr>
        <w:t xml:space="preserve">                                     </w:t>
      </w:r>
      <w:r>
        <w:rPr>
          <w:b/>
        </w:rPr>
        <w:t>4</w:t>
      </w:r>
    </w:p>
    <w:p w14:paraId="7D7CC669" w14:textId="14D8193E" w:rsidR="00D1477F" w:rsidRDefault="00D1477F" w:rsidP="00D1477F">
      <w:pPr>
        <w:rPr>
          <w:b/>
        </w:rPr>
      </w:pPr>
      <w:r>
        <w:rPr>
          <w:b/>
        </w:rPr>
        <w:t xml:space="preserve">1.0                  Introduction                                           </w:t>
      </w:r>
      <w:r w:rsidR="007E2223">
        <w:rPr>
          <w:b/>
        </w:rPr>
        <w:t xml:space="preserve"> </w:t>
      </w:r>
      <w:r w:rsidR="00AC5FCD">
        <w:rPr>
          <w:b/>
        </w:rPr>
        <w:t xml:space="preserve">                                                      </w:t>
      </w:r>
      <w:r>
        <w:rPr>
          <w:b/>
        </w:rPr>
        <w:t>4</w:t>
      </w:r>
    </w:p>
    <w:p w14:paraId="53A2ADD9" w14:textId="48F90EA2" w:rsidR="00594FB2" w:rsidRDefault="00074D4A" w:rsidP="00D1477F">
      <w:pPr>
        <w:rPr>
          <w:b/>
        </w:rPr>
      </w:pPr>
      <w:r>
        <w:rPr>
          <w:b/>
        </w:rPr>
        <w:t>2.0                  Purpose</w:t>
      </w:r>
      <w:r>
        <w:rPr>
          <w:b/>
        </w:rPr>
        <w:tab/>
      </w:r>
      <w:r>
        <w:rPr>
          <w:b/>
        </w:rPr>
        <w:tab/>
      </w:r>
      <w:r>
        <w:rPr>
          <w:b/>
        </w:rPr>
        <w:tab/>
      </w:r>
      <w:r w:rsidR="00AC5FCD">
        <w:rPr>
          <w:b/>
        </w:rPr>
        <w:t xml:space="preserve">                                                                       </w:t>
      </w:r>
      <w:r>
        <w:rPr>
          <w:b/>
        </w:rPr>
        <w:t>4</w:t>
      </w:r>
    </w:p>
    <w:p w14:paraId="3D7B41CD" w14:textId="20A262BA" w:rsidR="00074D4A" w:rsidRDefault="00074D4A" w:rsidP="00D1477F">
      <w:pPr>
        <w:rPr>
          <w:b/>
        </w:rPr>
      </w:pPr>
      <w:r>
        <w:rPr>
          <w:b/>
        </w:rPr>
        <w:t xml:space="preserve">3.0                  </w:t>
      </w:r>
      <w:r w:rsidRPr="00074D4A">
        <w:rPr>
          <w:b/>
        </w:rPr>
        <w:t>Duties and Responsibilities for making a CTO</w:t>
      </w:r>
      <w:r>
        <w:rPr>
          <w:b/>
        </w:rPr>
        <w:t xml:space="preserve">              </w:t>
      </w:r>
      <w:r w:rsidR="00AC5FCD">
        <w:rPr>
          <w:b/>
        </w:rPr>
        <w:t xml:space="preserve">                         </w:t>
      </w:r>
      <w:r>
        <w:rPr>
          <w:b/>
        </w:rPr>
        <w:t>4-5</w:t>
      </w:r>
    </w:p>
    <w:p w14:paraId="16955F0C" w14:textId="4A38230B" w:rsidR="00074D4A" w:rsidRDefault="00074D4A" w:rsidP="00D1477F">
      <w:pPr>
        <w:rPr>
          <w:b/>
        </w:rPr>
      </w:pPr>
      <w:r>
        <w:rPr>
          <w:b/>
        </w:rPr>
        <w:t>4.0</w:t>
      </w:r>
      <w:r w:rsidRPr="00074D4A">
        <w:t xml:space="preserve"> </w:t>
      </w:r>
      <w:r>
        <w:t xml:space="preserve">                 </w:t>
      </w:r>
      <w:r w:rsidRPr="00074D4A">
        <w:rPr>
          <w:b/>
        </w:rPr>
        <w:t>Decision to use a CTO or Section 17 Leave</w:t>
      </w:r>
      <w:r>
        <w:rPr>
          <w:b/>
        </w:rPr>
        <w:t xml:space="preserve">                </w:t>
      </w:r>
      <w:r w:rsidR="00AC5FCD">
        <w:rPr>
          <w:b/>
        </w:rPr>
        <w:t xml:space="preserve">                            </w:t>
      </w:r>
      <w:r>
        <w:rPr>
          <w:b/>
        </w:rPr>
        <w:t>5-6</w:t>
      </w:r>
    </w:p>
    <w:p w14:paraId="58B92E04" w14:textId="698C148D" w:rsidR="00AB6B13" w:rsidRDefault="00AB6B13" w:rsidP="00D1477F">
      <w:pPr>
        <w:rPr>
          <w:b/>
        </w:rPr>
      </w:pPr>
      <w:r>
        <w:rPr>
          <w:b/>
        </w:rPr>
        <w:t>5.0</w:t>
      </w:r>
      <w:r w:rsidRPr="00AB6B13">
        <w:t xml:space="preserve"> </w:t>
      </w:r>
      <w:r>
        <w:t xml:space="preserve">            </w:t>
      </w:r>
      <w:r w:rsidR="00AC5FCD">
        <w:t xml:space="preserve">     </w:t>
      </w:r>
      <w:r w:rsidRPr="00AB6B13">
        <w:rPr>
          <w:b/>
        </w:rPr>
        <w:t>Mandatory and Non Mandatory Condit</w:t>
      </w:r>
      <w:r>
        <w:rPr>
          <w:b/>
        </w:rPr>
        <w:t xml:space="preserve">ions attached to a CTO     </w:t>
      </w:r>
      <w:r w:rsidR="00AC5FCD">
        <w:rPr>
          <w:b/>
        </w:rPr>
        <w:t xml:space="preserve">        </w:t>
      </w:r>
      <w:r>
        <w:rPr>
          <w:b/>
        </w:rPr>
        <w:t>6-7</w:t>
      </w:r>
    </w:p>
    <w:p w14:paraId="3F9DB85C" w14:textId="3DFD6114" w:rsidR="003F325B" w:rsidRDefault="00AB6B13" w:rsidP="00D1477F">
      <w:pPr>
        <w:rPr>
          <w:b/>
        </w:rPr>
      </w:pPr>
      <w:r>
        <w:rPr>
          <w:b/>
        </w:rPr>
        <w:t>6.0</w:t>
      </w:r>
      <w:r w:rsidRPr="00AB6B13">
        <w:rPr>
          <w:b/>
        </w:rPr>
        <w:t xml:space="preserve">         </w:t>
      </w:r>
      <w:r w:rsidR="003F325B">
        <w:rPr>
          <w:b/>
        </w:rPr>
        <w:t xml:space="preserve">    </w:t>
      </w:r>
      <w:r w:rsidR="00AC5FCD">
        <w:rPr>
          <w:b/>
        </w:rPr>
        <w:t xml:space="preserve">     </w:t>
      </w:r>
      <w:r w:rsidR="003F325B" w:rsidRPr="003F325B">
        <w:rPr>
          <w:b/>
        </w:rPr>
        <w:t>Practical steps for clinicians to follow in order to make a CTO</w:t>
      </w:r>
      <w:r w:rsidR="003F325B">
        <w:rPr>
          <w:b/>
        </w:rPr>
        <w:t xml:space="preserve">       </w:t>
      </w:r>
      <w:r w:rsidR="00AC5FCD">
        <w:rPr>
          <w:b/>
        </w:rPr>
        <w:t xml:space="preserve">       </w:t>
      </w:r>
      <w:r w:rsidR="003F325B">
        <w:rPr>
          <w:b/>
        </w:rPr>
        <w:t>7</w:t>
      </w:r>
    </w:p>
    <w:p w14:paraId="2C1F9C51" w14:textId="01E957C2" w:rsidR="00AB6B13" w:rsidRDefault="003F325B" w:rsidP="00D1477F">
      <w:pPr>
        <w:rPr>
          <w:b/>
        </w:rPr>
      </w:pPr>
      <w:r>
        <w:rPr>
          <w:b/>
        </w:rPr>
        <w:t xml:space="preserve">7.0                  </w:t>
      </w:r>
      <w:r w:rsidRPr="003F325B">
        <w:rPr>
          <w:b/>
        </w:rPr>
        <w:t>Rights Explanations under CTO (s132a)</w:t>
      </w:r>
      <w:r>
        <w:rPr>
          <w:b/>
        </w:rPr>
        <w:t xml:space="preserve">                       </w:t>
      </w:r>
      <w:r w:rsidR="00AC5FCD">
        <w:rPr>
          <w:b/>
        </w:rPr>
        <w:t xml:space="preserve">                           </w:t>
      </w:r>
      <w:r>
        <w:rPr>
          <w:b/>
        </w:rPr>
        <w:t>7-8</w:t>
      </w:r>
    </w:p>
    <w:p w14:paraId="1E76DB87" w14:textId="4DF98A66" w:rsidR="00E64EF5" w:rsidRDefault="00E64EF5" w:rsidP="00D1477F">
      <w:pPr>
        <w:rPr>
          <w:b/>
        </w:rPr>
      </w:pPr>
      <w:r>
        <w:rPr>
          <w:b/>
        </w:rPr>
        <w:t>8.0</w:t>
      </w:r>
      <w:r w:rsidR="009F2B70" w:rsidRPr="009F2B70">
        <w:t xml:space="preserve"> </w:t>
      </w:r>
      <w:r w:rsidR="00AC5FCD">
        <w:t xml:space="preserve">                 </w:t>
      </w:r>
      <w:r w:rsidR="009F2B70" w:rsidRPr="009F2B70">
        <w:rPr>
          <w:b/>
        </w:rPr>
        <w:t>Care Planning and CTO</w:t>
      </w:r>
      <w:r w:rsidR="009F2B70">
        <w:rPr>
          <w:b/>
        </w:rPr>
        <w:t xml:space="preserve">                                    </w:t>
      </w:r>
      <w:r w:rsidR="00AC5FCD">
        <w:rPr>
          <w:b/>
        </w:rPr>
        <w:t xml:space="preserve">                                           </w:t>
      </w:r>
      <w:r w:rsidR="009F2B70">
        <w:rPr>
          <w:b/>
        </w:rPr>
        <w:t>8</w:t>
      </w:r>
    </w:p>
    <w:p w14:paraId="0181389C" w14:textId="10A5192F" w:rsidR="009F2B70" w:rsidRDefault="009F2B70" w:rsidP="00D1477F">
      <w:pPr>
        <w:rPr>
          <w:b/>
        </w:rPr>
      </w:pPr>
      <w:r>
        <w:rPr>
          <w:b/>
        </w:rPr>
        <w:t xml:space="preserve">9.0          </w:t>
      </w:r>
      <w:r w:rsidR="00AC5FCD">
        <w:rPr>
          <w:b/>
        </w:rPr>
        <w:t xml:space="preserve">        </w:t>
      </w:r>
      <w:r w:rsidRPr="009F2B70">
        <w:rPr>
          <w:b/>
        </w:rPr>
        <w:t>Treatment while in the Community under CTO (Part 4A of the Act)</w:t>
      </w:r>
      <w:r>
        <w:rPr>
          <w:b/>
        </w:rPr>
        <w:t xml:space="preserve">  </w:t>
      </w:r>
      <w:r w:rsidR="00AC5FCD">
        <w:rPr>
          <w:b/>
        </w:rPr>
        <w:t xml:space="preserve">   </w:t>
      </w:r>
      <w:r>
        <w:rPr>
          <w:b/>
        </w:rPr>
        <w:t>9-11</w:t>
      </w:r>
    </w:p>
    <w:p w14:paraId="085C5CD9" w14:textId="67817419" w:rsidR="009F2B70" w:rsidRDefault="009F2B70" w:rsidP="00D1477F">
      <w:pPr>
        <w:rPr>
          <w:b/>
        </w:rPr>
      </w:pPr>
      <w:r>
        <w:rPr>
          <w:b/>
        </w:rPr>
        <w:t>10.0</w:t>
      </w:r>
      <w:r w:rsidR="005D31B2" w:rsidRPr="005D31B2">
        <w:t xml:space="preserve"> </w:t>
      </w:r>
      <w:r w:rsidR="005D31B2">
        <w:t xml:space="preserve">               </w:t>
      </w:r>
      <w:r w:rsidR="005D31B2" w:rsidRPr="005D31B2">
        <w:rPr>
          <w:b/>
        </w:rPr>
        <w:t>Extending the CTO Period</w:t>
      </w:r>
      <w:r w:rsidR="005D31B2">
        <w:rPr>
          <w:b/>
        </w:rPr>
        <w:t xml:space="preserve">                                </w:t>
      </w:r>
      <w:r w:rsidR="00AC5FCD">
        <w:rPr>
          <w:b/>
        </w:rPr>
        <w:t xml:space="preserve">                                        </w:t>
      </w:r>
      <w:r w:rsidR="005D31B2">
        <w:rPr>
          <w:b/>
        </w:rPr>
        <w:t>11-12</w:t>
      </w:r>
    </w:p>
    <w:p w14:paraId="4C074CC6" w14:textId="5C9AE15D" w:rsidR="005D31B2" w:rsidRDefault="005D31B2" w:rsidP="00D1477F">
      <w:pPr>
        <w:rPr>
          <w:b/>
        </w:rPr>
      </w:pPr>
      <w:r>
        <w:rPr>
          <w:b/>
        </w:rPr>
        <w:t>11.0</w:t>
      </w:r>
      <w:r w:rsidR="00697267" w:rsidRPr="00697267">
        <w:t xml:space="preserve"> </w:t>
      </w:r>
      <w:r w:rsidR="00697267">
        <w:t xml:space="preserve">              </w:t>
      </w:r>
      <w:r w:rsidR="00697267" w:rsidRPr="00697267">
        <w:rPr>
          <w:b/>
        </w:rPr>
        <w:t>Transfers between Hospitals and Jurisdictions</w:t>
      </w:r>
      <w:r w:rsidR="00697267">
        <w:rPr>
          <w:b/>
        </w:rPr>
        <w:t xml:space="preserve">               </w:t>
      </w:r>
      <w:r w:rsidR="00AC5FCD">
        <w:rPr>
          <w:b/>
        </w:rPr>
        <w:t xml:space="preserve">                      </w:t>
      </w:r>
      <w:r w:rsidR="00697267">
        <w:rPr>
          <w:b/>
        </w:rPr>
        <w:t>12-13</w:t>
      </w:r>
    </w:p>
    <w:p w14:paraId="5BB31FA7" w14:textId="72261982" w:rsidR="00697267" w:rsidRDefault="00697267" w:rsidP="00D1477F">
      <w:pPr>
        <w:rPr>
          <w:b/>
        </w:rPr>
      </w:pPr>
      <w:r>
        <w:rPr>
          <w:b/>
        </w:rPr>
        <w:t>12.0</w:t>
      </w:r>
      <w:r w:rsidR="00EE25BD" w:rsidRPr="00EE25BD">
        <w:t xml:space="preserve"> </w:t>
      </w:r>
      <w:r w:rsidR="00EE25BD">
        <w:t xml:space="preserve">              </w:t>
      </w:r>
      <w:r w:rsidR="00EE25BD" w:rsidRPr="00EE25BD">
        <w:rPr>
          <w:b/>
        </w:rPr>
        <w:t>Discharge from Compulsion</w:t>
      </w:r>
      <w:r w:rsidR="00EE25BD">
        <w:rPr>
          <w:b/>
        </w:rPr>
        <w:t xml:space="preserve">                               </w:t>
      </w:r>
      <w:r w:rsidR="00AC5FCD">
        <w:rPr>
          <w:b/>
        </w:rPr>
        <w:t xml:space="preserve">                                     </w:t>
      </w:r>
      <w:r w:rsidR="00EE25BD">
        <w:rPr>
          <w:b/>
        </w:rPr>
        <w:t>13-14</w:t>
      </w:r>
    </w:p>
    <w:p w14:paraId="449152E3" w14:textId="330C973E" w:rsidR="00EE25BD" w:rsidRDefault="00EE25BD" w:rsidP="00D1477F">
      <w:pPr>
        <w:rPr>
          <w:b/>
        </w:rPr>
      </w:pPr>
      <w:r>
        <w:rPr>
          <w:b/>
        </w:rPr>
        <w:t>13.0</w:t>
      </w:r>
      <w:r w:rsidRPr="00EE25BD">
        <w:t xml:space="preserve"> </w:t>
      </w:r>
      <w:r>
        <w:t xml:space="preserve">              </w:t>
      </w:r>
      <w:r w:rsidRPr="00EE25BD">
        <w:rPr>
          <w:b/>
        </w:rPr>
        <w:t>Recall from CTO</w:t>
      </w:r>
      <w:r>
        <w:rPr>
          <w:b/>
        </w:rPr>
        <w:t xml:space="preserve"> </w:t>
      </w:r>
      <w:r>
        <w:rPr>
          <w:b/>
        </w:rPr>
        <w:tab/>
      </w:r>
      <w:r>
        <w:rPr>
          <w:b/>
        </w:rPr>
        <w:tab/>
      </w:r>
      <w:r>
        <w:rPr>
          <w:b/>
        </w:rPr>
        <w:tab/>
        <w:t xml:space="preserve">           </w:t>
      </w:r>
      <w:r w:rsidR="00AC5FCD">
        <w:rPr>
          <w:b/>
        </w:rPr>
        <w:t xml:space="preserve">                                             </w:t>
      </w:r>
      <w:r>
        <w:rPr>
          <w:b/>
        </w:rPr>
        <w:t>14-16</w:t>
      </w:r>
    </w:p>
    <w:p w14:paraId="163C0E12" w14:textId="4447E74C" w:rsidR="00EE25BD" w:rsidRDefault="00EE25BD" w:rsidP="00D1477F">
      <w:pPr>
        <w:rPr>
          <w:b/>
        </w:rPr>
      </w:pPr>
      <w:r>
        <w:rPr>
          <w:b/>
        </w:rPr>
        <w:t>14.0</w:t>
      </w:r>
      <w:r w:rsidR="003D11B2" w:rsidRPr="003D11B2">
        <w:t xml:space="preserve"> </w:t>
      </w:r>
      <w:r w:rsidR="003D11B2">
        <w:t xml:space="preserve">              </w:t>
      </w:r>
      <w:r w:rsidR="003D11B2" w:rsidRPr="003D11B2">
        <w:rPr>
          <w:b/>
        </w:rPr>
        <w:t>AWOL from CTO</w:t>
      </w:r>
      <w:r w:rsidR="003D11B2">
        <w:rPr>
          <w:b/>
        </w:rPr>
        <w:tab/>
      </w:r>
      <w:r w:rsidR="003D11B2">
        <w:rPr>
          <w:b/>
        </w:rPr>
        <w:tab/>
      </w:r>
      <w:r w:rsidR="003D11B2">
        <w:rPr>
          <w:b/>
        </w:rPr>
        <w:tab/>
        <w:t xml:space="preserve">           </w:t>
      </w:r>
      <w:r w:rsidR="00AC5FCD">
        <w:rPr>
          <w:b/>
        </w:rPr>
        <w:t xml:space="preserve">                                             </w:t>
      </w:r>
      <w:r w:rsidR="003D11B2">
        <w:rPr>
          <w:b/>
        </w:rPr>
        <w:t>16-17</w:t>
      </w:r>
    </w:p>
    <w:p w14:paraId="43C6C216" w14:textId="276664BB" w:rsidR="003D11B2" w:rsidRDefault="003D11B2" w:rsidP="00D1477F">
      <w:pPr>
        <w:rPr>
          <w:b/>
        </w:rPr>
      </w:pPr>
      <w:r>
        <w:rPr>
          <w:b/>
        </w:rPr>
        <w:t>15.0</w:t>
      </w:r>
      <w:r w:rsidRPr="003D11B2">
        <w:t xml:space="preserve"> </w:t>
      </w:r>
      <w:r>
        <w:t xml:space="preserve">              </w:t>
      </w:r>
      <w:r w:rsidRPr="003D11B2">
        <w:rPr>
          <w:b/>
        </w:rPr>
        <w:t>Treatment on Recall or Revocation (Part IV of the Act)</w:t>
      </w:r>
      <w:r>
        <w:rPr>
          <w:b/>
        </w:rPr>
        <w:t xml:space="preserve">            </w:t>
      </w:r>
      <w:r w:rsidR="00AC5FCD">
        <w:rPr>
          <w:b/>
        </w:rPr>
        <w:t xml:space="preserve">             </w:t>
      </w:r>
      <w:r>
        <w:rPr>
          <w:b/>
        </w:rPr>
        <w:t>17-18</w:t>
      </w:r>
    </w:p>
    <w:p w14:paraId="11707451" w14:textId="67899D25" w:rsidR="003D11B2" w:rsidRDefault="003D11B2" w:rsidP="00D1477F">
      <w:pPr>
        <w:rPr>
          <w:b/>
        </w:rPr>
      </w:pPr>
      <w:r>
        <w:rPr>
          <w:b/>
        </w:rPr>
        <w:t xml:space="preserve">16.0               </w:t>
      </w:r>
      <w:r w:rsidR="00AC5FCD">
        <w:rPr>
          <w:b/>
        </w:rPr>
        <w:t xml:space="preserve"> </w:t>
      </w:r>
      <w:r w:rsidRPr="003D11B2">
        <w:rPr>
          <w:b/>
        </w:rPr>
        <w:t>Revocation of CTO or return to Community</w:t>
      </w:r>
      <w:r>
        <w:rPr>
          <w:b/>
        </w:rPr>
        <w:t xml:space="preserve">                       </w:t>
      </w:r>
      <w:r w:rsidR="00AC5FCD">
        <w:rPr>
          <w:b/>
        </w:rPr>
        <w:t xml:space="preserve">                      </w:t>
      </w:r>
      <w:r>
        <w:rPr>
          <w:b/>
        </w:rPr>
        <w:t>18</w:t>
      </w:r>
    </w:p>
    <w:p w14:paraId="364B9D98" w14:textId="49DBA24A" w:rsidR="003D11B2" w:rsidRDefault="003D11B2" w:rsidP="00D1477F">
      <w:pPr>
        <w:rPr>
          <w:b/>
        </w:rPr>
      </w:pPr>
      <w:r>
        <w:rPr>
          <w:b/>
        </w:rPr>
        <w:t xml:space="preserve">17.0                </w:t>
      </w:r>
      <w:r w:rsidRPr="003D11B2">
        <w:rPr>
          <w:b/>
        </w:rPr>
        <w:t>Monitoring</w:t>
      </w:r>
      <w:r>
        <w:rPr>
          <w:b/>
        </w:rPr>
        <w:t xml:space="preserve"> </w:t>
      </w:r>
      <w:r>
        <w:rPr>
          <w:b/>
        </w:rPr>
        <w:tab/>
      </w:r>
      <w:r>
        <w:rPr>
          <w:b/>
        </w:rPr>
        <w:tab/>
      </w:r>
      <w:r>
        <w:rPr>
          <w:b/>
        </w:rPr>
        <w:tab/>
      </w:r>
      <w:r>
        <w:rPr>
          <w:b/>
        </w:rPr>
        <w:tab/>
      </w:r>
      <w:r>
        <w:rPr>
          <w:b/>
        </w:rPr>
        <w:tab/>
        <w:t xml:space="preserve">  </w:t>
      </w:r>
      <w:r w:rsidR="00AC5FCD">
        <w:rPr>
          <w:b/>
        </w:rPr>
        <w:t xml:space="preserve">                                             </w:t>
      </w:r>
      <w:r>
        <w:rPr>
          <w:b/>
        </w:rPr>
        <w:t>19</w:t>
      </w:r>
    </w:p>
    <w:p w14:paraId="3AC5A4B6" w14:textId="0230B0C3" w:rsidR="00446C18" w:rsidRPr="00446C18" w:rsidRDefault="00446C18" w:rsidP="00446C18">
      <w:pPr>
        <w:rPr>
          <w:b/>
        </w:rPr>
      </w:pPr>
      <w:r>
        <w:rPr>
          <w:b/>
        </w:rPr>
        <w:t xml:space="preserve">18.0                </w:t>
      </w:r>
      <w:r w:rsidRPr="00446C18">
        <w:rPr>
          <w:b/>
        </w:rPr>
        <w:t>Appendix 1 – Section 64(g) Emergency Treatment Form</w:t>
      </w:r>
      <w:r>
        <w:rPr>
          <w:b/>
        </w:rPr>
        <w:t xml:space="preserve">          </w:t>
      </w:r>
      <w:r w:rsidR="00AC5FCD">
        <w:rPr>
          <w:b/>
        </w:rPr>
        <w:t xml:space="preserve">           </w:t>
      </w:r>
      <w:r>
        <w:rPr>
          <w:b/>
        </w:rPr>
        <w:t>20-21</w:t>
      </w:r>
    </w:p>
    <w:p w14:paraId="6ED119FB" w14:textId="315F2F88" w:rsidR="00446C18" w:rsidRDefault="00446C18" w:rsidP="0091503D">
      <w:pPr>
        <w:rPr>
          <w:b/>
        </w:rPr>
      </w:pPr>
      <w:r w:rsidRPr="00446C18">
        <w:rPr>
          <w:b/>
        </w:rPr>
        <w:t xml:space="preserve">    </w:t>
      </w:r>
      <w:r>
        <w:rPr>
          <w:b/>
        </w:rPr>
        <w:t xml:space="preserve">                           </w:t>
      </w:r>
    </w:p>
    <w:p w14:paraId="2BAF37FE" w14:textId="77777777" w:rsidR="0091503D" w:rsidRDefault="0091503D" w:rsidP="0091503D">
      <w:pPr>
        <w:rPr>
          <w:b/>
        </w:rPr>
      </w:pPr>
    </w:p>
    <w:p w14:paraId="07850CE1" w14:textId="26A6083C" w:rsidR="00D1477F" w:rsidRDefault="00D1477F" w:rsidP="00D109C3">
      <w:pPr>
        <w:rPr>
          <w:b/>
        </w:rPr>
      </w:pPr>
    </w:p>
    <w:p w14:paraId="4A96B080" w14:textId="29FC0B39" w:rsidR="00D1477F" w:rsidRDefault="00D1477F" w:rsidP="00D109C3">
      <w:pPr>
        <w:rPr>
          <w:b/>
        </w:rPr>
      </w:pPr>
    </w:p>
    <w:p w14:paraId="45474E1E" w14:textId="5E9E2970" w:rsidR="00D1477F" w:rsidRDefault="00D1477F" w:rsidP="00D109C3">
      <w:pPr>
        <w:rPr>
          <w:b/>
        </w:rPr>
      </w:pPr>
    </w:p>
    <w:p w14:paraId="74A894B6" w14:textId="5E3A23C9" w:rsidR="00D1477F" w:rsidRDefault="00D1477F" w:rsidP="00D109C3">
      <w:pPr>
        <w:rPr>
          <w:b/>
        </w:rPr>
      </w:pPr>
    </w:p>
    <w:p w14:paraId="777BAEA8" w14:textId="2F76559B" w:rsidR="00D1477F" w:rsidRDefault="00D1477F" w:rsidP="00D109C3">
      <w:pPr>
        <w:rPr>
          <w:b/>
        </w:rPr>
      </w:pPr>
    </w:p>
    <w:p w14:paraId="69BEF43F" w14:textId="28C20BF1" w:rsidR="00D1477F" w:rsidRDefault="00D1477F" w:rsidP="00D109C3">
      <w:pPr>
        <w:rPr>
          <w:b/>
        </w:rPr>
      </w:pPr>
    </w:p>
    <w:p w14:paraId="18D6799E" w14:textId="77777777" w:rsidR="00924B5A" w:rsidRDefault="00924B5A" w:rsidP="00D109C3">
      <w:pPr>
        <w:rPr>
          <w:b/>
        </w:rPr>
      </w:pPr>
    </w:p>
    <w:p w14:paraId="7D5EF12E" w14:textId="7A653CB2" w:rsidR="00D109C3" w:rsidRPr="00D109C3" w:rsidRDefault="00D109C3" w:rsidP="00D109C3">
      <w:pPr>
        <w:rPr>
          <w:b/>
        </w:rPr>
      </w:pPr>
      <w:r w:rsidRPr="00D109C3">
        <w:rPr>
          <w:b/>
        </w:rPr>
        <w:t>Executive Summary:</w:t>
      </w:r>
    </w:p>
    <w:p w14:paraId="663522CE" w14:textId="5C7E26BF" w:rsidR="00D109C3" w:rsidRDefault="00D109C3" w:rsidP="00D109C3">
      <w:r w:rsidRPr="00D109C3">
        <w:t xml:space="preserve">This Trust-wide policy sets out </w:t>
      </w:r>
      <w:r>
        <w:t>the procedural requirements</w:t>
      </w:r>
      <w:r w:rsidRPr="00D109C3">
        <w:t xml:space="preserve"> where these are explicit in the Act or Code</w:t>
      </w:r>
      <w:r w:rsidR="001A2BD9">
        <w:t>. G</w:t>
      </w:r>
      <w:r w:rsidRPr="00D109C3">
        <w:t xml:space="preserve">uidelines may be produced locally which, while complying with this policy, provide advice on more specific matters. </w:t>
      </w:r>
    </w:p>
    <w:p w14:paraId="16817F5B" w14:textId="0928166D" w:rsidR="00D109C3" w:rsidRDefault="00D109C3" w:rsidP="00D109C3">
      <w:r w:rsidRPr="00D109C3">
        <w:t xml:space="preserve">Where appropriate, reference should be made to other Trust policies, namely </w:t>
      </w:r>
      <w:r w:rsidR="007E6683">
        <w:t xml:space="preserve">the ‘Mental Health Law Supplementary Policy, </w:t>
      </w:r>
      <w:r w:rsidRPr="00D109C3">
        <w:t xml:space="preserve">the “Consent to Treatment Policy”, the “Advance Decision to Refuse Treatment Policy”, the 'Responsible Clinician and Nominated Deputy Policy', the </w:t>
      </w:r>
      <w:r w:rsidR="00FC0463">
        <w:t>'</w:t>
      </w:r>
      <w:r w:rsidRPr="00D109C3">
        <w:t>Mental Capacity Act Policy’ and “Missing and Absent without Leave Policy”.</w:t>
      </w:r>
    </w:p>
    <w:p w14:paraId="6FFBDA07" w14:textId="52D50FEB" w:rsidR="007D77B8" w:rsidRPr="009A0B72" w:rsidRDefault="007D77B8" w:rsidP="007D77B8">
      <w:pPr>
        <w:spacing w:after="0"/>
        <w:outlineLvl w:val="0"/>
        <w:rPr>
          <w:rFonts w:cs="Arial"/>
          <w:b/>
          <w:sz w:val="24"/>
        </w:rPr>
      </w:pPr>
      <w:r w:rsidRPr="009A0B72">
        <w:rPr>
          <w:rFonts w:cs="Arial"/>
          <w:b/>
          <w:sz w:val="24"/>
        </w:rPr>
        <w:t>1.0</w:t>
      </w:r>
      <w:r w:rsidRPr="009A0B72">
        <w:rPr>
          <w:rFonts w:cs="Arial"/>
          <w:b/>
          <w:sz w:val="24"/>
        </w:rPr>
        <w:tab/>
        <w:t>Introduction:</w:t>
      </w:r>
    </w:p>
    <w:p w14:paraId="07D2F61A" w14:textId="312E0C7C" w:rsidR="007D77B8" w:rsidRPr="009A0B72" w:rsidRDefault="007D77B8" w:rsidP="001A2BD9">
      <w:pPr>
        <w:spacing w:after="0"/>
        <w:ind w:left="709" w:hanging="709"/>
        <w:rPr>
          <w:rFonts w:cs="Arial"/>
        </w:rPr>
      </w:pPr>
      <w:r w:rsidRPr="009A0B72">
        <w:rPr>
          <w:rFonts w:cs="Arial"/>
        </w:rPr>
        <w:t>1.1</w:t>
      </w:r>
      <w:r w:rsidRPr="009A0B72">
        <w:rPr>
          <w:rFonts w:cs="Arial"/>
        </w:rPr>
        <w:tab/>
        <w:t>From 3 November 2008, the Mental Health Act 1983, as amended by the Mental Health Act 2007 (‘the Act’) introduced</w:t>
      </w:r>
      <w:r>
        <w:rPr>
          <w:rFonts w:cs="Arial"/>
        </w:rPr>
        <w:t xml:space="preserve"> a scheme to provide </w:t>
      </w:r>
      <w:r w:rsidRPr="009A0B72">
        <w:rPr>
          <w:rFonts w:cs="Arial"/>
        </w:rPr>
        <w:t>treatment of mental disorder in a community setting. This policy sets out the legal framework for the operation of an order made under section 17A of the Act which is known as a ‘Community Treatment Order</w:t>
      </w:r>
      <w:r>
        <w:rPr>
          <w:rFonts w:cs="Arial"/>
        </w:rPr>
        <w:t xml:space="preserve"> (CTO)</w:t>
      </w:r>
      <w:r w:rsidRPr="009A0B72">
        <w:rPr>
          <w:rFonts w:cs="Arial"/>
        </w:rPr>
        <w:t xml:space="preserve">’ </w:t>
      </w:r>
    </w:p>
    <w:p w14:paraId="433802D6" w14:textId="0F33A8FF" w:rsidR="007D77B8" w:rsidRDefault="007D77B8" w:rsidP="007D77B8">
      <w:pPr>
        <w:spacing w:after="0"/>
        <w:ind w:left="720" w:hanging="720"/>
        <w:rPr>
          <w:rFonts w:cs="Arial"/>
        </w:rPr>
      </w:pPr>
      <w:r w:rsidRPr="009A0B72">
        <w:rPr>
          <w:rFonts w:cs="Arial"/>
        </w:rPr>
        <w:t>1.2</w:t>
      </w:r>
      <w:r w:rsidRPr="009A0B72">
        <w:rPr>
          <w:rFonts w:cs="Arial"/>
        </w:rPr>
        <w:tab/>
        <w:t>This policy should be read in conjunction with relevant chapters of the Code of Practice to the Mental Health Act (‘the Code’) which offers guidance on the operation of the Act. In particular, the five guiding principles set out in Chapter 1 of the Code should be considered when making decisions about a course of action under the Act.</w:t>
      </w:r>
    </w:p>
    <w:p w14:paraId="4BE6EEAA" w14:textId="5401EBDC" w:rsidR="007D77B8" w:rsidRPr="007D77B8" w:rsidRDefault="007D77B8" w:rsidP="007D77B8">
      <w:pPr>
        <w:spacing w:after="0"/>
        <w:ind w:left="720" w:hanging="720"/>
        <w:rPr>
          <w:rFonts w:cs="Arial"/>
          <w:b/>
        </w:rPr>
      </w:pPr>
      <w:r w:rsidRPr="007D77B8">
        <w:rPr>
          <w:rFonts w:cs="Arial"/>
          <w:b/>
        </w:rPr>
        <w:t xml:space="preserve">2.0      </w:t>
      </w:r>
      <w:r>
        <w:rPr>
          <w:rFonts w:cs="Arial"/>
          <w:b/>
        </w:rPr>
        <w:t xml:space="preserve"> </w:t>
      </w:r>
      <w:r w:rsidRPr="007D77B8">
        <w:rPr>
          <w:rFonts w:cs="Arial"/>
          <w:b/>
        </w:rPr>
        <w:t>Purpose:</w:t>
      </w:r>
    </w:p>
    <w:p w14:paraId="61B7E956" w14:textId="16B0F00C" w:rsidR="007D77B8" w:rsidRDefault="001A2BD9" w:rsidP="001A2BD9">
      <w:pPr>
        <w:ind w:left="709" w:hanging="709"/>
      </w:pPr>
      <w:r>
        <w:t xml:space="preserve">2.1       </w:t>
      </w:r>
      <w:r w:rsidRPr="001A2BD9">
        <w:t>The purpose of this policy is to ensure that there is lawful and appropriate use of CTO’s</w:t>
      </w:r>
      <w:r w:rsidR="001B411A" w:rsidRPr="001A2BD9">
        <w:t xml:space="preserve">, </w:t>
      </w:r>
      <w:r w:rsidR="001B411A">
        <w:t>and</w:t>
      </w:r>
      <w:r w:rsidRPr="001A2BD9">
        <w:t xml:space="preserve"> that the legal rights of any patient subject to a CTO are upheld at all stages. There is no </w:t>
      </w:r>
      <w:r w:rsidR="008A2465">
        <w:t xml:space="preserve">upper or </w:t>
      </w:r>
      <w:r w:rsidRPr="001A2BD9">
        <w:t>lower age limit for CTO’s.</w:t>
      </w:r>
    </w:p>
    <w:p w14:paraId="16854B63" w14:textId="01882C29" w:rsidR="00552133" w:rsidRDefault="00552133" w:rsidP="001A2BD9">
      <w:pPr>
        <w:ind w:left="709" w:hanging="709"/>
        <w:rPr>
          <w:b/>
        </w:rPr>
      </w:pPr>
      <w:r w:rsidRPr="00552133">
        <w:rPr>
          <w:b/>
        </w:rPr>
        <w:t>3.0       Duties and Responsibilities</w:t>
      </w:r>
      <w:r w:rsidR="008A2465">
        <w:rPr>
          <w:b/>
        </w:rPr>
        <w:t xml:space="preserve"> for making a CTO</w:t>
      </w:r>
      <w:r w:rsidRPr="00552133">
        <w:rPr>
          <w:b/>
        </w:rPr>
        <w:t>:</w:t>
      </w:r>
    </w:p>
    <w:p w14:paraId="3B74FE4B" w14:textId="7578DEA3" w:rsidR="008A2465" w:rsidRDefault="008A2465" w:rsidP="008A2465">
      <w:pPr>
        <w:spacing w:after="0"/>
        <w:ind w:left="720" w:hanging="720"/>
        <w:rPr>
          <w:rFonts w:cs="Arial"/>
        </w:rPr>
      </w:pPr>
      <w:r w:rsidRPr="009A0B72">
        <w:rPr>
          <w:rFonts w:cs="Arial"/>
        </w:rPr>
        <w:t>3.1</w:t>
      </w:r>
      <w:r w:rsidRPr="009A0B72">
        <w:rPr>
          <w:rFonts w:cs="Arial"/>
        </w:rPr>
        <w:tab/>
        <w:t>The following criteria must be met in all cases before a community treatment order can be made by the patient’s Responsible Clinician (‘RC’):</w:t>
      </w:r>
    </w:p>
    <w:p w14:paraId="39021331" w14:textId="77777777" w:rsidR="008A2465" w:rsidRPr="009A0B72" w:rsidRDefault="008A2465" w:rsidP="008A2465">
      <w:pPr>
        <w:spacing w:after="0"/>
        <w:ind w:left="720" w:hanging="720"/>
        <w:rPr>
          <w:rFonts w:cs="Arial"/>
        </w:rPr>
      </w:pPr>
    </w:p>
    <w:p w14:paraId="124C5ED0" w14:textId="77777777" w:rsidR="008A2465" w:rsidRPr="009A0B72" w:rsidRDefault="008A2465" w:rsidP="008A2465">
      <w:pPr>
        <w:numPr>
          <w:ilvl w:val="0"/>
          <w:numId w:val="1"/>
        </w:numPr>
        <w:spacing w:before="0" w:after="0"/>
        <w:jc w:val="left"/>
        <w:rPr>
          <w:rFonts w:cs="Arial"/>
        </w:rPr>
      </w:pPr>
      <w:r w:rsidRPr="009A0B72">
        <w:rPr>
          <w:rFonts w:cs="Arial"/>
        </w:rPr>
        <w:t>The patient must be currently liable to detention for treatment under section 3 or an unrestricted section under Part III of the Act; this can also include a patient currently on section 17 leave from hospital.</w:t>
      </w:r>
      <w:r w:rsidRPr="009A0B72">
        <w:rPr>
          <w:rFonts w:cs="Arial"/>
          <w:vertAlign w:val="superscript"/>
        </w:rPr>
        <w:footnoteReference w:id="1"/>
      </w:r>
      <w:r w:rsidRPr="009A0B72">
        <w:rPr>
          <w:rFonts w:cs="Arial"/>
        </w:rPr>
        <w:t xml:space="preserve"> It is not applicable for patients on restriction orders</w:t>
      </w:r>
    </w:p>
    <w:p w14:paraId="16DE03B1" w14:textId="77777777" w:rsidR="008A2465" w:rsidRPr="009A0B72" w:rsidRDefault="008A2465" w:rsidP="008A2465">
      <w:pPr>
        <w:numPr>
          <w:ilvl w:val="0"/>
          <w:numId w:val="1"/>
        </w:numPr>
        <w:spacing w:before="0" w:after="0"/>
        <w:jc w:val="left"/>
        <w:rPr>
          <w:rFonts w:cs="Arial"/>
        </w:rPr>
      </w:pPr>
      <w:r w:rsidRPr="009A0B72">
        <w:rPr>
          <w:rFonts w:cs="Arial"/>
        </w:rPr>
        <w:t>In the RC’s opinion, the patient is suffering from a mental disorder of a nature or degree which makes it appropriate for him or her to receive medical treatment</w:t>
      </w:r>
    </w:p>
    <w:p w14:paraId="5E4064A2" w14:textId="77777777" w:rsidR="008A2465" w:rsidRPr="009A0B72" w:rsidRDefault="008A2465" w:rsidP="008A2465">
      <w:pPr>
        <w:numPr>
          <w:ilvl w:val="0"/>
          <w:numId w:val="1"/>
        </w:numPr>
        <w:spacing w:before="0" w:after="0"/>
        <w:jc w:val="left"/>
        <w:rPr>
          <w:rFonts w:cs="Arial"/>
        </w:rPr>
      </w:pPr>
      <w:r w:rsidRPr="009A0B72">
        <w:rPr>
          <w:rFonts w:cs="Arial"/>
        </w:rPr>
        <w:t>It is necessary for the patient’s health or safety or the protection of other people that such treatment should be received</w:t>
      </w:r>
    </w:p>
    <w:p w14:paraId="676171B1" w14:textId="77777777" w:rsidR="008A2465" w:rsidRPr="009A0B72" w:rsidRDefault="008A2465" w:rsidP="008A2465">
      <w:pPr>
        <w:numPr>
          <w:ilvl w:val="0"/>
          <w:numId w:val="1"/>
        </w:numPr>
        <w:spacing w:before="0" w:after="0"/>
        <w:jc w:val="left"/>
        <w:rPr>
          <w:rFonts w:cs="Arial"/>
        </w:rPr>
      </w:pPr>
      <w:r w:rsidRPr="009A0B72">
        <w:rPr>
          <w:rFonts w:cs="Arial"/>
        </w:rPr>
        <w:t>Such treatment can be provided without the patient continuing to be detained in a hospital provided the patient is liable to being recalled to hospital for medical treatment</w:t>
      </w:r>
    </w:p>
    <w:p w14:paraId="20538126" w14:textId="77777777" w:rsidR="008A2465" w:rsidRDefault="008A2465" w:rsidP="008A2465">
      <w:pPr>
        <w:numPr>
          <w:ilvl w:val="0"/>
          <w:numId w:val="1"/>
        </w:numPr>
        <w:spacing w:before="0" w:after="0"/>
        <w:ind w:left="1434" w:hanging="357"/>
        <w:jc w:val="left"/>
        <w:rPr>
          <w:rFonts w:cs="Arial"/>
        </w:rPr>
      </w:pPr>
      <w:r w:rsidRPr="00F25596">
        <w:rPr>
          <w:rFonts w:cs="Arial"/>
        </w:rPr>
        <w:t>It is necessary that the RC should be able to recall the patient to</w:t>
      </w:r>
      <w:r>
        <w:rPr>
          <w:rFonts w:cs="Arial"/>
        </w:rPr>
        <w:t xml:space="preserve"> Hospital.</w:t>
      </w:r>
    </w:p>
    <w:p w14:paraId="7F3DFB25" w14:textId="77777777" w:rsidR="00A47AEA" w:rsidRDefault="008A2465" w:rsidP="00711458">
      <w:pPr>
        <w:numPr>
          <w:ilvl w:val="0"/>
          <w:numId w:val="1"/>
        </w:numPr>
        <w:spacing w:before="0" w:after="0"/>
        <w:jc w:val="left"/>
        <w:rPr>
          <w:rFonts w:cs="Arial"/>
        </w:rPr>
      </w:pPr>
      <w:r w:rsidRPr="00F25596">
        <w:rPr>
          <w:rFonts w:cs="Arial"/>
        </w:rPr>
        <w:t>Taking account of the nature and degree of the mental disorder from which the patient is suffering and all other circumstances of the case, appropriate medical treatment is available to the patient</w:t>
      </w:r>
    </w:p>
    <w:p w14:paraId="648F6AA7" w14:textId="77777777" w:rsidR="00A47AEA" w:rsidRDefault="00A47AEA" w:rsidP="00A47AEA">
      <w:pPr>
        <w:spacing w:before="0" w:after="0"/>
        <w:jc w:val="left"/>
        <w:rPr>
          <w:rFonts w:cs="Arial"/>
        </w:rPr>
      </w:pPr>
    </w:p>
    <w:p w14:paraId="6A57B1A5" w14:textId="3B2A0C98" w:rsidR="00355946" w:rsidRDefault="008A2465" w:rsidP="00F46513">
      <w:pPr>
        <w:spacing w:after="0"/>
        <w:ind w:left="720" w:hanging="720"/>
        <w:rPr>
          <w:rFonts w:cs="Arial"/>
        </w:rPr>
      </w:pPr>
      <w:r w:rsidRPr="00711458">
        <w:rPr>
          <w:rFonts w:cs="Arial"/>
        </w:rPr>
        <w:t xml:space="preserve"> </w:t>
      </w:r>
      <w:r w:rsidR="00A47AEA">
        <w:rPr>
          <w:rFonts w:cs="Arial"/>
        </w:rPr>
        <w:t>3.2</w:t>
      </w:r>
      <w:r w:rsidR="00A47AEA" w:rsidRPr="009A0B72">
        <w:rPr>
          <w:rFonts w:cs="Arial"/>
        </w:rPr>
        <w:tab/>
        <w:t>An Approved Mental Health Professional (AMHP) (who could be working in the same team as the RC</w:t>
      </w:r>
      <w:r w:rsidR="00A47AEA" w:rsidRPr="009A0B72">
        <w:rPr>
          <w:rFonts w:cs="Arial"/>
          <w:vertAlign w:val="superscript"/>
        </w:rPr>
        <w:footnoteReference w:id="2"/>
      </w:r>
      <w:r w:rsidR="00A47AEA" w:rsidRPr="009A0B72">
        <w:rPr>
          <w:rFonts w:cs="Arial"/>
        </w:rPr>
        <w:t>) must agree in writing that the patient meets the criteria for a CTO, a CTO is appropriate and any conditions made are necessary or appropriate for one or more of the following reasons:</w:t>
      </w:r>
    </w:p>
    <w:p w14:paraId="5731FC02" w14:textId="77777777" w:rsidR="00F46513" w:rsidRPr="009A0B72" w:rsidRDefault="00F46513" w:rsidP="00F46513">
      <w:pPr>
        <w:spacing w:after="0"/>
        <w:ind w:left="720" w:hanging="720"/>
        <w:rPr>
          <w:rFonts w:cs="Arial"/>
        </w:rPr>
      </w:pPr>
    </w:p>
    <w:p w14:paraId="1C9E6E3C" w14:textId="77777777" w:rsidR="00A47AEA" w:rsidRPr="009A0B72" w:rsidRDefault="00A47AEA" w:rsidP="00A47AEA">
      <w:pPr>
        <w:numPr>
          <w:ilvl w:val="0"/>
          <w:numId w:val="2"/>
        </w:numPr>
        <w:spacing w:before="0" w:after="0"/>
        <w:rPr>
          <w:rFonts w:cs="Arial"/>
        </w:rPr>
      </w:pPr>
      <w:r w:rsidRPr="009A0B72">
        <w:rPr>
          <w:rFonts w:cs="Arial"/>
        </w:rPr>
        <w:t>to ensure the patient receives medical treatment;</w:t>
      </w:r>
    </w:p>
    <w:p w14:paraId="04F7BFDA" w14:textId="77777777" w:rsidR="00A47AEA" w:rsidRPr="009A0B72" w:rsidRDefault="00A47AEA" w:rsidP="00A47AEA">
      <w:pPr>
        <w:numPr>
          <w:ilvl w:val="0"/>
          <w:numId w:val="2"/>
        </w:numPr>
        <w:spacing w:before="0" w:after="0"/>
        <w:rPr>
          <w:rFonts w:cs="Arial"/>
        </w:rPr>
      </w:pPr>
      <w:r w:rsidRPr="009A0B72">
        <w:rPr>
          <w:rFonts w:cs="Arial"/>
        </w:rPr>
        <w:t>to prevent risk of harm to patient’s health or safety;</w:t>
      </w:r>
    </w:p>
    <w:p w14:paraId="2F87CFAF" w14:textId="77777777" w:rsidR="00A47AEA" w:rsidRPr="008A2465" w:rsidRDefault="00A47AEA" w:rsidP="00A47AEA">
      <w:pPr>
        <w:numPr>
          <w:ilvl w:val="0"/>
          <w:numId w:val="2"/>
        </w:numPr>
        <w:spacing w:before="0" w:after="0"/>
        <w:rPr>
          <w:rFonts w:cs="Arial"/>
        </w:rPr>
      </w:pPr>
      <w:r w:rsidRPr="009A0B72">
        <w:rPr>
          <w:rFonts w:cs="Arial"/>
        </w:rPr>
        <w:t>to protect other persons.</w:t>
      </w:r>
    </w:p>
    <w:p w14:paraId="49CB3BED" w14:textId="7BAE1CCA" w:rsidR="00280F66" w:rsidRDefault="00A47AEA" w:rsidP="0035621D">
      <w:pPr>
        <w:spacing w:after="0"/>
        <w:ind w:left="720"/>
        <w:rPr>
          <w:rFonts w:cs="Arial"/>
        </w:rPr>
      </w:pPr>
      <w:r w:rsidRPr="009936A6">
        <w:rPr>
          <w:rFonts w:cs="Arial"/>
          <w:color w:val="000000" w:themeColor="text1"/>
        </w:rPr>
        <w:t xml:space="preserve">The Code of Practice at 29.25 states that if the AMHP does not agree then the CTO cannot be made. Faced with a disagreement, the RC should not attempt to seek an alternative view from another AMHP. </w:t>
      </w:r>
      <w:r w:rsidRPr="009A0B72">
        <w:rPr>
          <w:rFonts w:cs="Arial"/>
        </w:rPr>
        <w:t>Should circumstances change or further information come to light, further consideration could be given and ideally the original AMH</w:t>
      </w:r>
      <w:r>
        <w:rPr>
          <w:rFonts w:cs="Arial"/>
        </w:rPr>
        <w:t>P</w:t>
      </w:r>
      <w:r w:rsidRPr="009A0B72">
        <w:rPr>
          <w:rFonts w:cs="Arial"/>
        </w:rPr>
        <w:t xml:space="preserve"> should be consulted with an explanation clearly documented if this is not practicable</w:t>
      </w:r>
    </w:p>
    <w:p w14:paraId="61935D47" w14:textId="77777777" w:rsidR="0035621D" w:rsidRDefault="0035621D" w:rsidP="0035621D">
      <w:pPr>
        <w:spacing w:after="0"/>
        <w:ind w:left="720"/>
        <w:rPr>
          <w:rFonts w:cs="Arial"/>
        </w:rPr>
      </w:pPr>
    </w:p>
    <w:p w14:paraId="6CA4F9E0" w14:textId="0521AB03" w:rsidR="00A47AEA" w:rsidRDefault="00A47AEA" w:rsidP="00A47AEA">
      <w:pPr>
        <w:pStyle w:val="NoSpacing"/>
      </w:pPr>
      <w:r>
        <w:t xml:space="preserve">3.3     </w:t>
      </w:r>
      <w:r w:rsidRPr="005D64DE">
        <w:t xml:space="preserve">The RC should inform the patient and others who were consulted, of the decision to     </w:t>
      </w:r>
      <w:r>
        <w:t xml:space="preserve">                                        </w:t>
      </w:r>
    </w:p>
    <w:p w14:paraId="1012F220" w14:textId="77777777" w:rsidR="00A47AEA" w:rsidRDefault="00A47AEA" w:rsidP="00A47AEA">
      <w:pPr>
        <w:pStyle w:val="NoSpacing"/>
      </w:pPr>
      <w:r>
        <w:t xml:space="preserve">          </w:t>
      </w:r>
      <w:r w:rsidRPr="005D64DE">
        <w:t xml:space="preserve">discharge a patient onto a CTO, including any conditions applied to the CTO and </w:t>
      </w:r>
    </w:p>
    <w:p w14:paraId="41DF70E5" w14:textId="77777777" w:rsidR="00A47AEA" w:rsidRDefault="00A47AEA" w:rsidP="00A47AEA">
      <w:pPr>
        <w:pStyle w:val="NoSpacing"/>
      </w:pPr>
      <w:r>
        <w:t xml:space="preserve">          </w:t>
      </w:r>
      <w:r w:rsidRPr="005D64DE">
        <w:t xml:space="preserve">services available for the patient. This will normally include making a copy of the CTO </w:t>
      </w:r>
    </w:p>
    <w:p w14:paraId="33FACEAB" w14:textId="3A3C047A" w:rsidR="00A47AEA" w:rsidRDefault="00A47AEA" w:rsidP="00A47AEA">
      <w:pPr>
        <w:pStyle w:val="NoSpacing"/>
      </w:pPr>
      <w:r>
        <w:t xml:space="preserve">          </w:t>
      </w:r>
      <w:r w:rsidRPr="005D64DE">
        <w:t>documentation available to the patient – see Code of Practice 29.34.</w:t>
      </w:r>
    </w:p>
    <w:p w14:paraId="2B848634" w14:textId="10DFF356" w:rsidR="00280F66" w:rsidRDefault="00280F66" w:rsidP="00A47AEA">
      <w:pPr>
        <w:pStyle w:val="NoSpacing"/>
      </w:pPr>
    </w:p>
    <w:p w14:paraId="3A0C1C1A" w14:textId="3058513E" w:rsidR="00280F66" w:rsidRPr="001D1663" w:rsidRDefault="00280F66" w:rsidP="00280F66">
      <w:pPr>
        <w:pStyle w:val="ListParagraph"/>
        <w:numPr>
          <w:ilvl w:val="0"/>
          <w:numId w:val="11"/>
        </w:numPr>
        <w:spacing w:after="0"/>
        <w:rPr>
          <w:rFonts w:ascii="Arial" w:hAnsi="Arial" w:cs="Arial"/>
          <w:b/>
        </w:rPr>
      </w:pPr>
      <w:r w:rsidRPr="00280F66">
        <w:rPr>
          <w:rFonts w:ascii="Arial" w:hAnsi="Arial" w:cs="Arial"/>
          <w:b/>
        </w:rPr>
        <w:t xml:space="preserve">    Decision to use a CTO or Section 17 Leave:</w:t>
      </w:r>
    </w:p>
    <w:p w14:paraId="5572D8A8" w14:textId="6B9A9E01" w:rsidR="00280F66" w:rsidRPr="009A0B72" w:rsidRDefault="001D1663" w:rsidP="001D1663">
      <w:pPr>
        <w:spacing w:after="0"/>
        <w:ind w:left="720" w:hanging="720"/>
        <w:rPr>
          <w:rFonts w:cs="Arial"/>
        </w:rPr>
      </w:pPr>
      <w:r>
        <w:rPr>
          <w:rFonts w:cs="Arial"/>
        </w:rPr>
        <w:t>4</w:t>
      </w:r>
      <w:r w:rsidR="00280F66" w:rsidRPr="009A0B72">
        <w:rPr>
          <w:rFonts w:cs="Arial"/>
        </w:rPr>
        <w:t>.1</w:t>
      </w:r>
      <w:r w:rsidR="00280F66" w:rsidRPr="009A0B72">
        <w:rPr>
          <w:rFonts w:cs="Arial"/>
        </w:rPr>
        <w:tab/>
        <w:t>Section 17</w:t>
      </w:r>
      <w:r w:rsidR="00280F66">
        <w:rPr>
          <w:rFonts w:cs="Arial"/>
        </w:rPr>
        <w:t xml:space="preserve"> (s17)</w:t>
      </w:r>
      <w:r w:rsidR="00280F66" w:rsidRPr="009A0B72">
        <w:rPr>
          <w:rFonts w:cs="Arial"/>
        </w:rPr>
        <w:t xml:space="preserve"> (relating to leave of absence from hospital) of the Act states that when considering granting longer term leave, an </w:t>
      </w:r>
      <w:r w:rsidR="00280F66">
        <w:rPr>
          <w:rFonts w:cs="Arial"/>
        </w:rPr>
        <w:t>RC</w:t>
      </w:r>
      <w:r w:rsidR="00280F66" w:rsidRPr="009A0B72">
        <w:rPr>
          <w:rFonts w:cs="Arial"/>
        </w:rPr>
        <w:t xml:space="preserve"> must consider whether </w:t>
      </w:r>
      <w:r w:rsidR="00280F66">
        <w:rPr>
          <w:rFonts w:cs="Arial"/>
        </w:rPr>
        <w:t xml:space="preserve">a CTO </w:t>
      </w:r>
      <w:r w:rsidR="00280F66" w:rsidRPr="009A0B72">
        <w:rPr>
          <w:rFonts w:cs="Arial"/>
        </w:rPr>
        <w:t xml:space="preserve">might be the more appropriate way of managing the patient in the community. This applies to </w:t>
      </w:r>
      <w:r w:rsidR="00280F66">
        <w:rPr>
          <w:rFonts w:cs="Arial"/>
        </w:rPr>
        <w:t>s</w:t>
      </w:r>
      <w:r w:rsidR="00280F66" w:rsidRPr="009A0B72">
        <w:rPr>
          <w:rFonts w:cs="Arial"/>
        </w:rPr>
        <w:t>17 leave being considered for more than 7 consecutive days (or where leave is extended so the total leave grante</w:t>
      </w:r>
      <w:r>
        <w:rPr>
          <w:rFonts w:cs="Arial"/>
        </w:rPr>
        <w:t xml:space="preserve">d exceeds 7 consecutive days). </w:t>
      </w:r>
    </w:p>
    <w:p w14:paraId="24F08969" w14:textId="43986E02" w:rsidR="00280F66" w:rsidRPr="009A0B72" w:rsidRDefault="001D1663" w:rsidP="001D1663">
      <w:pPr>
        <w:spacing w:after="0"/>
        <w:ind w:left="720" w:hanging="720"/>
        <w:rPr>
          <w:rFonts w:cs="Arial"/>
        </w:rPr>
      </w:pPr>
      <w:r>
        <w:rPr>
          <w:rFonts w:cs="Arial"/>
        </w:rPr>
        <w:t>4</w:t>
      </w:r>
      <w:r w:rsidR="00280F66" w:rsidRPr="009A0B72">
        <w:rPr>
          <w:rFonts w:cs="Arial"/>
        </w:rPr>
        <w:t>.2</w:t>
      </w:r>
      <w:r w:rsidR="00280F66" w:rsidRPr="009A0B72">
        <w:rPr>
          <w:rFonts w:cs="Arial"/>
        </w:rPr>
        <w:tab/>
        <w:t xml:space="preserve">These provisions do not affect leave arrangements for restricted patients or patients whose legal status makes them ineligible for </w:t>
      </w:r>
      <w:r w:rsidR="00280F66">
        <w:rPr>
          <w:rFonts w:cs="Arial"/>
        </w:rPr>
        <w:t>a</w:t>
      </w:r>
      <w:r w:rsidR="00280F66" w:rsidRPr="009A0B72">
        <w:rPr>
          <w:rFonts w:cs="Arial"/>
        </w:rPr>
        <w:t xml:space="preserve"> </w:t>
      </w:r>
      <w:r w:rsidR="00280F66">
        <w:rPr>
          <w:rFonts w:cs="Arial"/>
        </w:rPr>
        <w:t>CTO</w:t>
      </w:r>
      <w:r w:rsidR="00280F66" w:rsidRPr="009A0B72">
        <w:rPr>
          <w:rFonts w:cs="Arial"/>
        </w:rPr>
        <w:t xml:space="preserve">. The </w:t>
      </w:r>
      <w:r w:rsidR="00280F66">
        <w:rPr>
          <w:rFonts w:cs="Arial"/>
        </w:rPr>
        <w:t>RC</w:t>
      </w:r>
      <w:r w:rsidR="00280F66" w:rsidRPr="009A0B72">
        <w:rPr>
          <w:rFonts w:cs="Arial"/>
        </w:rPr>
        <w:t xml:space="preserve"> may still legitimately authorise longer-term leave where it is the more suitable op</w:t>
      </w:r>
      <w:r w:rsidR="009F09B1">
        <w:rPr>
          <w:rFonts w:cs="Arial"/>
        </w:rPr>
        <w:t>tion but must document that s/</w:t>
      </w:r>
      <w:r w:rsidR="00280F66" w:rsidRPr="009A0B72">
        <w:rPr>
          <w:rFonts w:cs="Arial"/>
        </w:rPr>
        <w:t>he has considered whether</w:t>
      </w:r>
      <w:r w:rsidR="00280F66">
        <w:rPr>
          <w:rFonts w:cs="Arial"/>
        </w:rPr>
        <w:t xml:space="preserve"> a</w:t>
      </w:r>
      <w:r w:rsidR="00280F66" w:rsidRPr="009A0B72">
        <w:rPr>
          <w:rFonts w:cs="Arial"/>
        </w:rPr>
        <w:t xml:space="preserve"> </w:t>
      </w:r>
      <w:r w:rsidR="00280F66">
        <w:rPr>
          <w:rFonts w:cs="Arial"/>
        </w:rPr>
        <w:t xml:space="preserve">CTO </w:t>
      </w:r>
      <w:r w:rsidR="00280F66" w:rsidRPr="009A0B72">
        <w:rPr>
          <w:rFonts w:cs="Arial"/>
        </w:rPr>
        <w:t>is more appropriate</w:t>
      </w:r>
      <w:r>
        <w:rPr>
          <w:rFonts w:cs="Arial"/>
        </w:rPr>
        <w:t xml:space="preserve">. </w:t>
      </w:r>
    </w:p>
    <w:p w14:paraId="6CEA4068" w14:textId="7E38D075" w:rsidR="00B941E0" w:rsidRPr="009A0B72" w:rsidRDefault="001D1663" w:rsidP="00280F66">
      <w:pPr>
        <w:spacing w:after="0"/>
        <w:ind w:left="720" w:hanging="720"/>
        <w:rPr>
          <w:rFonts w:cs="Arial"/>
        </w:rPr>
      </w:pPr>
      <w:r>
        <w:rPr>
          <w:rFonts w:cs="Arial"/>
        </w:rPr>
        <w:t>4</w:t>
      </w:r>
      <w:r w:rsidR="00280F66" w:rsidRPr="009A0B72">
        <w:rPr>
          <w:rFonts w:cs="Arial"/>
        </w:rPr>
        <w:t>.3</w:t>
      </w:r>
      <w:r w:rsidR="00280F66" w:rsidRPr="009A0B72">
        <w:rPr>
          <w:rFonts w:cs="Arial"/>
        </w:rPr>
        <w:tab/>
        <w:t xml:space="preserve">This issue </w:t>
      </w:r>
      <w:r w:rsidR="00B941E0">
        <w:rPr>
          <w:rFonts w:cs="Arial"/>
        </w:rPr>
        <w:t>must</w:t>
      </w:r>
      <w:r w:rsidR="00B941E0" w:rsidRPr="009A0B72">
        <w:rPr>
          <w:rFonts w:cs="Arial"/>
        </w:rPr>
        <w:t xml:space="preserve"> </w:t>
      </w:r>
      <w:r w:rsidR="00280F66" w:rsidRPr="009A0B72">
        <w:rPr>
          <w:rFonts w:cs="Arial"/>
        </w:rPr>
        <w:t>be reconsidered whenever an ongoing period of longer-term leave is reviewed. s17 leave forms provi</w:t>
      </w:r>
      <w:r w:rsidR="00C478E4">
        <w:rPr>
          <w:rFonts w:cs="Arial"/>
        </w:rPr>
        <w:t>de</w:t>
      </w:r>
      <w:r w:rsidR="00280F66" w:rsidRPr="009A0B72">
        <w:rPr>
          <w:rFonts w:cs="Arial"/>
        </w:rPr>
        <w:t xml:space="preserve"> a space for the </w:t>
      </w:r>
      <w:r w:rsidR="00280F66">
        <w:rPr>
          <w:rFonts w:cs="Arial"/>
        </w:rPr>
        <w:t>RC</w:t>
      </w:r>
      <w:r w:rsidR="00280F66" w:rsidRPr="009A0B72">
        <w:rPr>
          <w:rFonts w:cs="Arial"/>
        </w:rPr>
        <w:t xml:space="preserve"> </w:t>
      </w:r>
      <w:r w:rsidR="00B941E0">
        <w:rPr>
          <w:rFonts w:cs="Arial"/>
        </w:rPr>
        <w:t xml:space="preserve">who must </w:t>
      </w:r>
      <w:r w:rsidR="00280F66" w:rsidRPr="009A0B72">
        <w:rPr>
          <w:rFonts w:cs="Arial"/>
        </w:rPr>
        <w:t xml:space="preserve">record their reasons, that </w:t>
      </w:r>
      <w:r w:rsidR="00280F66">
        <w:rPr>
          <w:rFonts w:cs="Arial"/>
        </w:rPr>
        <w:t>a</w:t>
      </w:r>
      <w:r w:rsidR="00280F66" w:rsidRPr="009A0B72">
        <w:rPr>
          <w:rFonts w:cs="Arial"/>
        </w:rPr>
        <w:t xml:space="preserve"> </w:t>
      </w:r>
      <w:r w:rsidR="00280F66">
        <w:rPr>
          <w:rFonts w:cs="Arial"/>
        </w:rPr>
        <w:t xml:space="preserve">CTO </w:t>
      </w:r>
      <w:r w:rsidR="00280F66" w:rsidRPr="009A0B72">
        <w:rPr>
          <w:rFonts w:cs="Arial"/>
        </w:rPr>
        <w:t>has been considered where appropriate and why the use of s17 was preferred.</w:t>
      </w:r>
    </w:p>
    <w:p w14:paraId="7D40A369" w14:textId="77777777" w:rsidR="00280F66" w:rsidRPr="009A0B72" w:rsidRDefault="00280F66" w:rsidP="00B941E0">
      <w:pPr>
        <w:spacing w:after="0"/>
        <w:ind w:left="720" w:hanging="720"/>
        <w:rPr>
          <w:rFonts w:cs="Arial"/>
        </w:rPr>
      </w:pPr>
    </w:p>
    <w:p w14:paraId="28DB9384" w14:textId="77777777" w:rsidR="001D1663" w:rsidRDefault="001D1663" w:rsidP="001D1663">
      <w:pPr>
        <w:tabs>
          <w:tab w:val="num" w:pos="720"/>
        </w:tabs>
        <w:spacing w:before="0" w:after="0"/>
        <w:rPr>
          <w:rFonts w:cs="Arial"/>
        </w:rPr>
      </w:pPr>
      <w:r>
        <w:rPr>
          <w:rFonts w:cs="Arial"/>
        </w:rPr>
        <w:t xml:space="preserve">4.4      </w:t>
      </w:r>
      <w:r w:rsidR="00280F66" w:rsidRPr="009A0B72">
        <w:rPr>
          <w:rFonts w:cs="Arial"/>
        </w:rPr>
        <w:t xml:space="preserve">The Code sets out a table of pointers for </w:t>
      </w:r>
      <w:r w:rsidR="00280F66">
        <w:rPr>
          <w:rFonts w:cs="Arial"/>
        </w:rPr>
        <w:t>a</w:t>
      </w:r>
      <w:r w:rsidR="00280F66" w:rsidRPr="009A0B72">
        <w:rPr>
          <w:rFonts w:cs="Arial"/>
        </w:rPr>
        <w:t xml:space="preserve"> </w:t>
      </w:r>
      <w:r w:rsidR="00280F66">
        <w:rPr>
          <w:rFonts w:cs="Arial"/>
        </w:rPr>
        <w:t>CTO</w:t>
      </w:r>
      <w:r w:rsidR="00280F66" w:rsidRPr="009A0B72">
        <w:rPr>
          <w:rFonts w:cs="Arial"/>
        </w:rPr>
        <w:t xml:space="preserve"> or longer-term leave of absence which </w:t>
      </w:r>
      <w:r>
        <w:rPr>
          <w:rFonts w:cs="Arial"/>
        </w:rPr>
        <w:t xml:space="preserve"> </w:t>
      </w:r>
    </w:p>
    <w:p w14:paraId="3F9E854E" w14:textId="77777777" w:rsidR="001D1663" w:rsidRDefault="001D1663" w:rsidP="001D1663">
      <w:pPr>
        <w:tabs>
          <w:tab w:val="num" w:pos="720"/>
        </w:tabs>
        <w:spacing w:before="0" w:after="0"/>
        <w:rPr>
          <w:rFonts w:cs="Arial"/>
        </w:rPr>
      </w:pPr>
      <w:r>
        <w:rPr>
          <w:rFonts w:cs="Arial"/>
        </w:rPr>
        <w:t xml:space="preserve">           </w:t>
      </w:r>
      <w:r w:rsidR="00280F66" w:rsidRPr="009A0B72">
        <w:rPr>
          <w:rFonts w:cs="Arial"/>
        </w:rPr>
        <w:t>may be of assistance to R</w:t>
      </w:r>
      <w:r w:rsidR="00280F66">
        <w:rPr>
          <w:rFonts w:cs="Arial"/>
        </w:rPr>
        <w:t>C</w:t>
      </w:r>
      <w:r w:rsidR="00280F66" w:rsidRPr="009A0B72">
        <w:rPr>
          <w:rFonts w:cs="Arial"/>
        </w:rPr>
        <w:t xml:space="preserve">’s and is replicated below. (A further table contrasting </w:t>
      </w:r>
      <w:r w:rsidR="00280F66">
        <w:rPr>
          <w:rFonts w:cs="Arial"/>
        </w:rPr>
        <w:t>a</w:t>
      </w:r>
      <w:r w:rsidR="00280F66" w:rsidRPr="009A0B72">
        <w:rPr>
          <w:rFonts w:cs="Arial"/>
        </w:rPr>
        <w:t xml:space="preserve"> </w:t>
      </w:r>
    </w:p>
    <w:p w14:paraId="70D973DC" w14:textId="392E4B96" w:rsidR="00280F66" w:rsidRDefault="001D1663" w:rsidP="001D1663">
      <w:pPr>
        <w:tabs>
          <w:tab w:val="num" w:pos="720"/>
        </w:tabs>
        <w:spacing w:before="0" w:after="0"/>
        <w:rPr>
          <w:rFonts w:cs="Arial"/>
        </w:rPr>
      </w:pPr>
      <w:r>
        <w:rPr>
          <w:rFonts w:cs="Arial"/>
        </w:rPr>
        <w:t xml:space="preserve">           </w:t>
      </w:r>
      <w:r w:rsidR="00280F66">
        <w:rPr>
          <w:rFonts w:cs="Arial"/>
        </w:rPr>
        <w:t>CTO</w:t>
      </w:r>
      <w:r w:rsidR="00280F66" w:rsidRPr="009A0B72">
        <w:rPr>
          <w:rFonts w:cs="Arial"/>
        </w:rPr>
        <w:t xml:space="preserve"> and guardianship can also be found in the Code at Para. </w:t>
      </w:r>
      <w:r w:rsidR="00280F66">
        <w:rPr>
          <w:rFonts w:cs="Arial"/>
        </w:rPr>
        <w:t>31.7</w:t>
      </w:r>
      <w:r w:rsidR="00280F66" w:rsidRPr="009A0B72">
        <w:rPr>
          <w:rFonts w:cs="Arial"/>
        </w:rPr>
        <w:t>)</w:t>
      </w:r>
    </w:p>
    <w:p w14:paraId="187323B5" w14:textId="77777777" w:rsidR="001D1663" w:rsidRPr="001D1663" w:rsidRDefault="001D1663" w:rsidP="001D1663">
      <w:pPr>
        <w:spacing w:before="0" w:after="0"/>
        <w:ind w:left="720"/>
        <w:rPr>
          <w:rFonts w:cs="Arial"/>
        </w:rPr>
      </w:pPr>
    </w:p>
    <w:tbl>
      <w:tblPr>
        <w:tblW w:w="872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280F66" w:rsidRPr="009A0B72" w14:paraId="378999C8" w14:textId="77777777" w:rsidTr="00B0087A">
        <w:tc>
          <w:tcPr>
            <w:tcW w:w="4360" w:type="dxa"/>
            <w:shd w:val="clear" w:color="auto" w:fill="C0C0C0"/>
          </w:tcPr>
          <w:p w14:paraId="613EB096" w14:textId="77777777" w:rsidR="00280F66" w:rsidRPr="009A0B72" w:rsidRDefault="00280F66" w:rsidP="00471898">
            <w:pPr>
              <w:spacing w:after="0"/>
              <w:rPr>
                <w:rFonts w:cs="Arial"/>
                <w:b/>
              </w:rPr>
            </w:pPr>
            <w:r w:rsidRPr="009A0B72">
              <w:rPr>
                <w:rFonts w:cs="Arial"/>
                <w:b/>
              </w:rPr>
              <w:t>Factors  suggesting longer-term leave</w:t>
            </w:r>
          </w:p>
          <w:p w14:paraId="3D095976" w14:textId="77777777" w:rsidR="00280F66" w:rsidRPr="009A0B72" w:rsidRDefault="00280F66" w:rsidP="00471898">
            <w:pPr>
              <w:spacing w:after="0"/>
              <w:rPr>
                <w:rFonts w:cs="Arial"/>
                <w:b/>
              </w:rPr>
            </w:pPr>
          </w:p>
        </w:tc>
        <w:tc>
          <w:tcPr>
            <w:tcW w:w="4360" w:type="dxa"/>
            <w:shd w:val="clear" w:color="auto" w:fill="C0C0C0"/>
          </w:tcPr>
          <w:p w14:paraId="2AB9DE15" w14:textId="77777777" w:rsidR="00280F66" w:rsidRPr="009A0B72" w:rsidRDefault="00280F66" w:rsidP="00471898">
            <w:pPr>
              <w:spacing w:after="0"/>
              <w:rPr>
                <w:rFonts w:cs="Arial"/>
                <w:b/>
              </w:rPr>
            </w:pPr>
            <w:r w:rsidRPr="009A0B72">
              <w:rPr>
                <w:rFonts w:cs="Arial"/>
                <w:b/>
              </w:rPr>
              <w:t xml:space="preserve">factors suggesting </w:t>
            </w:r>
            <w:r>
              <w:rPr>
                <w:rFonts w:cs="Arial"/>
                <w:b/>
              </w:rPr>
              <w:t xml:space="preserve">a </w:t>
            </w:r>
            <w:r w:rsidRPr="009A0B72">
              <w:rPr>
                <w:rFonts w:cs="Arial"/>
                <w:b/>
              </w:rPr>
              <w:t>community treatment</w:t>
            </w:r>
            <w:r>
              <w:rPr>
                <w:rFonts w:cs="Arial"/>
                <w:b/>
              </w:rPr>
              <w:t xml:space="preserve"> order</w:t>
            </w:r>
          </w:p>
        </w:tc>
      </w:tr>
      <w:tr w:rsidR="00280F66" w:rsidRPr="009A0B72" w14:paraId="4D2981C8" w14:textId="77777777" w:rsidTr="00B0087A">
        <w:tc>
          <w:tcPr>
            <w:tcW w:w="4360" w:type="dxa"/>
          </w:tcPr>
          <w:p w14:paraId="34DD5271" w14:textId="77777777" w:rsidR="00280F66" w:rsidRPr="009A0B72" w:rsidRDefault="00280F66" w:rsidP="00471898">
            <w:pPr>
              <w:spacing w:after="0"/>
              <w:ind w:left="360"/>
              <w:rPr>
                <w:rFonts w:cs="Arial"/>
              </w:rPr>
            </w:pPr>
          </w:p>
          <w:p w14:paraId="29B08927" w14:textId="77777777" w:rsidR="00280F66" w:rsidRPr="009A0B72" w:rsidRDefault="00280F66" w:rsidP="00280F66">
            <w:pPr>
              <w:numPr>
                <w:ilvl w:val="0"/>
                <w:numId w:val="8"/>
              </w:numPr>
              <w:spacing w:before="0" w:after="0"/>
              <w:jc w:val="left"/>
              <w:rPr>
                <w:rFonts w:cs="Arial"/>
              </w:rPr>
            </w:pPr>
            <w:r w:rsidRPr="009A0B72">
              <w:rPr>
                <w:rFonts w:cs="Arial"/>
              </w:rPr>
              <w:t>Discharge from hospital is for a specific purpose or a fixed period.</w:t>
            </w:r>
          </w:p>
          <w:p w14:paraId="748A574F" w14:textId="77777777" w:rsidR="00280F66" w:rsidRPr="009A0B72" w:rsidRDefault="00280F66" w:rsidP="00280F66">
            <w:pPr>
              <w:numPr>
                <w:ilvl w:val="0"/>
                <w:numId w:val="8"/>
              </w:numPr>
              <w:spacing w:before="0" w:after="0"/>
              <w:jc w:val="left"/>
              <w:rPr>
                <w:rFonts w:cs="Arial"/>
              </w:rPr>
            </w:pPr>
            <w:r w:rsidRPr="009A0B72">
              <w:rPr>
                <w:rFonts w:cs="Arial"/>
              </w:rPr>
              <w:t>The patient’s discharge from hospital is deliberately on a “trial” basis.</w:t>
            </w:r>
          </w:p>
          <w:p w14:paraId="7A44701A" w14:textId="77777777" w:rsidR="00280F66" w:rsidRPr="009A0B72" w:rsidRDefault="00280F66" w:rsidP="00280F66">
            <w:pPr>
              <w:numPr>
                <w:ilvl w:val="0"/>
                <w:numId w:val="8"/>
              </w:numPr>
              <w:spacing w:before="0" w:after="0"/>
              <w:jc w:val="left"/>
              <w:rPr>
                <w:rFonts w:cs="Arial"/>
              </w:rPr>
            </w:pPr>
            <w:r w:rsidRPr="009A0B72">
              <w:rPr>
                <w:rFonts w:cs="Arial"/>
              </w:rPr>
              <w:t>The patient is likely to need further in-patient treatment without their consent or compliance.</w:t>
            </w:r>
          </w:p>
          <w:p w14:paraId="2E8D7FC5" w14:textId="77777777" w:rsidR="00280F66" w:rsidRPr="009A0B72" w:rsidRDefault="00280F66" w:rsidP="00280F66">
            <w:pPr>
              <w:numPr>
                <w:ilvl w:val="0"/>
                <w:numId w:val="8"/>
              </w:numPr>
              <w:spacing w:before="0" w:after="0"/>
              <w:jc w:val="left"/>
              <w:rPr>
                <w:rFonts w:cs="Arial"/>
              </w:rPr>
            </w:pPr>
            <w:r w:rsidRPr="009A0B72">
              <w:rPr>
                <w:rFonts w:cs="Arial"/>
              </w:rPr>
              <w:t xml:space="preserve">There is a serious risk of arrangements in the community breaking down or being unsatisfactory – more so than for </w:t>
            </w:r>
            <w:r>
              <w:rPr>
                <w:rFonts w:cs="Arial"/>
              </w:rPr>
              <w:t>a</w:t>
            </w:r>
            <w:r w:rsidRPr="009A0B72">
              <w:rPr>
                <w:rFonts w:cs="Arial"/>
              </w:rPr>
              <w:t xml:space="preserve"> </w:t>
            </w:r>
            <w:r>
              <w:rPr>
                <w:rFonts w:cs="Arial"/>
              </w:rPr>
              <w:t>CTO</w:t>
            </w:r>
            <w:r w:rsidRPr="009A0B72">
              <w:rPr>
                <w:rFonts w:cs="Arial"/>
              </w:rPr>
              <w:t>.</w:t>
            </w:r>
          </w:p>
          <w:p w14:paraId="056B78D2" w14:textId="77777777" w:rsidR="00280F66" w:rsidRPr="009A0B72" w:rsidRDefault="00280F66" w:rsidP="00471898">
            <w:pPr>
              <w:spacing w:after="0"/>
              <w:rPr>
                <w:rFonts w:cs="Arial"/>
              </w:rPr>
            </w:pPr>
          </w:p>
        </w:tc>
        <w:tc>
          <w:tcPr>
            <w:tcW w:w="4360" w:type="dxa"/>
          </w:tcPr>
          <w:p w14:paraId="0706B203" w14:textId="77777777" w:rsidR="00280F66" w:rsidRPr="009A0B72" w:rsidRDefault="00280F66" w:rsidP="00471898">
            <w:pPr>
              <w:spacing w:after="0"/>
              <w:ind w:left="360"/>
              <w:rPr>
                <w:rFonts w:cs="Arial"/>
              </w:rPr>
            </w:pPr>
          </w:p>
          <w:p w14:paraId="26E7C687" w14:textId="77777777" w:rsidR="00280F66" w:rsidRPr="009A0B72" w:rsidRDefault="00280F66" w:rsidP="00280F66">
            <w:pPr>
              <w:numPr>
                <w:ilvl w:val="0"/>
                <w:numId w:val="8"/>
              </w:numPr>
              <w:spacing w:before="0" w:after="0"/>
              <w:jc w:val="left"/>
              <w:rPr>
                <w:rFonts w:cs="Arial"/>
              </w:rPr>
            </w:pPr>
            <w:r w:rsidRPr="009A0B72">
              <w:rPr>
                <w:rFonts w:cs="Arial"/>
              </w:rPr>
              <w:t>There is confidence that the patient is ready for discharge from hospital on an indefinite basis.</w:t>
            </w:r>
          </w:p>
          <w:p w14:paraId="24B7EDAE" w14:textId="77777777" w:rsidR="00280F66" w:rsidRPr="009A0B72" w:rsidRDefault="00280F66" w:rsidP="00280F66">
            <w:pPr>
              <w:numPr>
                <w:ilvl w:val="0"/>
                <w:numId w:val="8"/>
              </w:numPr>
              <w:spacing w:before="0" w:after="0"/>
              <w:jc w:val="left"/>
              <w:rPr>
                <w:rFonts w:cs="Arial"/>
              </w:rPr>
            </w:pPr>
            <w:r w:rsidRPr="009A0B72">
              <w:rPr>
                <w:rFonts w:cs="Arial"/>
              </w:rPr>
              <w:t>There are good reasons to expect that the patient will not need to be detained for the treatment they need to be given.</w:t>
            </w:r>
          </w:p>
          <w:p w14:paraId="3F25EE5F" w14:textId="77777777" w:rsidR="00280F66" w:rsidRPr="009A0B72" w:rsidRDefault="00280F66" w:rsidP="00280F66">
            <w:pPr>
              <w:numPr>
                <w:ilvl w:val="0"/>
                <w:numId w:val="8"/>
              </w:numPr>
              <w:spacing w:before="0" w:after="0"/>
              <w:jc w:val="left"/>
              <w:rPr>
                <w:rFonts w:cs="Arial"/>
              </w:rPr>
            </w:pPr>
            <w:r w:rsidRPr="009A0B72">
              <w:rPr>
                <w:rFonts w:cs="Arial"/>
              </w:rPr>
              <w:t>The patient appears prepared to consent or comply with the treatment they need – but risks as below mean that recall may be necessary.</w:t>
            </w:r>
          </w:p>
          <w:p w14:paraId="2D369B43" w14:textId="77777777" w:rsidR="00280F66" w:rsidRPr="009A0B72" w:rsidRDefault="00280F66" w:rsidP="00280F66">
            <w:pPr>
              <w:numPr>
                <w:ilvl w:val="0"/>
                <w:numId w:val="8"/>
              </w:numPr>
              <w:spacing w:before="0" w:after="0"/>
              <w:jc w:val="left"/>
              <w:rPr>
                <w:rFonts w:cs="Arial"/>
              </w:rPr>
            </w:pPr>
            <w:r w:rsidRPr="009A0B72">
              <w:rPr>
                <w:rFonts w:cs="Arial"/>
              </w:rPr>
              <w:t xml:space="preserve">The risk of arrangements in the community breaking down or of the patient needing to be recalled to hospital for treatment, is sufficiently serious to justify </w:t>
            </w:r>
            <w:r>
              <w:rPr>
                <w:rFonts w:cs="Arial"/>
              </w:rPr>
              <w:t xml:space="preserve">a </w:t>
            </w:r>
            <w:r w:rsidRPr="009A0B72">
              <w:rPr>
                <w:rFonts w:cs="Arial"/>
              </w:rPr>
              <w:t xml:space="preserve"> </w:t>
            </w:r>
            <w:r>
              <w:rPr>
                <w:rFonts w:cs="Arial"/>
              </w:rPr>
              <w:t>CTO</w:t>
            </w:r>
            <w:r w:rsidRPr="009A0B72">
              <w:rPr>
                <w:rFonts w:cs="Arial"/>
              </w:rPr>
              <w:t xml:space="preserve">, but not to the extent that it is very likely to happen </w:t>
            </w:r>
          </w:p>
          <w:p w14:paraId="22EF30A2" w14:textId="77777777" w:rsidR="00280F66" w:rsidRPr="009A0B72" w:rsidRDefault="00280F66" w:rsidP="00471898">
            <w:pPr>
              <w:spacing w:after="0"/>
              <w:ind w:left="360"/>
              <w:rPr>
                <w:rFonts w:cs="Arial"/>
              </w:rPr>
            </w:pPr>
          </w:p>
        </w:tc>
      </w:tr>
    </w:tbl>
    <w:p w14:paraId="743542F2" w14:textId="4D94BD1D" w:rsidR="008A2465" w:rsidRPr="001D1663" w:rsidRDefault="00B0087A" w:rsidP="00B0087A">
      <w:pPr>
        <w:spacing w:after="0"/>
        <w:outlineLvl w:val="0"/>
        <w:rPr>
          <w:rFonts w:cs="Arial"/>
          <w:b/>
          <w:i/>
        </w:rPr>
      </w:pPr>
      <w:r>
        <w:rPr>
          <w:rFonts w:cs="Arial"/>
          <w:b/>
          <w:i/>
        </w:rPr>
        <w:t xml:space="preserve">         </w:t>
      </w:r>
      <w:r w:rsidR="00280F66" w:rsidRPr="00B0087A">
        <w:rPr>
          <w:rFonts w:cs="Arial"/>
          <w:i/>
        </w:rPr>
        <w:t xml:space="preserve">Table </w:t>
      </w:r>
      <w:r w:rsidR="00CE29EA">
        <w:rPr>
          <w:rFonts w:cs="Arial"/>
          <w:i/>
        </w:rPr>
        <w:t>1</w:t>
      </w:r>
      <w:r w:rsidR="00280F66" w:rsidRPr="00B0087A">
        <w:rPr>
          <w:rFonts w:cs="Arial"/>
          <w:i/>
        </w:rPr>
        <w:t>: a CTO or longer-term leave of absence: relevant factors to consider</w:t>
      </w:r>
      <w:r w:rsidR="00280F66" w:rsidRPr="009A0B72">
        <w:rPr>
          <w:rFonts w:cs="Arial"/>
          <w:vertAlign w:val="superscript"/>
        </w:rPr>
        <w:footnoteReference w:id="3"/>
      </w:r>
    </w:p>
    <w:p w14:paraId="67AC8B1F" w14:textId="2508B87D" w:rsidR="00A47AEA" w:rsidRPr="00A47AEA" w:rsidRDefault="00B0087A" w:rsidP="008A2465">
      <w:pPr>
        <w:spacing w:after="0"/>
        <w:ind w:left="720" w:hanging="720"/>
        <w:rPr>
          <w:rFonts w:cs="Arial"/>
          <w:b/>
        </w:rPr>
      </w:pPr>
      <w:r>
        <w:rPr>
          <w:rFonts w:cs="Arial"/>
          <w:b/>
        </w:rPr>
        <w:t>5</w:t>
      </w:r>
      <w:r w:rsidR="00A47AEA" w:rsidRPr="00A47AEA">
        <w:rPr>
          <w:rFonts w:cs="Arial"/>
          <w:b/>
        </w:rPr>
        <w:t xml:space="preserve">.0      Mandatory and </w:t>
      </w:r>
      <w:r w:rsidR="00A47AEA">
        <w:rPr>
          <w:rFonts w:cs="Arial"/>
          <w:b/>
        </w:rPr>
        <w:t>Non Mandatory</w:t>
      </w:r>
      <w:r w:rsidR="00A47AEA" w:rsidRPr="00A47AEA">
        <w:rPr>
          <w:rFonts w:cs="Arial"/>
          <w:b/>
        </w:rPr>
        <w:t xml:space="preserve"> Conditions attached to a CTO</w:t>
      </w:r>
    </w:p>
    <w:p w14:paraId="7C4E2A66" w14:textId="3F449B44" w:rsidR="00A47AEA" w:rsidRDefault="00B0087A" w:rsidP="00B0087A">
      <w:pPr>
        <w:spacing w:after="0"/>
        <w:ind w:left="720" w:hanging="720"/>
        <w:rPr>
          <w:rFonts w:cs="Arial"/>
        </w:rPr>
      </w:pPr>
      <w:r>
        <w:rPr>
          <w:rFonts w:cs="Arial"/>
        </w:rPr>
        <w:t>5</w:t>
      </w:r>
      <w:r w:rsidR="00A47AEA">
        <w:rPr>
          <w:rFonts w:cs="Arial"/>
        </w:rPr>
        <w:t xml:space="preserve">.1       </w:t>
      </w:r>
      <w:r w:rsidR="008A2465" w:rsidRPr="009A0B72">
        <w:rPr>
          <w:rFonts w:cs="Arial"/>
        </w:rPr>
        <w:t>The following conditions are mandatory in all cases:</w:t>
      </w:r>
    </w:p>
    <w:p w14:paraId="46055499" w14:textId="77777777" w:rsidR="00B0087A" w:rsidRPr="009A0B72" w:rsidRDefault="00B0087A" w:rsidP="00B0087A">
      <w:pPr>
        <w:spacing w:after="0"/>
        <w:ind w:left="720" w:hanging="720"/>
        <w:rPr>
          <w:rFonts w:cs="Arial"/>
        </w:rPr>
      </w:pPr>
    </w:p>
    <w:p w14:paraId="564D68DF" w14:textId="77777777" w:rsidR="008A2465" w:rsidRPr="009A0B72" w:rsidRDefault="008A2465" w:rsidP="008A2465">
      <w:pPr>
        <w:numPr>
          <w:ilvl w:val="0"/>
          <w:numId w:val="1"/>
        </w:numPr>
        <w:spacing w:before="0" w:after="0"/>
        <w:jc w:val="left"/>
        <w:rPr>
          <w:rFonts w:cs="Arial"/>
        </w:rPr>
      </w:pPr>
      <w:r w:rsidRPr="009A0B72">
        <w:rPr>
          <w:rFonts w:cs="Arial"/>
        </w:rPr>
        <w:t>The patient must make him or herself available for examination to determine whether to extend the community treatment period</w:t>
      </w:r>
      <w:r w:rsidRPr="009A0B72">
        <w:rPr>
          <w:rFonts w:cs="Arial"/>
          <w:vertAlign w:val="superscript"/>
        </w:rPr>
        <w:footnoteReference w:id="4"/>
      </w:r>
    </w:p>
    <w:p w14:paraId="5CC4D4C9" w14:textId="0D40EA6E" w:rsidR="008A2465" w:rsidRPr="008A2465" w:rsidRDefault="008A2465" w:rsidP="008A2465">
      <w:pPr>
        <w:numPr>
          <w:ilvl w:val="0"/>
          <w:numId w:val="1"/>
        </w:numPr>
        <w:spacing w:before="0" w:after="0"/>
        <w:jc w:val="left"/>
        <w:rPr>
          <w:rFonts w:cs="Arial"/>
        </w:rPr>
      </w:pPr>
      <w:r w:rsidRPr="009A0B72">
        <w:rPr>
          <w:rFonts w:cs="Arial"/>
        </w:rPr>
        <w:t xml:space="preserve">The patient must make him or herself available for examination </w:t>
      </w:r>
      <w:r>
        <w:rPr>
          <w:rFonts w:cs="Arial"/>
        </w:rPr>
        <w:t xml:space="preserve">to enable for the certificate under Part 4A of the Act to be given, </w:t>
      </w:r>
      <w:r w:rsidRPr="009A0B72">
        <w:rPr>
          <w:rFonts w:cs="Arial"/>
        </w:rPr>
        <w:t>if required</w:t>
      </w:r>
      <w:r w:rsidRPr="009A0B72">
        <w:rPr>
          <w:rFonts w:cs="Arial"/>
          <w:vertAlign w:val="superscript"/>
        </w:rPr>
        <w:footnoteReference w:id="5"/>
      </w:r>
    </w:p>
    <w:p w14:paraId="2DC5144D" w14:textId="5AC22EBA" w:rsidR="008A2465" w:rsidRDefault="008A2465" w:rsidP="008A2465">
      <w:pPr>
        <w:spacing w:after="0"/>
        <w:rPr>
          <w:rFonts w:cs="Arial"/>
          <w:color w:val="FF0000"/>
        </w:rPr>
      </w:pPr>
      <w:r>
        <w:rPr>
          <w:rFonts w:cs="Arial"/>
        </w:rPr>
        <w:t xml:space="preserve">           </w:t>
      </w:r>
      <w:r w:rsidRPr="009A0B72">
        <w:rPr>
          <w:rFonts w:cs="Arial"/>
        </w:rPr>
        <w:t>Other non-mandatory conditions may be set</w:t>
      </w:r>
    </w:p>
    <w:p w14:paraId="49351B8A" w14:textId="0A01BA18" w:rsidR="00A47AEA" w:rsidRPr="009A0B72" w:rsidRDefault="00B0087A" w:rsidP="00A47AEA">
      <w:pPr>
        <w:spacing w:after="0"/>
        <w:ind w:left="720" w:hanging="720"/>
        <w:rPr>
          <w:rFonts w:cs="Arial"/>
        </w:rPr>
      </w:pPr>
      <w:r>
        <w:rPr>
          <w:rFonts w:cs="Arial"/>
        </w:rPr>
        <w:t>5</w:t>
      </w:r>
      <w:r w:rsidR="00385BA7">
        <w:rPr>
          <w:rFonts w:cs="Arial"/>
        </w:rPr>
        <w:t>.2</w:t>
      </w:r>
      <w:r w:rsidR="00A47AEA" w:rsidRPr="009A0B72">
        <w:rPr>
          <w:rFonts w:cs="Arial"/>
        </w:rPr>
        <w:tab/>
        <w:t>Advice on setting other conditions is provided by the Code</w:t>
      </w:r>
      <w:r w:rsidR="00A47AEA">
        <w:rPr>
          <w:rFonts w:cs="Arial"/>
        </w:rPr>
        <w:t>,</w:t>
      </w:r>
      <w:r w:rsidR="00A47AEA" w:rsidRPr="009A0B72">
        <w:rPr>
          <w:rFonts w:cs="Arial"/>
        </w:rPr>
        <w:t xml:space="preserve"> which the RC and AMHP should always consider.</w:t>
      </w:r>
      <w:r w:rsidR="00A47AEA" w:rsidRPr="009A0B72">
        <w:rPr>
          <w:rFonts w:cs="Arial"/>
          <w:vertAlign w:val="superscript"/>
        </w:rPr>
        <w:footnoteReference w:id="6"/>
      </w:r>
      <w:r w:rsidR="00A47AEA" w:rsidRPr="009A0B72">
        <w:rPr>
          <w:rFonts w:cs="Arial"/>
        </w:rPr>
        <w:t xml:space="preserve"> It is important that the reason for any condition is explained to the patient and others, where appropriate and that this is recorded in the clinical records. In all cases, there should a link between the person’s mental disorder and any condition imposed on a </w:t>
      </w:r>
      <w:r w:rsidR="00A47AEA">
        <w:rPr>
          <w:rFonts w:cs="Arial"/>
        </w:rPr>
        <w:t>CTO</w:t>
      </w:r>
      <w:r w:rsidR="00A47AEA" w:rsidRPr="009A0B72">
        <w:rPr>
          <w:rFonts w:cs="Arial"/>
        </w:rPr>
        <w:t>.</w:t>
      </w:r>
    </w:p>
    <w:p w14:paraId="439B70AF" w14:textId="4177A74F" w:rsidR="00A47AEA" w:rsidRDefault="00B0087A" w:rsidP="00A47AEA">
      <w:pPr>
        <w:spacing w:after="0"/>
        <w:ind w:left="720" w:hanging="720"/>
        <w:rPr>
          <w:rFonts w:cs="Arial"/>
        </w:rPr>
      </w:pPr>
      <w:r>
        <w:rPr>
          <w:rFonts w:cs="Arial"/>
        </w:rPr>
        <w:t>5</w:t>
      </w:r>
      <w:r w:rsidR="00385BA7">
        <w:rPr>
          <w:rFonts w:cs="Arial"/>
        </w:rPr>
        <w:t>.3</w:t>
      </w:r>
      <w:r w:rsidR="00A47AEA" w:rsidRPr="009A0B72">
        <w:rPr>
          <w:rFonts w:cs="Arial"/>
        </w:rPr>
        <w:tab/>
        <w:t>Where there is disagreement between the RC and AMH</w:t>
      </w:r>
      <w:r w:rsidR="00A47AEA">
        <w:rPr>
          <w:rFonts w:cs="Arial"/>
        </w:rPr>
        <w:t>P</w:t>
      </w:r>
      <w:r w:rsidR="00A47AEA" w:rsidRPr="009A0B72">
        <w:rPr>
          <w:rFonts w:cs="Arial"/>
        </w:rPr>
        <w:t xml:space="preserve"> about the necessity or appropriateness of a particular condition or conditions, it would not be acceptable for an RC to use his or her right to significantly vary conditions (see </w:t>
      </w:r>
      <w:r w:rsidR="00A47AEA">
        <w:rPr>
          <w:rFonts w:cs="Arial"/>
        </w:rPr>
        <w:t xml:space="preserve">Para </w:t>
      </w:r>
      <w:r w:rsidR="00A47AEA" w:rsidRPr="009A0B72">
        <w:rPr>
          <w:rFonts w:cs="Arial"/>
        </w:rPr>
        <w:t>5.4 below) shortly after discharge to overcome a legitimate objection by an AMHP.</w:t>
      </w:r>
      <w:r w:rsidR="00A47AEA" w:rsidRPr="009A0B72">
        <w:rPr>
          <w:rFonts w:cs="Arial"/>
          <w:vertAlign w:val="superscript"/>
        </w:rPr>
        <w:footnoteReference w:id="7"/>
      </w:r>
    </w:p>
    <w:p w14:paraId="51EE70A8" w14:textId="169DCBCB" w:rsidR="00A47AEA" w:rsidRDefault="00B0087A" w:rsidP="00280F66">
      <w:pPr>
        <w:spacing w:after="0"/>
        <w:ind w:left="720" w:hanging="720"/>
        <w:rPr>
          <w:rFonts w:cs="Arial"/>
        </w:rPr>
      </w:pPr>
      <w:r>
        <w:rPr>
          <w:rFonts w:cs="Arial"/>
        </w:rPr>
        <w:t>5</w:t>
      </w:r>
      <w:r w:rsidR="00280F66">
        <w:rPr>
          <w:rFonts w:cs="Arial"/>
        </w:rPr>
        <w:t xml:space="preserve">.4     </w:t>
      </w:r>
      <w:r w:rsidR="0035621D">
        <w:rPr>
          <w:rFonts w:cs="Arial"/>
        </w:rPr>
        <w:t xml:space="preserve"> </w:t>
      </w:r>
      <w:r w:rsidR="00A47AEA">
        <w:rPr>
          <w:rFonts w:cs="Arial"/>
        </w:rPr>
        <w:t>Once an order has been made, t</w:t>
      </w:r>
      <w:r w:rsidR="00A47AEA" w:rsidRPr="009A0B72">
        <w:rPr>
          <w:rFonts w:cs="Arial"/>
        </w:rPr>
        <w:t xml:space="preserve">he RC may </w:t>
      </w:r>
      <w:r w:rsidR="00A47AEA">
        <w:rPr>
          <w:rFonts w:cs="Arial"/>
        </w:rPr>
        <w:t xml:space="preserve">subsequently </w:t>
      </w:r>
      <w:r w:rsidR="00A47AEA" w:rsidRPr="009A0B72">
        <w:rPr>
          <w:rFonts w:cs="Arial"/>
        </w:rPr>
        <w:t xml:space="preserve">vary the conditions of the </w:t>
      </w:r>
      <w:r w:rsidR="00A47AEA">
        <w:rPr>
          <w:rFonts w:cs="Arial"/>
        </w:rPr>
        <w:t>CTO</w:t>
      </w:r>
      <w:r w:rsidR="00A47AEA" w:rsidRPr="009A0B72">
        <w:rPr>
          <w:rFonts w:cs="Arial"/>
        </w:rPr>
        <w:t xml:space="preserve"> (using form CTO2) or suspend any of them where appropriate (e.g. to allow for a temporary absence of the patient) but must record, with reasons, any decision to suspend in the clinical records. In either case, the form CTO2 should be relayed to the Mental Health Law </w:t>
      </w:r>
      <w:r w:rsidR="00A47AEA">
        <w:rPr>
          <w:rFonts w:cs="Arial"/>
        </w:rPr>
        <w:t>Office</w:t>
      </w:r>
      <w:r w:rsidR="00A47AEA" w:rsidRPr="009A0B72">
        <w:rPr>
          <w:rFonts w:cs="Arial"/>
        </w:rPr>
        <w:t xml:space="preserve"> holding the </w:t>
      </w:r>
      <w:r w:rsidR="00A47AEA">
        <w:rPr>
          <w:rFonts w:cs="Arial"/>
        </w:rPr>
        <w:t>CTO</w:t>
      </w:r>
      <w:r w:rsidR="00A47AEA" w:rsidRPr="009A0B72">
        <w:rPr>
          <w:rFonts w:cs="Arial"/>
        </w:rPr>
        <w:t xml:space="preserve"> documentation to enable them to update their records. Any condition no longer required must be removed. It is not necessary to seek the agreement of an AMHP to vary or suspend conditions. </w:t>
      </w:r>
      <w:r w:rsidR="00A47AEA" w:rsidRPr="006B3DCA">
        <w:rPr>
          <w:rFonts w:cs="Arial"/>
          <w:color w:val="000000" w:themeColor="text1"/>
        </w:rPr>
        <w:t>The patient MUST be informed of the variation of conditions; this is the responsibility of the RC</w:t>
      </w:r>
    </w:p>
    <w:p w14:paraId="291CF22F" w14:textId="226BAD38" w:rsidR="00711458" w:rsidRDefault="00B0087A" w:rsidP="00385BA7">
      <w:pPr>
        <w:spacing w:after="0"/>
      </w:pPr>
      <w:r>
        <w:rPr>
          <w:rFonts w:cs="Arial"/>
          <w:b/>
        </w:rPr>
        <w:t>6</w:t>
      </w:r>
      <w:r w:rsidR="00711458" w:rsidRPr="00711458">
        <w:rPr>
          <w:rFonts w:cs="Arial"/>
          <w:b/>
        </w:rPr>
        <w:t>.0</w:t>
      </w:r>
      <w:r w:rsidR="008A2465">
        <w:tab/>
      </w:r>
      <w:r w:rsidR="00711458" w:rsidRPr="00711458">
        <w:rPr>
          <w:b/>
        </w:rPr>
        <w:t>Practical steps for clinicians to follow in order to make a CTO</w:t>
      </w:r>
    </w:p>
    <w:p w14:paraId="7978BA51" w14:textId="704BF9DF" w:rsidR="008A2465" w:rsidRPr="009A0B72" w:rsidRDefault="00B0087A" w:rsidP="008A2465">
      <w:pPr>
        <w:spacing w:after="0"/>
        <w:ind w:left="720" w:hanging="720"/>
        <w:rPr>
          <w:rFonts w:cs="Arial"/>
        </w:rPr>
      </w:pPr>
      <w:r>
        <w:t>6</w:t>
      </w:r>
      <w:r w:rsidR="00711458">
        <w:t xml:space="preserve">.1        </w:t>
      </w:r>
      <w:r w:rsidR="008A2465" w:rsidRPr="194E5C6F">
        <w:rPr>
          <w:rFonts w:cs="Arial"/>
        </w:rPr>
        <w:t>Section 17A of the MHA 1983 states that an order is made by the RC completing Part 1 of the form CTO1. Then an AMHP completes Part 2 of form CTO1. Finally, the RC, completes Part 3 of the form CTO1.</w:t>
      </w:r>
      <w:r w:rsidR="008A2465" w:rsidRPr="007F1225">
        <w:rPr>
          <w:rFonts w:cs="Arial"/>
          <w:color w:val="000000" w:themeColor="text1"/>
        </w:rPr>
        <w:t xml:space="preserve"> </w:t>
      </w:r>
      <w:r w:rsidR="008A2465" w:rsidRPr="194E5C6F">
        <w:rPr>
          <w:rFonts w:cs="Arial"/>
        </w:rPr>
        <w:t>Once signed by the RC, the CTO order automatically takes effect on the date and time specified on part 3 of the form, for a period of up to six months.</w:t>
      </w:r>
      <w:r w:rsidR="008A2465">
        <w:rPr>
          <w:rFonts w:cs="Arial"/>
        </w:rPr>
        <w:t xml:space="preserve"> All of the above can be done by sending documents via </w:t>
      </w:r>
      <w:r w:rsidR="005E573D">
        <w:rPr>
          <w:rFonts w:cs="Arial"/>
        </w:rPr>
        <w:t xml:space="preserve">eMHA or other </w:t>
      </w:r>
      <w:r w:rsidR="008A2465">
        <w:rPr>
          <w:rFonts w:cs="Arial"/>
        </w:rPr>
        <w:t>electronic means.</w:t>
      </w:r>
    </w:p>
    <w:p w14:paraId="76720933" w14:textId="0CE7F1B6" w:rsidR="008A2465" w:rsidRPr="009A0B72" w:rsidRDefault="00B0087A" w:rsidP="008A2465">
      <w:pPr>
        <w:spacing w:after="0"/>
        <w:ind w:left="720" w:hanging="720"/>
        <w:rPr>
          <w:rFonts w:cs="Arial"/>
        </w:rPr>
      </w:pPr>
      <w:r>
        <w:rPr>
          <w:rFonts w:cs="Arial"/>
        </w:rPr>
        <w:t>6</w:t>
      </w:r>
      <w:r w:rsidR="00711458">
        <w:rPr>
          <w:rFonts w:cs="Arial"/>
        </w:rPr>
        <w:t>.2</w:t>
      </w:r>
      <w:r w:rsidR="008A2465" w:rsidRPr="009A0B72">
        <w:rPr>
          <w:rFonts w:cs="Arial"/>
          <w:color w:val="FF0000"/>
        </w:rPr>
        <w:tab/>
      </w:r>
      <w:r w:rsidR="008A2465" w:rsidRPr="009A0B72">
        <w:rPr>
          <w:rFonts w:cs="Arial"/>
        </w:rPr>
        <w:t xml:space="preserve">Although it must be given to the Hospital Managers as soon as practicable, there is no statutory form to record receipt of the CTO. Therefore it is the responsibility of the RC to ensure that all completed </w:t>
      </w:r>
      <w:r w:rsidR="008A2465">
        <w:rPr>
          <w:rFonts w:cs="Arial"/>
        </w:rPr>
        <w:t>CTOs</w:t>
      </w:r>
      <w:r w:rsidR="008A2465" w:rsidRPr="009A0B72">
        <w:rPr>
          <w:rFonts w:cs="Arial"/>
        </w:rPr>
        <w:t xml:space="preserve"> are furnished </w:t>
      </w:r>
      <w:r w:rsidR="008A2465">
        <w:rPr>
          <w:rFonts w:cs="Arial"/>
        </w:rPr>
        <w:t xml:space="preserve">via </w:t>
      </w:r>
      <w:r w:rsidR="003706A8">
        <w:rPr>
          <w:rFonts w:cs="Arial"/>
        </w:rPr>
        <w:t xml:space="preserve">eMHA or other </w:t>
      </w:r>
      <w:r w:rsidR="008A2465">
        <w:rPr>
          <w:rFonts w:cs="Arial"/>
        </w:rPr>
        <w:t xml:space="preserve">electronic means </w:t>
      </w:r>
      <w:r w:rsidR="008A2465" w:rsidRPr="009A0B72">
        <w:rPr>
          <w:rFonts w:cs="Arial"/>
        </w:rPr>
        <w:t>to the Mental Health Law office</w:t>
      </w:r>
      <w:r w:rsidR="008A2465">
        <w:rPr>
          <w:rFonts w:cs="Arial"/>
        </w:rPr>
        <w:t>,</w:t>
      </w:r>
      <w:r w:rsidR="008A2465" w:rsidRPr="009A0B72">
        <w:rPr>
          <w:rFonts w:cs="Arial"/>
        </w:rPr>
        <w:t xml:space="preserve"> as soon as is practicable after completion.</w:t>
      </w:r>
    </w:p>
    <w:p w14:paraId="678DAF81" w14:textId="3ED149F1" w:rsidR="008A2465" w:rsidRPr="009A0B72" w:rsidRDefault="00B0087A" w:rsidP="008A2465">
      <w:pPr>
        <w:spacing w:after="0"/>
        <w:ind w:left="720" w:hanging="720"/>
        <w:rPr>
          <w:rFonts w:cs="Arial"/>
        </w:rPr>
      </w:pPr>
      <w:r>
        <w:rPr>
          <w:rFonts w:cs="Arial"/>
        </w:rPr>
        <w:t>6</w:t>
      </w:r>
      <w:r w:rsidR="00711458">
        <w:rPr>
          <w:rFonts w:cs="Arial"/>
        </w:rPr>
        <w:t>.3</w:t>
      </w:r>
      <w:r w:rsidR="008A2465" w:rsidRPr="009A0B72">
        <w:rPr>
          <w:rFonts w:cs="Arial"/>
        </w:rPr>
        <w:tab/>
        <w:t>Once the CTO1 has been completed by the current RC, it is acceptable for a different Approved Clinician</w:t>
      </w:r>
      <w:r w:rsidR="008A2465">
        <w:rPr>
          <w:rFonts w:cs="Arial"/>
        </w:rPr>
        <w:t xml:space="preserve"> (AC)</w:t>
      </w:r>
      <w:r w:rsidR="008A2465" w:rsidRPr="009A0B72">
        <w:rPr>
          <w:rFonts w:cs="Arial"/>
        </w:rPr>
        <w:t xml:space="preserve"> to assume the role of RC regarding the care and treatment of the patient in the community.</w:t>
      </w:r>
      <w:r w:rsidR="00467DF7">
        <w:rPr>
          <w:rFonts w:cs="Arial"/>
        </w:rPr>
        <w:t xml:space="preserve"> If this is the case, both clinicians should discuss the case before the implementation of the CTO, and document appropriately on RIO.</w:t>
      </w:r>
    </w:p>
    <w:p w14:paraId="7B54746D" w14:textId="41A43852" w:rsidR="008A2465" w:rsidRPr="009A0B72" w:rsidRDefault="00B0087A" w:rsidP="00510FB1">
      <w:pPr>
        <w:spacing w:after="0"/>
        <w:ind w:left="720" w:hanging="720"/>
        <w:rPr>
          <w:rFonts w:cs="Arial"/>
        </w:rPr>
      </w:pPr>
      <w:r>
        <w:rPr>
          <w:rFonts w:cs="Arial"/>
        </w:rPr>
        <w:t>6</w:t>
      </w:r>
      <w:r w:rsidR="00711458">
        <w:rPr>
          <w:rFonts w:cs="Arial"/>
        </w:rPr>
        <w:t>.4</w:t>
      </w:r>
      <w:r w:rsidR="008A2465" w:rsidRPr="009A0B72">
        <w:rPr>
          <w:rFonts w:cs="Arial"/>
        </w:rPr>
        <w:tab/>
        <w:t xml:space="preserve">As there is no mechanism in the Mental Health Act for retrospectively amending or rectifying a defective form CTO1 once it has taken effect, it is essential that where practicable, any queries relating to the completion of the CTO1 is discussed with </w:t>
      </w:r>
      <w:r w:rsidR="00B0399B">
        <w:rPr>
          <w:rFonts w:cs="Arial"/>
        </w:rPr>
        <w:t>the</w:t>
      </w:r>
      <w:r w:rsidR="008A2465" w:rsidRPr="009A0B72">
        <w:rPr>
          <w:rFonts w:cs="Arial"/>
        </w:rPr>
        <w:t xml:space="preserve"> Mental Health Law </w:t>
      </w:r>
      <w:r w:rsidR="00B0399B">
        <w:rPr>
          <w:rFonts w:cs="Arial"/>
        </w:rPr>
        <w:t>Office</w:t>
      </w:r>
      <w:r w:rsidR="008A2465" w:rsidRPr="009A0B72">
        <w:rPr>
          <w:rFonts w:cs="Arial"/>
        </w:rPr>
        <w:t xml:space="preserve"> before it is completed.</w:t>
      </w:r>
    </w:p>
    <w:p w14:paraId="63C524FA" w14:textId="3DDA7FFF" w:rsidR="00711458" w:rsidRDefault="00B0087A" w:rsidP="008A2465">
      <w:pPr>
        <w:spacing w:after="0"/>
        <w:ind w:left="720" w:hanging="720"/>
        <w:rPr>
          <w:rFonts w:cs="Arial"/>
          <w:color w:val="000000" w:themeColor="text1"/>
        </w:rPr>
      </w:pPr>
      <w:r>
        <w:rPr>
          <w:rFonts w:cs="Arial"/>
        </w:rPr>
        <w:t>6</w:t>
      </w:r>
      <w:r w:rsidR="00510FB1">
        <w:rPr>
          <w:rFonts w:cs="Arial"/>
        </w:rPr>
        <w:t>.5</w:t>
      </w:r>
      <w:r w:rsidR="008A2465" w:rsidRPr="009A0B72">
        <w:rPr>
          <w:rFonts w:cs="Arial"/>
        </w:rPr>
        <w:tab/>
        <w:t xml:space="preserve">The Mental Health Law </w:t>
      </w:r>
      <w:r w:rsidR="00B0399B">
        <w:rPr>
          <w:rFonts w:cs="Arial"/>
        </w:rPr>
        <w:t>O</w:t>
      </w:r>
      <w:r w:rsidR="008A2465" w:rsidRPr="009A0B72">
        <w:rPr>
          <w:rFonts w:cs="Arial"/>
        </w:rPr>
        <w:t xml:space="preserve">ffice will ensure </w:t>
      </w:r>
      <w:r w:rsidR="008A2465">
        <w:rPr>
          <w:rFonts w:cs="Arial"/>
        </w:rPr>
        <w:t xml:space="preserve">CTO paperwork is uploaded onto </w:t>
      </w:r>
      <w:r w:rsidR="008A2465" w:rsidRPr="00DD17F5">
        <w:rPr>
          <w:rFonts w:cs="Arial"/>
          <w:color w:val="000000" w:themeColor="text1"/>
        </w:rPr>
        <w:t>the electronic patient record system</w:t>
      </w:r>
      <w:r w:rsidR="00B0399B">
        <w:rPr>
          <w:rFonts w:cs="Arial"/>
          <w:color w:val="000000" w:themeColor="text1"/>
        </w:rPr>
        <w:t>.</w:t>
      </w:r>
    </w:p>
    <w:p w14:paraId="2165DF07" w14:textId="57655334" w:rsidR="003706A8" w:rsidRPr="00711458" w:rsidRDefault="00B0087A" w:rsidP="008A2465">
      <w:pPr>
        <w:spacing w:after="0"/>
        <w:ind w:left="720" w:hanging="720"/>
        <w:rPr>
          <w:rFonts w:cs="Arial"/>
          <w:b/>
          <w:color w:val="000000" w:themeColor="text1"/>
        </w:rPr>
      </w:pPr>
      <w:r>
        <w:rPr>
          <w:rFonts w:cs="Arial"/>
          <w:b/>
          <w:color w:val="000000" w:themeColor="text1"/>
        </w:rPr>
        <w:t>7</w:t>
      </w:r>
      <w:r w:rsidR="00711458" w:rsidRPr="00711458">
        <w:rPr>
          <w:rFonts w:cs="Arial"/>
          <w:b/>
          <w:color w:val="000000" w:themeColor="text1"/>
        </w:rPr>
        <w:t>.0       Rights Explanations under CTO</w:t>
      </w:r>
      <w:r w:rsidR="008A2465" w:rsidRPr="00711458">
        <w:rPr>
          <w:rFonts w:cs="Arial"/>
          <w:b/>
          <w:color w:val="000000" w:themeColor="text1"/>
        </w:rPr>
        <w:t xml:space="preserve"> </w:t>
      </w:r>
    </w:p>
    <w:p w14:paraId="3C9D35F9" w14:textId="2BDC29B7" w:rsidR="00506BF7" w:rsidRDefault="00B0087A" w:rsidP="008A2465">
      <w:pPr>
        <w:spacing w:after="0"/>
        <w:ind w:left="720" w:hanging="720"/>
        <w:rPr>
          <w:rFonts w:cs="Arial"/>
        </w:rPr>
      </w:pPr>
      <w:r>
        <w:rPr>
          <w:rFonts w:cs="Arial"/>
          <w:color w:val="000000" w:themeColor="text1"/>
        </w:rPr>
        <w:t>7</w:t>
      </w:r>
      <w:r w:rsidR="00711458">
        <w:rPr>
          <w:rFonts w:cs="Arial"/>
          <w:color w:val="000000" w:themeColor="text1"/>
        </w:rPr>
        <w:t xml:space="preserve">.1       </w:t>
      </w:r>
      <w:r w:rsidR="008A2465" w:rsidRPr="009A0B72">
        <w:rPr>
          <w:rFonts w:cs="Arial"/>
        </w:rPr>
        <w:t>The care coordinator</w:t>
      </w:r>
      <w:r w:rsidR="003706A8">
        <w:rPr>
          <w:rFonts w:cs="Arial"/>
        </w:rPr>
        <w:t xml:space="preserve"> or other appropriate person is tasked with explaining the patient their rights under CTO (s132a). </w:t>
      </w:r>
    </w:p>
    <w:p w14:paraId="529843D6" w14:textId="72F9C478" w:rsidR="00506BF7" w:rsidRDefault="00B0087A" w:rsidP="008A2465">
      <w:pPr>
        <w:spacing w:after="0"/>
        <w:ind w:left="720" w:hanging="720"/>
        <w:rPr>
          <w:rFonts w:cs="Arial"/>
        </w:rPr>
      </w:pPr>
      <w:r>
        <w:rPr>
          <w:rFonts w:cs="Arial"/>
          <w:color w:val="000000" w:themeColor="text1"/>
        </w:rPr>
        <w:t>7</w:t>
      </w:r>
      <w:r w:rsidR="00506BF7">
        <w:rPr>
          <w:rFonts w:cs="Arial"/>
          <w:color w:val="000000" w:themeColor="text1"/>
        </w:rPr>
        <w:t xml:space="preserve">.2      </w:t>
      </w:r>
      <w:r w:rsidR="00F46513">
        <w:rPr>
          <w:rFonts w:cs="Arial"/>
          <w:color w:val="000000" w:themeColor="text1"/>
        </w:rPr>
        <w:t xml:space="preserve"> </w:t>
      </w:r>
      <w:r w:rsidR="00506BF7">
        <w:rPr>
          <w:rFonts w:cs="Arial"/>
        </w:rPr>
        <w:t>This should be</w:t>
      </w:r>
      <w:r w:rsidR="003706A8">
        <w:rPr>
          <w:rFonts w:cs="Arial"/>
        </w:rPr>
        <w:t xml:space="preserve"> within seven days of the CTO coming into force</w:t>
      </w:r>
      <w:r w:rsidR="00506BF7">
        <w:rPr>
          <w:rFonts w:cs="Arial"/>
        </w:rPr>
        <w:t xml:space="preserve"> as outlined in the Mental Health Law Supplementary policy.</w:t>
      </w:r>
      <w:r w:rsidR="003706A8">
        <w:rPr>
          <w:rFonts w:cs="Arial"/>
        </w:rPr>
        <w:t xml:space="preserve"> </w:t>
      </w:r>
    </w:p>
    <w:p w14:paraId="22EE2AB4" w14:textId="37F87BFE" w:rsidR="003706A8" w:rsidRPr="009A0B72" w:rsidRDefault="00B0087A" w:rsidP="00506BF7">
      <w:pPr>
        <w:spacing w:after="0"/>
        <w:ind w:left="720" w:hanging="720"/>
        <w:rPr>
          <w:rFonts w:cs="Arial"/>
        </w:rPr>
      </w:pPr>
      <w:r>
        <w:rPr>
          <w:rFonts w:cs="Arial"/>
          <w:color w:val="000000" w:themeColor="text1"/>
        </w:rPr>
        <w:t>7</w:t>
      </w:r>
      <w:r w:rsidR="00506BF7">
        <w:rPr>
          <w:rFonts w:cs="Arial"/>
          <w:color w:val="000000" w:themeColor="text1"/>
        </w:rPr>
        <w:t xml:space="preserve">.3      </w:t>
      </w:r>
      <w:r w:rsidR="003706A8">
        <w:rPr>
          <w:rFonts w:cs="Arial"/>
        </w:rPr>
        <w:t>The T</w:t>
      </w:r>
      <w:r w:rsidR="008A2465">
        <w:rPr>
          <w:rFonts w:cs="Arial"/>
        </w:rPr>
        <w:t xml:space="preserve">rusts </w:t>
      </w:r>
      <w:r w:rsidR="00B941E0" w:rsidRPr="00B941E0">
        <w:rPr>
          <w:rFonts w:cs="Arial"/>
        </w:rPr>
        <w:t xml:space="preserve">s132 rights/s132a rights </w:t>
      </w:r>
      <w:r w:rsidR="00564DFC">
        <w:rPr>
          <w:rFonts w:cs="Arial"/>
        </w:rPr>
        <w:t xml:space="preserve">hyperlink </w:t>
      </w:r>
      <w:r w:rsidR="008A2465">
        <w:rPr>
          <w:rFonts w:cs="Arial"/>
        </w:rPr>
        <w:t>should</w:t>
      </w:r>
      <w:r w:rsidR="008A2465" w:rsidRPr="009A0B72">
        <w:rPr>
          <w:rFonts w:cs="Arial"/>
        </w:rPr>
        <w:t xml:space="preserve"> be used for this purpose </w:t>
      </w:r>
      <w:r w:rsidR="008A2465">
        <w:rPr>
          <w:rFonts w:cs="Arial"/>
        </w:rPr>
        <w:t xml:space="preserve">and is </w:t>
      </w:r>
      <w:r w:rsidR="007E6683">
        <w:rPr>
          <w:rFonts w:cs="Arial"/>
        </w:rPr>
        <w:t xml:space="preserve">located </w:t>
      </w:r>
      <w:r w:rsidR="003706A8">
        <w:rPr>
          <w:rFonts w:cs="Arial"/>
        </w:rPr>
        <w:t>within RIO, in the patient</w:t>
      </w:r>
      <w:r w:rsidR="008A2465">
        <w:rPr>
          <w:rFonts w:cs="Arial"/>
        </w:rPr>
        <w:t>’s ca</w:t>
      </w:r>
      <w:r w:rsidR="00CE29EA">
        <w:rPr>
          <w:rFonts w:cs="Arial"/>
        </w:rPr>
        <w:t>r</w:t>
      </w:r>
      <w:r w:rsidR="008A2465">
        <w:rPr>
          <w:rFonts w:cs="Arial"/>
        </w:rPr>
        <w:t xml:space="preserve">e record under </w:t>
      </w:r>
      <w:r w:rsidR="007E6683">
        <w:rPr>
          <w:rFonts w:cs="Arial"/>
        </w:rPr>
        <w:t xml:space="preserve">the </w:t>
      </w:r>
      <w:r w:rsidR="008A2465">
        <w:rPr>
          <w:rFonts w:cs="Arial"/>
        </w:rPr>
        <w:t>heading Mental Health Act and Mental Capacity Act</w:t>
      </w:r>
      <w:r w:rsidR="00564DFC">
        <w:rPr>
          <w:rFonts w:cs="Arial"/>
        </w:rPr>
        <w:t>.</w:t>
      </w:r>
    </w:p>
    <w:p w14:paraId="02CE30DA" w14:textId="3D9A3EE0" w:rsidR="00506BF7" w:rsidRDefault="00B0087A" w:rsidP="00761306">
      <w:pPr>
        <w:spacing w:after="0"/>
        <w:ind w:left="720" w:hanging="720"/>
        <w:rPr>
          <w:rFonts w:cs="Arial"/>
        </w:rPr>
      </w:pPr>
      <w:r>
        <w:rPr>
          <w:rFonts w:cs="Arial"/>
        </w:rPr>
        <w:t>7</w:t>
      </w:r>
      <w:r w:rsidR="00506BF7">
        <w:rPr>
          <w:rFonts w:cs="Arial"/>
        </w:rPr>
        <w:t>.4</w:t>
      </w:r>
      <w:r w:rsidR="003706A8" w:rsidRPr="009A0B72">
        <w:rPr>
          <w:rFonts w:cs="Arial"/>
        </w:rPr>
        <w:tab/>
        <w:t xml:space="preserve">Information </w:t>
      </w:r>
      <w:r w:rsidR="00B74EB0">
        <w:rPr>
          <w:rFonts w:cs="Arial"/>
        </w:rPr>
        <w:t>to be given to</w:t>
      </w:r>
      <w:r w:rsidR="003706A8" w:rsidRPr="009A0B72">
        <w:rPr>
          <w:rFonts w:cs="Arial"/>
        </w:rPr>
        <w:t xml:space="preserve"> the patient (and to the nearest relative</w:t>
      </w:r>
      <w:r w:rsidR="00B74EB0">
        <w:rPr>
          <w:rFonts w:cs="Arial"/>
        </w:rPr>
        <w:t>, where applicable</w:t>
      </w:r>
      <w:r w:rsidR="003706A8" w:rsidRPr="009A0B72">
        <w:rPr>
          <w:rFonts w:cs="Arial"/>
        </w:rPr>
        <w:t>) include</w:t>
      </w:r>
      <w:r w:rsidR="00B74EB0">
        <w:rPr>
          <w:rFonts w:cs="Arial"/>
        </w:rPr>
        <w:t>s</w:t>
      </w:r>
      <w:r w:rsidR="00506BF7">
        <w:rPr>
          <w:rFonts w:cs="Arial"/>
        </w:rPr>
        <w:t>:</w:t>
      </w:r>
    </w:p>
    <w:p w14:paraId="0B916998" w14:textId="77777777" w:rsidR="00761306" w:rsidRPr="009A0B72" w:rsidRDefault="00761306" w:rsidP="00761306">
      <w:pPr>
        <w:spacing w:after="0"/>
        <w:ind w:left="720" w:hanging="720"/>
        <w:rPr>
          <w:rFonts w:cs="Arial"/>
        </w:rPr>
      </w:pPr>
    </w:p>
    <w:p w14:paraId="03FB8054" w14:textId="77777777" w:rsidR="003706A8" w:rsidRPr="009A0B72" w:rsidRDefault="003706A8" w:rsidP="003706A8">
      <w:pPr>
        <w:numPr>
          <w:ilvl w:val="0"/>
          <w:numId w:val="3"/>
        </w:numPr>
        <w:tabs>
          <w:tab w:val="num" w:pos="720"/>
        </w:tabs>
        <w:spacing w:before="0" w:after="0"/>
        <w:jc w:val="left"/>
        <w:rPr>
          <w:rFonts w:cs="Arial"/>
        </w:rPr>
      </w:pPr>
      <w:r w:rsidRPr="009A0B72">
        <w:rPr>
          <w:rFonts w:cs="Arial"/>
        </w:rPr>
        <w:t>Appeals to the First Tier Tribunal (Mental Health) and the Hospital Managers;</w:t>
      </w:r>
    </w:p>
    <w:p w14:paraId="6276B682" w14:textId="77777777" w:rsidR="003706A8" w:rsidRPr="009A0B72" w:rsidRDefault="003706A8" w:rsidP="003706A8">
      <w:pPr>
        <w:numPr>
          <w:ilvl w:val="0"/>
          <w:numId w:val="3"/>
        </w:numPr>
        <w:spacing w:before="0" w:after="0"/>
        <w:jc w:val="left"/>
        <w:rPr>
          <w:rFonts w:cs="Arial"/>
        </w:rPr>
      </w:pPr>
      <w:r w:rsidRPr="009A0B72">
        <w:rPr>
          <w:rFonts w:cs="Arial"/>
        </w:rPr>
        <w:t xml:space="preserve">Recall, Revocation or Discharge of the </w:t>
      </w:r>
      <w:r>
        <w:rPr>
          <w:rFonts w:cs="Arial"/>
        </w:rPr>
        <w:t>CTO</w:t>
      </w:r>
      <w:r w:rsidRPr="009A0B72">
        <w:rPr>
          <w:rFonts w:cs="Arial"/>
        </w:rPr>
        <w:t xml:space="preserve"> by the RC;</w:t>
      </w:r>
    </w:p>
    <w:p w14:paraId="7F448891" w14:textId="77777777" w:rsidR="003706A8" w:rsidRPr="009A0B72" w:rsidRDefault="003706A8" w:rsidP="003706A8">
      <w:pPr>
        <w:numPr>
          <w:ilvl w:val="0"/>
          <w:numId w:val="3"/>
        </w:numPr>
        <w:spacing w:before="0" w:after="0"/>
        <w:jc w:val="left"/>
        <w:rPr>
          <w:rFonts w:cs="Arial"/>
        </w:rPr>
      </w:pPr>
      <w:r w:rsidRPr="009A0B72">
        <w:rPr>
          <w:rFonts w:cs="Arial"/>
        </w:rPr>
        <w:t>Discharge (excluding discharge from recall to hospital) where permitted, by nearest relative (subject to 72 hours’ notice requirement), discharge by the First Tier Tribunal (Mental Health) or Hospital Managers;</w:t>
      </w:r>
    </w:p>
    <w:p w14:paraId="03381FBC" w14:textId="77777777" w:rsidR="003706A8" w:rsidRPr="009A0B72" w:rsidRDefault="003706A8" w:rsidP="003706A8">
      <w:pPr>
        <w:numPr>
          <w:ilvl w:val="0"/>
          <w:numId w:val="3"/>
        </w:numPr>
        <w:spacing w:before="0" w:after="0"/>
        <w:jc w:val="left"/>
        <w:rPr>
          <w:rFonts w:cs="Arial"/>
        </w:rPr>
      </w:pPr>
      <w:r w:rsidRPr="009A0B72">
        <w:rPr>
          <w:rFonts w:cs="Arial"/>
        </w:rPr>
        <w:t>Access to Independent Mental Health Advocacy services</w:t>
      </w:r>
      <w:r w:rsidRPr="009A0B72">
        <w:rPr>
          <w:rFonts w:cs="Arial"/>
          <w:vertAlign w:val="superscript"/>
        </w:rPr>
        <w:footnoteReference w:id="8"/>
      </w:r>
    </w:p>
    <w:p w14:paraId="1B2628EB" w14:textId="77777777" w:rsidR="003706A8" w:rsidRPr="009A0B72" w:rsidRDefault="003706A8" w:rsidP="003706A8">
      <w:pPr>
        <w:numPr>
          <w:ilvl w:val="0"/>
          <w:numId w:val="3"/>
        </w:numPr>
        <w:spacing w:before="0" w:after="0"/>
        <w:jc w:val="left"/>
        <w:rPr>
          <w:rFonts w:cs="Arial"/>
        </w:rPr>
      </w:pPr>
      <w:r w:rsidRPr="009A0B72">
        <w:rPr>
          <w:rFonts w:cs="Arial"/>
        </w:rPr>
        <w:t>The Role of the Care Quality Commission;</w:t>
      </w:r>
    </w:p>
    <w:p w14:paraId="21FC8D00" w14:textId="212E4DF6" w:rsidR="003706A8" w:rsidRDefault="003706A8" w:rsidP="003706A8">
      <w:pPr>
        <w:numPr>
          <w:ilvl w:val="0"/>
          <w:numId w:val="3"/>
        </w:numPr>
        <w:spacing w:before="0" w:after="0"/>
        <w:jc w:val="left"/>
        <w:rPr>
          <w:rFonts w:cs="Arial"/>
        </w:rPr>
      </w:pPr>
      <w:r w:rsidRPr="009A0B72">
        <w:rPr>
          <w:rFonts w:cs="Arial"/>
        </w:rPr>
        <w:t xml:space="preserve">Treatment </w:t>
      </w:r>
      <w:r w:rsidR="00B74EB0">
        <w:rPr>
          <w:rFonts w:cs="Arial"/>
        </w:rPr>
        <w:t>provisions</w:t>
      </w:r>
      <w:r w:rsidR="00B74EB0" w:rsidRPr="009A0B72">
        <w:rPr>
          <w:rFonts w:cs="Arial"/>
        </w:rPr>
        <w:t xml:space="preserve"> </w:t>
      </w:r>
      <w:r w:rsidRPr="009A0B72">
        <w:rPr>
          <w:rFonts w:cs="Arial"/>
        </w:rPr>
        <w:t xml:space="preserve">while subject to </w:t>
      </w:r>
      <w:r>
        <w:rPr>
          <w:rFonts w:cs="Arial"/>
        </w:rPr>
        <w:t>CTO</w:t>
      </w:r>
      <w:r w:rsidRPr="009A0B72">
        <w:rPr>
          <w:rFonts w:cs="Arial"/>
        </w:rPr>
        <w:t xml:space="preserve"> in the community.</w:t>
      </w:r>
    </w:p>
    <w:p w14:paraId="47B3BB23" w14:textId="15D8A4A2" w:rsidR="00D314BF" w:rsidRDefault="00D314BF" w:rsidP="00D314BF">
      <w:pPr>
        <w:spacing w:before="0" w:after="0"/>
        <w:jc w:val="left"/>
        <w:rPr>
          <w:rFonts w:cs="Arial"/>
        </w:rPr>
      </w:pPr>
    </w:p>
    <w:p w14:paraId="73DF7153" w14:textId="69793610" w:rsidR="00D314BF" w:rsidRPr="009A0B72" w:rsidRDefault="00B0087A" w:rsidP="00D314BF">
      <w:pPr>
        <w:spacing w:after="0"/>
        <w:outlineLvl w:val="0"/>
        <w:rPr>
          <w:rFonts w:cs="Arial"/>
          <w:b/>
          <w:sz w:val="24"/>
        </w:rPr>
      </w:pPr>
      <w:r>
        <w:rPr>
          <w:rFonts w:cs="Arial"/>
          <w:b/>
          <w:sz w:val="24"/>
        </w:rPr>
        <w:t>8</w:t>
      </w:r>
      <w:r w:rsidR="00D314BF" w:rsidRPr="009A0B72">
        <w:rPr>
          <w:rFonts w:cs="Arial"/>
          <w:b/>
          <w:sz w:val="24"/>
        </w:rPr>
        <w:t>.0</w:t>
      </w:r>
      <w:r w:rsidR="00D314BF" w:rsidRPr="009A0B72">
        <w:rPr>
          <w:rFonts w:cs="Arial"/>
          <w:b/>
          <w:sz w:val="24"/>
        </w:rPr>
        <w:tab/>
        <w:t>Care Planning and CT</w:t>
      </w:r>
      <w:r w:rsidR="00D314BF">
        <w:rPr>
          <w:rFonts w:cs="Arial"/>
          <w:b/>
          <w:sz w:val="24"/>
        </w:rPr>
        <w:t>Os</w:t>
      </w:r>
      <w:r w:rsidR="00D314BF" w:rsidRPr="009A0B72">
        <w:rPr>
          <w:rFonts w:cs="Arial"/>
          <w:b/>
          <w:sz w:val="24"/>
        </w:rPr>
        <w:t>:</w:t>
      </w:r>
    </w:p>
    <w:p w14:paraId="5E0B66A6" w14:textId="0855579F" w:rsidR="00D314BF" w:rsidRPr="009A0B72" w:rsidRDefault="00B0087A" w:rsidP="00D314BF">
      <w:pPr>
        <w:spacing w:after="0"/>
        <w:ind w:left="720" w:hanging="720"/>
        <w:rPr>
          <w:rFonts w:cs="Arial"/>
        </w:rPr>
      </w:pPr>
      <w:r>
        <w:rPr>
          <w:rFonts w:cs="Arial"/>
        </w:rPr>
        <w:t>8</w:t>
      </w:r>
      <w:r w:rsidR="00D314BF" w:rsidRPr="009A0B72">
        <w:rPr>
          <w:rFonts w:cs="Arial"/>
        </w:rPr>
        <w:t>.1</w:t>
      </w:r>
      <w:r w:rsidR="00D314BF" w:rsidRPr="009A0B72">
        <w:rPr>
          <w:rFonts w:cs="Arial"/>
        </w:rPr>
        <w:tab/>
        <w:t>A care plan should be prepared and, subject to the usual considerations of patient confidentiality, the following parties should be consulted</w:t>
      </w:r>
      <w:r w:rsidR="00D314BF">
        <w:rPr>
          <w:rFonts w:cs="Arial"/>
        </w:rPr>
        <w:t xml:space="preserve"> if appropriate</w:t>
      </w:r>
      <w:r w:rsidR="00D314BF" w:rsidRPr="009A0B72">
        <w:rPr>
          <w:rFonts w:cs="Arial"/>
        </w:rPr>
        <w:t>:</w:t>
      </w:r>
    </w:p>
    <w:p w14:paraId="766DE4EA" w14:textId="77777777" w:rsidR="00D314BF" w:rsidRPr="009A0B72" w:rsidRDefault="00D314BF" w:rsidP="00D314BF">
      <w:pPr>
        <w:spacing w:after="0"/>
        <w:ind w:left="720" w:hanging="720"/>
        <w:rPr>
          <w:rFonts w:cs="Arial"/>
        </w:rPr>
      </w:pPr>
    </w:p>
    <w:p w14:paraId="70F3D373" w14:textId="77777777" w:rsidR="00D314BF" w:rsidRPr="009A0B72" w:rsidRDefault="00D314BF" w:rsidP="00D314BF">
      <w:pPr>
        <w:numPr>
          <w:ilvl w:val="0"/>
          <w:numId w:val="7"/>
        </w:numPr>
        <w:spacing w:before="0" w:after="0"/>
        <w:jc w:val="left"/>
        <w:rPr>
          <w:rFonts w:cs="Arial"/>
        </w:rPr>
      </w:pPr>
      <w:r w:rsidRPr="009A0B72">
        <w:rPr>
          <w:rFonts w:cs="Arial"/>
        </w:rPr>
        <w:t>The Patient</w:t>
      </w:r>
    </w:p>
    <w:p w14:paraId="5503D917" w14:textId="77777777" w:rsidR="00D314BF" w:rsidRPr="00F25596" w:rsidRDefault="00D314BF" w:rsidP="00D314BF">
      <w:pPr>
        <w:pStyle w:val="ListParagraph"/>
        <w:numPr>
          <w:ilvl w:val="0"/>
          <w:numId w:val="7"/>
        </w:numPr>
        <w:spacing w:after="0" w:line="240" w:lineRule="auto"/>
        <w:rPr>
          <w:rFonts w:ascii="Arial" w:eastAsia="Times New Roman" w:hAnsi="Arial" w:cs="Arial"/>
          <w:lang w:eastAsia="en-GB"/>
        </w:rPr>
      </w:pPr>
      <w:r w:rsidRPr="00F25596">
        <w:rPr>
          <w:rFonts w:ascii="Arial" w:eastAsia="Times New Roman" w:hAnsi="Arial" w:cs="Arial"/>
          <w:lang w:eastAsia="en-GB"/>
        </w:rPr>
        <w:t xml:space="preserve">The Nearest Relative </w:t>
      </w:r>
    </w:p>
    <w:p w14:paraId="0FAC1A01" w14:textId="77777777" w:rsidR="00D314BF" w:rsidRDefault="00D314BF" w:rsidP="00D314BF">
      <w:pPr>
        <w:numPr>
          <w:ilvl w:val="0"/>
          <w:numId w:val="5"/>
        </w:numPr>
        <w:tabs>
          <w:tab w:val="num" w:pos="1080"/>
          <w:tab w:val="num" w:pos="1440"/>
        </w:tabs>
        <w:spacing w:before="0" w:after="0"/>
        <w:ind w:hanging="720"/>
        <w:jc w:val="left"/>
        <w:rPr>
          <w:rFonts w:cs="Arial"/>
        </w:rPr>
      </w:pPr>
      <w:r w:rsidRPr="009A0B72">
        <w:rPr>
          <w:rFonts w:cs="Arial"/>
        </w:rPr>
        <w:t>Any carers</w:t>
      </w:r>
    </w:p>
    <w:p w14:paraId="586E5940" w14:textId="77777777" w:rsidR="00D314BF" w:rsidRPr="009A0B72" w:rsidRDefault="00D314BF" w:rsidP="00D314BF">
      <w:pPr>
        <w:numPr>
          <w:ilvl w:val="0"/>
          <w:numId w:val="5"/>
        </w:numPr>
        <w:tabs>
          <w:tab w:val="num" w:pos="1080"/>
          <w:tab w:val="num" w:pos="1440"/>
        </w:tabs>
        <w:spacing w:before="0" w:after="0"/>
        <w:ind w:hanging="720"/>
        <w:jc w:val="left"/>
        <w:rPr>
          <w:rFonts w:cs="Arial"/>
        </w:rPr>
      </w:pPr>
      <w:r>
        <w:rPr>
          <w:rFonts w:cs="Arial"/>
        </w:rPr>
        <w:t>Any advocate involved in the patient’s care</w:t>
      </w:r>
    </w:p>
    <w:p w14:paraId="1C62D1A1" w14:textId="77777777" w:rsidR="00D314BF" w:rsidRPr="009A0B72" w:rsidRDefault="00D314BF" w:rsidP="00D314BF">
      <w:pPr>
        <w:numPr>
          <w:ilvl w:val="0"/>
          <w:numId w:val="5"/>
        </w:numPr>
        <w:tabs>
          <w:tab w:val="num" w:pos="1080"/>
          <w:tab w:val="num" w:pos="1440"/>
        </w:tabs>
        <w:spacing w:before="0" w:after="0"/>
        <w:ind w:left="1440"/>
        <w:jc w:val="left"/>
        <w:rPr>
          <w:rFonts w:cs="Arial"/>
        </w:rPr>
      </w:pPr>
      <w:r w:rsidRPr="009A0B72">
        <w:rPr>
          <w:rFonts w:cs="Arial"/>
        </w:rPr>
        <w:t>An Attorney (authorised by Lasting Power of Attorney – Personal Welfare) or Court Appointed Deputy under the Mental Capacity Act 2005</w:t>
      </w:r>
    </w:p>
    <w:p w14:paraId="1610DE1D" w14:textId="77777777" w:rsidR="00D314BF" w:rsidRPr="009A0B72" w:rsidRDefault="00D314BF" w:rsidP="00D314BF">
      <w:pPr>
        <w:numPr>
          <w:ilvl w:val="0"/>
          <w:numId w:val="6"/>
        </w:numPr>
        <w:spacing w:before="0" w:after="0"/>
        <w:jc w:val="left"/>
        <w:rPr>
          <w:rFonts w:cs="Arial"/>
        </w:rPr>
      </w:pPr>
      <w:r w:rsidRPr="009A0B72">
        <w:rPr>
          <w:rFonts w:cs="Arial"/>
        </w:rPr>
        <w:t>Members of the multi-disciplinary team involved in the patient’s care</w:t>
      </w:r>
    </w:p>
    <w:p w14:paraId="63BA5146" w14:textId="0D9BF069" w:rsidR="00D314BF" w:rsidRPr="00D314BF" w:rsidRDefault="00D314BF" w:rsidP="00D314BF">
      <w:pPr>
        <w:numPr>
          <w:ilvl w:val="0"/>
          <w:numId w:val="6"/>
        </w:numPr>
        <w:spacing w:before="0" w:after="0"/>
        <w:jc w:val="left"/>
        <w:rPr>
          <w:rFonts w:cs="Arial"/>
        </w:rPr>
      </w:pPr>
      <w:r w:rsidRPr="009A0B72">
        <w:rPr>
          <w:rFonts w:cs="Arial"/>
        </w:rPr>
        <w:t>The patient’s GP. Where there is none, encouragement and help should be given to enable the patient to register with a practice.</w:t>
      </w:r>
    </w:p>
    <w:p w14:paraId="366C7BE4" w14:textId="4EAE3D53" w:rsidR="00D314BF" w:rsidRPr="009A0B72" w:rsidRDefault="00D314BF" w:rsidP="00D314BF">
      <w:pPr>
        <w:spacing w:after="0"/>
        <w:ind w:left="720"/>
        <w:rPr>
          <w:rFonts w:cs="Arial"/>
        </w:rPr>
      </w:pPr>
      <w:r w:rsidRPr="009A0B72">
        <w:rPr>
          <w:rFonts w:cs="Arial"/>
        </w:rPr>
        <w:t xml:space="preserve">Patients must be given the opportunity to be involved as far as is practicable with planning, developing and reviewing their own care and treatment in accordance with </w:t>
      </w:r>
      <w:r>
        <w:rPr>
          <w:rFonts w:cs="Arial"/>
        </w:rPr>
        <w:t xml:space="preserve">29.20 of </w:t>
      </w:r>
      <w:r w:rsidRPr="009A0B72">
        <w:rPr>
          <w:rFonts w:cs="Arial"/>
        </w:rPr>
        <w:t xml:space="preserve">the Mental Health Act Code of Practice </w:t>
      </w:r>
      <w:r>
        <w:rPr>
          <w:rFonts w:cs="Arial"/>
        </w:rPr>
        <w:t>Empowerment and Involvement</w:t>
      </w:r>
      <w:r w:rsidRPr="009A0B72">
        <w:rPr>
          <w:rFonts w:cs="Arial"/>
        </w:rPr>
        <w:t xml:space="preserve"> principle (see </w:t>
      </w:r>
      <w:r>
        <w:rPr>
          <w:rFonts w:cs="Arial"/>
        </w:rPr>
        <w:t xml:space="preserve">Para </w:t>
      </w:r>
      <w:r w:rsidRPr="009A0B72">
        <w:rPr>
          <w:rFonts w:cs="Arial"/>
        </w:rPr>
        <w:t>1.2 above). Where practicable, all patients should be given a copy of their care plan that reflects the legal framework (the CTO and related conditions) unde</w:t>
      </w:r>
      <w:r>
        <w:rPr>
          <w:rFonts w:cs="Arial"/>
        </w:rPr>
        <w:t>r which they are being treated.</w:t>
      </w:r>
    </w:p>
    <w:p w14:paraId="0B198C74" w14:textId="61556DBB" w:rsidR="00D314BF" w:rsidRPr="00DD17F5" w:rsidRDefault="00B0087A" w:rsidP="00D314BF">
      <w:pPr>
        <w:spacing w:after="0"/>
        <w:ind w:left="720" w:hanging="720"/>
        <w:rPr>
          <w:rFonts w:cs="Arial"/>
          <w:strike/>
        </w:rPr>
      </w:pPr>
      <w:r>
        <w:rPr>
          <w:rFonts w:cs="Arial"/>
        </w:rPr>
        <w:t>8</w:t>
      </w:r>
      <w:r w:rsidR="00D314BF" w:rsidRPr="009A0B72">
        <w:rPr>
          <w:rFonts w:cs="Arial"/>
        </w:rPr>
        <w:t>.2</w:t>
      </w:r>
      <w:r w:rsidR="00D314BF" w:rsidRPr="009A0B72">
        <w:rPr>
          <w:rFonts w:cs="Arial"/>
        </w:rPr>
        <w:tab/>
      </w:r>
      <w:r w:rsidR="001B411A">
        <w:rPr>
          <w:rFonts w:cs="Arial"/>
        </w:rPr>
        <w:t>A</w:t>
      </w:r>
      <w:r w:rsidR="00D314BF" w:rsidRPr="009A0B72">
        <w:rPr>
          <w:rFonts w:cs="Arial"/>
        </w:rPr>
        <w:t xml:space="preserve"> care coordinator needs to be identified fo</w:t>
      </w:r>
      <w:r w:rsidR="00D314BF">
        <w:rPr>
          <w:rFonts w:cs="Arial"/>
        </w:rPr>
        <w:t xml:space="preserve">r </w:t>
      </w:r>
      <w:r w:rsidR="001B411A">
        <w:rPr>
          <w:rFonts w:cs="Arial"/>
        </w:rPr>
        <w:t>patients</w:t>
      </w:r>
      <w:r w:rsidR="00D314BF">
        <w:rPr>
          <w:rFonts w:cs="Arial"/>
        </w:rPr>
        <w:t xml:space="preserve"> subject to a</w:t>
      </w:r>
      <w:r w:rsidR="00D314BF" w:rsidRPr="009A0B72">
        <w:rPr>
          <w:rFonts w:cs="Arial"/>
        </w:rPr>
        <w:t xml:space="preserve"> community treatment</w:t>
      </w:r>
      <w:r w:rsidR="00D314BF">
        <w:rPr>
          <w:rFonts w:cs="Arial"/>
        </w:rPr>
        <w:t xml:space="preserve"> order</w:t>
      </w:r>
      <w:r w:rsidR="00D314BF" w:rsidRPr="009A0B72">
        <w:rPr>
          <w:rFonts w:cs="Arial"/>
        </w:rPr>
        <w:t xml:space="preserve">. </w:t>
      </w:r>
    </w:p>
    <w:p w14:paraId="6E2DFDE7" w14:textId="6D0CDBB8" w:rsidR="00D314BF" w:rsidRPr="009A0B72" w:rsidRDefault="00B0087A" w:rsidP="00D314BF">
      <w:pPr>
        <w:spacing w:after="0"/>
        <w:ind w:left="720" w:hanging="720"/>
        <w:rPr>
          <w:rFonts w:cs="Arial"/>
        </w:rPr>
      </w:pPr>
      <w:r>
        <w:rPr>
          <w:rFonts w:cs="Arial"/>
        </w:rPr>
        <w:t>8</w:t>
      </w:r>
      <w:r w:rsidR="00D314BF" w:rsidRPr="009A0B72">
        <w:rPr>
          <w:rFonts w:cs="Arial"/>
        </w:rPr>
        <w:t>.3</w:t>
      </w:r>
      <w:r w:rsidR="00D314BF" w:rsidRPr="009A0B72">
        <w:rPr>
          <w:rFonts w:cs="Arial"/>
        </w:rPr>
        <w:tab/>
        <w:t xml:space="preserve">To reflect the development of community based services and ensure best practice, any prospective RC should be involved at an early stage in determining whether </w:t>
      </w:r>
      <w:r w:rsidR="00D314BF">
        <w:rPr>
          <w:rFonts w:cs="Arial"/>
        </w:rPr>
        <w:t>a CTO</w:t>
      </w:r>
      <w:r w:rsidR="00D314BF" w:rsidRPr="009A0B72">
        <w:rPr>
          <w:rFonts w:cs="Arial"/>
        </w:rPr>
        <w:t xml:space="preserve"> is</w:t>
      </w:r>
      <w:r w:rsidR="00D314BF">
        <w:rPr>
          <w:rFonts w:cs="Arial"/>
        </w:rPr>
        <w:t xml:space="preserve"> appropriate and specifically </w:t>
      </w:r>
      <w:r w:rsidR="00D314BF" w:rsidRPr="009A0B72">
        <w:rPr>
          <w:rFonts w:cs="Arial"/>
        </w:rPr>
        <w:t xml:space="preserve">any conditions to be attached to it. This will greatly assist in the delivery of seamless transfer of care from hospital to community and vice versa although the final decision to make the order rests with the current RC.      </w:t>
      </w:r>
    </w:p>
    <w:p w14:paraId="33308590" w14:textId="77777777" w:rsidR="00D314BF" w:rsidRPr="009A0B72" w:rsidRDefault="00D314BF" w:rsidP="00D314BF">
      <w:pPr>
        <w:spacing w:before="0" w:after="0"/>
        <w:jc w:val="left"/>
        <w:rPr>
          <w:rFonts w:cs="Arial"/>
        </w:rPr>
      </w:pPr>
    </w:p>
    <w:p w14:paraId="451C74BD" w14:textId="3FB4C86A" w:rsidR="00B0087A" w:rsidRPr="009A0B72" w:rsidRDefault="00B0087A" w:rsidP="00B0087A">
      <w:pPr>
        <w:spacing w:after="0"/>
        <w:outlineLvl w:val="0"/>
        <w:rPr>
          <w:rFonts w:cs="Arial"/>
          <w:b/>
          <w:sz w:val="24"/>
        </w:rPr>
      </w:pPr>
      <w:r>
        <w:rPr>
          <w:rFonts w:cs="Arial"/>
          <w:b/>
          <w:sz w:val="24"/>
        </w:rPr>
        <w:t>9</w:t>
      </w:r>
      <w:r w:rsidRPr="009A0B72">
        <w:rPr>
          <w:rFonts w:cs="Arial"/>
          <w:b/>
          <w:sz w:val="24"/>
        </w:rPr>
        <w:t>.0</w:t>
      </w:r>
      <w:r w:rsidRPr="009A0B72">
        <w:rPr>
          <w:rFonts w:cs="Arial"/>
          <w:b/>
          <w:sz w:val="24"/>
        </w:rPr>
        <w:tab/>
        <w:t>Treatment while in the Community</w:t>
      </w:r>
      <w:r w:rsidR="00E143B5">
        <w:rPr>
          <w:rFonts w:cs="Arial"/>
          <w:b/>
          <w:sz w:val="24"/>
        </w:rPr>
        <w:t xml:space="preserve"> under CTO</w:t>
      </w:r>
      <w:r w:rsidRPr="009A0B72">
        <w:rPr>
          <w:rFonts w:cs="Arial"/>
          <w:b/>
          <w:sz w:val="24"/>
        </w:rPr>
        <w:t xml:space="preserve"> (Part 4A of the Act):</w:t>
      </w:r>
    </w:p>
    <w:p w14:paraId="6741BF8B" w14:textId="18140567" w:rsidR="00B0087A" w:rsidRPr="009A0B72" w:rsidRDefault="00B0087A" w:rsidP="00B0087A">
      <w:pPr>
        <w:spacing w:after="0"/>
        <w:ind w:left="720" w:hanging="720"/>
        <w:rPr>
          <w:rFonts w:cs="Arial"/>
          <w:b/>
        </w:rPr>
      </w:pPr>
      <w:r>
        <w:rPr>
          <w:rFonts w:cs="Arial"/>
        </w:rPr>
        <w:t>9</w:t>
      </w:r>
      <w:r w:rsidRPr="009A0B72">
        <w:rPr>
          <w:rFonts w:cs="Arial"/>
        </w:rPr>
        <w:t>.1</w:t>
      </w:r>
      <w:r w:rsidRPr="009A0B72">
        <w:rPr>
          <w:rFonts w:cs="Arial"/>
        </w:rPr>
        <w:tab/>
        <w:t xml:space="preserve">The treatment of </w:t>
      </w:r>
      <w:r>
        <w:rPr>
          <w:rFonts w:cs="Arial"/>
        </w:rPr>
        <w:t xml:space="preserve">CTO </w:t>
      </w:r>
      <w:r w:rsidRPr="009A0B72">
        <w:rPr>
          <w:rFonts w:cs="Arial"/>
        </w:rPr>
        <w:t>patients, who have not been recalled to hospital, including patients who are in hospital on a voluntary basis not having been recalled, is dealt with under Part 4A of the Act. The Code refers to them for convenience as ‘Part 4A patients’ and provides detailed guidance o</w:t>
      </w:r>
      <w:r>
        <w:rPr>
          <w:rFonts w:cs="Arial"/>
        </w:rPr>
        <w:t>n their treatment in chapters 24 and 25</w:t>
      </w:r>
      <w:r w:rsidRPr="009A0B72">
        <w:rPr>
          <w:rFonts w:cs="Arial"/>
        </w:rPr>
        <w:t xml:space="preserve">.   </w:t>
      </w:r>
      <w:r>
        <w:rPr>
          <w:rFonts w:cs="Arial"/>
          <w:b/>
        </w:rPr>
        <w:tab/>
      </w:r>
    </w:p>
    <w:p w14:paraId="162D4680" w14:textId="23831F4F" w:rsidR="00B0087A" w:rsidRPr="009A0B72" w:rsidRDefault="00B0087A" w:rsidP="00B0087A">
      <w:pPr>
        <w:numPr>
          <w:ilvl w:val="1"/>
          <w:numId w:val="0"/>
        </w:numPr>
        <w:tabs>
          <w:tab w:val="num" w:pos="360"/>
        </w:tabs>
        <w:spacing w:after="0"/>
        <w:ind w:left="720" w:hanging="720"/>
        <w:rPr>
          <w:rFonts w:cs="Arial"/>
        </w:rPr>
      </w:pPr>
      <w:r>
        <w:rPr>
          <w:rFonts w:cs="Arial"/>
        </w:rPr>
        <w:t>9</w:t>
      </w:r>
      <w:r w:rsidRPr="009A0B72">
        <w:rPr>
          <w:rFonts w:cs="Arial"/>
        </w:rPr>
        <w:t>.2</w:t>
      </w:r>
      <w:r w:rsidRPr="009A0B72">
        <w:rPr>
          <w:rFonts w:cs="Arial"/>
        </w:rPr>
        <w:tab/>
      </w:r>
      <w:r>
        <w:rPr>
          <w:rFonts w:cs="Arial"/>
        </w:rPr>
        <w:t xml:space="preserve">      </w:t>
      </w:r>
      <w:r w:rsidRPr="009A0B72">
        <w:rPr>
          <w:rFonts w:cs="Arial"/>
        </w:rPr>
        <w:t>There are different rules for Part 4A patients who have capacity to consent to specified treatments</w:t>
      </w:r>
      <w:r>
        <w:rPr>
          <w:rFonts w:cs="Arial"/>
        </w:rPr>
        <w:t xml:space="preserve"> for mental disorder</w:t>
      </w:r>
      <w:r w:rsidRPr="009A0B72">
        <w:rPr>
          <w:rFonts w:cs="Arial"/>
        </w:rPr>
        <w:t xml:space="preserve"> and those that do not. Anyone that has capacity can only be given treatment in the community that they consent to. Even in an emergency, they can only be treated by recalling them to hospital. However, recall will not be appropriate unless the patient meets the criteria set out at </w:t>
      </w:r>
      <w:r w:rsidR="00C60FB9">
        <w:rPr>
          <w:rFonts w:cs="Arial"/>
        </w:rPr>
        <w:t>13.3</w:t>
      </w:r>
      <w:r w:rsidRPr="009A0B72">
        <w:rPr>
          <w:rFonts w:cs="Arial"/>
        </w:rPr>
        <w:t xml:space="preserve"> </w:t>
      </w:r>
      <w:r w:rsidR="00FB6D1D">
        <w:rPr>
          <w:rFonts w:cs="Arial"/>
        </w:rPr>
        <w:t>below</w:t>
      </w:r>
      <w:r w:rsidRPr="009A0B72">
        <w:rPr>
          <w:rFonts w:cs="Arial"/>
        </w:rPr>
        <w:t xml:space="preserve">. It is the responsibility of the </w:t>
      </w:r>
      <w:r>
        <w:rPr>
          <w:rFonts w:cs="Arial"/>
        </w:rPr>
        <w:t>AC</w:t>
      </w:r>
      <w:r w:rsidRPr="009A0B72">
        <w:rPr>
          <w:rFonts w:cs="Arial"/>
        </w:rPr>
        <w:t xml:space="preserve"> in charge of the treatment to undertake an assessment of the patient’s capacity and whether they consent to treatment or not at the point of making the </w:t>
      </w:r>
      <w:r>
        <w:rPr>
          <w:rFonts w:cs="Arial"/>
        </w:rPr>
        <w:t>CTO</w:t>
      </w:r>
      <w:r w:rsidRPr="009A0B72">
        <w:rPr>
          <w:rFonts w:cs="Arial"/>
        </w:rPr>
        <w:t xml:space="preserve">. This must be documented clearly in the patient’s notes and reviewed on a regular basis; at least during each CPA meeting, upon extension of the order or upon any change in treatment. A change in </w:t>
      </w:r>
      <w:r>
        <w:rPr>
          <w:rFonts w:cs="Arial"/>
        </w:rPr>
        <w:t>AC</w:t>
      </w:r>
      <w:r w:rsidRPr="009A0B72">
        <w:rPr>
          <w:rFonts w:cs="Arial"/>
        </w:rPr>
        <w:t xml:space="preserve"> in charge will also require a fresh asse</w:t>
      </w:r>
      <w:r>
        <w:rPr>
          <w:rFonts w:cs="Arial"/>
        </w:rPr>
        <w:t>ssment of capacity and consent.</w:t>
      </w:r>
    </w:p>
    <w:p w14:paraId="42A32D44" w14:textId="7C76A1E6" w:rsidR="00B0087A" w:rsidRPr="009A0B72" w:rsidRDefault="00B0087A" w:rsidP="00B0087A">
      <w:pPr>
        <w:spacing w:after="0"/>
        <w:ind w:left="720" w:hanging="720"/>
        <w:rPr>
          <w:rFonts w:cs="Arial"/>
        </w:rPr>
      </w:pPr>
      <w:r>
        <w:rPr>
          <w:rFonts w:cs="Arial"/>
        </w:rPr>
        <w:t>9</w:t>
      </w:r>
      <w:r w:rsidRPr="009A0B72">
        <w:rPr>
          <w:rFonts w:cs="Arial"/>
        </w:rPr>
        <w:t>.3</w:t>
      </w:r>
      <w:r w:rsidRPr="009A0B72">
        <w:rPr>
          <w:rFonts w:cs="Arial"/>
        </w:rPr>
        <w:tab/>
        <w:t>The Part 4A rules recognise and incorporate aspects of the Mental Capacity Act 2005 (‘MCA’) including advance decisions and persons appointed to make surrogate decisions such as an attorney under a lasting power of attorney (personal welfare) or a court appointed deputy. It should be noted that the M</w:t>
      </w:r>
      <w:r>
        <w:rPr>
          <w:rFonts w:cs="Arial"/>
        </w:rPr>
        <w:t xml:space="preserve">CA </w:t>
      </w:r>
      <w:r w:rsidRPr="009A0B72">
        <w:rPr>
          <w:rFonts w:cs="Arial"/>
        </w:rPr>
        <w:t>may not gene</w:t>
      </w:r>
      <w:r>
        <w:rPr>
          <w:rFonts w:cs="Arial"/>
        </w:rPr>
        <w:t>rally be used to give</w:t>
      </w:r>
      <w:r w:rsidRPr="009A0B72">
        <w:rPr>
          <w:rFonts w:cs="Arial"/>
        </w:rPr>
        <w:t xml:space="preserve"> </w:t>
      </w:r>
      <w:r>
        <w:rPr>
          <w:rFonts w:cs="Arial"/>
        </w:rPr>
        <w:t>CTO</w:t>
      </w:r>
      <w:r w:rsidRPr="009A0B72">
        <w:rPr>
          <w:rFonts w:cs="Arial"/>
        </w:rPr>
        <w:t xml:space="preserve"> patients any treatment for mental disorder (if they lack capacity) other than where an attorney, deputy or Court of Protection order provides consent. It may still be appropriate to rely on the </w:t>
      </w:r>
      <w:r>
        <w:rPr>
          <w:rFonts w:cs="Arial"/>
        </w:rPr>
        <w:t>MCA</w:t>
      </w:r>
      <w:r w:rsidRPr="009A0B72">
        <w:rPr>
          <w:rFonts w:cs="Arial"/>
        </w:rPr>
        <w:t xml:space="preserve"> for the provision of treatments for ph</w:t>
      </w:r>
      <w:r>
        <w:rPr>
          <w:rFonts w:cs="Arial"/>
        </w:rPr>
        <w:t xml:space="preserve">ysical problems for a </w:t>
      </w:r>
      <w:r w:rsidRPr="009A0B72">
        <w:rPr>
          <w:rFonts w:cs="Arial"/>
        </w:rPr>
        <w:t>community treatment patient</w:t>
      </w:r>
      <w:r>
        <w:rPr>
          <w:rFonts w:cs="Arial"/>
        </w:rPr>
        <w:t xml:space="preserve">. </w:t>
      </w:r>
    </w:p>
    <w:p w14:paraId="3C5091CA" w14:textId="52B97DEA" w:rsidR="00B0087A" w:rsidRPr="009A0B72" w:rsidRDefault="00B0087A" w:rsidP="00B0087A">
      <w:pPr>
        <w:spacing w:after="0"/>
        <w:ind w:left="720" w:hanging="720"/>
        <w:rPr>
          <w:rFonts w:cs="Arial"/>
        </w:rPr>
      </w:pPr>
      <w:r>
        <w:rPr>
          <w:rFonts w:cs="Arial"/>
        </w:rPr>
        <w:t>9</w:t>
      </w:r>
      <w:r w:rsidRPr="009A0B72">
        <w:rPr>
          <w:rFonts w:cs="Arial"/>
        </w:rPr>
        <w:t>.4</w:t>
      </w:r>
      <w:r w:rsidRPr="009A0B72">
        <w:rPr>
          <w:rFonts w:cs="Arial"/>
        </w:rPr>
        <w:tab/>
        <w:t xml:space="preserve">The </w:t>
      </w:r>
      <w:r>
        <w:rPr>
          <w:rFonts w:cs="Arial"/>
        </w:rPr>
        <w:t>MCA</w:t>
      </w:r>
      <w:r w:rsidRPr="009A0B72">
        <w:rPr>
          <w:rFonts w:cs="Arial"/>
        </w:rPr>
        <w:t xml:space="preserve"> does not apply to a child under the age of sixteen, so decisions about capacity in relation to medical treatment are made by determining whether a child is ‘Gillick competent’ in accordance with a landmark ruling of the House of Lords</w:t>
      </w:r>
      <w:r w:rsidRPr="009A0B72">
        <w:rPr>
          <w:rFonts w:cs="Arial"/>
          <w:vertAlign w:val="superscript"/>
        </w:rPr>
        <w:footnoteReference w:id="9"/>
      </w:r>
      <w:r w:rsidRPr="009A0B72">
        <w:rPr>
          <w:rFonts w:cs="Arial"/>
        </w:rPr>
        <w:t>. This is sometimes referred to as ‘Fraser competency’ acknowledging the Law Lord who set out the principles to be applied i</w:t>
      </w:r>
      <w:r>
        <w:rPr>
          <w:rFonts w:cs="Arial"/>
        </w:rPr>
        <w:t xml:space="preserve">n determining such competency. </w:t>
      </w:r>
    </w:p>
    <w:p w14:paraId="62FC5728" w14:textId="70DA4757" w:rsidR="00B0087A" w:rsidRPr="00B0087A" w:rsidRDefault="00B0087A" w:rsidP="00B0087A">
      <w:pPr>
        <w:spacing w:after="0"/>
        <w:ind w:left="720" w:hanging="720"/>
        <w:rPr>
          <w:rFonts w:cs="Arial"/>
        </w:rPr>
      </w:pPr>
      <w:r>
        <w:rPr>
          <w:rFonts w:cs="Arial"/>
        </w:rPr>
        <w:t>9</w:t>
      </w:r>
      <w:r w:rsidRPr="009A0B72">
        <w:rPr>
          <w:rFonts w:cs="Arial"/>
        </w:rPr>
        <w:t>.5</w:t>
      </w:r>
      <w:r w:rsidRPr="009A0B72">
        <w:rPr>
          <w:rFonts w:cs="Arial"/>
        </w:rPr>
        <w:tab/>
        <w:t>Part 4A patients over the age of sixteen, who lack capacity, may be given specified treatments on the authority of an attorney</w:t>
      </w:r>
      <w:r w:rsidRPr="009A0B72">
        <w:rPr>
          <w:rFonts w:cs="Arial"/>
          <w:vertAlign w:val="superscript"/>
        </w:rPr>
        <w:footnoteReference w:id="10"/>
      </w:r>
      <w:r w:rsidRPr="009A0B72">
        <w:rPr>
          <w:rFonts w:cs="Arial"/>
        </w:rPr>
        <w:t xml:space="preserve"> or court appointed deputy or by order of the Court of Protection. If over sixteen, treatment cannot be given where an attorney or deputy refuses on the patient’s behalf. If the patient is over eighteen, treatment cannot be authorised if it would contravene a valid and applicable advance decision made under the </w:t>
      </w:r>
      <w:r>
        <w:rPr>
          <w:rFonts w:cs="Arial"/>
        </w:rPr>
        <w:t>MCA</w:t>
      </w:r>
      <w:r w:rsidRPr="009A0B72">
        <w:rPr>
          <w:rFonts w:cs="Arial"/>
        </w:rPr>
        <w:t>.</w:t>
      </w:r>
      <w:r w:rsidRPr="009A0B72">
        <w:rPr>
          <w:rFonts w:cs="Arial"/>
          <w:vertAlign w:val="superscript"/>
        </w:rPr>
        <w:footnoteReference w:id="11"/>
      </w:r>
      <w:r>
        <w:rPr>
          <w:rFonts w:cs="Arial"/>
        </w:rPr>
        <w:t xml:space="preserve">    </w:t>
      </w:r>
    </w:p>
    <w:p w14:paraId="2D8F3075" w14:textId="7B79DF8B" w:rsidR="00B0087A" w:rsidRPr="009A0B72" w:rsidRDefault="00B0087A" w:rsidP="007C14AE">
      <w:pPr>
        <w:spacing w:after="0"/>
        <w:ind w:left="720" w:hanging="720"/>
        <w:rPr>
          <w:rFonts w:cs="Arial"/>
        </w:rPr>
      </w:pPr>
      <w:r>
        <w:rPr>
          <w:rFonts w:cs="Arial"/>
        </w:rPr>
        <w:t>9</w:t>
      </w:r>
      <w:r w:rsidRPr="009A0B72">
        <w:rPr>
          <w:rFonts w:cs="Arial"/>
        </w:rPr>
        <w:t>.6</w:t>
      </w:r>
      <w:r w:rsidRPr="009A0B72">
        <w:rPr>
          <w:rFonts w:cs="Arial"/>
        </w:rPr>
        <w:tab/>
        <w:t xml:space="preserve">If physical force needs to be used to administer treatment to a patient of any age who lacks capacity or competence, it can only be given in an emergency following the conditions set out in section 64G of the Act, which reflect the similar scheme in the </w:t>
      </w:r>
      <w:r>
        <w:rPr>
          <w:rFonts w:cs="Arial"/>
        </w:rPr>
        <w:t>MCA</w:t>
      </w:r>
      <w:r w:rsidRPr="009A0B72">
        <w:rPr>
          <w:rFonts w:cs="Arial"/>
          <w:vertAlign w:val="superscript"/>
        </w:rPr>
        <w:footnoteReference w:id="12"/>
      </w:r>
      <w:r w:rsidRPr="009A0B72">
        <w:rPr>
          <w:rFonts w:cs="Arial"/>
        </w:rPr>
        <w:t xml:space="preserve">. This is that the person believes that the patient lacks capacity, the treatment is immediately necessary (see below) and that any force used is a proportionate response to the likelihood of harm being suffered. The alternative mechanism is via recall to hospital but the recall criteria set out at </w:t>
      </w:r>
      <w:r w:rsidR="00E02DBB">
        <w:rPr>
          <w:rFonts w:cs="Arial"/>
        </w:rPr>
        <w:t>13</w:t>
      </w:r>
      <w:r w:rsidRPr="009A0B72">
        <w:rPr>
          <w:rFonts w:cs="Arial"/>
        </w:rPr>
        <w:t>.3 above apply equally to patients lacking capacity</w:t>
      </w:r>
      <w:r w:rsidR="007C14AE">
        <w:rPr>
          <w:rFonts w:cs="Arial"/>
        </w:rPr>
        <w:t xml:space="preserve">.    </w:t>
      </w:r>
    </w:p>
    <w:p w14:paraId="6942BE69" w14:textId="014D0A67" w:rsidR="00B0087A" w:rsidRPr="009A0B72" w:rsidRDefault="00B0087A" w:rsidP="00B0087A">
      <w:pPr>
        <w:spacing w:after="0"/>
        <w:ind w:left="720" w:hanging="720"/>
        <w:rPr>
          <w:rFonts w:cs="Arial"/>
        </w:rPr>
      </w:pPr>
      <w:r>
        <w:rPr>
          <w:rFonts w:cs="Arial"/>
        </w:rPr>
        <w:t>9</w:t>
      </w:r>
      <w:r w:rsidRPr="009A0B72">
        <w:rPr>
          <w:rFonts w:cs="Arial"/>
        </w:rPr>
        <w:t>.7</w:t>
      </w:r>
      <w:r w:rsidRPr="009A0B72">
        <w:rPr>
          <w:rFonts w:cs="Arial"/>
        </w:rPr>
        <w:tab/>
        <w:t xml:space="preserve">In an emergency, treatment for Part 4A patients who have not been recalled and who lack capacity, can be given by anyone (it need not be an </w:t>
      </w:r>
      <w:r>
        <w:rPr>
          <w:rFonts w:cs="Arial"/>
        </w:rPr>
        <w:t>AC</w:t>
      </w:r>
      <w:r w:rsidRPr="009A0B72">
        <w:rPr>
          <w:rFonts w:cs="Arial"/>
        </w:rPr>
        <w:t xml:space="preserve"> or the </w:t>
      </w:r>
      <w:r>
        <w:rPr>
          <w:rFonts w:cs="Arial"/>
        </w:rPr>
        <w:t>RC</w:t>
      </w:r>
      <w:r w:rsidRPr="009A0B72">
        <w:rPr>
          <w:rFonts w:cs="Arial"/>
        </w:rPr>
        <w:t>) but only if the treatment is immediately necessary to:</w:t>
      </w:r>
    </w:p>
    <w:p w14:paraId="408FAE0B" w14:textId="77777777" w:rsidR="00B0087A" w:rsidRPr="009A0B72" w:rsidRDefault="00B0087A" w:rsidP="00B0087A">
      <w:pPr>
        <w:spacing w:after="0"/>
        <w:rPr>
          <w:rFonts w:cs="Arial"/>
        </w:rPr>
      </w:pPr>
    </w:p>
    <w:p w14:paraId="6314A50D" w14:textId="77777777" w:rsidR="00B0087A" w:rsidRPr="006D2E50" w:rsidRDefault="00B0087A" w:rsidP="00B0087A">
      <w:pPr>
        <w:pStyle w:val="ListParagraph"/>
        <w:numPr>
          <w:ilvl w:val="1"/>
          <w:numId w:val="13"/>
        </w:numPr>
        <w:tabs>
          <w:tab w:val="num" w:pos="1080"/>
        </w:tabs>
        <w:spacing w:after="0" w:line="240" w:lineRule="auto"/>
        <w:jc w:val="both"/>
        <w:rPr>
          <w:rFonts w:ascii="Arial" w:eastAsia="Times New Roman" w:hAnsi="Arial" w:cs="Arial"/>
          <w:lang w:eastAsia="en-GB"/>
        </w:rPr>
      </w:pPr>
      <w:r w:rsidRPr="006D2E50">
        <w:rPr>
          <w:rFonts w:ascii="Arial" w:eastAsia="Times New Roman" w:hAnsi="Arial" w:cs="Arial"/>
          <w:lang w:eastAsia="en-GB"/>
        </w:rPr>
        <w:t>Save the patient’s life;</w:t>
      </w:r>
    </w:p>
    <w:p w14:paraId="2A0CC162" w14:textId="77777777" w:rsidR="00B0087A" w:rsidRPr="003F033E" w:rsidRDefault="00B0087A" w:rsidP="00B0087A">
      <w:pPr>
        <w:pStyle w:val="ListParagraph"/>
        <w:numPr>
          <w:ilvl w:val="1"/>
          <w:numId w:val="13"/>
        </w:numPr>
        <w:tabs>
          <w:tab w:val="num" w:pos="1080"/>
        </w:tabs>
        <w:spacing w:after="0" w:line="240" w:lineRule="auto"/>
        <w:jc w:val="both"/>
        <w:rPr>
          <w:rFonts w:ascii="Arial" w:eastAsia="Times New Roman" w:hAnsi="Arial" w:cs="Syntax-Roman"/>
          <w:lang w:eastAsia="en-GB"/>
        </w:rPr>
      </w:pPr>
      <w:r w:rsidRPr="003F033E">
        <w:rPr>
          <w:rFonts w:ascii="Arial" w:eastAsia="Times New Roman" w:hAnsi="Arial" w:cs="Arial"/>
          <w:lang w:eastAsia="en-GB"/>
        </w:rPr>
        <w:t>Prevent a serious deterioration of the patient’s condition, and the treatment does not have unfavourable physical or psychological consequences which cannot be reversed;</w:t>
      </w:r>
    </w:p>
    <w:p w14:paraId="4663A863" w14:textId="77777777" w:rsidR="00B0087A" w:rsidRPr="003F033E" w:rsidRDefault="00B0087A" w:rsidP="00B0087A">
      <w:pPr>
        <w:pStyle w:val="ListParagraph"/>
        <w:numPr>
          <w:ilvl w:val="1"/>
          <w:numId w:val="13"/>
        </w:numPr>
        <w:tabs>
          <w:tab w:val="num" w:pos="1080"/>
        </w:tabs>
        <w:spacing w:after="0" w:line="240" w:lineRule="auto"/>
        <w:jc w:val="both"/>
        <w:rPr>
          <w:rFonts w:ascii="Arial" w:eastAsia="Times New Roman" w:hAnsi="Arial" w:cs="Syntax-Roman"/>
          <w:lang w:eastAsia="en-GB"/>
        </w:rPr>
      </w:pPr>
      <w:r w:rsidRPr="003F033E">
        <w:rPr>
          <w:rFonts w:ascii="Arial" w:eastAsia="Times New Roman" w:hAnsi="Arial" w:cs="Arial"/>
          <w:lang w:eastAsia="en-GB"/>
        </w:rPr>
        <w:t>Alleviate serious suffering by the patient and the treatment does not have unfavourable physical or psychological consequences which cannot be reversed and does not entail significant physical hazard; or</w:t>
      </w:r>
    </w:p>
    <w:p w14:paraId="426969C1" w14:textId="43A1B9A1" w:rsidR="00B0087A" w:rsidRPr="00B0087A" w:rsidRDefault="00B0087A" w:rsidP="00B0087A">
      <w:pPr>
        <w:pStyle w:val="ListParagraph"/>
        <w:numPr>
          <w:ilvl w:val="1"/>
          <w:numId w:val="13"/>
        </w:numPr>
        <w:tabs>
          <w:tab w:val="num" w:pos="1080"/>
        </w:tabs>
        <w:spacing w:after="0" w:line="240" w:lineRule="auto"/>
        <w:jc w:val="both"/>
        <w:rPr>
          <w:rFonts w:ascii="Arial" w:eastAsia="Times New Roman" w:hAnsi="Arial" w:cs="Syntax-Roman"/>
          <w:lang w:eastAsia="en-GB"/>
        </w:rPr>
      </w:pPr>
      <w:r w:rsidRPr="003F033E">
        <w:rPr>
          <w:rFonts w:ascii="Arial" w:eastAsia="Times New Roman" w:hAnsi="Arial" w:cs="Arial"/>
          <w:lang w:eastAsia="en-GB"/>
        </w:rPr>
        <w:t xml:space="preserve">Prevent the patient behaving violently or being a danger to themselves or others, and the treatment represents the minimum interference necessary for that purpose, does not have unfavourable physical or </w:t>
      </w:r>
      <w:r w:rsidRPr="003F033E">
        <w:rPr>
          <w:rFonts w:ascii="Arial" w:eastAsia="Times New Roman" w:hAnsi="Arial" w:cs="Syntax-Roman"/>
          <w:lang w:eastAsia="en-GB"/>
        </w:rPr>
        <w:t>psychological consequences which cannot be reversed and does not entail significant physical hazard.</w:t>
      </w:r>
    </w:p>
    <w:p w14:paraId="7A9F676A" w14:textId="041393C7" w:rsidR="00B0087A" w:rsidRPr="009A0B72" w:rsidRDefault="00B0087A" w:rsidP="00B0087A">
      <w:pPr>
        <w:spacing w:after="0"/>
        <w:ind w:left="720"/>
        <w:rPr>
          <w:rFonts w:cs="Arial"/>
        </w:rPr>
      </w:pPr>
      <w:r w:rsidRPr="009A0B72">
        <w:rPr>
          <w:rFonts w:cs="Arial"/>
        </w:rPr>
        <w:t>For Electro Convulsive Therapy (or medication administered as part of Electro Convulsive Therapy), only t</w:t>
      </w:r>
      <w:r>
        <w:rPr>
          <w:rFonts w:cs="Arial"/>
        </w:rPr>
        <w:t xml:space="preserve">he first two categories apply. </w:t>
      </w:r>
    </w:p>
    <w:p w14:paraId="0AE6ED94" w14:textId="130240AA" w:rsidR="00B0087A" w:rsidRPr="009A0B72" w:rsidRDefault="00B0087A" w:rsidP="00B0087A">
      <w:pPr>
        <w:spacing w:after="0"/>
        <w:ind w:left="720" w:hanging="720"/>
        <w:rPr>
          <w:rFonts w:cs="Arial"/>
        </w:rPr>
      </w:pPr>
      <w:r>
        <w:rPr>
          <w:rFonts w:cs="Arial"/>
        </w:rPr>
        <w:t>9</w:t>
      </w:r>
      <w:r w:rsidRPr="009A0B72">
        <w:rPr>
          <w:rFonts w:cs="Arial"/>
        </w:rPr>
        <w:t>.8</w:t>
      </w:r>
      <w:r w:rsidRPr="009A0B72">
        <w:rPr>
          <w:rFonts w:cs="Arial"/>
        </w:rPr>
        <w:tab/>
        <w:t>In an emergency where treatment is immediately necessary as above, it may be given even if it goes against an advance decision or a decision made by a person authorised on the patient’s behalf under the M</w:t>
      </w:r>
      <w:r>
        <w:rPr>
          <w:rFonts w:cs="Arial"/>
        </w:rPr>
        <w:t>CA</w:t>
      </w:r>
      <w:r w:rsidRPr="009A0B72">
        <w:rPr>
          <w:rFonts w:cs="Arial"/>
        </w:rPr>
        <w:t>.</w:t>
      </w:r>
      <w:r w:rsidRPr="009A0B72">
        <w:rPr>
          <w:rFonts w:cs="Arial"/>
          <w:vertAlign w:val="superscript"/>
        </w:rPr>
        <w:footnoteReference w:id="13"/>
      </w:r>
      <w:r w:rsidRPr="009A0B72">
        <w:rPr>
          <w:rFonts w:cs="Arial"/>
        </w:rPr>
        <w:t xml:space="preserve">These are the only exceptional circumstances in which force can be used to treat an objecting </w:t>
      </w:r>
      <w:r>
        <w:rPr>
          <w:rFonts w:cs="Arial"/>
        </w:rPr>
        <w:t xml:space="preserve">CTO </w:t>
      </w:r>
      <w:r w:rsidRPr="009A0B72">
        <w:rPr>
          <w:rFonts w:cs="Arial"/>
        </w:rPr>
        <w:t>patient, who doesn’t have capacity, without first</w:t>
      </w:r>
      <w:r>
        <w:rPr>
          <w:rFonts w:cs="Arial"/>
        </w:rPr>
        <w:t xml:space="preserve"> recalling them to hospital.   </w:t>
      </w:r>
    </w:p>
    <w:p w14:paraId="5834FAEA" w14:textId="4F9B9A10" w:rsidR="00B0087A" w:rsidRDefault="00B0087A" w:rsidP="00B0087A">
      <w:pPr>
        <w:spacing w:after="0"/>
        <w:ind w:left="720" w:hanging="720"/>
        <w:rPr>
          <w:rFonts w:cs="Arial"/>
        </w:rPr>
      </w:pPr>
      <w:r>
        <w:rPr>
          <w:rFonts w:cs="Arial"/>
        </w:rPr>
        <w:t>9</w:t>
      </w:r>
      <w:r w:rsidRPr="009A0B72">
        <w:rPr>
          <w:rFonts w:cs="Arial"/>
        </w:rPr>
        <w:t>.9</w:t>
      </w:r>
      <w:r w:rsidRPr="009A0B72">
        <w:rPr>
          <w:rFonts w:cs="Arial"/>
        </w:rPr>
        <w:tab/>
        <w:t>In non-emergency situations (excluding Electro Convulsive Therapy for which reference</w:t>
      </w:r>
      <w:r>
        <w:rPr>
          <w:rFonts w:cs="Arial"/>
        </w:rPr>
        <w:t xml:space="preserve"> should be made to paragraphs 25.19 – 25.25</w:t>
      </w:r>
      <w:r w:rsidRPr="009A0B72">
        <w:rPr>
          <w:rFonts w:cs="Arial"/>
        </w:rPr>
        <w:t xml:space="preserve"> of the Code and the Trust’s Electro Convulsive Therapy Policy) a patient may lack capacity and object to treatment but, where physical force is not required, he or she can be treated with medication for mental disorder in the community during the first month following discharge on a </w:t>
      </w:r>
      <w:r>
        <w:rPr>
          <w:rFonts w:cs="Arial"/>
        </w:rPr>
        <w:t>CTO</w:t>
      </w:r>
      <w:r w:rsidRPr="009A0B72">
        <w:rPr>
          <w:rFonts w:cs="Arial"/>
        </w:rPr>
        <w:t xml:space="preserve"> and thereafter if the following criteria (and the certificate criteria) is met under S64D:</w:t>
      </w:r>
    </w:p>
    <w:p w14:paraId="1F7228E3" w14:textId="77777777" w:rsidR="00761306" w:rsidRPr="009A0B72" w:rsidRDefault="00761306" w:rsidP="00B0087A">
      <w:pPr>
        <w:spacing w:after="0"/>
        <w:ind w:left="720" w:hanging="720"/>
        <w:rPr>
          <w:rFonts w:cs="Arial"/>
        </w:rPr>
      </w:pPr>
    </w:p>
    <w:p w14:paraId="038ACD09" w14:textId="77777777" w:rsidR="00B0087A" w:rsidRPr="009A0B72" w:rsidRDefault="00B0087A" w:rsidP="00B0087A">
      <w:pPr>
        <w:numPr>
          <w:ilvl w:val="0"/>
          <w:numId w:val="12"/>
        </w:numPr>
        <w:spacing w:before="0" w:after="0"/>
        <w:rPr>
          <w:rFonts w:cs="Arial"/>
        </w:rPr>
      </w:pPr>
      <w:r w:rsidRPr="009A0B72">
        <w:rPr>
          <w:rFonts w:cs="Arial"/>
        </w:rPr>
        <w:t>The treatment is given under the direction of the approved clinician in charge of the treatment</w:t>
      </w:r>
    </w:p>
    <w:p w14:paraId="7EE88691" w14:textId="77777777" w:rsidR="00B0087A" w:rsidRPr="009A0B72" w:rsidRDefault="00B0087A" w:rsidP="00B0087A">
      <w:pPr>
        <w:numPr>
          <w:ilvl w:val="0"/>
          <w:numId w:val="12"/>
        </w:numPr>
        <w:spacing w:before="0" w:after="0"/>
        <w:rPr>
          <w:rFonts w:cs="Arial"/>
        </w:rPr>
      </w:pPr>
      <w:r w:rsidRPr="009A0B72">
        <w:rPr>
          <w:rFonts w:cs="Arial"/>
        </w:rPr>
        <w:t>It is not inconsistent with a valid and applicable advance decision to refuse treatment</w:t>
      </w:r>
    </w:p>
    <w:p w14:paraId="66AB1FB5" w14:textId="2912B633" w:rsidR="00B0087A" w:rsidRPr="00B0087A" w:rsidRDefault="00B0087A" w:rsidP="00B0087A">
      <w:pPr>
        <w:numPr>
          <w:ilvl w:val="0"/>
          <w:numId w:val="12"/>
        </w:numPr>
        <w:spacing w:before="0" w:after="0"/>
        <w:rPr>
          <w:rFonts w:cs="Arial"/>
        </w:rPr>
      </w:pPr>
      <w:r w:rsidRPr="009A0B72">
        <w:rPr>
          <w:rFonts w:cs="Arial"/>
        </w:rPr>
        <w:t>. it is not inconsistent with a decision by an attorney, deputy or a Court of Protection decision</w:t>
      </w:r>
    </w:p>
    <w:p w14:paraId="00890396" w14:textId="1319DB3E" w:rsidR="00B0087A" w:rsidRPr="009A0B72" w:rsidRDefault="00B0087A" w:rsidP="00B0087A">
      <w:pPr>
        <w:spacing w:after="0"/>
        <w:ind w:left="720" w:hanging="720"/>
        <w:rPr>
          <w:rFonts w:cs="Arial"/>
        </w:rPr>
      </w:pPr>
      <w:r>
        <w:rPr>
          <w:rFonts w:cs="Arial"/>
        </w:rPr>
        <w:t>9.</w:t>
      </w:r>
      <w:r w:rsidRPr="009A0B72">
        <w:rPr>
          <w:rFonts w:cs="Arial"/>
        </w:rPr>
        <w:t>10</w:t>
      </w:r>
      <w:r w:rsidRPr="009A0B72">
        <w:rPr>
          <w:rFonts w:cs="Arial"/>
        </w:rPr>
        <w:tab/>
      </w:r>
      <w:r w:rsidR="009436E3">
        <w:rPr>
          <w:rFonts w:cs="Arial"/>
        </w:rPr>
        <w:t xml:space="preserve">To continue treatment for mental disorder, there is a requirement for a statutory certificate to be provided </w:t>
      </w:r>
      <w:r w:rsidR="009436E3" w:rsidRPr="009436E3">
        <w:rPr>
          <w:rFonts w:cs="Arial"/>
        </w:rPr>
        <w:t xml:space="preserve">after the first month or </w:t>
      </w:r>
      <w:r w:rsidR="009436E3" w:rsidRPr="00093C22">
        <w:rPr>
          <w:rFonts w:cs="Arial"/>
          <w:color w:val="000000" w:themeColor="text1"/>
        </w:rPr>
        <w:t>if patient discharged onto CTO with les</w:t>
      </w:r>
      <w:r w:rsidR="00093C22" w:rsidRPr="00093C22">
        <w:rPr>
          <w:rFonts w:cs="Arial"/>
          <w:color w:val="000000" w:themeColor="text1"/>
        </w:rPr>
        <w:t>s than three months from when it</w:t>
      </w:r>
      <w:r w:rsidR="009436E3" w:rsidRPr="00093C22">
        <w:rPr>
          <w:rFonts w:cs="Arial"/>
          <w:color w:val="000000" w:themeColor="text1"/>
        </w:rPr>
        <w:t xml:space="preserve"> started (whichever is the longer).</w:t>
      </w:r>
      <w:r w:rsidR="009436E3">
        <w:rPr>
          <w:rFonts w:cs="Arial"/>
        </w:rPr>
        <w:t>This will either be CTO11 from a SOAD or a CTO12 from the RC.</w:t>
      </w:r>
    </w:p>
    <w:p w14:paraId="7DF360F7" w14:textId="14F5F233" w:rsidR="00B0087A" w:rsidRPr="009A0B72" w:rsidRDefault="00B0087A" w:rsidP="00B0087A">
      <w:pPr>
        <w:spacing w:after="0"/>
        <w:ind w:left="720" w:hanging="720"/>
        <w:rPr>
          <w:rFonts w:cs="Arial"/>
        </w:rPr>
      </w:pPr>
      <w:r>
        <w:rPr>
          <w:rFonts w:cs="Arial"/>
        </w:rPr>
        <w:t>9</w:t>
      </w:r>
      <w:r w:rsidRPr="009A0B72">
        <w:rPr>
          <w:rFonts w:cs="Arial"/>
        </w:rPr>
        <w:t>.11</w:t>
      </w:r>
      <w:r w:rsidRPr="009A0B72">
        <w:rPr>
          <w:rFonts w:cs="Arial"/>
        </w:rPr>
        <w:tab/>
        <w:t xml:space="preserve">The </w:t>
      </w:r>
      <w:r>
        <w:rPr>
          <w:rFonts w:cs="Arial"/>
        </w:rPr>
        <w:t>SOAD</w:t>
      </w:r>
      <w:r w:rsidRPr="009A0B72">
        <w:rPr>
          <w:rFonts w:cs="Arial"/>
        </w:rPr>
        <w:t xml:space="preserve"> will consult with two other people who have been involved with the patients care. These people are known as ‘statutory consultees’</w:t>
      </w:r>
      <w:r>
        <w:rPr>
          <w:rFonts w:cs="Arial"/>
        </w:rPr>
        <w:t xml:space="preserve">. </w:t>
      </w:r>
    </w:p>
    <w:p w14:paraId="1852E5AA" w14:textId="0B10D92B" w:rsidR="00B0087A" w:rsidRPr="009A0B72" w:rsidRDefault="00B0087A" w:rsidP="007C14AE">
      <w:pPr>
        <w:spacing w:after="0"/>
        <w:ind w:left="720" w:hanging="720"/>
        <w:rPr>
          <w:rFonts w:cs="Arial"/>
        </w:rPr>
      </w:pPr>
      <w:r>
        <w:rPr>
          <w:rFonts w:cs="Arial"/>
        </w:rPr>
        <w:t>9</w:t>
      </w:r>
      <w:r w:rsidRPr="009A0B72">
        <w:rPr>
          <w:rFonts w:cs="Arial"/>
        </w:rPr>
        <w:t>.12</w:t>
      </w:r>
      <w:r w:rsidRPr="009A0B72">
        <w:rPr>
          <w:rFonts w:cs="Arial"/>
        </w:rPr>
        <w:tab/>
        <w:t xml:space="preserve">The </w:t>
      </w:r>
      <w:r>
        <w:rPr>
          <w:rFonts w:cs="Arial"/>
        </w:rPr>
        <w:t>SOAD</w:t>
      </w:r>
      <w:r w:rsidRPr="009A0B72">
        <w:rPr>
          <w:rFonts w:cs="Arial"/>
        </w:rPr>
        <w:t xml:space="preserve"> will consider what (if any) treatments to approve in the event that the patient is recalled to hospital and to specify any conditions that will ap</w:t>
      </w:r>
      <w:r w:rsidR="007C14AE">
        <w:rPr>
          <w:rFonts w:cs="Arial"/>
        </w:rPr>
        <w:t>ply.  See paragraph 13.3 above.</w:t>
      </w:r>
    </w:p>
    <w:p w14:paraId="4C5857FB" w14:textId="373825DB" w:rsidR="00B0087A" w:rsidRPr="009A0B72" w:rsidRDefault="00B0087A" w:rsidP="00B0087A">
      <w:pPr>
        <w:numPr>
          <w:ilvl w:val="1"/>
          <w:numId w:val="0"/>
        </w:numPr>
        <w:tabs>
          <w:tab w:val="num" w:pos="720"/>
        </w:tabs>
        <w:spacing w:after="0"/>
        <w:ind w:left="720" w:hanging="720"/>
        <w:rPr>
          <w:rFonts w:cs="Arial"/>
        </w:rPr>
      </w:pPr>
      <w:r>
        <w:rPr>
          <w:rFonts w:cs="Arial"/>
        </w:rPr>
        <w:t>9</w:t>
      </w:r>
      <w:r w:rsidRPr="009A0B72">
        <w:rPr>
          <w:rFonts w:cs="Arial"/>
        </w:rPr>
        <w:t>.13</w:t>
      </w:r>
      <w:r w:rsidRPr="009A0B72">
        <w:rPr>
          <w:rFonts w:cs="Arial"/>
        </w:rPr>
        <w:tab/>
        <w:t>Form CTO11</w:t>
      </w:r>
      <w:r>
        <w:rPr>
          <w:rFonts w:cs="Arial"/>
        </w:rPr>
        <w:t>/CTO12</w:t>
      </w:r>
      <w:r w:rsidRPr="009A0B72">
        <w:rPr>
          <w:rFonts w:cs="Arial"/>
        </w:rPr>
        <w:t xml:space="preserve"> should be </w:t>
      </w:r>
      <w:r>
        <w:rPr>
          <w:rFonts w:cs="Arial"/>
        </w:rPr>
        <w:t xml:space="preserve">uploaded onto RIO under code ‘CONS’ </w:t>
      </w:r>
      <w:r w:rsidRPr="009A0B72">
        <w:rPr>
          <w:rFonts w:cs="Arial"/>
        </w:rPr>
        <w:t>must be and a copy attached to any community prescription chart</w:t>
      </w:r>
      <w:r>
        <w:rPr>
          <w:rFonts w:cs="Arial"/>
        </w:rPr>
        <w:t xml:space="preserve"> or listed on the JAC system appropriately.</w:t>
      </w:r>
    </w:p>
    <w:p w14:paraId="0F7E6102" w14:textId="722755EC" w:rsidR="00B0087A" w:rsidRPr="009A0B72" w:rsidRDefault="00B0087A" w:rsidP="00B0087A">
      <w:pPr>
        <w:numPr>
          <w:ilvl w:val="1"/>
          <w:numId w:val="0"/>
        </w:numPr>
        <w:tabs>
          <w:tab w:val="num" w:pos="720"/>
        </w:tabs>
        <w:spacing w:after="0"/>
        <w:ind w:left="720" w:hanging="720"/>
        <w:rPr>
          <w:rFonts w:cs="Arial"/>
        </w:rPr>
      </w:pPr>
      <w:r>
        <w:rPr>
          <w:rFonts w:cs="Arial"/>
        </w:rPr>
        <w:t>9</w:t>
      </w:r>
      <w:r w:rsidRPr="009A0B72">
        <w:rPr>
          <w:rFonts w:cs="Arial"/>
        </w:rPr>
        <w:t xml:space="preserve">.14 </w:t>
      </w:r>
      <w:r w:rsidRPr="009A0B72">
        <w:rPr>
          <w:rFonts w:cs="Arial"/>
        </w:rPr>
        <w:tab/>
        <w:t>The arrangements surrounding the S</w:t>
      </w:r>
      <w:r>
        <w:rPr>
          <w:rFonts w:cs="Arial"/>
        </w:rPr>
        <w:t>OAD</w:t>
      </w:r>
      <w:r w:rsidRPr="009A0B72">
        <w:rPr>
          <w:rFonts w:cs="Arial"/>
        </w:rPr>
        <w:t>’s examination will be complicated by the fact that the patient is in the community so an appropriate person should be asked to confirm arrangements with the S</w:t>
      </w:r>
      <w:r>
        <w:rPr>
          <w:rFonts w:cs="Arial"/>
        </w:rPr>
        <w:t xml:space="preserve">OAD </w:t>
      </w:r>
      <w:r w:rsidRPr="009A0B72">
        <w:rPr>
          <w:rFonts w:cs="Arial"/>
        </w:rPr>
        <w:t>and coordinate the process. This will us</w:t>
      </w:r>
      <w:r>
        <w:rPr>
          <w:rFonts w:cs="Arial"/>
        </w:rPr>
        <w:t xml:space="preserve">ually be the care coordinator. </w:t>
      </w:r>
    </w:p>
    <w:p w14:paraId="31EFD939" w14:textId="6BD96C5B" w:rsidR="00B0087A" w:rsidRPr="00B0087A" w:rsidRDefault="00B0087A" w:rsidP="00B0087A">
      <w:pPr>
        <w:numPr>
          <w:ilvl w:val="1"/>
          <w:numId w:val="0"/>
        </w:numPr>
        <w:tabs>
          <w:tab w:val="num" w:pos="720"/>
        </w:tabs>
        <w:spacing w:after="0"/>
        <w:ind w:left="720" w:hanging="720"/>
        <w:rPr>
          <w:rFonts w:cs="Arial"/>
        </w:rPr>
      </w:pPr>
      <w:r>
        <w:rPr>
          <w:rFonts w:cs="Arial"/>
        </w:rPr>
        <w:t>9</w:t>
      </w:r>
      <w:r w:rsidRPr="009A0B72">
        <w:rPr>
          <w:rFonts w:cs="Arial"/>
        </w:rPr>
        <w:t>.15</w:t>
      </w:r>
      <w:r w:rsidRPr="009A0B72">
        <w:rPr>
          <w:rFonts w:cs="Arial"/>
        </w:rPr>
        <w:tab/>
        <w:t>Other than in exceptional circumstances</w:t>
      </w:r>
      <w:r>
        <w:rPr>
          <w:rFonts w:cs="Arial"/>
          <w:color w:val="000000" w:themeColor="text1"/>
        </w:rPr>
        <w:t xml:space="preserve"> </w:t>
      </w:r>
      <w:r w:rsidRPr="00975B91">
        <w:rPr>
          <w:rFonts w:cs="Arial"/>
          <w:color w:val="000000" w:themeColor="text1"/>
        </w:rPr>
        <w:t>such as a pandemic</w:t>
      </w:r>
      <w:r w:rsidRPr="009A0B72">
        <w:rPr>
          <w:rFonts w:cs="Arial"/>
        </w:rPr>
        <w:t>, S</w:t>
      </w:r>
      <w:r>
        <w:rPr>
          <w:rFonts w:cs="Arial"/>
        </w:rPr>
        <w:t xml:space="preserve">OAD </w:t>
      </w:r>
      <w:r w:rsidRPr="009A0B72">
        <w:rPr>
          <w:rFonts w:cs="Arial"/>
        </w:rPr>
        <w:t xml:space="preserve">examinations will be arranged in a hospital or clinical setting. If the </w:t>
      </w:r>
      <w:r>
        <w:rPr>
          <w:rFonts w:cs="Arial"/>
        </w:rPr>
        <w:t xml:space="preserve">RC </w:t>
      </w:r>
      <w:r w:rsidRPr="009A0B72">
        <w:rPr>
          <w:rFonts w:cs="Arial"/>
        </w:rPr>
        <w:t xml:space="preserve">agrees that it is necessary to visit a </w:t>
      </w:r>
      <w:r>
        <w:rPr>
          <w:rFonts w:cs="Arial"/>
        </w:rPr>
        <w:t>CTO</w:t>
      </w:r>
      <w:r w:rsidRPr="009A0B72">
        <w:rPr>
          <w:rFonts w:cs="Arial"/>
        </w:rPr>
        <w:t xml:space="preserve"> patient in a hostel or home, the S</w:t>
      </w:r>
      <w:r>
        <w:rPr>
          <w:rFonts w:cs="Arial"/>
        </w:rPr>
        <w:t xml:space="preserve">OAD </w:t>
      </w:r>
      <w:r w:rsidRPr="009A0B72">
        <w:rPr>
          <w:rFonts w:cs="Arial"/>
        </w:rPr>
        <w:t>will always be accompanied by an appropriate member of the care team, who will act as one of the statutory consultees. At least one statutory consultee shall not be a Doctor and neither of the statutory consultee’s can be either the R</w:t>
      </w:r>
      <w:r>
        <w:rPr>
          <w:rFonts w:cs="Arial"/>
        </w:rPr>
        <w:t xml:space="preserve">C </w:t>
      </w:r>
      <w:r w:rsidRPr="009A0B72">
        <w:rPr>
          <w:rFonts w:cs="Arial"/>
        </w:rPr>
        <w:t>or the “A</w:t>
      </w:r>
      <w:r>
        <w:rPr>
          <w:rFonts w:cs="Arial"/>
        </w:rPr>
        <w:t xml:space="preserve">C </w:t>
      </w:r>
      <w:r w:rsidRPr="009A0B72">
        <w:rPr>
          <w:rFonts w:cs="Arial"/>
        </w:rPr>
        <w:t>in charg</w:t>
      </w:r>
      <w:r>
        <w:rPr>
          <w:rFonts w:cs="Arial"/>
        </w:rPr>
        <w:t>e of the treatment in question”</w:t>
      </w:r>
    </w:p>
    <w:p w14:paraId="4A5D2E89" w14:textId="340CFA68" w:rsidR="00B0087A" w:rsidRPr="009A0B72" w:rsidRDefault="00B0087A" w:rsidP="00B0087A">
      <w:pPr>
        <w:numPr>
          <w:ilvl w:val="1"/>
          <w:numId w:val="0"/>
        </w:numPr>
        <w:tabs>
          <w:tab w:val="num" w:pos="720"/>
        </w:tabs>
        <w:spacing w:after="0"/>
        <w:ind w:left="720" w:hanging="720"/>
        <w:rPr>
          <w:rFonts w:cs="Arial"/>
        </w:rPr>
      </w:pPr>
      <w:r>
        <w:rPr>
          <w:rFonts w:cs="Arial"/>
        </w:rPr>
        <w:t>9</w:t>
      </w:r>
      <w:r w:rsidRPr="009A0B72">
        <w:rPr>
          <w:rFonts w:cs="Arial"/>
        </w:rPr>
        <w:t>.16</w:t>
      </w:r>
      <w:r w:rsidRPr="009A0B72">
        <w:rPr>
          <w:rFonts w:cs="Arial"/>
        </w:rPr>
        <w:tab/>
        <w:t>In the event that the patient has not been seen by a S</w:t>
      </w:r>
      <w:r>
        <w:rPr>
          <w:rFonts w:cs="Arial"/>
        </w:rPr>
        <w:t xml:space="preserve">OAD </w:t>
      </w:r>
      <w:r w:rsidRPr="009A0B72">
        <w:rPr>
          <w:rFonts w:cs="Arial"/>
        </w:rPr>
        <w:t xml:space="preserve">within the required time-frame (one month from </w:t>
      </w:r>
      <w:r>
        <w:rPr>
          <w:rFonts w:cs="Arial"/>
        </w:rPr>
        <w:t>CTO</w:t>
      </w:r>
      <w:r w:rsidRPr="009A0B72">
        <w:rPr>
          <w:rFonts w:cs="Arial"/>
        </w:rPr>
        <w:t xml:space="preserve"> taking effect or three months from beginning of detention whichever is the later), and the </w:t>
      </w:r>
      <w:r>
        <w:rPr>
          <w:rFonts w:cs="Arial"/>
        </w:rPr>
        <w:t>AC</w:t>
      </w:r>
      <w:r w:rsidRPr="009A0B72">
        <w:rPr>
          <w:rFonts w:cs="Arial"/>
        </w:rPr>
        <w:t xml:space="preserve"> in charge of the treatment is of the opinion that the treatment is immediately necessary for a patient who lacks capacity to consent to it</w:t>
      </w:r>
      <w:r>
        <w:rPr>
          <w:rFonts w:cs="Arial"/>
        </w:rPr>
        <w:t>,</w:t>
      </w:r>
      <w:r w:rsidRPr="009A0B72">
        <w:rPr>
          <w:rFonts w:cs="Arial"/>
        </w:rPr>
        <w:t xml:space="preserve"> </w:t>
      </w:r>
      <w:r>
        <w:rPr>
          <w:rFonts w:cs="Arial"/>
        </w:rPr>
        <w:t>S</w:t>
      </w:r>
      <w:r w:rsidRPr="009A0B72">
        <w:rPr>
          <w:rFonts w:cs="Arial"/>
        </w:rPr>
        <w:t>ection 64 may be used to authorise treatment whilst waiting for the S</w:t>
      </w:r>
      <w:r>
        <w:rPr>
          <w:rFonts w:cs="Arial"/>
        </w:rPr>
        <w:t xml:space="preserve">OAD </w:t>
      </w:r>
      <w:r w:rsidRPr="009A0B72">
        <w:rPr>
          <w:rFonts w:cs="Arial"/>
        </w:rPr>
        <w:t xml:space="preserve">to complete form CTO11. The </w:t>
      </w:r>
      <w:r>
        <w:rPr>
          <w:rFonts w:cs="Arial"/>
        </w:rPr>
        <w:t>AC</w:t>
      </w:r>
      <w:r w:rsidRPr="009A0B72">
        <w:rPr>
          <w:rFonts w:cs="Arial"/>
        </w:rPr>
        <w:t xml:space="preserve"> must complete the Trust’s </w:t>
      </w:r>
      <w:r>
        <w:rPr>
          <w:rFonts w:cs="Arial"/>
        </w:rPr>
        <w:t>S</w:t>
      </w:r>
      <w:r w:rsidRPr="009A0B72">
        <w:rPr>
          <w:rFonts w:cs="Arial"/>
        </w:rPr>
        <w:t xml:space="preserve">ection 64 form </w:t>
      </w:r>
      <w:r>
        <w:rPr>
          <w:rFonts w:cs="Arial"/>
        </w:rPr>
        <w:t>which can be found at appendix 1</w:t>
      </w:r>
      <w:r w:rsidRPr="009A0B72">
        <w:rPr>
          <w:rFonts w:cs="Arial"/>
        </w:rPr>
        <w:t xml:space="preserve">. The original should be kept with the original </w:t>
      </w:r>
      <w:r>
        <w:rPr>
          <w:rFonts w:cs="Arial"/>
        </w:rPr>
        <w:t>CTO</w:t>
      </w:r>
      <w:r w:rsidRPr="009A0B72">
        <w:rPr>
          <w:rFonts w:cs="Arial"/>
        </w:rPr>
        <w:t xml:space="preserve"> and detention papers</w:t>
      </w:r>
      <w:r>
        <w:rPr>
          <w:rFonts w:cs="Arial"/>
        </w:rPr>
        <w:t xml:space="preserve"> uploaded on RIO</w:t>
      </w:r>
      <w:r w:rsidRPr="009A0B72">
        <w:rPr>
          <w:rFonts w:cs="Arial"/>
        </w:rPr>
        <w:t xml:space="preserve"> and a copy attached to the community presc</w:t>
      </w:r>
      <w:r>
        <w:rPr>
          <w:rFonts w:cs="Arial"/>
        </w:rPr>
        <w:t>ription chart.</w:t>
      </w:r>
    </w:p>
    <w:p w14:paraId="6CEBB4C5" w14:textId="36BE6873" w:rsidR="00B0087A" w:rsidRPr="009A0B72" w:rsidRDefault="00B0087A" w:rsidP="00B0087A">
      <w:pPr>
        <w:spacing w:after="0"/>
        <w:ind w:left="720" w:hanging="720"/>
        <w:rPr>
          <w:rFonts w:cs="Arial"/>
        </w:rPr>
      </w:pPr>
      <w:r>
        <w:rPr>
          <w:rFonts w:cs="Arial"/>
        </w:rPr>
        <w:t>9</w:t>
      </w:r>
      <w:r w:rsidRPr="009A0B72">
        <w:rPr>
          <w:rFonts w:cs="Arial"/>
        </w:rPr>
        <w:t>.17</w:t>
      </w:r>
      <w:r w:rsidRPr="009A0B72">
        <w:rPr>
          <w:rFonts w:cs="Arial"/>
        </w:rPr>
        <w:tab/>
        <w:t xml:space="preserve">If a person has capacity and is consenting to treatment in the community, the </w:t>
      </w:r>
      <w:r>
        <w:rPr>
          <w:rFonts w:cs="Arial"/>
        </w:rPr>
        <w:t>AC</w:t>
      </w:r>
      <w:r w:rsidRPr="009A0B72">
        <w:rPr>
          <w:rFonts w:cs="Arial"/>
        </w:rPr>
        <w:t xml:space="preserve"> in charge of that treatment should com</w:t>
      </w:r>
      <w:r>
        <w:rPr>
          <w:rFonts w:cs="Arial"/>
        </w:rPr>
        <w:t xml:space="preserve">plete form CTO12 </w:t>
      </w:r>
      <w:r w:rsidRPr="009A0B72">
        <w:rPr>
          <w:rFonts w:cs="Arial"/>
        </w:rPr>
        <w:t>certifying the patient has capacity and is consenting. If a person is judged to have capacity but is refusing treatment in the community, the S</w:t>
      </w:r>
      <w:r>
        <w:rPr>
          <w:rFonts w:cs="Arial"/>
        </w:rPr>
        <w:t xml:space="preserve">OAD </w:t>
      </w:r>
      <w:r w:rsidRPr="009A0B72">
        <w:rPr>
          <w:rFonts w:cs="Arial"/>
        </w:rPr>
        <w:t xml:space="preserve">will visit to consider certifying on form CTO11 that certain treatment proposed for the patient whilst in the community is appropriate even though such certification provides no authority to give it if the patient is refusing; and/or certain treatment would be appropriate (and could be given without consent) if the patient was recalled to hospital. Form CTO12 should be kept with the original </w:t>
      </w:r>
      <w:r>
        <w:rPr>
          <w:rFonts w:cs="Arial"/>
        </w:rPr>
        <w:t xml:space="preserve">CTO </w:t>
      </w:r>
      <w:r w:rsidRPr="009A0B72">
        <w:rPr>
          <w:rFonts w:cs="Arial"/>
        </w:rPr>
        <w:t>and detention papers but a copy must be kept in the clinical records and a copy attached to an</w:t>
      </w:r>
      <w:r>
        <w:rPr>
          <w:rFonts w:cs="Arial"/>
        </w:rPr>
        <w:t>y community prescription chart.</w:t>
      </w:r>
    </w:p>
    <w:p w14:paraId="2982D996" w14:textId="0179D348" w:rsidR="00B0087A" w:rsidRPr="009A0B72" w:rsidRDefault="00B0087A" w:rsidP="00B0087A">
      <w:pPr>
        <w:spacing w:after="0"/>
        <w:ind w:left="720" w:hanging="720"/>
        <w:rPr>
          <w:rFonts w:cs="Arial"/>
          <w:b/>
        </w:rPr>
      </w:pPr>
      <w:r>
        <w:rPr>
          <w:rFonts w:cs="Arial"/>
        </w:rPr>
        <w:t>9</w:t>
      </w:r>
      <w:r w:rsidRPr="009A0B72">
        <w:rPr>
          <w:rFonts w:cs="Arial"/>
        </w:rPr>
        <w:t>.18</w:t>
      </w:r>
      <w:r w:rsidRPr="009A0B72">
        <w:rPr>
          <w:rFonts w:cs="Arial"/>
        </w:rPr>
        <w:tab/>
      </w:r>
      <w:r w:rsidR="00D26C2F">
        <w:rPr>
          <w:rFonts w:cs="Arial"/>
          <w:b/>
        </w:rPr>
        <w:t>Section 64H (Equivalent of Section 61)</w:t>
      </w:r>
      <w:r w:rsidRPr="009A0B72">
        <w:rPr>
          <w:rFonts w:cs="Arial"/>
        </w:rPr>
        <w:t xml:space="preserve"> - It is a requirement for the </w:t>
      </w:r>
      <w:r>
        <w:rPr>
          <w:rFonts w:cs="Arial"/>
        </w:rPr>
        <w:t>AC</w:t>
      </w:r>
      <w:r w:rsidRPr="009A0B72">
        <w:rPr>
          <w:rFonts w:cs="Arial"/>
        </w:rPr>
        <w:t xml:space="preserve"> in charge of the treatment (usually the RC) to complete a review of treatment and document it on the </w:t>
      </w:r>
      <w:r>
        <w:rPr>
          <w:rFonts w:cs="Arial"/>
        </w:rPr>
        <w:t>form and send to the CQC for a CTO patient if the CTO</w:t>
      </w:r>
      <w:r w:rsidRPr="009A0B72">
        <w:rPr>
          <w:rFonts w:cs="Arial"/>
        </w:rPr>
        <w:t xml:space="preserve"> extension is furnished and during the preceding period the patient had been recalled to hospital </w:t>
      </w:r>
      <w:r w:rsidRPr="009A0B72">
        <w:rPr>
          <w:rFonts w:cs="Arial"/>
          <w:b/>
          <w:bCs/>
        </w:rPr>
        <w:t>AND</w:t>
      </w:r>
      <w:r w:rsidRPr="009A0B72">
        <w:rPr>
          <w:rFonts w:cs="Arial"/>
        </w:rPr>
        <w:t xml:space="preserve"> was treated under the authority of the CTO11 because the </w:t>
      </w:r>
      <w:r>
        <w:rPr>
          <w:rFonts w:cs="Arial"/>
        </w:rPr>
        <w:t>SOAD</w:t>
      </w:r>
      <w:r w:rsidRPr="009A0B72">
        <w:rPr>
          <w:rFonts w:cs="Arial"/>
        </w:rPr>
        <w:t xml:space="preserve"> has authorised treatment on recall </w:t>
      </w:r>
      <w:r w:rsidRPr="009A0B72">
        <w:rPr>
          <w:rFonts w:cs="Arial"/>
          <w:b/>
          <w:bCs/>
        </w:rPr>
        <w:t>AND</w:t>
      </w:r>
      <w:r w:rsidRPr="009A0B72">
        <w:rPr>
          <w:rFonts w:cs="Arial"/>
        </w:rPr>
        <w:t xml:space="preserve"> the patient lacked capacity or refused that treatment at the time;  or at any other time as required by the </w:t>
      </w:r>
      <w:r>
        <w:rPr>
          <w:rFonts w:cs="Arial"/>
        </w:rPr>
        <w:t>CQC</w:t>
      </w:r>
      <w:r w:rsidRPr="009A0B72">
        <w:rPr>
          <w:rFonts w:cs="Arial"/>
        </w:rPr>
        <w:t xml:space="preserve">. </w:t>
      </w:r>
    </w:p>
    <w:p w14:paraId="3EA46705" w14:textId="68383101" w:rsidR="00A36365" w:rsidRPr="009A0B72" w:rsidRDefault="00A36365" w:rsidP="00A36365">
      <w:pPr>
        <w:spacing w:after="0"/>
        <w:outlineLvl w:val="0"/>
        <w:rPr>
          <w:rFonts w:cs="Arial"/>
          <w:b/>
          <w:sz w:val="24"/>
        </w:rPr>
      </w:pPr>
      <w:r>
        <w:rPr>
          <w:rFonts w:cs="Arial"/>
          <w:b/>
          <w:sz w:val="24"/>
        </w:rPr>
        <w:t>10</w:t>
      </w:r>
      <w:r w:rsidRPr="009A0B72">
        <w:rPr>
          <w:rFonts w:cs="Arial"/>
          <w:b/>
          <w:sz w:val="24"/>
        </w:rPr>
        <w:t>.0</w:t>
      </w:r>
      <w:r w:rsidRPr="009A0B72">
        <w:rPr>
          <w:rFonts w:cs="Arial"/>
          <w:b/>
          <w:sz w:val="24"/>
        </w:rPr>
        <w:tab/>
        <w:t xml:space="preserve">Extending the </w:t>
      </w:r>
      <w:r>
        <w:rPr>
          <w:rFonts w:cs="Arial"/>
          <w:b/>
          <w:sz w:val="24"/>
        </w:rPr>
        <w:t>CTO</w:t>
      </w:r>
      <w:r w:rsidRPr="009A0B72">
        <w:rPr>
          <w:rFonts w:cs="Arial"/>
          <w:b/>
          <w:sz w:val="24"/>
        </w:rPr>
        <w:t xml:space="preserve"> Period:</w:t>
      </w:r>
    </w:p>
    <w:p w14:paraId="59740F27" w14:textId="56BFF039" w:rsidR="00A36365" w:rsidRPr="009A0B72" w:rsidRDefault="00A36365" w:rsidP="00A36365">
      <w:pPr>
        <w:spacing w:after="0"/>
        <w:ind w:left="720" w:hanging="720"/>
        <w:rPr>
          <w:rFonts w:cs="Arial"/>
        </w:rPr>
      </w:pPr>
      <w:r>
        <w:rPr>
          <w:rFonts w:cs="Arial"/>
        </w:rPr>
        <w:t>10</w:t>
      </w:r>
      <w:r w:rsidRPr="009A0B72">
        <w:rPr>
          <w:rFonts w:cs="Arial"/>
        </w:rPr>
        <w:t>.1</w:t>
      </w:r>
      <w:r w:rsidRPr="009A0B72">
        <w:rPr>
          <w:rFonts w:cs="Arial"/>
        </w:rPr>
        <w:tab/>
        <w:t xml:space="preserve">A </w:t>
      </w:r>
      <w:r>
        <w:rPr>
          <w:rFonts w:cs="Arial"/>
        </w:rPr>
        <w:t>CTO</w:t>
      </w:r>
      <w:r w:rsidRPr="009A0B72">
        <w:rPr>
          <w:rFonts w:cs="Arial"/>
        </w:rPr>
        <w:t xml:space="preserve"> can be extended following examination of the patient by the </w:t>
      </w:r>
      <w:r>
        <w:rPr>
          <w:rFonts w:cs="Arial"/>
        </w:rPr>
        <w:t xml:space="preserve">RC </w:t>
      </w:r>
      <w:r w:rsidRPr="009A0B72">
        <w:rPr>
          <w:rFonts w:cs="Arial"/>
        </w:rPr>
        <w:t xml:space="preserve">within the last two months of the current period of the </w:t>
      </w:r>
      <w:r>
        <w:rPr>
          <w:rFonts w:cs="Arial"/>
        </w:rPr>
        <w:t xml:space="preserve">CTO and </w:t>
      </w:r>
      <w:r w:rsidRPr="000C7B92">
        <w:rPr>
          <w:rFonts w:cs="Arial"/>
          <w:b/>
          <w:u w:val="single"/>
        </w:rPr>
        <w:t>must</w:t>
      </w:r>
      <w:r>
        <w:rPr>
          <w:rFonts w:cs="Arial"/>
        </w:rPr>
        <w:t xml:space="preserve"> </w:t>
      </w:r>
      <w:r w:rsidR="00951E58">
        <w:rPr>
          <w:rFonts w:cs="Arial"/>
        </w:rPr>
        <w:t xml:space="preserve">be done </w:t>
      </w:r>
      <w:r w:rsidRPr="000C7B92">
        <w:rPr>
          <w:rFonts w:cs="Arial"/>
          <w:color w:val="000000" w:themeColor="text1"/>
        </w:rPr>
        <w:t>by face to face examination</w:t>
      </w:r>
      <w:r w:rsidRPr="000C7B92">
        <w:rPr>
          <w:rStyle w:val="FootnoteReference"/>
          <w:color w:val="000000" w:themeColor="text1"/>
        </w:rPr>
        <w:footnoteReference w:id="14"/>
      </w:r>
      <w:r w:rsidRPr="000C7B92">
        <w:rPr>
          <w:rFonts w:cs="Arial"/>
          <w:color w:val="000000" w:themeColor="text1"/>
        </w:rPr>
        <w:t>.</w:t>
      </w:r>
      <w:r w:rsidRPr="00BD6467">
        <w:rPr>
          <w:rFonts w:cs="Arial"/>
          <w:color w:val="FF0000"/>
        </w:rPr>
        <w:t xml:space="preserve"> </w:t>
      </w:r>
      <w:r w:rsidRPr="009A0B72">
        <w:rPr>
          <w:rFonts w:cs="Arial"/>
        </w:rPr>
        <w:t>The R</w:t>
      </w:r>
      <w:r>
        <w:rPr>
          <w:rFonts w:cs="Arial"/>
        </w:rPr>
        <w:t xml:space="preserve">C </w:t>
      </w:r>
      <w:r w:rsidRPr="009A0B72">
        <w:rPr>
          <w:rFonts w:cs="Arial"/>
        </w:rPr>
        <w:t>must determine that the conditions for extension are met.</w:t>
      </w:r>
      <w:r w:rsidRPr="009A0B72">
        <w:rPr>
          <w:rFonts w:cs="Arial"/>
          <w:vertAlign w:val="superscript"/>
        </w:rPr>
        <w:footnoteReference w:id="15"/>
      </w:r>
      <w:r w:rsidRPr="009A0B72">
        <w:rPr>
          <w:rFonts w:cs="Arial"/>
        </w:rPr>
        <w:t xml:space="preserve"> These mirror the criteria and mandatory conditions described at 3.1-3.2 above with the additional requirement that the </w:t>
      </w:r>
      <w:r>
        <w:rPr>
          <w:rFonts w:cs="Arial"/>
        </w:rPr>
        <w:t>RC</w:t>
      </w:r>
      <w:r w:rsidRPr="009A0B72">
        <w:rPr>
          <w:rFonts w:cs="Arial"/>
        </w:rPr>
        <w:t xml:space="preserve"> must also consult at least one other person who has been professionally concerned with the patient’s medical treatment. </w:t>
      </w:r>
      <w:r w:rsidRPr="00515438">
        <w:rPr>
          <w:rFonts w:cs="Arial"/>
        </w:rPr>
        <w:t>If the RC is not a registered medical practitioner, this policy dictates that the person with whom the RC consults, must be a registered medical prac</w:t>
      </w:r>
      <w:r>
        <w:rPr>
          <w:rFonts w:cs="Arial"/>
        </w:rPr>
        <w:t>titioner.</w:t>
      </w:r>
    </w:p>
    <w:p w14:paraId="5708A646" w14:textId="2F0360AB" w:rsidR="00A36365" w:rsidRPr="00A36365" w:rsidRDefault="00A36365" w:rsidP="00A36365">
      <w:pPr>
        <w:spacing w:after="0"/>
        <w:ind w:left="720" w:hanging="720"/>
        <w:rPr>
          <w:rFonts w:cs="Arial"/>
        </w:rPr>
      </w:pPr>
      <w:r>
        <w:rPr>
          <w:rFonts w:cs="Arial"/>
        </w:rPr>
        <w:t>10</w:t>
      </w:r>
      <w:r w:rsidRPr="009A0B72">
        <w:rPr>
          <w:rFonts w:cs="Arial"/>
        </w:rPr>
        <w:t>.2</w:t>
      </w:r>
      <w:r w:rsidRPr="009A0B72">
        <w:rPr>
          <w:rFonts w:cs="Arial"/>
        </w:rPr>
        <w:tab/>
        <w:t xml:space="preserve">As when making the original </w:t>
      </w:r>
      <w:r>
        <w:rPr>
          <w:rFonts w:cs="Arial"/>
        </w:rPr>
        <w:t>CTO</w:t>
      </w:r>
      <w:r w:rsidRPr="009A0B72">
        <w:rPr>
          <w:rFonts w:cs="Arial"/>
        </w:rPr>
        <w:t xml:space="preserve">, the </w:t>
      </w:r>
      <w:r>
        <w:rPr>
          <w:rFonts w:cs="Arial"/>
        </w:rPr>
        <w:t>RC</w:t>
      </w:r>
      <w:r w:rsidRPr="009A0B72">
        <w:rPr>
          <w:rFonts w:cs="Arial"/>
        </w:rPr>
        <w:t xml:space="preserve"> must obtain the written agreement of an </w:t>
      </w:r>
      <w:r w:rsidRPr="00CF6699">
        <w:rPr>
          <w:rFonts w:cs="Arial"/>
        </w:rPr>
        <w:t>AMHP</w:t>
      </w:r>
      <w:r>
        <w:rPr>
          <w:rFonts w:cs="Arial"/>
        </w:rPr>
        <w:t xml:space="preserve"> </w:t>
      </w:r>
      <w:r w:rsidRPr="009A0B72">
        <w:rPr>
          <w:rFonts w:cs="Arial"/>
        </w:rPr>
        <w:t xml:space="preserve">that the conditions for extending </w:t>
      </w:r>
      <w:r>
        <w:rPr>
          <w:rFonts w:cs="Arial"/>
        </w:rPr>
        <w:t xml:space="preserve">the </w:t>
      </w:r>
      <w:r w:rsidRPr="009A0B72">
        <w:rPr>
          <w:rFonts w:cs="Arial"/>
        </w:rPr>
        <w:t>community treatment</w:t>
      </w:r>
      <w:r>
        <w:rPr>
          <w:rFonts w:cs="Arial"/>
        </w:rPr>
        <w:t xml:space="preserve"> order</w:t>
      </w:r>
      <w:r w:rsidRPr="009A0B72">
        <w:rPr>
          <w:rFonts w:cs="Arial"/>
        </w:rPr>
        <w:t xml:space="preserve"> are met and where they are met, that extension is appropriate. This need not be the </w:t>
      </w:r>
      <w:r w:rsidRPr="00CF6699">
        <w:rPr>
          <w:rFonts w:cs="Arial"/>
        </w:rPr>
        <w:t>AMHP</w:t>
      </w:r>
      <w:r>
        <w:rPr>
          <w:rFonts w:cs="Arial"/>
        </w:rPr>
        <w:t xml:space="preserve"> </w:t>
      </w:r>
      <w:r w:rsidRPr="009A0B72">
        <w:rPr>
          <w:rFonts w:cs="Arial"/>
        </w:rPr>
        <w:t>who</w:t>
      </w:r>
      <w:r>
        <w:rPr>
          <w:rFonts w:cs="Arial"/>
        </w:rPr>
        <w:t xml:space="preserve"> originally signed form CTO1. </w:t>
      </w:r>
    </w:p>
    <w:p w14:paraId="7AD7251E" w14:textId="31C2382C" w:rsidR="00A36365" w:rsidRPr="00A36365" w:rsidRDefault="00A36365" w:rsidP="00A36365">
      <w:pPr>
        <w:spacing w:after="0"/>
        <w:ind w:left="720" w:hanging="720"/>
        <w:rPr>
          <w:rFonts w:cs="Arial"/>
          <w:color w:val="FF0000"/>
        </w:rPr>
      </w:pPr>
      <w:r>
        <w:rPr>
          <w:rFonts w:cs="Arial"/>
        </w:rPr>
        <w:t>10</w:t>
      </w:r>
      <w:r w:rsidRPr="009A0B72">
        <w:rPr>
          <w:rFonts w:cs="Arial"/>
        </w:rPr>
        <w:t>.3</w:t>
      </w:r>
      <w:r w:rsidRPr="009A0B72">
        <w:rPr>
          <w:rFonts w:cs="Arial"/>
        </w:rPr>
        <w:tab/>
        <w:t xml:space="preserve">The </w:t>
      </w:r>
      <w:r>
        <w:rPr>
          <w:rFonts w:cs="Arial"/>
        </w:rPr>
        <w:t>RC</w:t>
      </w:r>
      <w:r w:rsidRPr="009A0B72">
        <w:rPr>
          <w:rFonts w:cs="Arial"/>
        </w:rPr>
        <w:t xml:space="preserve"> completes </w:t>
      </w:r>
      <w:r>
        <w:rPr>
          <w:rFonts w:cs="Arial"/>
        </w:rPr>
        <w:t>P</w:t>
      </w:r>
      <w:r w:rsidRPr="009A0B72">
        <w:rPr>
          <w:rFonts w:cs="Arial"/>
        </w:rPr>
        <w:t xml:space="preserve">art 1, the </w:t>
      </w:r>
      <w:r w:rsidRPr="00392054">
        <w:rPr>
          <w:rFonts w:cs="Arial"/>
        </w:rPr>
        <w:t>AMHP</w:t>
      </w:r>
      <w:r>
        <w:rPr>
          <w:rFonts w:cs="Arial"/>
        </w:rPr>
        <w:t xml:space="preserve"> </w:t>
      </w:r>
      <w:r w:rsidRPr="009A0B72">
        <w:rPr>
          <w:rFonts w:cs="Arial"/>
        </w:rPr>
        <w:t xml:space="preserve">completes Part 2 of form CTO7 and then the </w:t>
      </w:r>
      <w:r>
        <w:rPr>
          <w:rFonts w:cs="Arial"/>
        </w:rPr>
        <w:t xml:space="preserve">RC completes and signs Part 3, </w:t>
      </w:r>
      <w:r w:rsidRPr="009A0B72">
        <w:rPr>
          <w:rFonts w:cs="Arial"/>
        </w:rPr>
        <w:t xml:space="preserve">addressing the report to the relevant Hospital Managers. </w:t>
      </w:r>
      <w:r w:rsidRPr="00DB7C49">
        <w:rPr>
          <w:rFonts w:cs="Arial"/>
          <w:color w:val="000000" w:themeColor="text1"/>
        </w:rPr>
        <w:t xml:space="preserve">The completed report will be effective once </w:t>
      </w:r>
      <w:r>
        <w:rPr>
          <w:rFonts w:cs="Arial"/>
          <w:color w:val="000000" w:themeColor="text1"/>
        </w:rPr>
        <w:t xml:space="preserve">a copy </w:t>
      </w:r>
      <w:r w:rsidRPr="00DB7C49">
        <w:rPr>
          <w:rFonts w:cs="Arial"/>
          <w:color w:val="000000" w:themeColor="text1"/>
        </w:rPr>
        <w:t xml:space="preserve">has been sent </w:t>
      </w:r>
      <w:r>
        <w:rPr>
          <w:rFonts w:cs="Arial"/>
        </w:rPr>
        <w:t>via electronic means to the MHL office.</w:t>
      </w:r>
      <w:r w:rsidRPr="00DB7C49">
        <w:rPr>
          <w:rFonts w:cs="Arial"/>
          <w:color w:val="000000" w:themeColor="text1"/>
        </w:rPr>
        <w:t xml:space="preserve"> It is then received by a Mental Health Law Office</w:t>
      </w:r>
      <w:r>
        <w:rPr>
          <w:rFonts w:cs="Arial"/>
          <w:color w:val="000000" w:themeColor="text1"/>
        </w:rPr>
        <w:t>r</w:t>
      </w:r>
      <w:r w:rsidRPr="00DB7C49">
        <w:rPr>
          <w:rFonts w:cs="Arial"/>
          <w:color w:val="000000" w:themeColor="text1"/>
        </w:rPr>
        <w:t xml:space="preserve"> (or other authorised person) who completes Part 4.</w:t>
      </w:r>
    </w:p>
    <w:p w14:paraId="0BF69E8E" w14:textId="57513125" w:rsidR="00A36365" w:rsidRPr="009A0B72" w:rsidRDefault="00A36365" w:rsidP="00904361">
      <w:pPr>
        <w:spacing w:after="0"/>
        <w:ind w:left="720" w:hanging="720"/>
        <w:rPr>
          <w:rFonts w:cs="Arial"/>
        </w:rPr>
      </w:pPr>
      <w:r>
        <w:rPr>
          <w:rFonts w:cs="Arial"/>
        </w:rPr>
        <w:t>10</w:t>
      </w:r>
      <w:r w:rsidRPr="009A0B72">
        <w:rPr>
          <w:rFonts w:cs="Arial"/>
        </w:rPr>
        <w:t>.4</w:t>
      </w:r>
      <w:r w:rsidRPr="009A0B72">
        <w:rPr>
          <w:rFonts w:cs="Arial"/>
        </w:rPr>
        <w:tab/>
        <w:t>Once received, the Hospital Managers must undertake a review of the report provided on form CTO7</w:t>
      </w:r>
      <w:r w:rsidRPr="009A0B72">
        <w:rPr>
          <w:rFonts w:cs="Arial"/>
          <w:vertAlign w:val="superscript"/>
        </w:rPr>
        <w:footnoteReference w:id="16"/>
      </w:r>
      <w:r w:rsidRPr="009A0B72">
        <w:rPr>
          <w:rFonts w:cs="Arial"/>
        </w:rPr>
        <w:t>. Where practicable, this should be done before the new period of extension takes effect but the completed form CTO7 provides lawful authority for the patient’s c</w:t>
      </w:r>
      <w:r>
        <w:rPr>
          <w:rFonts w:cs="Arial"/>
        </w:rPr>
        <w:t>ontinued CTO</w:t>
      </w:r>
      <w:r w:rsidRPr="009A0B72">
        <w:rPr>
          <w:rFonts w:cs="Arial"/>
        </w:rPr>
        <w:t>. Such reports will be dealt with in the same way as reports made t</w:t>
      </w:r>
      <w:r>
        <w:rPr>
          <w:rFonts w:cs="Arial"/>
        </w:rPr>
        <w:t>o renew detention under the Act.</w:t>
      </w:r>
    </w:p>
    <w:p w14:paraId="5A47DC1D" w14:textId="537F243C" w:rsidR="00A36365" w:rsidRPr="009A0B72" w:rsidRDefault="00904361" w:rsidP="00904361">
      <w:pPr>
        <w:spacing w:after="0"/>
        <w:ind w:left="720" w:hanging="720"/>
        <w:rPr>
          <w:rFonts w:cs="Arial"/>
        </w:rPr>
      </w:pPr>
      <w:r>
        <w:rPr>
          <w:rFonts w:cs="Arial"/>
        </w:rPr>
        <w:t>10.5</w:t>
      </w:r>
      <w:r w:rsidR="00A36365" w:rsidRPr="009A0B72">
        <w:rPr>
          <w:rFonts w:cs="Arial"/>
        </w:rPr>
        <w:tab/>
        <w:t xml:space="preserve">Where the criteria for extending </w:t>
      </w:r>
      <w:r w:rsidR="00A36365">
        <w:rPr>
          <w:rFonts w:cs="Arial"/>
        </w:rPr>
        <w:t>a</w:t>
      </w:r>
      <w:r w:rsidR="00A36365" w:rsidRPr="009A0B72">
        <w:rPr>
          <w:rFonts w:cs="Arial"/>
        </w:rPr>
        <w:t xml:space="preserve"> </w:t>
      </w:r>
      <w:r w:rsidR="00A36365">
        <w:rPr>
          <w:rFonts w:cs="Arial"/>
        </w:rPr>
        <w:t xml:space="preserve">CTO </w:t>
      </w:r>
      <w:r w:rsidR="00A36365" w:rsidRPr="009A0B72">
        <w:rPr>
          <w:rFonts w:cs="Arial"/>
        </w:rPr>
        <w:t xml:space="preserve">are not met and consequently, the </w:t>
      </w:r>
      <w:r w:rsidR="00A36365">
        <w:rPr>
          <w:rFonts w:cs="Arial"/>
        </w:rPr>
        <w:t>RC</w:t>
      </w:r>
      <w:r w:rsidR="00A36365" w:rsidRPr="009A0B72">
        <w:rPr>
          <w:rFonts w:cs="Arial"/>
        </w:rPr>
        <w:t xml:space="preserve"> does not plan to make a report to the Managers using form CTO7 (or where applicable, form CTO8</w:t>
      </w:r>
      <w:r>
        <w:rPr>
          <w:rFonts w:cs="Arial"/>
        </w:rPr>
        <w:t xml:space="preserve"> </w:t>
      </w:r>
      <w:r w:rsidRPr="0091503D">
        <w:rPr>
          <w:rFonts w:cs="Arial"/>
          <w:color w:val="000000" w:themeColor="text1"/>
        </w:rPr>
        <w:t xml:space="preserve">– see para </w:t>
      </w:r>
      <w:r w:rsidR="0019144D" w:rsidRPr="0091503D">
        <w:rPr>
          <w:rFonts w:cs="Arial"/>
          <w:color w:val="000000" w:themeColor="text1"/>
        </w:rPr>
        <w:t>13.5</w:t>
      </w:r>
      <w:r w:rsidR="00A36365" w:rsidRPr="0091503D">
        <w:rPr>
          <w:rFonts w:cs="Arial"/>
          <w:color w:val="000000" w:themeColor="text1"/>
        </w:rPr>
        <w:t xml:space="preserve">), </w:t>
      </w:r>
      <w:r w:rsidR="00A36365" w:rsidRPr="009A0B72">
        <w:rPr>
          <w:rFonts w:cs="Arial"/>
        </w:rPr>
        <w:t xml:space="preserve">the patient should be discharged by the </w:t>
      </w:r>
      <w:r w:rsidR="00A36365">
        <w:rPr>
          <w:rFonts w:cs="Arial"/>
        </w:rPr>
        <w:t xml:space="preserve">RC </w:t>
      </w:r>
      <w:r w:rsidR="00A36365" w:rsidRPr="009A0B72">
        <w:rPr>
          <w:rFonts w:cs="Arial"/>
        </w:rPr>
        <w:t xml:space="preserve">rather than waiting for the current </w:t>
      </w:r>
      <w:r w:rsidR="00A36365">
        <w:rPr>
          <w:rFonts w:cs="Arial"/>
        </w:rPr>
        <w:t>CTO</w:t>
      </w:r>
      <w:r w:rsidR="00A36365" w:rsidRPr="009A0B72">
        <w:rPr>
          <w:rFonts w:cs="Arial"/>
        </w:rPr>
        <w:t xml:space="preserve"> to expire</w:t>
      </w:r>
      <w:r w:rsidR="00A36365">
        <w:rPr>
          <w:rFonts w:cs="Arial"/>
        </w:rPr>
        <w:t xml:space="preserve"> by completing Section 23 form</w:t>
      </w:r>
      <w:r w:rsidR="00A36365" w:rsidRPr="009A0B72">
        <w:rPr>
          <w:rFonts w:cs="Arial"/>
        </w:rPr>
        <w:t xml:space="preserve">. This does not apply to a case where an </w:t>
      </w:r>
      <w:r w:rsidR="00A36365">
        <w:rPr>
          <w:rFonts w:cs="Arial"/>
        </w:rPr>
        <w:t>AMHP</w:t>
      </w:r>
      <w:r w:rsidR="00A36365" w:rsidRPr="009A0B72">
        <w:rPr>
          <w:rFonts w:cs="Arial"/>
        </w:rPr>
        <w:t xml:space="preserve"> does not agree to extension. In such a case, the </w:t>
      </w:r>
      <w:r w:rsidR="00A36365">
        <w:rPr>
          <w:rFonts w:cs="Arial"/>
        </w:rPr>
        <w:t>RC</w:t>
      </w:r>
      <w:r w:rsidR="00A36365" w:rsidRPr="009A0B72">
        <w:rPr>
          <w:rFonts w:cs="Arial"/>
        </w:rPr>
        <w:t xml:space="preserve"> may choose to exercise his or her right of discharge or may allow the </w:t>
      </w:r>
      <w:r w:rsidR="00A36365">
        <w:rPr>
          <w:rFonts w:cs="Arial"/>
        </w:rPr>
        <w:t xml:space="preserve">CTO </w:t>
      </w:r>
      <w:r>
        <w:rPr>
          <w:rFonts w:cs="Arial"/>
        </w:rPr>
        <w:t>to lapse.</w:t>
      </w:r>
    </w:p>
    <w:p w14:paraId="11D42AE4" w14:textId="52000605" w:rsidR="00A36365" w:rsidRDefault="00904361" w:rsidP="00A36365">
      <w:pPr>
        <w:spacing w:after="0"/>
        <w:ind w:left="720" w:hanging="720"/>
        <w:rPr>
          <w:rFonts w:cs="Arial"/>
          <w:color w:val="FF0000"/>
        </w:rPr>
      </w:pPr>
      <w:r>
        <w:rPr>
          <w:rFonts w:cs="Arial"/>
        </w:rPr>
        <w:t>10.6</w:t>
      </w:r>
      <w:r w:rsidR="00A36365" w:rsidRPr="009A0B72">
        <w:rPr>
          <w:rFonts w:cs="Arial"/>
        </w:rPr>
        <w:tab/>
      </w:r>
      <w:r w:rsidR="00A36365">
        <w:rPr>
          <w:rFonts w:cs="Arial"/>
        </w:rPr>
        <w:t xml:space="preserve">Extension periods for CTO </w:t>
      </w:r>
      <w:r w:rsidR="00A36365" w:rsidRPr="009A0B72">
        <w:rPr>
          <w:rFonts w:cs="Arial"/>
        </w:rPr>
        <w:t xml:space="preserve">mirror the renewal scheme for section 3 patients: the initial </w:t>
      </w:r>
      <w:r w:rsidR="00A36365">
        <w:rPr>
          <w:rFonts w:cs="Arial"/>
        </w:rPr>
        <w:t>CTO</w:t>
      </w:r>
      <w:r w:rsidR="00A36365" w:rsidRPr="009A0B72">
        <w:rPr>
          <w:rFonts w:cs="Arial"/>
        </w:rPr>
        <w:t xml:space="preserve"> lasts for up to six months, if extended lasts for a further six months and thereafter, up to one year on eac</w:t>
      </w:r>
      <w:r w:rsidR="00A36365">
        <w:rPr>
          <w:rFonts w:cs="Arial"/>
        </w:rPr>
        <w:t>h extension.</w:t>
      </w:r>
      <w:r w:rsidR="00A36365" w:rsidRPr="00DD17F5">
        <w:rPr>
          <w:rFonts w:cs="Arial"/>
          <w:color w:val="FF0000"/>
        </w:rPr>
        <w:t xml:space="preserve"> </w:t>
      </w:r>
    </w:p>
    <w:p w14:paraId="3AAD6E1D" w14:textId="49E72DBD" w:rsidR="00471898" w:rsidRPr="009A0B72" w:rsidRDefault="00471898" w:rsidP="00471898">
      <w:pPr>
        <w:spacing w:after="0"/>
        <w:outlineLvl w:val="0"/>
        <w:rPr>
          <w:rFonts w:cs="Arial"/>
          <w:b/>
          <w:sz w:val="24"/>
        </w:rPr>
      </w:pPr>
      <w:r w:rsidRPr="009A0B72">
        <w:rPr>
          <w:rFonts w:cs="Arial"/>
          <w:b/>
          <w:sz w:val="24"/>
        </w:rPr>
        <w:t>11.0</w:t>
      </w:r>
      <w:r w:rsidRPr="009A0B72">
        <w:rPr>
          <w:rFonts w:cs="Arial"/>
          <w:b/>
          <w:sz w:val="24"/>
        </w:rPr>
        <w:tab/>
        <w:t>Transfer between Hospitals and Jurisdictions</w:t>
      </w:r>
    </w:p>
    <w:p w14:paraId="2AEB8AC6" w14:textId="32DF51DB" w:rsidR="00471898" w:rsidRPr="009A0B72" w:rsidRDefault="00471898" w:rsidP="00471898">
      <w:pPr>
        <w:spacing w:after="0"/>
        <w:ind w:left="720" w:hanging="720"/>
        <w:rPr>
          <w:rFonts w:cs="Arial"/>
        </w:rPr>
      </w:pPr>
      <w:r w:rsidRPr="009A0B72">
        <w:rPr>
          <w:rFonts w:cs="Arial"/>
        </w:rPr>
        <w:t>11.1</w:t>
      </w:r>
      <w:r w:rsidRPr="009A0B72">
        <w:rPr>
          <w:rFonts w:cs="Arial"/>
        </w:rPr>
        <w:tab/>
        <w:t xml:space="preserve">Paragraphs </w:t>
      </w:r>
      <w:r w:rsidR="00707F09">
        <w:rPr>
          <w:rFonts w:cs="Arial"/>
        </w:rPr>
        <w:t>13.7</w:t>
      </w:r>
      <w:r w:rsidRPr="009A0B72">
        <w:rPr>
          <w:rFonts w:cs="Arial"/>
        </w:rPr>
        <w:t xml:space="preserve"> </w:t>
      </w:r>
      <w:r w:rsidR="00707F09">
        <w:rPr>
          <w:rFonts w:cs="Arial"/>
        </w:rPr>
        <w:t>below</w:t>
      </w:r>
      <w:r w:rsidR="00707F09" w:rsidRPr="009A0B72">
        <w:rPr>
          <w:rFonts w:cs="Arial"/>
        </w:rPr>
        <w:t xml:space="preserve"> </w:t>
      </w:r>
      <w:r w:rsidRPr="009A0B72">
        <w:rPr>
          <w:rFonts w:cs="Arial"/>
        </w:rPr>
        <w:t>describe</w:t>
      </w:r>
      <w:r w:rsidR="00707F09">
        <w:rPr>
          <w:rFonts w:cs="Arial"/>
        </w:rPr>
        <w:t>s</w:t>
      </w:r>
      <w:r w:rsidRPr="009A0B72">
        <w:rPr>
          <w:rFonts w:cs="Arial"/>
        </w:rPr>
        <w:t xml:space="preserve"> the process for the physical transfer of a patient between hospitals following recall which requires the completion of form CTO6 where the hospitals are managed by different organisations. It does not necessarily mean that there is a transfer of the p</w:t>
      </w:r>
      <w:r>
        <w:rPr>
          <w:rFonts w:cs="Arial"/>
        </w:rPr>
        <w:t xml:space="preserve">atient’s responsible hospital. </w:t>
      </w:r>
    </w:p>
    <w:p w14:paraId="560C8F2B" w14:textId="4ABEC343" w:rsidR="00471898" w:rsidRPr="009A0B72" w:rsidRDefault="00471898" w:rsidP="007C14AE">
      <w:pPr>
        <w:spacing w:after="0"/>
        <w:ind w:left="720" w:hanging="720"/>
        <w:rPr>
          <w:rFonts w:cs="Arial"/>
        </w:rPr>
      </w:pPr>
      <w:r w:rsidRPr="009A0B72">
        <w:rPr>
          <w:rFonts w:cs="Arial"/>
        </w:rPr>
        <w:t>11.2</w:t>
      </w:r>
      <w:r w:rsidRPr="009A0B72">
        <w:rPr>
          <w:rFonts w:cs="Arial"/>
        </w:rPr>
        <w:tab/>
        <w:t xml:space="preserve">The responsible hospital for a patient subject to a </w:t>
      </w:r>
      <w:r>
        <w:rPr>
          <w:rFonts w:cs="Arial"/>
        </w:rPr>
        <w:t>CTO</w:t>
      </w:r>
      <w:r w:rsidRPr="009A0B72">
        <w:rPr>
          <w:rFonts w:cs="Arial"/>
        </w:rPr>
        <w:t xml:space="preserve"> in the community (who may have been recalled to hospital) may be assigned to another hospital managed by a different organisation, with their agreement on completion of form CTO10. This process does not include the physical transfer of a patient which is dealt with above. It is referred to as an ‘assignment of responsibility for community patients’</w:t>
      </w:r>
      <w:r w:rsidRPr="009A0B72">
        <w:rPr>
          <w:rFonts w:cs="Arial"/>
          <w:vertAlign w:val="superscript"/>
        </w:rPr>
        <w:footnoteReference w:id="17"/>
      </w:r>
    </w:p>
    <w:p w14:paraId="58E5162C" w14:textId="262C0A7B" w:rsidR="00471898" w:rsidRPr="009A0B72" w:rsidRDefault="00471898" w:rsidP="00471898">
      <w:pPr>
        <w:spacing w:after="0"/>
        <w:ind w:left="720" w:hanging="720"/>
        <w:rPr>
          <w:rFonts w:cs="Arial"/>
        </w:rPr>
      </w:pPr>
      <w:r w:rsidRPr="009A0B72">
        <w:rPr>
          <w:rFonts w:cs="Arial"/>
        </w:rPr>
        <w:t>11.3</w:t>
      </w:r>
      <w:r w:rsidRPr="009A0B72">
        <w:rPr>
          <w:rFonts w:cs="Arial"/>
        </w:rPr>
        <w:tab/>
        <w:t>Assignment of responsibility for community patients between hospitals within the same organisation requires no statutory paperwork but the Managers of the hospital must write to the patient informing him or her of the assignment either before or soon after it takes place and must give the name and address of the responsible hospital even if it is part of the same organisation. This function is the responsibility o</w:t>
      </w:r>
      <w:r>
        <w:rPr>
          <w:rFonts w:cs="Arial"/>
        </w:rPr>
        <w:t>f the Mental Health Law office.</w:t>
      </w:r>
    </w:p>
    <w:p w14:paraId="2A0ACFBE" w14:textId="2D482AB7" w:rsidR="00471898" w:rsidRPr="009A0B72" w:rsidRDefault="00471898" w:rsidP="00471898">
      <w:pPr>
        <w:spacing w:after="0"/>
        <w:ind w:left="720" w:hanging="720"/>
        <w:rPr>
          <w:rFonts w:cs="Arial"/>
        </w:rPr>
      </w:pPr>
      <w:r w:rsidRPr="009A0B72">
        <w:rPr>
          <w:rFonts w:cs="Arial"/>
        </w:rPr>
        <w:t>11.4</w:t>
      </w:r>
      <w:r w:rsidRPr="009A0B72">
        <w:rPr>
          <w:rFonts w:cs="Arial"/>
        </w:rPr>
        <w:tab/>
        <w:t>In any case, the new hospital becomes the responsible hospital and as such is treated as if it were the detaining authority when the patient was originally detained</w:t>
      </w:r>
      <w:r>
        <w:rPr>
          <w:rFonts w:cs="Arial"/>
        </w:rPr>
        <w:t xml:space="preserve"> </w:t>
      </w:r>
      <w:r w:rsidRPr="009A0B72">
        <w:rPr>
          <w:rFonts w:cs="Arial"/>
        </w:rPr>
        <w:t>in hospital (and is now subject to recall to) prior to goi</w:t>
      </w:r>
      <w:r>
        <w:rPr>
          <w:rFonts w:cs="Arial"/>
        </w:rPr>
        <w:t xml:space="preserve">ng onto a CTO. </w:t>
      </w:r>
    </w:p>
    <w:p w14:paraId="05A72F42" w14:textId="66645443" w:rsidR="00471898" w:rsidRPr="009A0B72" w:rsidRDefault="00471898" w:rsidP="00471898">
      <w:pPr>
        <w:spacing w:after="0"/>
        <w:ind w:left="720" w:hanging="720"/>
        <w:rPr>
          <w:rFonts w:cs="Arial"/>
        </w:rPr>
      </w:pPr>
      <w:r w:rsidRPr="009A0B72">
        <w:rPr>
          <w:rFonts w:cs="Arial"/>
        </w:rPr>
        <w:t>11.5</w:t>
      </w:r>
      <w:r w:rsidRPr="009A0B72">
        <w:rPr>
          <w:rFonts w:cs="Arial"/>
        </w:rPr>
        <w:tab/>
        <w:t>In the case of any transfer or reassignment of responsibility, the Code requires that the needs and interests of the patient are considered to ensure compatibility with the patient’s rights to privacy and family life under Article 8 of the European Convention on Human Rights</w:t>
      </w:r>
      <w:r w:rsidRPr="009A0B72">
        <w:rPr>
          <w:rFonts w:cs="Arial"/>
          <w:vertAlign w:val="superscript"/>
        </w:rPr>
        <w:footnoteReference w:id="18"/>
      </w:r>
      <w:r>
        <w:rPr>
          <w:rFonts w:cs="Arial"/>
        </w:rPr>
        <w:t>.</w:t>
      </w:r>
    </w:p>
    <w:p w14:paraId="3E435854" w14:textId="38235E92" w:rsidR="00471898" w:rsidRPr="009A0B72" w:rsidRDefault="00471898" w:rsidP="00471898">
      <w:pPr>
        <w:tabs>
          <w:tab w:val="num" w:pos="720"/>
        </w:tabs>
        <w:spacing w:after="0"/>
        <w:ind w:left="720" w:hanging="720"/>
        <w:rPr>
          <w:rFonts w:cs="Arial"/>
        </w:rPr>
      </w:pPr>
      <w:r>
        <w:rPr>
          <w:rFonts w:cs="Arial"/>
        </w:rPr>
        <w:t>11.6</w:t>
      </w:r>
      <w:r>
        <w:rPr>
          <w:rFonts w:cs="Arial"/>
        </w:rPr>
        <w:tab/>
      </w:r>
      <w:r w:rsidRPr="009A0B72">
        <w:rPr>
          <w:rFonts w:cs="Arial"/>
        </w:rPr>
        <w:t xml:space="preserve">Once a </w:t>
      </w:r>
      <w:r>
        <w:rPr>
          <w:rFonts w:cs="Arial"/>
        </w:rPr>
        <w:t>CTO</w:t>
      </w:r>
      <w:r w:rsidRPr="009A0B72">
        <w:rPr>
          <w:rFonts w:cs="Arial"/>
        </w:rPr>
        <w:t xml:space="preserve"> has been revoked, transfer between hospitals under different managers is the same as for any other patient who is currently lia</w:t>
      </w:r>
      <w:r>
        <w:rPr>
          <w:rFonts w:cs="Arial"/>
        </w:rPr>
        <w:t>ble to detention using form H4.</w:t>
      </w:r>
    </w:p>
    <w:p w14:paraId="65F3C841" w14:textId="6052ECD9" w:rsidR="00471898" w:rsidRDefault="00471898" w:rsidP="00471898">
      <w:pPr>
        <w:tabs>
          <w:tab w:val="num" w:pos="720"/>
        </w:tabs>
        <w:spacing w:after="0"/>
        <w:ind w:left="720" w:hanging="720"/>
        <w:rPr>
          <w:rFonts w:cs="Arial"/>
        </w:rPr>
      </w:pPr>
      <w:r>
        <w:rPr>
          <w:rFonts w:cs="Arial"/>
        </w:rPr>
        <w:t>11.7</w:t>
      </w:r>
      <w:r>
        <w:rPr>
          <w:rFonts w:cs="Arial"/>
        </w:rPr>
        <w:tab/>
      </w:r>
      <w:r w:rsidRPr="009A0B72">
        <w:rPr>
          <w:rFonts w:cs="Arial"/>
        </w:rPr>
        <w:t xml:space="preserve">Where a community patient under broadly equivalent legislation in Scotland, the Isle of Man or any of the Channel Islands is removed to England, their arrival in England is recorded using form M1 (date of reception of a patient in England) and where they are to be treated as if they were subject to a </w:t>
      </w:r>
      <w:r>
        <w:rPr>
          <w:rFonts w:cs="Arial"/>
        </w:rPr>
        <w:t>CTO</w:t>
      </w:r>
      <w:r w:rsidRPr="009A0B72">
        <w:rPr>
          <w:rFonts w:cs="Arial"/>
        </w:rPr>
        <w:t xml:space="preserve">, form CTO9 is completed by the </w:t>
      </w:r>
      <w:r>
        <w:rPr>
          <w:rFonts w:cs="Arial"/>
        </w:rPr>
        <w:t>RC</w:t>
      </w:r>
      <w:r w:rsidRPr="009A0B72">
        <w:rPr>
          <w:rFonts w:cs="Arial"/>
        </w:rPr>
        <w:t xml:space="preserve"> (Part 1) and an </w:t>
      </w:r>
      <w:r>
        <w:rPr>
          <w:rFonts w:cs="Arial"/>
        </w:rPr>
        <w:t>AMHP</w:t>
      </w:r>
      <w:r w:rsidRPr="009A0B72">
        <w:rPr>
          <w:rFonts w:cs="Arial"/>
        </w:rPr>
        <w:t xml:space="preserve"> (Part 2). As when making a new </w:t>
      </w:r>
      <w:r>
        <w:rPr>
          <w:rFonts w:cs="Arial"/>
        </w:rPr>
        <w:t>CTO</w:t>
      </w:r>
      <w:r w:rsidRPr="009A0B72">
        <w:rPr>
          <w:rFonts w:cs="Arial"/>
        </w:rPr>
        <w:t xml:space="preserve">, any conditions must be specified on form CTO9 and have the written agreement of an </w:t>
      </w:r>
      <w:r>
        <w:rPr>
          <w:rFonts w:cs="Arial"/>
        </w:rPr>
        <w:t>AMHP</w:t>
      </w:r>
      <w:r w:rsidRPr="009A0B72">
        <w:rPr>
          <w:rFonts w:cs="Arial"/>
        </w:rPr>
        <w:t xml:space="preserve">.  </w:t>
      </w:r>
    </w:p>
    <w:p w14:paraId="1FCE834B" w14:textId="2D0F05A3" w:rsidR="007C14AE" w:rsidRPr="007C14AE" w:rsidRDefault="007C14AE" w:rsidP="007C14AE">
      <w:pPr>
        <w:spacing w:after="0"/>
        <w:ind w:left="720" w:hanging="720"/>
        <w:outlineLvl w:val="0"/>
        <w:rPr>
          <w:rFonts w:cs="Arial"/>
          <w:b/>
          <w:sz w:val="24"/>
        </w:rPr>
      </w:pPr>
      <w:r>
        <w:rPr>
          <w:rFonts w:cs="Arial"/>
          <w:b/>
          <w:sz w:val="24"/>
        </w:rPr>
        <w:t>12</w:t>
      </w:r>
      <w:r w:rsidRPr="009A0B72">
        <w:rPr>
          <w:rFonts w:cs="Arial"/>
          <w:b/>
          <w:sz w:val="24"/>
        </w:rPr>
        <w:t>.0</w:t>
      </w:r>
      <w:r w:rsidRPr="009A0B72">
        <w:rPr>
          <w:rFonts w:cs="Arial"/>
          <w:b/>
        </w:rPr>
        <w:tab/>
      </w:r>
      <w:r w:rsidRPr="009A0B72">
        <w:rPr>
          <w:rFonts w:cs="Arial"/>
          <w:b/>
          <w:sz w:val="24"/>
        </w:rPr>
        <w:t>Discharge from Compulsion under the Act:</w:t>
      </w:r>
    </w:p>
    <w:p w14:paraId="32139F4E" w14:textId="62ED20B2" w:rsidR="007C14AE" w:rsidRPr="009A0B72" w:rsidRDefault="002B3B82" w:rsidP="002B3B82">
      <w:pPr>
        <w:spacing w:after="0"/>
        <w:ind w:left="720" w:hanging="720"/>
        <w:rPr>
          <w:rFonts w:cs="Arial"/>
        </w:rPr>
      </w:pPr>
      <w:r>
        <w:rPr>
          <w:rFonts w:cs="Arial"/>
        </w:rPr>
        <w:t>12</w:t>
      </w:r>
      <w:r w:rsidR="007C14AE">
        <w:rPr>
          <w:rFonts w:cs="Arial"/>
        </w:rPr>
        <w:t>.1</w:t>
      </w:r>
      <w:r w:rsidR="007C14AE">
        <w:rPr>
          <w:rFonts w:cs="Arial"/>
        </w:rPr>
        <w:tab/>
        <w:t>‘Discharge’ for a CTO</w:t>
      </w:r>
      <w:r w:rsidR="007C14AE" w:rsidRPr="009A0B72">
        <w:rPr>
          <w:rFonts w:cs="Arial"/>
        </w:rPr>
        <w:t xml:space="preserve"> patient, regardless of who orders it, means complete release from liability to compulsion under the Act in hospital or in the community. It is not the same as ‘recall’ or ‘revocation’ which are described at </w:t>
      </w:r>
      <w:r w:rsidR="007C14AE">
        <w:rPr>
          <w:rFonts w:cs="Arial"/>
        </w:rPr>
        <w:t xml:space="preserve">paras </w:t>
      </w:r>
      <w:r w:rsidR="007C14AE" w:rsidRPr="009A0B72">
        <w:rPr>
          <w:rFonts w:cs="Arial"/>
        </w:rPr>
        <w:t>7.0 and 8.0 above nor the p</w:t>
      </w:r>
      <w:r w:rsidR="007C14AE">
        <w:rPr>
          <w:rFonts w:cs="Arial"/>
        </w:rPr>
        <w:t xml:space="preserve">rocess of ‘discharge subject to </w:t>
      </w:r>
      <w:r w:rsidR="007C14AE" w:rsidRPr="009A0B72">
        <w:rPr>
          <w:rFonts w:cs="Arial"/>
        </w:rPr>
        <w:t xml:space="preserve">being liable to recall’ which follows the making of a </w:t>
      </w:r>
      <w:r w:rsidR="007C14AE">
        <w:rPr>
          <w:rFonts w:cs="Arial"/>
        </w:rPr>
        <w:t>CTO</w:t>
      </w:r>
      <w:r>
        <w:rPr>
          <w:rFonts w:cs="Arial"/>
        </w:rPr>
        <w:t>.</w:t>
      </w:r>
    </w:p>
    <w:p w14:paraId="044A9FC9" w14:textId="38698F47" w:rsidR="007C14AE" w:rsidRPr="009A0B72" w:rsidRDefault="002B3B82" w:rsidP="002B3B82">
      <w:pPr>
        <w:spacing w:after="0"/>
        <w:ind w:left="720" w:hanging="720"/>
        <w:rPr>
          <w:rFonts w:cs="Arial"/>
        </w:rPr>
      </w:pPr>
      <w:r>
        <w:rPr>
          <w:rFonts w:cs="Arial"/>
        </w:rPr>
        <w:t>12</w:t>
      </w:r>
      <w:r w:rsidR="007C14AE" w:rsidRPr="009A0B72">
        <w:rPr>
          <w:rFonts w:cs="Arial"/>
        </w:rPr>
        <w:t>.2</w:t>
      </w:r>
      <w:r w:rsidR="007C14AE" w:rsidRPr="009A0B72">
        <w:rPr>
          <w:rFonts w:cs="Arial"/>
        </w:rPr>
        <w:tab/>
        <w:t xml:space="preserve">The </w:t>
      </w:r>
      <w:r w:rsidR="007C14AE">
        <w:rPr>
          <w:rFonts w:cs="Arial"/>
        </w:rPr>
        <w:t>RC</w:t>
      </w:r>
      <w:r w:rsidR="007C14AE" w:rsidRPr="009A0B72">
        <w:rPr>
          <w:rFonts w:cs="Arial"/>
        </w:rPr>
        <w:t xml:space="preserve"> can discharge a patient from </w:t>
      </w:r>
      <w:r w:rsidR="007C14AE">
        <w:rPr>
          <w:rFonts w:cs="Arial"/>
        </w:rPr>
        <w:t xml:space="preserve">a CTO </w:t>
      </w:r>
      <w:r w:rsidR="007C14AE" w:rsidRPr="009A0B72">
        <w:rPr>
          <w:rFonts w:cs="Arial"/>
        </w:rPr>
        <w:t>at any time in writing by completing the local discharge from liability to detention form under section 23 of the Act</w:t>
      </w:r>
      <w:r w:rsidR="007C14AE" w:rsidRPr="009A0B72">
        <w:rPr>
          <w:rFonts w:cs="Arial"/>
          <w:vertAlign w:val="superscript"/>
        </w:rPr>
        <w:footnoteReference w:id="19"/>
      </w:r>
      <w:r w:rsidR="007C14AE" w:rsidRPr="009A0B72">
        <w:rPr>
          <w:rFonts w:cs="Arial"/>
        </w:rPr>
        <w:t xml:space="preserve">and providing it to the Managers of the </w:t>
      </w:r>
      <w:r w:rsidR="007C14AE">
        <w:rPr>
          <w:rFonts w:cs="Arial"/>
        </w:rPr>
        <w:t>r</w:t>
      </w:r>
      <w:r w:rsidR="007C14AE" w:rsidRPr="009A0B72">
        <w:rPr>
          <w:rFonts w:cs="Arial"/>
        </w:rPr>
        <w:t>esponsible hospital. There is no statutory form for this purpose</w:t>
      </w:r>
      <w:r w:rsidR="007C14AE">
        <w:rPr>
          <w:rFonts w:cs="Arial"/>
        </w:rPr>
        <w:t>,</w:t>
      </w:r>
      <w:r w:rsidR="007C14AE" w:rsidRPr="009A0B72">
        <w:rPr>
          <w:rFonts w:cs="Arial"/>
        </w:rPr>
        <w:t xml:space="preserve"> nor a statutory requirement to </w:t>
      </w:r>
      <w:r>
        <w:rPr>
          <w:rFonts w:cs="Arial"/>
        </w:rPr>
        <w:t xml:space="preserve">consult with any other person. </w:t>
      </w:r>
    </w:p>
    <w:p w14:paraId="6B38C1CA" w14:textId="63D38CB1" w:rsidR="007C14AE" w:rsidRPr="009A0B72" w:rsidRDefault="002B3B82" w:rsidP="002B3B82">
      <w:pPr>
        <w:spacing w:after="0"/>
        <w:ind w:left="720" w:hanging="720"/>
        <w:rPr>
          <w:rFonts w:cs="Arial"/>
        </w:rPr>
      </w:pPr>
      <w:r>
        <w:rPr>
          <w:rFonts w:cs="Arial"/>
        </w:rPr>
        <w:t>12</w:t>
      </w:r>
      <w:r w:rsidR="007C14AE">
        <w:rPr>
          <w:rFonts w:cs="Arial"/>
        </w:rPr>
        <w:t>.3</w:t>
      </w:r>
      <w:r w:rsidR="007C14AE">
        <w:rPr>
          <w:rFonts w:cs="Arial"/>
        </w:rPr>
        <w:tab/>
        <w:t>A Part II CTO</w:t>
      </w:r>
      <w:r w:rsidR="007C14AE" w:rsidRPr="009A0B72">
        <w:rPr>
          <w:rFonts w:cs="Arial"/>
        </w:rPr>
        <w:t xml:space="preserve"> patient’s nearest relative (there is no available power in relation to Part III </w:t>
      </w:r>
      <w:r w:rsidR="007C14AE">
        <w:rPr>
          <w:rFonts w:cs="Arial"/>
        </w:rPr>
        <w:t xml:space="preserve">CTO </w:t>
      </w:r>
      <w:r w:rsidR="007C14AE" w:rsidRPr="009A0B72">
        <w:rPr>
          <w:rFonts w:cs="Arial"/>
        </w:rPr>
        <w:t xml:space="preserve">patients) can order their discharge in the same way as they can for section 2 or 3 patients. An order must be put in writing giving at least 72 </w:t>
      </w:r>
      <w:r w:rsidR="00F46513" w:rsidRPr="009A0B72">
        <w:rPr>
          <w:rFonts w:cs="Arial"/>
        </w:rPr>
        <w:t>hours</w:t>
      </w:r>
      <w:r w:rsidR="00F46513">
        <w:rPr>
          <w:rFonts w:cs="Arial"/>
        </w:rPr>
        <w:t>’</w:t>
      </w:r>
      <w:r w:rsidR="00F46513" w:rsidRPr="009A0B72">
        <w:rPr>
          <w:rFonts w:cs="Arial"/>
        </w:rPr>
        <w:t xml:space="preserve"> notice</w:t>
      </w:r>
      <w:r w:rsidR="007C14AE">
        <w:rPr>
          <w:rFonts w:cs="Arial"/>
        </w:rPr>
        <w:t>,</w:t>
      </w:r>
      <w:r w:rsidR="007C14AE" w:rsidRPr="009A0B72">
        <w:rPr>
          <w:rFonts w:cs="Arial"/>
        </w:rPr>
        <w:t xml:space="preserve"> </w:t>
      </w:r>
      <w:r w:rsidR="007C14AE" w:rsidRPr="00915CAA">
        <w:rPr>
          <w:rFonts w:cs="Arial"/>
          <w:color w:val="000000" w:themeColor="text1"/>
        </w:rPr>
        <w:t>but n</w:t>
      </w:r>
      <w:r w:rsidR="007C14AE">
        <w:rPr>
          <w:rFonts w:cs="Arial"/>
          <w:color w:val="000000" w:themeColor="text1"/>
        </w:rPr>
        <w:t>eed not be in any specific form and can now be received by email to the Mental Health Law Department</w:t>
      </w:r>
      <w:r w:rsidR="0035621D">
        <w:rPr>
          <w:rFonts w:cs="Arial"/>
          <w:color w:val="000000" w:themeColor="text1"/>
        </w:rPr>
        <w:t xml:space="preserve"> (see Appendix 3 –</w:t>
      </w:r>
      <w:r w:rsidR="0035621D">
        <w:rPr>
          <w:rFonts w:cs="Arial"/>
        </w:rPr>
        <w:t xml:space="preserve"> Mental Health Law Department email addresses)</w:t>
      </w:r>
      <w:r w:rsidR="007C14AE" w:rsidRPr="00915CAA">
        <w:rPr>
          <w:rFonts w:cs="Arial"/>
        </w:rPr>
        <w:t xml:space="preserve"> </w:t>
      </w:r>
    </w:p>
    <w:p w14:paraId="79EF7434" w14:textId="10FF7341" w:rsidR="007C14AE" w:rsidRPr="009A0B72" w:rsidRDefault="002B3B82" w:rsidP="002B3B82">
      <w:pPr>
        <w:spacing w:after="0"/>
        <w:ind w:left="720" w:hanging="720"/>
        <w:rPr>
          <w:rFonts w:cs="Arial"/>
        </w:rPr>
      </w:pPr>
      <w:r>
        <w:rPr>
          <w:rFonts w:cs="Arial"/>
        </w:rPr>
        <w:t>12</w:t>
      </w:r>
      <w:r w:rsidR="007C14AE" w:rsidRPr="009A0B72">
        <w:rPr>
          <w:rFonts w:cs="Arial"/>
        </w:rPr>
        <w:t>.4</w:t>
      </w:r>
      <w:r w:rsidR="007C14AE" w:rsidRPr="009A0B72">
        <w:rPr>
          <w:rFonts w:cs="Arial"/>
        </w:rPr>
        <w:tab/>
        <w:t xml:space="preserve">Within the permitted 72 hours, the </w:t>
      </w:r>
      <w:r w:rsidR="007C14AE">
        <w:rPr>
          <w:rFonts w:cs="Arial"/>
        </w:rPr>
        <w:t>RC</w:t>
      </w:r>
      <w:r w:rsidR="007C14AE" w:rsidRPr="009A0B72">
        <w:rPr>
          <w:rFonts w:cs="Arial"/>
        </w:rPr>
        <w:t xml:space="preserve"> may sign a report barring discharge</w:t>
      </w:r>
      <w:r w:rsidR="0091503D">
        <w:rPr>
          <w:rFonts w:cs="Arial"/>
        </w:rPr>
        <w:t xml:space="preserve"> (Form M2)</w:t>
      </w:r>
      <w:r w:rsidR="007C14AE" w:rsidRPr="009A0B72">
        <w:rPr>
          <w:rFonts w:cs="Arial"/>
        </w:rPr>
        <w:t xml:space="preserve"> under section 25 of the Act. In doing so he or she has concluded that ‘the patient, if discharged, would be likely to act in a manner that is dangerous to other people or to him or herself’. Where a report is made, the nearest relative will be advised by the Mental Health Law office of their right to apply to the First Tier Tribunal (Mental Health). If a Tribunal application is not made, Mental Health Law </w:t>
      </w:r>
      <w:r w:rsidR="007C14AE">
        <w:rPr>
          <w:rFonts w:cs="Arial"/>
        </w:rPr>
        <w:t>office</w:t>
      </w:r>
      <w:r w:rsidR="007C14AE" w:rsidRPr="009A0B72">
        <w:rPr>
          <w:rFonts w:cs="Arial"/>
        </w:rPr>
        <w:t xml:space="preserve"> may arrange a review by the Hospital Managers</w:t>
      </w:r>
      <w:r>
        <w:rPr>
          <w:rFonts w:cs="Arial"/>
        </w:rPr>
        <w:t>.</w:t>
      </w:r>
    </w:p>
    <w:p w14:paraId="1818CC78" w14:textId="0CFCB33D" w:rsidR="007C14AE" w:rsidRPr="009A0B72" w:rsidRDefault="002B3B82" w:rsidP="002B3B82">
      <w:pPr>
        <w:spacing w:after="0"/>
        <w:ind w:left="720" w:hanging="720"/>
        <w:rPr>
          <w:rFonts w:cs="Arial"/>
        </w:rPr>
      </w:pPr>
      <w:r>
        <w:rPr>
          <w:rFonts w:cs="Arial"/>
        </w:rPr>
        <w:t>12</w:t>
      </w:r>
      <w:r w:rsidR="007C14AE" w:rsidRPr="009A0B72">
        <w:rPr>
          <w:rFonts w:cs="Arial"/>
        </w:rPr>
        <w:t>.5</w:t>
      </w:r>
      <w:r w:rsidR="007C14AE" w:rsidRPr="009A0B72">
        <w:rPr>
          <w:rFonts w:cs="Arial"/>
        </w:rPr>
        <w:tab/>
        <w:t xml:space="preserve">If the RC does not sign such a report, discharge from compulsion by the nearest relative takes effect after 72 hours or at a point after that which the nearest relative may have specified. Where a patient has been recalled to hospital, only the RC can discharge him/her during the period of 72 hours following recall. There is no power of discharge available to the nearest relative, Hospital Managers or First Tier Tribunal (Mental Health) to discharge specifically from a recall period; only the </w:t>
      </w:r>
      <w:r w:rsidR="007C14AE">
        <w:rPr>
          <w:rFonts w:cs="Arial"/>
        </w:rPr>
        <w:t>CTO</w:t>
      </w:r>
      <w:r>
        <w:rPr>
          <w:rFonts w:cs="Arial"/>
        </w:rPr>
        <w:t xml:space="preserve"> as a whole.</w:t>
      </w:r>
    </w:p>
    <w:p w14:paraId="74E6994E" w14:textId="0302B57D" w:rsidR="007C14AE" w:rsidRPr="009A0B72" w:rsidRDefault="002B3B82" w:rsidP="002B3B82">
      <w:pPr>
        <w:spacing w:after="0"/>
        <w:ind w:left="720" w:hanging="720"/>
        <w:rPr>
          <w:rFonts w:cs="Arial"/>
        </w:rPr>
      </w:pPr>
      <w:r>
        <w:rPr>
          <w:rFonts w:cs="Arial"/>
        </w:rPr>
        <w:t>12</w:t>
      </w:r>
      <w:r w:rsidR="007C14AE" w:rsidRPr="009A0B72">
        <w:rPr>
          <w:rFonts w:cs="Arial"/>
        </w:rPr>
        <w:t>.6</w:t>
      </w:r>
      <w:r w:rsidR="007C14AE" w:rsidRPr="009A0B72">
        <w:rPr>
          <w:rFonts w:cs="Arial"/>
        </w:rPr>
        <w:tab/>
      </w:r>
      <w:r w:rsidR="007C14AE" w:rsidRPr="00FC2798">
        <w:rPr>
          <w:rFonts w:cs="Arial"/>
          <w:color w:val="000000" w:themeColor="text1"/>
        </w:rPr>
        <w:t xml:space="preserve">The First Tier Tribunal (Mental Health) can discharge a CTO patient other than during the 72 hour period of recall of such a patient. </w:t>
      </w:r>
      <w:r w:rsidR="007C14AE" w:rsidRPr="009A0B72">
        <w:rPr>
          <w:rFonts w:cs="Arial"/>
        </w:rPr>
        <w:t xml:space="preserve">If following recall, a patient’s </w:t>
      </w:r>
      <w:r w:rsidR="007C14AE">
        <w:rPr>
          <w:rFonts w:cs="Arial"/>
        </w:rPr>
        <w:t>CTO</w:t>
      </w:r>
      <w:r w:rsidR="007C14AE" w:rsidRPr="009A0B72">
        <w:rPr>
          <w:rFonts w:cs="Arial"/>
        </w:rPr>
        <w:t xml:space="preserve"> is revoked, the Mental Health Law office will refer the patient’s case to the First Tier Tribunal (Mental Health) as soon as possible. All circumstances where there is a duty to refer a case to the First Tier Tribunal (Mental Health) are se</w:t>
      </w:r>
      <w:r>
        <w:rPr>
          <w:rFonts w:cs="Arial"/>
        </w:rPr>
        <w:t>t out in section 68 of the Act.</w:t>
      </w:r>
    </w:p>
    <w:p w14:paraId="4D4AC4B9" w14:textId="69B404D1" w:rsidR="007C14AE" w:rsidRPr="009A0B72" w:rsidRDefault="002B3B82" w:rsidP="002B3B82">
      <w:pPr>
        <w:spacing w:after="0"/>
        <w:ind w:left="720" w:hanging="720"/>
        <w:rPr>
          <w:rFonts w:cs="Arial"/>
        </w:rPr>
      </w:pPr>
      <w:r>
        <w:rPr>
          <w:rFonts w:cs="Arial"/>
        </w:rPr>
        <w:t>12</w:t>
      </w:r>
      <w:r w:rsidR="007C14AE" w:rsidRPr="009A0B72">
        <w:rPr>
          <w:rFonts w:cs="Arial"/>
        </w:rPr>
        <w:t>.7</w:t>
      </w:r>
      <w:r w:rsidR="007C14AE" w:rsidRPr="009A0B72">
        <w:rPr>
          <w:rFonts w:cs="Arial"/>
        </w:rPr>
        <w:tab/>
        <w:t>An application for discharge can be made once by a patient to the First Tier Tribunal (Mental Health) during any peri</w:t>
      </w:r>
      <w:r w:rsidR="007C14AE">
        <w:rPr>
          <w:rFonts w:cs="Arial"/>
        </w:rPr>
        <w:t>od of their CTO</w:t>
      </w:r>
      <w:r w:rsidR="007C14AE" w:rsidRPr="009A0B72">
        <w:rPr>
          <w:rFonts w:cs="Arial"/>
        </w:rPr>
        <w:t xml:space="preserve">. Any withdrawn application is disregarded and does not interfere with this right. The First Tier Tribunal (Mental Health) cannot vary conditions on a </w:t>
      </w:r>
      <w:r w:rsidR="007C14AE">
        <w:rPr>
          <w:rFonts w:cs="Arial"/>
        </w:rPr>
        <w:t>CTO</w:t>
      </w:r>
      <w:r w:rsidR="007C14AE" w:rsidRPr="009A0B72">
        <w:rPr>
          <w:rFonts w:cs="Arial"/>
        </w:rPr>
        <w:t xml:space="preserve"> imposed by the </w:t>
      </w:r>
      <w:r w:rsidR="007C14AE">
        <w:rPr>
          <w:rFonts w:cs="Arial"/>
        </w:rPr>
        <w:t>RC</w:t>
      </w:r>
      <w:r w:rsidR="007C14AE" w:rsidRPr="009A0B72">
        <w:rPr>
          <w:rFonts w:cs="Arial"/>
        </w:rPr>
        <w:t xml:space="preserve"> and although it can make a recommendation, cannot oblige an </w:t>
      </w:r>
      <w:r w:rsidR="007C14AE">
        <w:rPr>
          <w:rFonts w:cs="Arial"/>
        </w:rPr>
        <w:t>RC</w:t>
      </w:r>
      <w:r w:rsidR="007C14AE" w:rsidRPr="009A0B72">
        <w:rPr>
          <w:rFonts w:cs="Arial"/>
        </w:rPr>
        <w:t xml:space="preserve"> to make a </w:t>
      </w:r>
      <w:r w:rsidR="007C14AE">
        <w:rPr>
          <w:rFonts w:cs="Arial"/>
        </w:rPr>
        <w:t>CTO</w:t>
      </w:r>
      <w:r w:rsidR="007C14AE" w:rsidRPr="009A0B72">
        <w:rPr>
          <w:rFonts w:cs="Arial"/>
        </w:rPr>
        <w:t xml:space="preserve"> for a detained patient. The First Tier Tribunal (Mental Health) application rights of both patients and their nearest relatives are set</w:t>
      </w:r>
      <w:r>
        <w:rPr>
          <w:rFonts w:cs="Arial"/>
        </w:rPr>
        <w:t xml:space="preserve"> out in section 66 of the Act. </w:t>
      </w:r>
    </w:p>
    <w:p w14:paraId="1D704440" w14:textId="06F5F130" w:rsidR="007C14AE" w:rsidRPr="009A0B72" w:rsidRDefault="002B3B82" w:rsidP="002B3B82">
      <w:pPr>
        <w:spacing w:after="0"/>
        <w:ind w:left="720" w:hanging="720"/>
        <w:rPr>
          <w:rFonts w:cs="Arial"/>
        </w:rPr>
      </w:pPr>
      <w:r>
        <w:rPr>
          <w:rFonts w:cs="Arial"/>
        </w:rPr>
        <w:t>12</w:t>
      </w:r>
      <w:r w:rsidR="007C14AE" w:rsidRPr="009A0B72">
        <w:rPr>
          <w:rFonts w:cs="Arial"/>
        </w:rPr>
        <w:t>.8</w:t>
      </w:r>
      <w:r w:rsidR="007C14AE" w:rsidRPr="009A0B72">
        <w:rPr>
          <w:rFonts w:cs="Arial"/>
        </w:rPr>
        <w:tab/>
        <w:t>It may be appropriate for the First Tier Tribunal (Mental Health) hearing to be held in an alternative setting such as a community facility by prior discussion and agreement if there are practical reasons for doing so</w:t>
      </w:r>
      <w:r w:rsidR="007C14AE">
        <w:rPr>
          <w:rFonts w:cs="Arial"/>
        </w:rPr>
        <w:t xml:space="preserve"> – during Covid-19 pandemic hearings are being held virtually.</w:t>
      </w:r>
      <w:r>
        <w:rPr>
          <w:rFonts w:cs="Arial"/>
        </w:rPr>
        <w:t xml:space="preserve">    </w:t>
      </w:r>
    </w:p>
    <w:p w14:paraId="68553B1D" w14:textId="4C1D670A" w:rsidR="007C14AE" w:rsidRPr="00471898" w:rsidRDefault="002B3B82" w:rsidP="002B3B82">
      <w:pPr>
        <w:spacing w:after="0"/>
        <w:ind w:left="720" w:hanging="720"/>
        <w:rPr>
          <w:rFonts w:cs="Arial"/>
        </w:rPr>
      </w:pPr>
      <w:r>
        <w:rPr>
          <w:rFonts w:cs="Arial"/>
        </w:rPr>
        <w:t>12</w:t>
      </w:r>
      <w:r w:rsidR="007C14AE" w:rsidRPr="009A0B72">
        <w:rPr>
          <w:rFonts w:cs="Arial"/>
        </w:rPr>
        <w:t>.9</w:t>
      </w:r>
      <w:r w:rsidR="007C14AE" w:rsidRPr="009A0B72">
        <w:rPr>
          <w:rFonts w:cs="Arial"/>
        </w:rPr>
        <w:tab/>
        <w:t xml:space="preserve">If a patient is detained in another hospital under section 3 or equivalent, (other than by their </w:t>
      </w:r>
      <w:r w:rsidR="007C14AE">
        <w:rPr>
          <w:rFonts w:cs="Arial"/>
        </w:rPr>
        <w:t>CTO being revoked</w:t>
      </w:r>
      <w:r w:rsidR="007C14AE" w:rsidRPr="009A0B72">
        <w:rPr>
          <w:rFonts w:cs="Arial"/>
        </w:rPr>
        <w:t xml:space="preserve">) this will automatically discharge the existing </w:t>
      </w:r>
      <w:r w:rsidR="007C14AE">
        <w:rPr>
          <w:rFonts w:cs="Arial"/>
        </w:rPr>
        <w:t>CTO</w:t>
      </w:r>
      <w:r w:rsidR="007C14AE" w:rsidRPr="009A0B72">
        <w:rPr>
          <w:rFonts w:cs="Arial"/>
        </w:rPr>
        <w:t xml:space="preserve"> and its underlying section. </w:t>
      </w:r>
      <w:r w:rsidR="007C14AE">
        <w:rPr>
          <w:rFonts w:cs="Arial"/>
        </w:rPr>
        <w:t xml:space="preserve">A CTO </w:t>
      </w:r>
      <w:r w:rsidR="007C14AE" w:rsidRPr="009A0B72">
        <w:rPr>
          <w:rFonts w:cs="Arial"/>
        </w:rPr>
        <w:t xml:space="preserve">can only be recommenced by starting a fresh assessment again. Detention under section 2 will not affect a current </w:t>
      </w:r>
      <w:r w:rsidR="007C14AE">
        <w:rPr>
          <w:rFonts w:cs="Arial"/>
        </w:rPr>
        <w:t>CTO</w:t>
      </w:r>
      <w:r w:rsidR="007C14AE" w:rsidRPr="009A0B72">
        <w:rPr>
          <w:rFonts w:cs="Arial"/>
        </w:rPr>
        <w:t>.</w:t>
      </w:r>
      <w:r w:rsidR="007C14AE" w:rsidRPr="009A0B72">
        <w:rPr>
          <w:rFonts w:cs="Arial"/>
          <w:vertAlign w:val="superscript"/>
        </w:rPr>
        <w:footnoteReference w:id="20"/>
      </w:r>
      <w:r w:rsidR="007C14AE" w:rsidRPr="009A0B72">
        <w:rPr>
          <w:rFonts w:cs="Arial"/>
        </w:rPr>
        <w:t xml:space="preserve"> Detention in prison or elsewhere of less than six months’ duration will allow a </w:t>
      </w:r>
      <w:r w:rsidR="007C14AE">
        <w:rPr>
          <w:rFonts w:cs="Arial"/>
        </w:rPr>
        <w:t>CTO</w:t>
      </w:r>
      <w:r w:rsidR="007C14AE" w:rsidRPr="009A0B72">
        <w:rPr>
          <w:rFonts w:cs="Arial"/>
        </w:rPr>
        <w:t xml:space="preserve"> to continue or to be extended in accordance with the provisions set out in section 22 of the Mental Health Act. Detention in custody for a period of more than six months will automatically bring the </w:t>
      </w:r>
      <w:r w:rsidR="007C14AE">
        <w:rPr>
          <w:rFonts w:cs="Arial"/>
        </w:rPr>
        <w:t>CTO</w:t>
      </w:r>
      <w:r w:rsidR="007C14AE" w:rsidRPr="009A0B72">
        <w:rPr>
          <w:rFonts w:cs="Arial"/>
        </w:rPr>
        <w:t xml:space="preserve"> to an end</w:t>
      </w:r>
      <w:r>
        <w:rPr>
          <w:rFonts w:cs="Arial"/>
        </w:rPr>
        <w:t xml:space="preserve">.   </w:t>
      </w:r>
    </w:p>
    <w:p w14:paraId="7FF7F41B" w14:textId="28B99039" w:rsidR="00624418" w:rsidRPr="009A0B72" w:rsidRDefault="002B3B82" w:rsidP="00624418">
      <w:pPr>
        <w:spacing w:after="0"/>
        <w:outlineLvl w:val="0"/>
        <w:rPr>
          <w:rFonts w:cs="Arial"/>
          <w:b/>
          <w:sz w:val="24"/>
        </w:rPr>
      </w:pPr>
      <w:r>
        <w:rPr>
          <w:rFonts w:cs="Arial"/>
          <w:b/>
          <w:sz w:val="24"/>
        </w:rPr>
        <w:t>13</w:t>
      </w:r>
      <w:r w:rsidR="00624418" w:rsidRPr="009A0B72">
        <w:rPr>
          <w:rFonts w:cs="Arial"/>
          <w:b/>
          <w:sz w:val="24"/>
        </w:rPr>
        <w:t>.0</w:t>
      </w:r>
      <w:r w:rsidR="00624418" w:rsidRPr="009A0B72">
        <w:rPr>
          <w:rFonts w:cs="Arial"/>
          <w:b/>
          <w:sz w:val="24"/>
        </w:rPr>
        <w:tab/>
        <w:t xml:space="preserve">Recall from </w:t>
      </w:r>
      <w:r w:rsidR="00624418">
        <w:rPr>
          <w:rFonts w:cs="Arial"/>
          <w:b/>
          <w:sz w:val="24"/>
        </w:rPr>
        <w:t>CTO</w:t>
      </w:r>
      <w:r w:rsidR="00624418" w:rsidRPr="009A0B72">
        <w:rPr>
          <w:rFonts w:cs="Arial"/>
          <w:b/>
          <w:sz w:val="24"/>
        </w:rPr>
        <w:t>:</w:t>
      </w:r>
    </w:p>
    <w:p w14:paraId="0EECFCD7" w14:textId="28A900EE" w:rsidR="00624418" w:rsidRPr="009A0B72" w:rsidRDefault="002B3B82" w:rsidP="00624418">
      <w:pPr>
        <w:spacing w:after="0"/>
        <w:ind w:left="720" w:hanging="720"/>
        <w:rPr>
          <w:rFonts w:cs="Arial"/>
        </w:rPr>
      </w:pPr>
      <w:r>
        <w:rPr>
          <w:rFonts w:cs="Arial"/>
        </w:rPr>
        <w:t>13</w:t>
      </w:r>
      <w:r w:rsidR="00624418" w:rsidRPr="009A0B72">
        <w:rPr>
          <w:rFonts w:cs="Arial"/>
        </w:rPr>
        <w:t>.1</w:t>
      </w:r>
      <w:r w:rsidR="00624418" w:rsidRPr="009A0B72">
        <w:rPr>
          <w:rFonts w:cs="Arial"/>
        </w:rPr>
        <w:tab/>
        <w:t xml:space="preserve">Where a change of </w:t>
      </w:r>
      <w:r w:rsidR="00624418">
        <w:rPr>
          <w:rFonts w:cs="Arial"/>
        </w:rPr>
        <w:t>RC</w:t>
      </w:r>
      <w:r w:rsidR="00624418" w:rsidRPr="009A0B72">
        <w:rPr>
          <w:rFonts w:cs="Arial"/>
        </w:rPr>
        <w:t xml:space="preserve"> on recall is anticipated</w:t>
      </w:r>
      <w:r w:rsidR="00471898">
        <w:rPr>
          <w:rFonts w:cs="Arial"/>
        </w:rPr>
        <w:t xml:space="preserve"> (on call consultant cover)</w:t>
      </w:r>
      <w:r w:rsidR="00624418" w:rsidRPr="009A0B72">
        <w:rPr>
          <w:rFonts w:cs="Arial"/>
        </w:rPr>
        <w:t xml:space="preserve">, best practice requires that they should be made aware of and involved in any of the following actions required of the current </w:t>
      </w:r>
      <w:r w:rsidR="00624418">
        <w:rPr>
          <w:rFonts w:cs="Arial"/>
        </w:rPr>
        <w:t>RC</w:t>
      </w:r>
      <w:r w:rsidR="00624418" w:rsidRPr="009A0B72">
        <w:rPr>
          <w:rFonts w:cs="Arial"/>
        </w:rPr>
        <w:t xml:space="preserve"> as soon as practicable</w:t>
      </w:r>
      <w:r w:rsidR="00624418">
        <w:rPr>
          <w:rFonts w:cs="Arial"/>
        </w:rPr>
        <w:t xml:space="preserve">. </w:t>
      </w:r>
    </w:p>
    <w:p w14:paraId="581DF92B" w14:textId="0269C394" w:rsidR="00624418" w:rsidRPr="009A0B72" w:rsidRDefault="002B3B82" w:rsidP="00624418">
      <w:pPr>
        <w:spacing w:after="0"/>
        <w:ind w:left="720" w:hanging="720"/>
        <w:rPr>
          <w:rFonts w:cs="Arial"/>
        </w:rPr>
      </w:pPr>
      <w:r>
        <w:rPr>
          <w:rFonts w:cs="Arial"/>
        </w:rPr>
        <w:t>13</w:t>
      </w:r>
      <w:r w:rsidR="00624418" w:rsidRPr="009A0B72">
        <w:rPr>
          <w:rFonts w:cs="Arial"/>
        </w:rPr>
        <w:t>.2</w:t>
      </w:r>
      <w:r w:rsidR="00624418" w:rsidRPr="009A0B72">
        <w:rPr>
          <w:rFonts w:cs="Arial"/>
        </w:rPr>
        <w:tab/>
        <w:t xml:space="preserve">Where a patient breaches a </w:t>
      </w:r>
      <w:r w:rsidR="00C850DD">
        <w:rPr>
          <w:rFonts w:cs="Arial"/>
        </w:rPr>
        <w:t xml:space="preserve">mandatory </w:t>
      </w:r>
      <w:r w:rsidR="00624418" w:rsidRPr="009A0B72">
        <w:rPr>
          <w:rFonts w:cs="Arial"/>
        </w:rPr>
        <w:t xml:space="preserve">condition of their </w:t>
      </w:r>
      <w:r w:rsidR="00624418">
        <w:rPr>
          <w:rFonts w:cs="Arial"/>
        </w:rPr>
        <w:t>CTO</w:t>
      </w:r>
      <w:r w:rsidR="00624418" w:rsidRPr="009A0B72">
        <w:rPr>
          <w:rFonts w:cs="Arial"/>
        </w:rPr>
        <w:t xml:space="preserve">, the </w:t>
      </w:r>
      <w:r w:rsidR="00624418">
        <w:rPr>
          <w:rFonts w:cs="Arial"/>
        </w:rPr>
        <w:t>RC</w:t>
      </w:r>
      <w:r w:rsidR="00624418" w:rsidRPr="009A0B72">
        <w:rPr>
          <w:rFonts w:cs="Arial"/>
        </w:rPr>
        <w:t xml:space="preserve"> may </w:t>
      </w:r>
      <w:r w:rsidR="00624418">
        <w:rPr>
          <w:rFonts w:cs="Arial"/>
        </w:rPr>
        <w:t>recall the patient to hospital.</w:t>
      </w:r>
    </w:p>
    <w:p w14:paraId="695D7579" w14:textId="2E80B03A" w:rsidR="00624418" w:rsidRDefault="002B3B82" w:rsidP="00624418">
      <w:pPr>
        <w:spacing w:after="0"/>
        <w:ind w:left="720" w:hanging="720"/>
        <w:rPr>
          <w:rFonts w:cs="Arial"/>
        </w:rPr>
      </w:pPr>
      <w:r>
        <w:rPr>
          <w:rFonts w:cs="Arial"/>
        </w:rPr>
        <w:t>13</w:t>
      </w:r>
      <w:r w:rsidR="00624418" w:rsidRPr="009A0B72">
        <w:rPr>
          <w:rFonts w:cs="Arial"/>
        </w:rPr>
        <w:t xml:space="preserve">.3 </w:t>
      </w:r>
      <w:r w:rsidR="00624418" w:rsidRPr="009A0B72">
        <w:rPr>
          <w:rFonts w:cs="Arial"/>
        </w:rPr>
        <w:tab/>
        <w:t>To ensure compliance with the Mental Health Act and the Code of Practice,</w:t>
      </w:r>
      <w:r w:rsidR="00624418" w:rsidRPr="009A0B72">
        <w:rPr>
          <w:rFonts w:cs="Arial"/>
          <w:vertAlign w:val="superscript"/>
        </w:rPr>
        <w:footnoteReference w:id="21"/>
      </w:r>
      <w:r w:rsidR="00624418" w:rsidRPr="009A0B72">
        <w:rPr>
          <w:rFonts w:cs="Arial"/>
        </w:rPr>
        <w:t xml:space="preserve"> recal</w:t>
      </w:r>
      <w:r w:rsidR="00624418">
        <w:rPr>
          <w:rFonts w:cs="Arial"/>
        </w:rPr>
        <w:t xml:space="preserve">l should </w:t>
      </w:r>
      <w:r w:rsidR="00C850DD">
        <w:rPr>
          <w:rFonts w:cs="Arial"/>
        </w:rPr>
        <w:t xml:space="preserve">also </w:t>
      </w:r>
      <w:r w:rsidR="00624418">
        <w:rPr>
          <w:rFonts w:cs="Arial"/>
        </w:rPr>
        <w:t>be considered if:</w:t>
      </w:r>
    </w:p>
    <w:p w14:paraId="1D1B59C1" w14:textId="77777777" w:rsidR="00624418" w:rsidRPr="009A0B72" w:rsidRDefault="00624418" w:rsidP="00624418">
      <w:pPr>
        <w:spacing w:after="0"/>
        <w:ind w:left="720" w:hanging="720"/>
        <w:rPr>
          <w:rFonts w:cs="Arial"/>
        </w:rPr>
      </w:pPr>
    </w:p>
    <w:p w14:paraId="4170851D" w14:textId="77777777" w:rsidR="00624418" w:rsidRPr="009A0B72" w:rsidRDefault="00624418" w:rsidP="00624418">
      <w:pPr>
        <w:numPr>
          <w:ilvl w:val="0"/>
          <w:numId w:val="14"/>
        </w:numPr>
        <w:tabs>
          <w:tab w:val="num" w:pos="1080"/>
        </w:tabs>
        <w:spacing w:before="0" w:after="0"/>
        <w:ind w:left="1080"/>
        <w:jc w:val="left"/>
        <w:rPr>
          <w:rFonts w:cs="Arial"/>
        </w:rPr>
      </w:pPr>
      <w:r w:rsidRPr="009A0B72">
        <w:rPr>
          <w:rFonts w:cs="Arial"/>
        </w:rPr>
        <w:t xml:space="preserve">The patient needs to receive treatment for mental disorder in hospital (either as an in-patient or as an out-patient); and </w:t>
      </w:r>
    </w:p>
    <w:p w14:paraId="2C050EE9" w14:textId="60DC1B32" w:rsidR="00624418" w:rsidRPr="00624418" w:rsidRDefault="00624418" w:rsidP="00624418">
      <w:pPr>
        <w:numPr>
          <w:ilvl w:val="0"/>
          <w:numId w:val="14"/>
        </w:numPr>
        <w:tabs>
          <w:tab w:val="num" w:pos="1080"/>
        </w:tabs>
        <w:spacing w:before="0" w:after="0"/>
        <w:ind w:left="1080"/>
        <w:jc w:val="left"/>
        <w:rPr>
          <w:rFonts w:cs="Arial"/>
        </w:rPr>
      </w:pPr>
      <w:r w:rsidRPr="009A0B72">
        <w:rPr>
          <w:rFonts w:cs="Arial"/>
        </w:rPr>
        <w:t>There would be a risk of harm to the health or safety of the patient or to other people if the patient were not recalled.</w:t>
      </w:r>
    </w:p>
    <w:p w14:paraId="5919D217" w14:textId="77777777" w:rsidR="00624418" w:rsidRPr="009A0B72" w:rsidRDefault="00624418" w:rsidP="00624418">
      <w:pPr>
        <w:spacing w:after="0"/>
        <w:ind w:left="420" w:firstLine="300"/>
        <w:outlineLvl w:val="0"/>
        <w:rPr>
          <w:rFonts w:cs="Arial"/>
        </w:rPr>
      </w:pPr>
      <w:r w:rsidRPr="009A0B72">
        <w:rPr>
          <w:rFonts w:cs="Arial"/>
        </w:rPr>
        <w:t>Or</w:t>
      </w:r>
    </w:p>
    <w:p w14:paraId="4E9DA734" w14:textId="77777777" w:rsidR="00624418" w:rsidRPr="009A0B72" w:rsidRDefault="00624418" w:rsidP="00624418">
      <w:pPr>
        <w:spacing w:after="0"/>
        <w:ind w:left="420" w:firstLine="300"/>
        <w:outlineLvl w:val="0"/>
        <w:rPr>
          <w:rFonts w:cs="Arial"/>
        </w:rPr>
      </w:pPr>
    </w:p>
    <w:p w14:paraId="39304950" w14:textId="1DA59753" w:rsidR="00624418" w:rsidRPr="00624418" w:rsidRDefault="00624418" w:rsidP="00624418">
      <w:pPr>
        <w:numPr>
          <w:ilvl w:val="0"/>
          <w:numId w:val="15"/>
        </w:numPr>
        <w:tabs>
          <w:tab w:val="left" w:pos="1080"/>
        </w:tabs>
        <w:spacing w:before="0" w:after="0"/>
        <w:ind w:left="1080"/>
        <w:rPr>
          <w:rFonts w:cs="Arial"/>
        </w:rPr>
      </w:pPr>
      <w:r w:rsidRPr="009A0B72">
        <w:rPr>
          <w:rFonts w:cs="Arial"/>
        </w:rPr>
        <w:t xml:space="preserve">The patient has broken one of the two mandatory conditions outlined at </w:t>
      </w:r>
      <w:r>
        <w:rPr>
          <w:rFonts w:cs="Arial"/>
        </w:rPr>
        <w:t xml:space="preserve">Para </w:t>
      </w:r>
      <w:r w:rsidRPr="009A0B72">
        <w:rPr>
          <w:rFonts w:cs="Arial"/>
        </w:rPr>
        <w:t xml:space="preserve">3.2 above unless they have a valid reason and have been given opportunity to comply with the condition before recall is considered. Other conditions which have been breached may not lead to recall if the breaking of the conditions do not satisfy the criteria </w:t>
      </w:r>
      <w:r>
        <w:rPr>
          <w:rFonts w:cs="Arial"/>
        </w:rPr>
        <w:t>as outlined.</w:t>
      </w:r>
    </w:p>
    <w:p w14:paraId="0C79589C" w14:textId="5A83976D" w:rsidR="00624418" w:rsidRPr="009A0B72" w:rsidRDefault="002B3B82" w:rsidP="00624418">
      <w:pPr>
        <w:spacing w:after="0"/>
        <w:ind w:left="720" w:hanging="720"/>
        <w:rPr>
          <w:rFonts w:cs="Arial"/>
        </w:rPr>
      </w:pPr>
      <w:r>
        <w:rPr>
          <w:rFonts w:cs="Arial"/>
        </w:rPr>
        <w:t>13</w:t>
      </w:r>
      <w:r w:rsidR="00B73481">
        <w:rPr>
          <w:rFonts w:cs="Arial"/>
        </w:rPr>
        <w:t xml:space="preserve">.4   </w:t>
      </w:r>
      <w:r w:rsidR="00624418" w:rsidRPr="009A0B72">
        <w:rPr>
          <w:rFonts w:cs="Arial"/>
        </w:rPr>
        <w:t xml:space="preserve">The </w:t>
      </w:r>
      <w:r w:rsidR="00624418">
        <w:rPr>
          <w:rFonts w:cs="Arial"/>
        </w:rPr>
        <w:t>RC</w:t>
      </w:r>
      <w:r w:rsidR="00624418" w:rsidRPr="009A0B72">
        <w:rPr>
          <w:rFonts w:cs="Arial"/>
        </w:rPr>
        <w:t xml:space="preserve"> must complete a written notice of recall to hospital (form CTO3) which is effective only when served on the patient. Where possible, this notice should be handed to the patient personally, or delivered by hand to the patient’s usual or last known address. </w:t>
      </w:r>
      <w:r w:rsidR="00C850DD">
        <w:rPr>
          <w:rFonts w:cs="Arial"/>
        </w:rPr>
        <w:t>This policy discourages the use of first class to serve recal</w:t>
      </w:r>
      <w:r w:rsidR="00CE29EA">
        <w:rPr>
          <w:rFonts w:cs="Arial"/>
        </w:rPr>
        <w:t>l</w:t>
      </w:r>
      <w:r w:rsidR="00C850DD">
        <w:rPr>
          <w:rFonts w:cs="Arial"/>
        </w:rPr>
        <w:t xml:space="preserve"> notice due to the time it takes for such notices to be deemed served. Please contact your </w:t>
      </w:r>
      <w:r w:rsidR="00CE29EA">
        <w:rPr>
          <w:rFonts w:cs="Arial"/>
        </w:rPr>
        <w:t>l</w:t>
      </w:r>
      <w:r w:rsidR="00C850DD">
        <w:rPr>
          <w:rFonts w:cs="Arial"/>
        </w:rPr>
        <w:t xml:space="preserve">ocal MHLO for further advice. </w:t>
      </w:r>
      <w:r w:rsidR="00624418" w:rsidRPr="009A0B72">
        <w:rPr>
          <w:rFonts w:cs="Arial"/>
        </w:rPr>
        <w:t>Table 1 below summarises the reasons for and effect of each method of serving a Notice of Recall.</w:t>
      </w:r>
      <w:r w:rsidR="00624418">
        <w:rPr>
          <w:rFonts w:cs="Arial"/>
        </w:rPr>
        <w:t xml:space="preserve"> This notice </w:t>
      </w:r>
      <w:r w:rsidR="00624418" w:rsidRPr="00B73481">
        <w:rPr>
          <w:rFonts w:cs="Arial"/>
          <w:b/>
          <w:i/>
          <w:u w:val="single"/>
        </w:rPr>
        <w:t xml:space="preserve">cannot </w:t>
      </w:r>
      <w:r w:rsidR="00624418">
        <w:rPr>
          <w:rFonts w:cs="Arial"/>
        </w:rPr>
        <w:t>be served on the patient by electronic means</w:t>
      </w:r>
      <w:r w:rsidR="00707F09">
        <w:rPr>
          <w:rFonts w:cs="Arial"/>
        </w:rPr>
        <w:t xml:space="preserve"> as this would be unlawful</w:t>
      </w:r>
      <w:r w:rsidR="00624418">
        <w:rPr>
          <w:rFonts w:cs="Arial"/>
        </w:rPr>
        <w:t>, but a copy should be sent via electronic means to the MHL office.</w:t>
      </w:r>
      <w:r w:rsidR="00C50E68">
        <w:rPr>
          <w:rFonts w:cs="Arial"/>
        </w:rPr>
        <w:t xml:space="preserve"> A copy of the notice must be sent to Duty Senior Nurse and Ward of the Hospital</w:t>
      </w:r>
      <w:r w:rsidR="003A506F">
        <w:rPr>
          <w:rFonts w:cs="Arial"/>
        </w:rPr>
        <w:t xml:space="preserve"> by email</w:t>
      </w:r>
      <w:r w:rsidR="00C850DD">
        <w:rPr>
          <w:rFonts w:cs="Arial"/>
        </w:rPr>
        <w:t xml:space="preserve"> or eMHA</w:t>
      </w:r>
      <w:r w:rsidR="00C50E68">
        <w:rPr>
          <w:rFonts w:cs="Arial"/>
        </w:rPr>
        <w:t xml:space="preserve">, and uploaded onto the RIO document store </w:t>
      </w:r>
      <w:r w:rsidR="00C850DD">
        <w:rPr>
          <w:rFonts w:cs="Arial"/>
        </w:rPr>
        <w:t xml:space="preserve">by </w:t>
      </w:r>
      <w:r w:rsidR="001B411A" w:rsidRPr="00053186">
        <w:rPr>
          <w:rFonts w:cs="Arial"/>
          <w:color w:val="000000" w:themeColor="text1"/>
        </w:rPr>
        <w:t>the Duty Senior Nurse</w:t>
      </w:r>
      <w:r w:rsidR="00C850DD" w:rsidRPr="00053186">
        <w:rPr>
          <w:rFonts w:cs="Arial"/>
          <w:color w:val="000000" w:themeColor="text1"/>
        </w:rPr>
        <w:t xml:space="preserve"> </w:t>
      </w:r>
      <w:r w:rsidR="00C50E68">
        <w:rPr>
          <w:rFonts w:cs="Arial"/>
        </w:rPr>
        <w:t>for staff to access</w:t>
      </w:r>
      <w:r w:rsidR="003A506F">
        <w:rPr>
          <w:rFonts w:cs="Arial"/>
        </w:rPr>
        <w:t xml:space="preserve"> as part of this process</w:t>
      </w:r>
      <w:r w:rsidR="00C50E68">
        <w:rPr>
          <w:rFonts w:cs="Arial"/>
        </w:rPr>
        <w:t>.</w:t>
      </w:r>
    </w:p>
    <w:p w14:paraId="26490448" w14:textId="1BC10875" w:rsidR="00624418" w:rsidRDefault="00624418" w:rsidP="00624418">
      <w:pPr>
        <w:spacing w:after="0"/>
        <w:ind w:left="720" w:hanging="720"/>
        <w:rPr>
          <w:rFonts w:cs="Arial"/>
        </w:rPr>
      </w:pPr>
    </w:p>
    <w:p w14:paraId="576E3044" w14:textId="6203DC6E" w:rsidR="008A0504" w:rsidRDefault="008A0504" w:rsidP="00624418">
      <w:pPr>
        <w:spacing w:after="0"/>
        <w:ind w:left="720" w:hanging="720"/>
        <w:rPr>
          <w:rFonts w:cs="Arial"/>
        </w:rPr>
      </w:pPr>
    </w:p>
    <w:p w14:paraId="492C4878" w14:textId="77777777" w:rsidR="008A0504" w:rsidRPr="009A0B72" w:rsidRDefault="008A0504" w:rsidP="00624418">
      <w:pPr>
        <w:spacing w:after="0"/>
        <w:ind w:left="720" w:hanging="720"/>
        <w:rPr>
          <w:rFonts w:cs="Arial"/>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023"/>
      </w:tblGrid>
      <w:tr w:rsidR="00624418" w:rsidRPr="009A0B72" w14:paraId="35A22DFA" w14:textId="77777777" w:rsidTr="00471898">
        <w:tc>
          <w:tcPr>
            <w:tcW w:w="2840" w:type="dxa"/>
            <w:shd w:val="clear" w:color="auto" w:fill="C0C0C0"/>
          </w:tcPr>
          <w:p w14:paraId="5A360D0E" w14:textId="77777777" w:rsidR="00624418" w:rsidRPr="009A0B72" w:rsidRDefault="00624418" w:rsidP="00471898">
            <w:pPr>
              <w:spacing w:after="0"/>
              <w:rPr>
                <w:rFonts w:cs="Arial"/>
              </w:rPr>
            </w:pPr>
            <w:r w:rsidRPr="009A0B72">
              <w:rPr>
                <w:rFonts w:cs="Arial"/>
              </w:rPr>
              <w:t>Patient’s Circumstances</w:t>
            </w:r>
          </w:p>
        </w:tc>
        <w:tc>
          <w:tcPr>
            <w:tcW w:w="2841" w:type="dxa"/>
            <w:shd w:val="clear" w:color="auto" w:fill="C0C0C0"/>
          </w:tcPr>
          <w:p w14:paraId="669FB630" w14:textId="77777777" w:rsidR="00624418" w:rsidRPr="009A0B72" w:rsidRDefault="00624418" w:rsidP="00471898">
            <w:pPr>
              <w:spacing w:after="0"/>
              <w:rPr>
                <w:rFonts w:cs="Arial"/>
              </w:rPr>
            </w:pPr>
            <w:r w:rsidRPr="009A0B72">
              <w:rPr>
                <w:rFonts w:cs="Arial"/>
              </w:rPr>
              <w:t>Appropriate Method of Serving form CTO3</w:t>
            </w:r>
          </w:p>
        </w:tc>
        <w:tc>
          <w:tcPr>
            <w:tcW w:w="3023" w:type="dxa"/>
            <w:shd w:val="clear" w:color="auto" w:fill="C0C0C0"/>
          </w:tcPr>
          <w:p w14:paraId="181D430E" w14:textId="77777777" w:rsidR="00624418" w:rsidRPr="009A0B72" w:rsidRDefault="00624418" w:rsidP="00471898">
            <w:pPr>
              <w:spacing w:after="0"/>
              <w:rPr>
                <w:rFonts w:cs="Arial"/>
              </w:rPr>
            </w:pPr>
            <w:r w:rsidRPr="009A0B72">
              <w:rPr>
                <w:rFonts w:cs="Arial"/>
              </w:rPr>
              <w:t>Notice effective</w:t>
            </w:r>
          </w:p>
        </w:tc>
      </w:tr>
      <w:tr w:rsidR="00624418" w:rsidRPr="009A0B72" w14:paraId="7957378C" w14:textId="77777777" w:rsidTr="00471898">
        <w:tc>
          <w:tcPr>
            <w:tcW w:w="2840" w:type="dxa"/>
          </w:tcPr>
          <w:p w14:paraId="29CAAB02" w14:textId="77777777" w:rsidR="00624418" w:rsidRPr="009A0B72" w:rsidRDefault="00624418" w:rsidP="00471898">
            <w:pPr>
              <w:spacing w:after="0"/>
              <w:rPr>
                <w:rFonts w:cs="Arial"/>
              </w:rPr>
            </w:pPr>
            <w:r w:rsidRPr="009A0B72">
              <w:rPr>
                <w:rFonts w:cs="Arial"/>
              </w:rPr>
              <w:t>Patient can be approached in person and may be at or in hospital already</w:t>
            </w:r>
          </w:p>
        </w:tc>
        <w:tc>
          <w:tcPr>
            <w:tcW w:w="2841" w:type="dxa"/>
          </w:tcPr>
          <w:p w14:paraId="5F0F47BD" w14:textId="77777777" w:rsidR="00624418" w:rsidRPr="009A0B72" w:rsidRDefault="00624418" w:rsidP="00471898">
            <w:pPr>
              <w:spacing w:after="0"/>
              <w:rPr>
                <w:rFonts w:cs="Arial"/>
              </w:rPr>
            </w:pPr>
            <w:r w:rsidRPr="009A0B72">
              <w:rPr>
                <w:rFonts w:cs="Arial"/>
              </w:rPr>
              <w:t>Deliver form by hand personally</w:t>
            </w:r>
          </w:p>
        </w:tc>
        <w:tc>
          <w:tcPr>
            <w:tcW w:w="3023" w:type="dxa"/>
          </w:tcPr>
          <w:p w14:paraId="683FF998" w14:textId="77777777" w:rsidR="00624418" w:rsidRPr="009A0B72" w:rsidRDefault="00624418" w:rsidP="00471898">
            <w:pPr>
              <w:spacing w:after="0"/>
              <w:rPr>
                <w:rFonts w:cs="Arial"/>
              </w:rPr>
            </w:pPr>
            <w:r w:rsidRPr="009A0B72">
              <w:rPr>
                <w:rFonts w:cs="Arial"/>
              </w:rPr>
              <w:t>Effective Immediately</w:t>
            </w:r>
          </w:p>
        </w:tc>
      </w:tr>
      <w:tr w:rsidR="00624418" w:rsidRPr="009A0B72" w14:paraId="357D7224" w14:textId="77777777" w:rsidTr="00471898">
        <w:tc>
          <w:tcPr>
            <w:tcW w:w="2840" w:type="dxa"/>
          </w:tcPr>
          <w:p w14:paraId="21FAF551" w14:textId="77777777" w:rsidR="00624418" w:rsidRPr="009A0B72" w:rsidRDefault="00624418" w:rsidP="00471898">
            <w:pPr>
              <w:spacing w:after="0"/>
              <w:rPr>
                <w:rFonts w:cs="Arial"/>
              </w:rPr>
            </w:pPr>
            <w:r w:rsidRPr="009A0B72">
              <w:rPr>
                <w:rFonts w:cs="Arial"/>
              </w:rPr>
              <w:t>Patient not available in person e.g. has failed to attend requested appointment to see Second Opinion Appointed Doctor but situation is not urgent</w:t>
            </w:r>
          </w:p>
        </w:tc>
        <w:tc>
          <w:tcPr>
            <w:tcW w:w="2841" w:type="dxa"/>
          </w:tcPr>
          <w:p w14:paraId="33A1D6DB" w14:textId="77777777" w:rsidR="00624418" w:rsidRDefault="00624418" w:rsidP="00471898">
            <w:pPr>
              <w:spacing w:after="0"/>
              <w:rPr>
                <w:rFonts w:cs="Arial"/>
              </w:rPr>
            </w:pPr>
            <w:r w:rsidRPr="009A0B72">
              <w:rPr>
                <w:rFonts w:cs="Arial"/>
              </w:rPr>
              <w:t>Deliver form by 1</w:t>
            </w:r>
            <w:r w:rsidRPr="009A0B72">
              <w:rPr>
                <w:rFonts w:cs="Arial"/>
                <w:vertAlign w:val="superscript"/>
              </w:rPr>
              <w:t>st</w:t>
            </w:r>
            <w:r w:rsidRPr="009A0B72">
              <w:rPr>
                <w:rFonts w:cs="Arial"/>
              </w:rPr>
              <w:t xml:space="preserve"> class mail to address where patient is believed to be</w:t>
            </w:r>
          </w:p>
          <w:p w14:paraId="3469A8CF" w14:textId="6FDB9B15" w:rsidR="00C850DD" w:rsidRDefault="00C850DD" w:rsidP="00471898">
            <w:pPr>
              <w:spacing w:after="0"/>
              <w:rPr>
                <w:rFonts w:cs="Arial"/>
              </w:rPr>
            </w:pPr>
            <w:r>
              <w:rPr>
                <w:rFonts w:cs="Arial"/>
              </w:rPr>
              <w:t>(discouraged)</w:t>
            </w:r>
          </w:p>
          <w:p w14:paraId="7249D2E7" w14:textId="56B15715" w:rsidR="00C850DD" w:rsidRPr="009A0B72" w:rsidRDefault="00C850DD" w:rsidP="00471898">
            <w:pPr>
              <w:spacing w:after="0"/>
              <w:rPr>
                <w:rFonts w:cs="Arial"/>
              </w:rPr>
            </w:pPr>
            <w:r>
              <w:rPr>
                <w:rFonts w:cs="Arial"/>
              </w:rPr>
              <w:t>Deliver by hand to last known address instead</w:t>
            </w:r>
          </w:p>
          <w:p w14:paraId="62BC4C66" w14:textId="77777777" w:rsidR="00624418" w:rsidRPr="009A0B72" w:rsidRDefault="00624418" w:rsidP="00471898">
            <w:pPr>
              <w:spacing w:after="0"/>
              <w:rPr>
                <w:rFonts w:cs="Arial"/>
              </w:rPr>
            </w:pPr>
          </w:p>
          <w:p w14:paraId="6CCBD1C6" w14:textId="77777777" w:rsidR="00624418" w:rsidRPr="009A0B72" w:rsidRDefault="00624418" w:rsidP="00471898">
            <w:pPr>
              <w:spacing w:after="0"/>
              <w:rPr>
                <w:rFonts w:cs="Arial"/>
              </w:rPr>
            </w:pPr>
          </w:p>
          <w:p w14:paraId="623B8845" w14:textId="77777777" w:rsidR="00624418" w:rsidRPr="009A0B72" w:rsidRDefault="00624418" w:rsidP="00471898">
            <w:pPr>
              <w:spacing w:after="0"/>
              <w:rPr>
                <w:rFonts w:cs="Arial"/>
              </w:rPr>
            </w:pPr>
          </w:p>
        </w:tc>
        <w:tc>
          <w:tcPr>
            <w:tcW w:w="3023" w:type="dxa"/>
          </w:tcPr>
          <w:p w14:paraId="20E7BC46" w14:textId="77777777" w:rsidR="00624418" w:rsidRPr="009A0B72" w:rsidRDefault="00624418" w:rsidP="00471898">
            <w:pPr>
              <w:spacing w:after="0"/>
              <w:rPr>
                <w:rFonts w:cs="Arial"/>
              </w:rPr>
            </w:pPr>
            <w:r w:rsidRPr="009A0B72">
              <w:rPr>
                <w:rFonts w:cs="Arial"/>
              </w:rPr>
              <w:t>Served on the 2</w:t>
            </w:r>
            <w:r w:rsidRPr="009A0B72">
              <w:rPr>
                <w:rFonts w:cs="Arial"/>
                <w:vertAlign w:val="superscript"/>
              </w:rPr>
              <w:t>nd</w:t>
            </w:r>
            <w:r w:rsidRPr="009A0B72">
              <w:rPr>
                <w:rFonts w:cs="Arial"/>
              </w:rPr>
              <w:t xml:space="preserve"> </w:t>
            </w:r>
            <w:r w:rsidRPr="009A0B72">
              <w:rPr>
                <w:rFonts w:cs="Arial"/>
                <w:u w:val="single"/>
              </w:rPr>
              <w:t>working</w:t>
            </w:r>
            <w:r w:rsidRPr="009A0B72">
              <w:rPr>
                <w:rFonts w:cs="Arial"/>
              </w:rPr>
              <w:t xml:space="preserve"> day after posting (e.g. posted Friday effective from Tuesday)</w:t>
            </w:r>
          </w:p>
          <w:p w14:paraId="167A1F6D" w14:textId="2A65DEEE" w:rsidR="00624418" w:rsidRPr="009A0B72" w:rsidRDefault="00C850DD" w:rsidP="00471898">
            <w:pPr>
              <w:spacing w:after="0"/>
              <w:rPr>
                <w:rFonts w:cs="Arial"/>
              </w:rPr>
            </w:pPr>
            <w:r w:rsidRPr="009A0B72">
              <w:rPr>
                <w:rFonts w:cs="Arial"/>
              </w:rPr>
              <w:t>Notice deemed to be served after midnight on the day it was delivered. It does not matter whether it is a working day, a weekend or a holiday. It does not matter whether it is actually received by the patient or not</w:t>
            </w:r>
          </w:p>
          <w:p w14:paraId="661457E9" w14:textId="77777777" w:rsidR="00624418" w:rsidRPr="009A0B72" w:rsidRDefault="00624418" w:rsidP="00471898">
            <w:pPr>
              <w:spacing w:after="0"/>
              <w:rPr>
                <w:rFonts w:cs="Arial"/>
              </w:rPr>
            </w:pPr>
          </w:p>
        </w:tc>
      </w:tr>
      <w:tr w:rsidR="00624418" w:rsidRPr="009A0B72" w14:paraId="424B7E81" w14:textId="77777777" w:rsidTr="00471898">
        <w:tc>
          <w:tcPr>
            <w:tcW w:w="2840" w:type="dxa"/>
          </w:tcPr>
          <w:p w14:paraId="2890A985" w14:textId="77777777" w:rsidR="00624418" w:rsidRPr="009A0B72" w:rsidRDefault="00624418" w:rsidP="00471898">
            <w:pPr>
              <w:spacing w:after="0"/>
              <w:rPr>
                <w:rFonts w:cs="Arial"/>
                <w:i/>
              </w:rPr>
            </w:pPr>
            <w:r w:rsidRPr="009A0B72">
              <w:rPr>
                <w:rFonts w:cs="Arial"/>
              </w:rPr>
              <w:t xml:space="preserve">Need for recall is urgent but not possible to hand notice to patient personally as their whereabouts are unknown, patient is unavailable or refuses to accept the notice </w:t>
            </w:r>
          </w:p>
        </w:tc>
        <w:tc>
          <w:tcPr>
            <w:tcW w:w="2841" w:type="dxa"/>
          </w:tcPr>
          <w:p w14:paraId="50C41002" w14:textId="77777777" w:rsidR="00624418" w:rsidRPr="009A0B72" w:rsidRDefault="00624418" w:rsidP="00471898">
            <w:pPr>
              <w:spacing w:after="0"/>
              <w:rPr>
                <w:rFonts w:cs="Arial"/>
              </w:rPr>
            </w:pPr>
            <w:r w:rsidRPr="009A0B72">
              <w:rPr>
                <w:rFonts w:cs="Arial"/>
              </w:rPr>
              <w:t>Deliver form by hand to patient’s usual or last known address</w:t>
            </w:r>
          </w:p>
          <w:p w14:paraId="0CA6FB84" w14:textId="1BBE45AA" w:rsidR="00624418" w:rsidRPr="009A0B72" w:rsidRDefault="00624418" w:rsidP="00471898">
            <w:pPr>
              <w:spacing w:after="0"/>
              <w:rPr>
                <w:rFonts w:cs="Arial"/>
              </w:rPr>
            </w:pPr>
          </w:p>
        </w:tc>
        <w:tc>
          <w:tcPr>
            <w:tcW w:w="3023" w:type="dxa"/>
          </w:tcPr>
          <w:p w14:paraId="7D0BA1CF" w14:textId="77777777" w:rsidR="00624418" w:rsidRPr="009A0B72" w:rsidRDefault="00624418" w:rsidP="00471898">
            <w:pPr>
              <w:spacing w:after="0"/>
              <w:rPr>
                <w:rFonts w:cs="Arial"/>
              </w:rPr>
            </w:pPr>
            <w:r w:rsidRPr="009A0B72">
              <w:rPr>
                <w:rFonts w:cs="Arial"/>
              </w:rPr>
              <w:t>Notice deemed to be served after midnight on the day it was delivered. It does not matter whether it is a working day, a weekend or a holiday. It does not matter whether it is actually received by the patient or not</w:t>
            </w:r>
          </w:p>
        </w:tc>
      </w:tr>
    </w:tbl>
    <w:p w14:paraId="09F2584E" w14:textId="2DFF1403" w:rsidR="00624418" w:rsidRPr="00B73481" w:rsidRDefault="00624418" w:rsidP="00B73481">
      <w:pPr>
        <w:spacing w:after="0"/>
        <w:ind w:left="720" w:hanging="720"/>
        <w:jc w:val="center"/>
        <w:outlineLvl w:val="0"/>
        <w:rPr>
          <w:rFonts w:cs="Arial"/>
          <w:i/>
        </w:rPr>
      </w:pPr>
      <w:r w:rsidRPr="00B73481">
        <w:rPr>
          <w:rFonts w:cs="Arial"/>
          <w:i/>
        </w:rPr>
        <w:t xml:space="preserve">Table </w:t>
      </w:r>
      <w:r w:rsidR="00CE29EA">
        <w:rPr>
          <w:rFonts w:cs="Arial"/>
          <w:i/>
        </w:rPr>
        <w:t>2</w:t>
      </w:r>
      <w:r w:rsidRPr="00B73481">
        <w:rPr>
          <w:rFonts w:cs="Arial"/>
          <w:i/>
        </w:rPr>
        <w:t xml:space="preserve">. </w:t>
      </w:r>
      <w:r w:rsidR="00C850DD">
        <w:rPr>
          <w:rFonts w:cs="Arial"/>
          <w:i/>
        </w:rPr>
        <w:t>Service</w:t>
      </w:r>
      <w:r w:rsidR="00C850DD" w:rsidRPr="00B73481">
        <w:rPr>
          <w:rFonts w:cs="Arial"/>
          <w:i/>
        </w:rPr>
        <w:t xml:space="preserve"> </w:t>
      </w:r>
      <w:r w:rsidRPr="00B73481">
        <w:rPr>
          <w:rFonts w:cs="Arial"/>
          <w:i/>
        </w:rPr>
        <w:t>Method</w:t>
      </w:r>
      <w:r w:rsidR="00C850DD">
        <w:rPr>
          <w:rFonts w:cs="Arial"/>
          <w:i/>
        </w:rPr>
        <w:t>s</w:t>
      </w:r>
      <w:r w:rsidRPr="00B73481">
        <w:rPr>
          <w:rFonts w:cs="Arial"/>
          <w:i/>
        </w:rPr>
        <w:t xml:space="preserve"> </w:t>
      </w:r>
      <w:r w:rsidR="00C850DD">
        <w:rPr>
          <w:rFonts w:cs="Arial"/>
          <w:i/>
        </w:rPr>
        <w:t xml:space="preserve">for </w:t>
      </w:r>
      <w:r w:rsidR="001B411A">
        <w:rPr>
          <w:rFonts w:cs="Arial"/>
          <w:i/>
        </w:rPr>
        <w:t xml:space="preserve">Recall </w:t>
      </w:r>
      <w:r w:rsidR="001B411A" w:rsidRPr="00B73481">
        <w:rPr>
          <w:rFonts w:cs="Arial"/>
          <w:i/>
        </w:rPr>
        <w:t>Notice</w:t>
      </w:r>
      <w:r w:rsidRPr="00B73481">
        <w:rPr>
          <w:rFonts w:cs="Arial"/>
          <w:i/>
        </w:rPr>
        <w:t xml:space="preserve"> </w:t>
      </w:r>
    </w:p>
    <w:p w14:paraId="7471C6CD" w14:textId="16E7A79E" w:rsidR="00624418" w:rsidRPr="009A0B72" w:rsidRDefault="002B3B82" w:rsidP="008A0504">
      <w:pPr>
        <w:spacing w:after="0"/>
        <w:ind w:left="720" w:hanging="720"/>
        <w:rPr>
          <w:rFonts w:cs="Arial"/>
        </w:rPr>
      </w:pPr>
      <w:r>
        <w:rPr>
          <w:rFonts w:cs="Arial"/>
        </w:rPr>
        <w:t>13</w:t>
      </w:r>
      <w:r w:rsidR="00624418" w:rsidRPr="009A0B72">
        <w:rPr>
          <w:rFonts w:cs="Arial"/>
        </w:rPr>
        <w:t>.5</w:t>
      </w:r>
      <w:r w:rsidR="00624418" w:rsidRPr="009A0B72">
        <w:rPr>
          <w:rFonts w:cs="Arial"/>
        </w:rPr>
        <w:tab/>
        <w:t xml:space="preserve">The </w:t>
      </w:r>
      <w:r w:rsidR="00624418">
        <w:rPr>
          <w:rFonts w:cs="Arial"/>
        </w:rPr>
        <w:t>RC</w:t>
      </w:r>
      <w:r w:rsidR="00624418" w:rsidRPr="009A0B72">
        <w:rPr>
          <w:rFonts w:cs="Arial"/>
        </w:rPr>
        <w:t xml:space="preserve"> should ensure that the hospital</w:t>
      </w:r>
      <w:r w:rsidR="007E7AD2">
        <w:rPr>
          <w:rStyle w:val="FootnoteReference"/>
          <w:rFonts w:cs="Arial"/>
        </w:rPr>
        <w:footnoteReference w:id="22"/>
      </w:r>
      <w:r w:rsidR="00624418" w:rsidRPr="009A0B72">
        <w:rPr>
          <w:rFonts w:cs="Arial"/>
        </w:rPr>
        <w:t xml:space="preserve"> to which the patient is recalled is ready to receive him or her and to provide treatment although this may be given on an out-patient basis, if appropriate. Conveyance to that hospital should be in the least restrictive manner possible. Reference should be made to any policies agreed locally with the police and any guidance provided by a police force.</w:t>
      </w:r>
      <w:r w:rsidR="00624418" w:rsidRPr="009A0B72">
        <w:rPr>
          <w:rFonts w:cs="Arial"/>
          <w:vertAlign w:val="superscript"/>
        </w:rPr>
        <w:footnoteReference w:id="23"/>
      </w:r>
      <w:r w:rsidR="008A0504">
        <w:rPr>
          <w:rFonts w:cs="Arial"/>
        </w:rPr>
        <w:t xml:space="preserve">   </w:t>
      </w:r>
    </w:p>
    <w:p w14:paraId="1AD8AF42" w14:textId="6A9F7AE2" w:rsidR="00624418" w:rsidRPr="009A0B72" w:rsidRDefault="002B3B82" w:rsidP="00B73481">
      <w:pPr>
        <w:spacing w:after="0"/>
        <w:ind w:left="720" w:hanging="720"/>
        <w:rPr>
          <w:rFonts w:cs="Arial"/>
        </w:rPr>
      </w:pPr>
      <w:r>
        <w:rPr>
          <w:rFonts w:cs="Arial"/>
        </w:rPr>
        <w:t>13</w:t>
      </w:r>
      <w:r w:rsidR="00624418" w:rsidRPr="009A0B72">
        <w:rPr>
          <w:rFonts w:cs="Arial"/>
        </w:rPr>
        <w:t>.6</w:t>
      </w:r>
      <w:r w:rsidR="00624418" w:rsidRPr="009A0B72">
        <w:rPr>
          <w:rFonts w:cs="Arial"/>
        </w:rPr>
        <w:tab/>
        <w:t xml:space="preserve">If the hospital is under the management of the same organisation as the patient’s detaining hospital immediately before making the </w:t>
      </w:r>
      <w:r w:rsidR="00624418">
        <w:rPr>
          <w:rFonts w:cs="Arial"/>
        </w:rPr>
        <w:t>CTO</w:t>
      </w:r>
      <w:r w:rsidR="00624418" w:rsidRPr="009A0B72">
        <w:rPr>
          <w:rFonts w:cs="Arial"/>
        </w:rPr>
        <w:t>, a copy of the completed form CTO3 will provide authority for detention. It is the responsibility of the admitting nurse or team leader to complete form CTO4 recording the date and time of the patient’s arrival at the hospital or out-patient setting following recall to hospital. This is the record of when the 72</w:t>
      </w:r>
      <w:r w:rsidR="00624418">
        <w:rPr>
          <w:rFonts w:cs="Arial"/>
        </w:rPr>
        <w:t>-</w:t>
      </w:r>
      <w:r w:rsidR="00624418" w:rsidRPr="009A0B72">
        <w:rPr>
          <w:rFonts w:cs="Arial"/>
        </w:rPr>
        <w:t>hour deten</w:t>
      </w:r>
      <w:r w:rsidR="00624418">
        <w:rPr>
          <w:rFonts w:cs="Arial"/>
        </w:rPr>
        <w:t>tion period under recall began and a copy should be sent via ele</w:t>
      </w:r>
      <w:r w:rsidR="00B73481">
        <w:rPr>
          <w:rFonts w:cs="Arial"/>
        </w:rPr>
        <w:t>ctronic means to the MHL office.</w:t>
      </w:r>
    </w:p>
    <w:p w14:paraId="6AD51887" w14:textId="071159AD" w:rsidR="00624418" w:rsidRPr="009A0B72" w:rsidRDefault="002B3B82" w:rsidP="00B73481">
      <w:pPr>
        <w:spacing w:after="0"/>
        <w:ind w:left="720" w:hanging="720"/>
        <w:rPr>
          <w:rFonts w:cs="Arial"/>
        </w:rPr>
      </w:pPr>
      <w:r>
        <w:rPr>
          <w:rFonts w:cs="Arial"/>
        </w:rPr>
        <w:t>13</w:t>
      </w:r>
      <w:r w:rsidR="00624418" w:rsidRPr="009A0B72">
        <w:rPr>
          <w:rFonts w:cs="Arial"/>
        </w:rPr>
        <w:t>.7</w:t>
      </w:r>
      <w:r w:rsidR="00624418" w:rsidRPr="009A0B72">
        <w:rPr>
          <w:rFonts w:cs="Arial"/>
        </w:rPr>
        <w:tab/>
        <w:t>Transfer after recall, to a hospital managed by another organisation requires that arrangements for the transfer are properly in place and that form CTO6 is completed to provide authority to transfer. A copy of the previously completed CTO4 should be provided to the receiving hospital to ensure time limits are adhered to.</w:t>
      </w:r>
      <w:r w:rsidR="00624418" w:rsidRPr="009A0B72">
        <w:rPr>
          <w:rFonts w:cs="Arial"/>
          <w:vertAlign w:val="superscript"/>
        </w:rPr>
        <w:footnoteReference w:id="24"/>
      </w:r>
    </w:p>
    <w:p w14:paraId="7C9A1B9B" w14:textId="4AC140CD" w:rsidR="00624418" w:rsidRPr="009A0B72" w:rsidRDefault="002B3B82" w:rsidP="00B73481">
      <w:pPr>
        <w:spacing w:after="0"/>
        <w:ind w:left="720" w:hanging="720"/>
        <w:rPr>
          <w:rFonts w:cs="Arial"/>
        </w:rPr>
      </w:pPr>
      <w:r>
        <w:rPr>
          <w:rFonts w:cs="Arial"/>
        </w:rPr>
        <w:t>13</w:t>
      </w:r>
      <w:r w:rsidR="00624418" w:rsidRPr="009A0B72">
        <w:rPr>
          <w:rFonts w:cs="Arial"/>
        </w:rPr>
        <w:t>.8</w:t>
      </w:r>
      <w:r w:rsidR="00624418" w:rsidRPr="009A0B72">
        <w:rPr>
          <w:rFonts w:cs="Arial"/>
        </w:rPr>
        <w:tab/>
      </w:r>
      <w:r w:rsidR="00977D97">
        <w:rPr>
          <w:rFonts w:cs="Arial"/>
        </w:rPr>
        <w:t>Within 24 hours,</w:t>
      </w:r>
      <w:r w:rsidR="00624418" w:rsidRPr="009A0B72">
        <w:rPr>
          <w:rFonts w:cs="Arial"/>
        </w:rPr>
        <w:t xml:space="preserve"> the patient should be given information verbally and in writing about their rights following their arrival after the recall notice, and the impact if any, on their treatment rights which are set out in a separate section below. The provision of supervised community treatment rights must be recorded in the same manner used for other detained patients</w:t>
      </w:r>
      <w:r w:rsidR="00B73481">
        <w:rPr>
          <w:rFonts w:cs="Arial"/>
        </w:rPr>
        <w:t xml:space="preserve">. </w:t>
      </w:r>
    </w:p>
    <w:p w14:paraId="154CF583" w14:textId="583D140F" w:rsidR="00624418" w:rsidRPr="009A0B72" w:rsidRDefault="002B3B82" w:rsidP="00B73481">
      <w:pPr>
        <w:spacing w:after="0"/>
        <w:ind w:left="720" w:hanging="720"/>
        <w:rPr>
          <w:rFonts w:cs="Arial"/>
        </w:rPr>
      </w:pPr>
      <w:r>
        <w:rPr>
          <w:rFonts w:cs="Arial"/>
        </w:rPr>
        <w:t>13</w:t>
      </w:r>
      <w:r w:rsidR="00624418" w:rsidRPr="009A0B72">
        <w:rPr>
          <w:rFonts w:cs="Arial"/>
        </w:rPr>
        <w:t>.9</w:t>
      </w:r>
      <w:r w:rsidR="00624418" w:rsidRPr="009A0B72">
        <w:rPr>
          <w:rFonts w:cs="Arial"/>
        </w:rPr>
        <w:tab/>
        <w:t>Following arrival after the recall notice, the R</w:t>
      </w:r>
      <w:r w:rsidR="00624418">
        <w:rPr>
          <w:rFonts w:cs="Arial"/>
        </w:rPr>
        <w:t xml:space="preserve">C </w:t>
      </w:r>
      <w:r w:rsidR="00624418" w:rsidRPr="009A0B72">
        <w:rPr>
          <w:rFonts w:cs="Arial"/>
        </w:rPr>
        <w:t xml:space="preserve">and clinical team should consider the circumstances of the recall and in particular, whether </w:t>
      </w:r>
      <w:r w:rsidR="00624418">
        <w:rPr>
          <w:rFonts w:cs="Arial"/>
        </w:rPr>
        <w:t xml:space="preserve">the CTO </w:t>
      </w:r>
      <w:r w:rsidR="00624418" w:rsidRPr="009A0B72">
        <w:rPr>
          <w:rFonts w:cs="Arial"/>
        </w:rPr>
        <w:t>remains the right option for the patient. They must consult the patient and (subject to usual considerations about involving a nearest relative) any other carer, to decide whether a variation in the conditions or change in the care plan – or both – is appropriate.</w:t>
      </w:r>
      <w:r w:rsidR="00624418">
        <w:rPr>
          <w:rFonts w:cs="Arial"/>
        </w:rPr>
        <w:t xml:space="preserve"> No s17 Leave can be granted by the RC whilst the service user remains under recall by virtue of s17D(2)(b).</w:t>
      </w:r>
      <w:r w:rsidR="00624418" w:rsidRPr="009A0B72">
        <w:rPr>
          <w:rFonts w:cs="Arial"/>
        </w:rPr>
        <w:t xml:space="preserve"> The R</w:t>
      </w:r>
      <w:r w:rsidR="00624418">
        <w:rPr>
          <w:rFonts w:cs="Arial"/>
        </w:rPr>
        <w:t xml:space="preserve">C </w:t>
      </w:r>
      <w:r w:rsidR="00624418" w:rsidRPr="009A0B72">
        <w:rPr>
          <w:rFonts w:cs="Arial"/>
        </w:rPr>
        <w:t>may</w:t>
      </w:r>
      <w:r w:rsidR="00624418">
        <w:rPr>
          <w:rFonts w:cs="Arial"/>
        </w:rPr>
        <w:t xml:space="preserve"> end the recall at </w:t>
      </w:r>
      <w:r w:rsidR="001B411A">
        <w:rPr>
          <w:rFonts w:cs="Arial"/>
        </w:rPr>
        <w:t>any time</w:t>
      </w:r>
      <w:r w:rsidR="00624418">
        <w:rPr>
          <w:rFonts w:cs="Arial"/>
        </w:rPr>
        <w:t xml:space="preserve"> during the 72 hour period at their discretion.</w:t>
      </w:r>
    </w:p>
    <w:p w14:paraId="1AB91952" w14:textId="5E6C1DE3" w:rsidR="00624418" w:rsidRPr="009A0B72" w:rsidRDefault="002B3B82" w:rsidP="00B73481">
      <w:pPr>
        <w:spacing w:after="0"/>
        <w:ind w:left="720" w:hanging="720"/>
        <w:rPr>
          <w:rFonts w:cs="Arial"/>
        </w:rPr>
      </w:pPr>
      <w:r>
        <w:rPr>
          <w:rFonts w:cs="Arial"/>
        </w:rPr>
        <w:t>13</w:t>
      </w:r>
      <w:r w:rsidR="00624418" w:rsidRPr="009A0B72">
        <w:rPr>
          <w:rFonts w:cs="Arial"/>
        </w:rPr>
        <w:t>.10</w:t>
      </w:r>
      <w:r w:rsidR="00624418" w:rsidRPr="009A0B72">
        <w:rPr>
          <w:rFonts w:cs="Arial"/>
        </w:rPr>
        <w:tab/>
        <w:t>If recall is not appropriate or necessary because a patient with capacity agrees to come into hospital on an informal basis or to attend for treatment in a community setting, there is no statutory reason why that should not happen. To avoid confusion or failure to adhere to the intended statutory scheme, it is essential that the circumstances surrounding the admission and confirmation that the patient gave valid consent are properly re</w:t>
      </w:r>
      <w:r w:rsidR="00B73481">
        <w:rPr>
          <w:rFonts w:cs="Arial"/>
        </w:rPr>
        <w:t>corded in the clinical records.</w:t>
      </w:r>
    </w:p>
    <w:p w14:paraId="7445D811" w14:textId="49BFD4C7" w:rsidR="00624418" w:rsidRPr="009A0B72" w:rsidRDefault="002B3B82" w:rsidP="00B73481">
      <w:pPr>
        <w:spacing w:after="0"/>
        <w:ind w:left="720" w:hanging="720"/>
        <w:rPr>
          <w:rFonts w:cs="Arial"/>
        </w:rPr>
      </w:pPr>
      <w:r>
        <w:rPr>
          <w:rFonts w:cs="Arial"/>
        </w:rPr>
        <w:t>13</w:t>
      </w:r>
      <w:r w:rsidR="00624418" w:rsidRPr="009A0B72">
        <w:rPr>
          <w:rFonts w:cs="Arial"/>
        </w:rPr>
        <w:t>.11</w:t>
      </w:r>
      <w:r w:rsidR="00624418" w:rsidRPr="009A0B72">
        <w:rPr>
          <w:rFonts w:cs="Arial"/>
        </w:rPr>
        <w:tab/>
        <w:t>However recall is permissible in relation to an existing inpatient</w:t>
      </w:r>
      <w:r w:rsidR="00624418" w:rsidRPr="009A0B72">
        <w:rPr>
          <w:rFonts w:cs="Arial"/>
          <w:vertAlign w:val="superscript"/>
        </w:rPr>
        <w:footnoteReference w:id="25"/>
      </w:r>
      <w:r w:rsidR="00624418" w:rsidRPr="009A0B72">
        <w:rPr>
          <w:rFonts w:cs="Arial"/>
        </w:rPr>
        <w:t>. If the informal community patient wishes to leave the ward and following a risk assessment it is deemed inappropriate for the patient to leave, a decision to formally recall the patient should be made and form CTO3 serv</w:t>
      </w:r>
      <w:r w:rsidR="00B73481">
        <w:rPr>
          <w:rFonts w:cs="Arial"/>
        </w:rPr>
        <w:t>ed to give authority to detain.</w:t>
      </w:r>
    </w:p>
    <w:p w14:paraId="1383467B" w14:textId="688E7AB5" w:rsidR="009133BB" w:rsidRPr="006E409C" w:rsidRDefault="002B3B82" w:rsidP="006E409C">
      <w:pPr>
        <w:spacing w:after="0"/>
        <w:ind w:left="720" w:hanging="720"/>
        <w:rPr>
          <w:rFonts w:cs="Arial"/>
        </w:rPr>
      </w:pPr>
      <w:r>
        <w:rPr>
          <w:rFonts w:cs="Arial"/>
        </w:rPr>
        <w:t>13</w:t>
      </w:r>
      <w:r w:rsidR="00624418" w:rsidRPr="009A0B72">
        <w:rPr>
          <w:rFonts w:cs="Arial"/>
        </w:rPr>
        <w:t>.12</w:t>
      </w:r>
      <w:r w:rsidR="00624418" w:rsidRPr="009A0B72">
        <w:rPr>
          <w:rFonts w:cs="Arial"/>
        </w:rPr>
        <w:tab/>
        <w:t>The holdi</w:t>
      </w:r>
      <w:r w:rsidR="00624418">
        <w:rPr>
          <w:rFonts w:cs="Arial"/>
        </w:rPr>
        <w:t xml:space="preserve">ng power under section 5(2) or section 5(4) must not by virtue of section </w:t>
      </w:r>
      <w:r w:rsidR="00624418" w:rsidRPr="009A0B72">
        <w:rPr>
          <w:rFonts w:cs="Arial"/>
        </w:rPr>
        <w:t>5(6), be used as an alternative to recall in this situation. Local Procedures need to be established to ensure recall notices can be served outside of office hours (please refer to the Trusts 'Responsible Clinician and Nominated Deputy Policy' for further guidance regarding cover arrangements in the absence of the 'regular' R</w:t>
      </w:r>
      <w:r w:rsidR="00624418">
        <w:rPr>
          <w:rFonts w:cs="Arial"/>
        </w:rPr>
        <w:t>C</w:t>
      </w:r>
      <w:r w:rsidR="00624418" w:rsidRPr="009A0B72">
        <w:rPr>
          <w:rFonts w:cs="Arial"/>
        </w:rPr>
        <w:t>')</w:t>
      </w:r>
      <w:r w:rsidR="00624418" w:rsidRPr="009A0B72">
        <w:rPr>
          <w:rFonts w:cs="Arial"/>
          <w:sz w:val="24"/>
        </w:rPr>
        <w:t> </w:t>
      </w:r>
    </w:p>
    <w:p w14:paraId="79A703A6" w14:textId="1A9636AC" w:rsidR="00904361" w:rsidRPr="00904361" w:rsidRDefault="002B3B82" w:rsidP="00904361">
      <w:pPr>
        <w:numPr>
          <w:ilvl w:val="1"/>
          <w:numId w:val="0"/>
        </w:numPr>
        <w:tabs>
          <w:tab w:val="num" w:pos="720"/>
        </w:tabs>
        <w:spacing w:after="0"/>
        <w:ind w:left="720" w:hanging="720"/>
        <w:rPr>
          <w:rFonts w:cs="Arial"/>
          <w:b/>
          <w:sz w:val="24"/>
        </w:rPr>
      </w:pPr>
      <w:r>
        <w:rPr>
          <w:rFonts w:cs="Arial"/>
          <w:b/>
          <w:sz w:val="24"/>
        </w:rPr>
        <w:t>14</w:t>
      </w:r>
      <w:r w:rsidR="00904361" w:rsidRPr="009A0B72">
        <w:rPr>
          <w:rFonts w:cs="Arial"/>
          <w:b/>
          <w:sz w:val="24"/>
        </w:rPr>
        <w:t>.0</w:t>
      </w:r>
      <w:r w:rsidR="00904361" w:rsidRPr="009A0B72">
        <w:rPr>
          <w:rFonts w:cs="Arial"/>
          <w:b/>
          <w:sz w:val="24"/>
        </w:rPr>
        <w:tab/>
        <w:t>C</w:t>
      </w:r>
      <w:r w:rsidR="00904361">
        <w:rPr>
          <w:rFonts w:cs="Arial"/>
          <w:b/>
          <w:sz w:val="24"/>
        </w:rPr>
        <w:t xml:space="preserve">TO </w:t>
      </w:r>
      <w:r w:rsidR="00904361" w:rsidRPr="009A0B72">
        <w:rPr>
          <w:rFonts w:cs="Arial"/>
          <w:b/>
          <w:sz w:val="24"/>
        </w:rPr>
        <w:t xml:space="preserve">Patients who are Absent </w:t>
      </w:r>
      <w:r w:rsidR="001B411A" w:rsidRPr="009A0B72">
        <w:rPr>
          <w:rFonts w:cs="Arial"/>
          <w:b/>
          <w:sz w:val="24"/>
        </w:rPr>
        <w:t>without</w:t>
      </w:r>
      <w:r w:rsidR="00904361" w:rsidRPr="009A0B72">
        <w:rPr>
          <w:rFonts w:cs="Arial"/>
          <w:b/>
          <w:sz w:val="24"/>
        </w:rPr>
        <w:t xml:space="preserve"> Leave</w:t>
      </w:r>
    </w:p>
    <w:p w14:paraId="22534C64" w14:textId="1C5A4DE5" w:rsidR="00904361" w:rsidRPr="009A0B72" w:rsidRDefault="002B3B82" w:rsidP="009133BB">
      <w:pPr>
        <w:spacing w:after="0"/>
        <w:ind w:left="720" w:hanging="720"/>
        <w:rPr>
          <w:rFonts w:cs="Arial"/>
        </w:rPr>
      </w:pPr>
      <w:r>
        <w:rPr>
          <w:rFonts w:cs="Arial"/>
        </w:rPr>
        <w:t>14</w:t>
      </w:r>
      <w:r w:rsidR="00904361" w:rsidRPr="009A0B72">
        <w:rPr>
          <w:rFonts w:cs="Arial"/>
        </w:rPr>
        <w:t>.1</w:t>
      </w:r>
      <w:r w:rsidR="00904361" w:rsidRPr="009A0B72">
        <w:rPr>
          <w:rFonts w:cs="Arial"/>
          <w:sz w:val="24"/>
        </w:rPr>
        <w:tab/>
      </w:r>
      <w:r w:rsidR="00904361">
        <w:rPr>
          <w:rFonts w:cs="Arial"/>
        </w:rPr>
        <w:t xml:space="preserve">CTO </w:t>
      </w:r>
      <w:r w:rsidR="00904361" w:rsidRPr="009A0B72">
        <w:rPr>
          <w:rFonts w:cs="Arial"/>
        </w:rPr>
        <w:t>patients are considered absent without leave if they fail to return to hospital following recall, or who have absconded from hos</w:t>
      </w:r>
      <w:r w:rsidR="009133BB">
        <w:rPr>
          <w:rFonts w:cs="Arial"/>
        </w:rPr>
        <w:t>pital following being recalled.</w:t>
      </w:r>
    </w:p>
    <w:p w14:paraId="39CD6BF2" w14:textId="28CADB53" w:rsidR="00904361" w:rsidRPr="009A0B72" w:rsidRDefault="002B3B82" w:rsidP="009133BB">
      <w:pPr>
        <w:spacing w:after="0"/>
        <w:ind w:left="720" w:hanging="720"/>
        <w:rPr>
          <w:rFonts w:cs="Arial"/>
        </w:rPr>
      </w:pPr>
      <w:r>
        <w:rPr>
          <w:rFonts w:cs="Arial"/>
        </w:rPr>
        <w:t>14</w:t>
      </w:r>
      <w:r w:rsidR="00904361" w:rsidRPr="009A0B72">
        <w:rPr>
          <w:rFonts w:cs="Arial"/>
        </w:rPr>
        <w:t>.2</w:t>
      </w:r>
      <w:r w:rsidR="00904361" w:rsidRPr="009A0B72">
        <w:rPr>
          <w:rFonts w:cs="Arial"/>
        </w:rPr>
        <w:tab/>
      </w:r>
      <w:r w:rsidR="00904361">
        <w:rPr>
          <w:rFonts w:cs="Arial"/>
        </w:rPr>
        <w:t xml:space="preserve">CTO </w:t>
      </w:r>
      <w:r w:rsidR="00904361" w:rsidRPr="009A0B72">
        <w:rPr>
          <w:rFonts w:cs="Arial"/>
        </w:rPr>
        <w:t>patients who are deemed absent without leave may be taken into custody under section 18 and returned to the hospital to which they have been recalled by an Approv</w:t>
      </w:r>
      <w:r w:rsidR="00904361">
        <w:rPr>
          <w:rFonts w:cs="Arial"/>
        </w:rPr>
        <w:t>ed Mental Health Professional (AMHP), a</w:t>
      </w:r>
      <w:r w:rsidR="00904361" w:rsidRPr="009A0B72">
        <w:rPr>
          <w:rFonts w:cs="Arial"/>
        </w:rPr>
        <w:t xml:space="preserve"> Police Officer, a member of staff (of the hospital to which they have been recalled) or anyone authorised in writing by the Hospital Managers or the </w:t>
      </w:r>
      <w:r w:rsidR="00904361">
        <w:rPr>
          <w:rFonts w:cs="Arial"/>
        </w:rPr>
        <w:t>RC</w:t>
      </w:r>
      <w:r w:rsidR="00904361" w:rsidRPr="009A0B72">
        <w:rPr>
          <w:rFonts w:cs="Arial"/>
        </w:rPr>
        <w:t xml:space="preserve"> within the relevant period (see 15.5). If the power of entry is required, an application using S135 (2) may be made for a war</w:t>
      </w:r>
      <w:r w:rsidR="009133BB">
        <w:rPr>
          <w:rFonts w:cs="Arial"/>
        </w:rPr>
        <w:t>rant, authorising Police entry.</w:t>
      </w:r>
    </w:p>
    <w:p w14:paraId="226CAE42" w14:textId="5ABD3697" w:rsidR="00904361" w:rsidRPr="009A0B72" w:rsidRDefault="004976BD" w:rsidP="009133BB">
      <w:pPr>
        <w:spacing w:after="0"/>
        <w:ind w:left="720" w:hanging="720"/>
        <w:rPr>
          <w:rFonts w:cs="Arial"/>
        </w:rPr>
      </w:pPr>
      <w:r>
        <w:rPr>
          <w:rFonts w:cs="Arial"/>
        </w:rPr>
        <w:t>14</w:t>
      </w:r>
      <w:r w:rsidR="00904361" w:rsidRPr="009A0B72">
        <w:rPr>
          <w:rFonts w:cs="Arial"/>
        </w:rPr>
        <w:t>.3</w:t>
      </w:r>
      <w:r w:rsidR="00904361" w:rsidRPr="009A0B72">
        <w:rPr>
          <w:rFonts w:cs="Arial"/>
        </w:rPr>
        <w:tab/>
        <w:t xml:space="preserve">If a </w:t>
      </w:r>
      <w:r w:rsidR="00904361">
        <w:rPr>
          <w:rFonts w:cs="Arial"/>
        </w:rPr>
        <w:t>CTO patient is absent without leave</w:t>
      </w:r>
      <w:r w:rsidR="00904361" w:rsidRPr="009A0B72">
        <w:rPr>
          <w:rFonts w:cs="Arial"/>
        </w:rPr>
        <w:t>, the Missing and Absent without L</w:t>
      </w:r>
      <w:r w:rsidR="009133BB">
        <w:rPr>
          <w:rFonts w:cs="Arial"/>
        </w:rPr>
        <w:t>eave Policy MUST be implemented</w:t>
      </w:r>
    </w:p>
    <w:p w14:paraId="64259A30" w14:textId="376B6A18" w:rsidR="00904361" w:rsidRPr="009A0B72" w:rsidRDefault="004976BD" w:rsidP="009133BB">
      <w:pPr>
        <w:spacing w:after="0"/>
        <w:ind w:left="720" w:hanging="720"/>
        <w:rPr>
          <w:rFonts w:cs="Arial"/>
        </w:rPr>
      </w:pPr>
      <w:r>
        <w:rPr>
          <w:rFonts w:cs="Arial"/>
        </w:rPr>
        <w:t>14</w:t>
      </w:r>
      <w:r w:rsidR="00904361">
        <w:rPr>
          <w:rFonts w:cs="Arial"/>
        </w:rPr>
        <w:t>.4</w:t>
      </w:r>
      <w:r w:rsidR="00904361">
        <w:rPr>
          <w:rFonts w:cs="Arial"/>
        </w:rPr>
        <w:tab/>
        <w:t>A</w:t>
      </w:r>
      <w:r w:rsidR="00904361" w:rsidRPr="009A0B72">
        <w:rPr>
          <w:rFonts w:cs="Arial"/>
        </w:rPr>
        <w:t xml:space="preserve"> </w:t>
      </w:r>
      <w:r w:rsidR="00904361">
        <w:rPr>
          <w:rFonts w:cs="Arial"/>
        </w:rPr>
        <w:t xml:space="preserve">CTO </w:t>
      </w:r>
      <w:r w:rsidR="00904361" w:rsidRPr="009A0B72">
        <w:rPr>
          <w:rFonts w:cs="Arial"/>
        </w:rPr>
        <w:t>patient cannot be taken back into custody after their C</w:t>
      </w:r>
      <w:r w:rsidR="00904361">
        <w:rPr>
          <w:rFonts w:cs="Arial"/>
        </w:rPr>
        <w:t xml:space="preserve">TO </w:t>
      </w:r>
      <w:r w:rsidR="00904361" w:rsidRPr="009A0B72">
        <w:rPr>
          <w:rFonts w:cs="Arial"/>
        </w:rPr>
        <w:t>has ceased to be in force or six months have elapsed since the patient was first absent without leav</w:t>
      </w:r>
      <w:r w:rsidR="009133BB">
        <w:rPr>
          <w:rFonts w:cs="Arial"/>
        </w:rPr>
        <w:t>e, whichever is the later date.</w:t>
      </w:r>
    </w:p>
    <w:p w14:paraId="3835FC11" w14:textId="39A0D34A" w:rsidR="00904361" w:rsidRPr="009A0B72" w:rsidRDefault="004976BD" w:rsidP="009133BB">
      <w:pPr>
        <w:spacing w:after="0"/>
        <w:ind w:left="720" w:hanging="720"/>
        <w:rPr>
          <w:rFonts w:cs="Arial"/>
        </w:rPr>
      </w:pPr>
      <w:r>
        <w:rPr>
          <w:rFonts w:cs="Arial"/>
        </w:rPr>
        <w:t>14</w:t>
      </w:r>
      <w:r w:rsidR="00904361" w:rsidRPr="009A0B72">
        <w:rPr>
          <w:rFonts w:cs="Arial"/>
        </w:rPr>
        <w:t>.5</w:t>
      </w:r>
      <w:r w:rsidR="00904361" w:rsidRPr="009A0B72">
        <w:rPr>
          <w:rFonts w:cs="Arial"/>
        </w:rPr>
        <w:tab/>
        <w:t xml:space="preserve">If a </w:t>
      </w:r>
      <w:r w:rsidR="00904361">
        <w:rPr>
          <w:rFonts w:cs="Arial"/>
        </w:rPr>
        <w:t xml:space="preserve">CTO </w:t>
      </w:r>
      <w:r w:rsidR="00904361" w:rsidRPr="009A0B72">
        <w:rPr>
          <w:rFonts w:cs="Arial"/>
        </w:rPr>
        <w:t xml:space="preserve">patient is absent without leave for more than 28 days, they must be re-examined by the </w:t>
      </w:r>
      <w:r w:rsidR="00904361">
        <w:rPr>
          <w:rFonts w:cs="Arial"/>
        </w:rPr>
        <w:t>RC</w:t>
      </w:r>
      <w:r w:rsidR="00904361" w:rsidRPr="009A0B72">
        <w:rPr>
          <w:rFonts w:cs="Arial"/>
        </w:rPr>
        <w:t xml:space="preserve"> on their return to establish whether they still meet the criteria for community treatment (Section 21B). If this does not happen, the C</w:t>
      </w:r>
      <w:r w:rsidR="00904361">
        <w:rPr>
          <w:rFonts w:cs="Arial"/>
        </w:rPr>
        <w:t>TO</w:t>
      </w:r>
      <w:r w:rsidR="00904361" w:rsidRPr="009A0B72">
        <w:rPr>
          <w:rFonts w:cs="Arial"/>
        </w:rPr>
        <w:t xml:space="preserve"> will expire automatically at the end of the week starting with the day of their arrival back to hospital. The </w:t>
      </w:r>
      <w:r w:rsidR="00904361">
        <w:rPr>
          <w:rFonts w:cs="Arial"/>
        </w:rPr>
        <w:t>RC</w:t>
      </w:r>
      <w:r w:rsidR="00904361" w:rsidRPr="009A0B72">
        <w:rPr>
          <w:rFonts w:cs="Arial"/>
        </w:rPr>
        <w:t xml:space="preserve"> must submit their report using CT08, following consultation with both an </w:t>
      </w:r>
      <w:r w:rsidR="00904361">
        <w:rPr>
          <w:rFonts w:cs="Arial"/>
        </w:rPr>
        <w:t>AMHP</w:t>
      </w:r>
      <w:r w:rsidR="00904361" w:rsidRPr="009A0B72">
        <w:rPr>
          <w:rFonts w:cs="Arial"/>
        </w:rPr>
        <w:t xml:space="preserve"> and another professional who has been professionally concerned with the patient. </w:t>
      </w:r>
      <w:r w:rsidR="00904361" w:rsidRPr="009A0B72">
        <w:rPr>
          <w:rFonts w:cs="Arial"/>
          <w:b/>
        </w:rPr>
        <w:t xml:space="preserve">If the </w:t>
      </w:r>
      <w:r w:rsidR="00904361">
        <w:rPr>
          <w:rFonts w:cs="Arial"/>
          <w:b/>
        </w:rPr>
        <w:t>RC</w:t>
      </w:r>
      <w:r w:rsidR="00904361" w:rsidRPr="009A0B72">
        <w:rPr>
          <w:rFonts w:cs="Arial"/>
          <w:b/>
        </w:rPr>
        <w:t xml:space="preserve"> is not a registered medical practitioner, the second consultee must always be a registered medical practitioner.</w:t>
      </w:r>
      <w:r w:rsidR="00904361" w:rsidRPr="009A0B72">
        <w:rPr>
          <w:rFonts w:cs="Arial"/>
          <w:b/>
          <w:vertAlign w:val="superscript"/>
        </w:rPr>
        <w:footnoteReference w:id="26"/>
      </w:r>
      <w:r w:rsidR="00904361" w:rsidRPr="009A0B72">
        <w:rPr>
          <w:rFonts w:cs="Arial"/>
        </w:rPr>
        <w:t xml:space="preserve"> A report is not required if the </w:t>
      </w:r>
      <w:r w:rsidR="00904361">
        <w:rPr>
          <w:rFonts w:cs="Arial"/>
        </w:rPr>
        <w:t>CTO</w:t>
      </w:r>
      <w:r w:rsidR="00904361" w:rsidRPr="009A0B72">
        <w:rPr>
          <w:rFonts w:cs="Arial"/>
        </w:rPr>
        <w:t xml:space="preserve"> is revoked instead. If</w:t>
      </w:r>
      <w:r w:rsidR="00904361">
        <w:rPr>
          <w:rFonts w:cs="Arial"/>
        </w:rPr>
        <w:t xml:space="preserve"> a CTO8 is completed after the CTO</w:t>
      </w:r>
      <w:r w:rsidR="00904361" w:rsidRPr="009A0B72">
        <w:rPr>
          <w:rFonts w:cs="Arial"/>
        </w:rPr>
        <w:t xml:space="preserve"> would have expired, it auto</w:t>
      </w:r>
      <w:r w:rsidR="00904361">
        <w:rPr>
          <w:rFonts w:cs="Arial"/>
        </w:rPr>
        <w:t>matically extends the patients CTO</w:t>
      </w:r>
      <w:r w:rsidR="00904361" w:rsidRPr="009A0B72">
        <w:rPr>
          <w:rFonts w:cs="Arial"/>
        </w:rPr>
        <w:t xml:space="preserve"> from when it would otherwise have expired in the normal way. It may also act</w:t>
      </w:r>
      <w:r w:rsidR="00904361">
        <w:rPr>
          <w:rFonts w:cs="Arial"/>
        </w:rPr>
        <w:t xml:space="preserve"> as an extension report if the CTO</w:t>
      </w:r>
      <w:r w:rsidR="00904361" w:rsidRPr="009A0B72">
        <w:rPr>
          <w:rFonts w:cs="Arial"/>
        </w:rPr>
        <w:t xml:space="preserve"> will expire in the</w:t>
      </w:r>
      <w:r w:rsidR="009133BB">
        <w:rPr>
          <w:rFonts w:cs="Arial"/>
        </w:rPr>
        <w:t xml:space="preserve"> next two months.</w:t>
      </w:r>
    </w:p>
    <w:p w14:paraId="0A13DB8A" w14:textId="74C60423" w:rsidR="00904361" w:rsidRDefault="004976BD" w:rsidP="00904361">
      <w:pPr>
        <w:spacing w:after="0"/>
        <w:ind w:left="720" w:hanging="720"/>
        <w:rPr>
          <w:rFonts w:cs="Arial"/>
          <w:b/>
        </w:rPr>
      </w:pPr>
      <w:r>
        <w:rPr>
          <w:rFonts w:cs="Arial"/>
        </w:rPr>
        <w:t>14</w:t>
      </w:r>
      <w:r w:rsidR="00904361" w:rsidRPr="009A0B72">
        <w:rPr>
          <w:rFonts w:cs="Arial"/>
        </w:rPr>
        <w:t>.6</w:t>
      </w:r>
      <w:r w:rsidR="00904361" w:rsidRPr="009A0B72">
        <w:rPr>
          <w:rFonts w:cs="Arial"/>
        </w:rPr>
        <w:tab/>
        <w:t xml:space="preserve">If a </w:t>
      </w:r>
      <w:r w:rsidR="00904361">
        <w:rPr>
          <w:rFonts w:cs="Arial"/>
        </w:rPr>
        <w:t xml:space="preserve">CTO </w:t>
      </w:r>
      <w:r w:rsidR="00904361" w:rsidRPr="009A0B72">
        <w:rPr>
          <w:rFonts w:cs="Arial"/>
        </w:rPr>
        <w:t xml:space="preserve">patient returns to hospital within 28 days BUT the deadline for their extension report has approached and has not yet been made, i.e. at any point during the week which end on the day their </w:t>
      </w:r>
      <w:r w:rsidR="00904361">
        <w:rPr>
          <w:rFonts w:cs="Arial"/>
        </w:rPr>
        <w:t>CTO</w:t>
      </w:r>
      <w:r w:rsidR="00904361" w:rsidRPr="009A0B72">
        <w:rPr>
          <w:rFonts w:cs="Arial"/>
        </w:rPr>
        <w:t xml:space="preserve"> is due to expire, their C</w:t>
      </w:r>
      <w:r w:rsidR="00904361">
        <w:rPr>
          <w:rFonts w:cs="Arial"/>
        </w:rPr>
        <w:t xml:space="preserve">TO </w:t>
      </w:r>
      <w:r w:rsidR="00904361" w:rsidRPr="009A0B72">
        <w:rPr>
          <w:rFonts w:cs="Arial"/>
        </w:rPr>
        <w:t xml:space="preserve">is treated as not expiring until the end of the week starting with when the day on which they returned. The </w:t>
      </w:r>
      <w:r w:rsidR="00904361">
        <w:rPr>
          <w:rFonts w:cs="Arial"/>
        </w:rPr>
        <w:t>RC</w:t>
      </w:r>
      <w:r w:rsidR="00904361" w:rsidRPr="009A0B72">
        <w:rPr>
          <w:rFonts w:cs="Arial"/>
        </w:rPr>
        <w:t xml:space="preserve"> therefore has a week to submit an extension report using CTO7. An </w:t>
      </w:r>
      <w:r w:rsidR="00904361">
        <w:rPr>
          <w:rFonts w:cs="Arial"/>
        </w:rPr>
        <w:t>AMHP</w:t>
      </w:r>
      <w:r w:rsidR="00904361" w:rsidRPr="009A0B72">
        <w:rPr>
          <w:rFonts w:cs="Arial"/>
        </w:rPr>
        <w:t xml:space="preserve"> is required to also agree that the criteria are met and it is appropriate. The </w:t>
      </w:r>
      <w:r w:rsidR="00904361">
        <w:rPr>
          <w:rFonts w:cs="Arial"/>
        </w:rPr>
        <w:t>RC</w:t>
      </w:r>
      <w:r w:rsidR="00904361" w:rsidRPr="009A0B72">
        <w:rPr>
          <w:rFonts w:cs="Arial"/>
        </w:rPr>
        <w:t xml:space="preserve"> must also consult with another professional who has been professionally concerned with the care of the patient. </w:t>
      </w:r>
      <w:r w:rsidR="00904361" w:rsidRPr="009A0B72">
        <w:rPr>
          <w:rFonts w:cs="Arial"/>
          <w:b/>
        </w:rPr>
        <w:t>If the R</w:t>
      </w:r>
      <w:r w:rsidR="00904361">
        <w:rPr>
          <w:rFonts w:cs="Arial"/>
          <w:b/>
        </w:rPr>
        <w:t xml:space="preserve">C </w:t>
      </w:r>
      <w:r w:rsidR="00904361" w:rsidRPr="009A0B72">
        <w:rPr>
          <w:rFonts w:cs="Arial"/>
          <w:b/>
        </w:rPr>
        <w:t>is not a registered medical practitioner, the second consultee must always be a registered medical practitioner.</w:t>
      </w:r>
      <w:r w:rsidR="00904361" w:rsidRPr="009A0B72">
        <w:rPr>
          <w:rFonts w:cs="Arial"/>
          <w:b/>
          <w:vertAlign w:val="superscript"/>
        </w:rPr>
        <w:footnoteReference w:id="27"/>
      </w:r>
    </w:p>
    <w:p w14:paraId="0849E67E" w14:textId="2506F495" w:rsidR="00572D3C" w:rsidRPr="00572D3C" w:rsidRDefault="004976BD" w:rsidP="00572D3C">
      <w:pPr>
        <w:spacing w:after="0"/>
        <w:outlineLvl w:val="0"/>
        <w:rPr>
          <w:rFonts w:cs="Arial"/>
          <w:b/>
          <w:sz w:val="24"/>
        </w:rPr>
      </w:pPr>
      <w:r>
        <w:rPr>
          <w:rFonts w:cs="Arial"/>
          <w:b/>
          <w:sz w:val="24"/>
        </w:rPr>
        <w:t>15</w:t>
      </w:r>
      <w:r w:rsidR="00572D3C" w:rsidRPr="009A0B72">
        <w:rPr>
          <w:rFonts w:cs="Arial"/>
          <w:b/>
          <w:sz w:val="24"/>
        </w:rPr>
        <w:t>.0</w:t>
      </w:r>
      <w:r w:rsidR="00572D3C" w:rsidRPr="009A0B72">
        <w:rPr>
          <w:rFonts w:cs="Arial"/>
          <w:b/>
          <w:sz w:val="24"/>
        </w:rPr>
        <w:tab/>
        <w:t>Treatment on Recall or Revocation (Part IV of the Act):</w:t>
      </w:r>
    </w:p>
    <w:p w14:paraId="4ECF1373" w14:textId="560B6259" w:rsidR="00572D3C" w:rsidRPr="009A0B72" w:rsidRDefault="004976BD" w:rsidP="00BA12A8">
      <w:pPr>
        <w:spacing w:after="0"/>
        <w:ind w:left="720" w:hanging="720"/>
        <w:rPr>
          <w:rFonts w:cs="Arial"/>
        </w:rPr>
      </w:pPr>
      <w:r>
        <w:rPr>
          <w:rFonts w:cs="Arial"/>
        </w:rPr>
        <w:t>15</w:t>
      </w:r>
      <w:r w:rsidR="00572D3C" w:rsidRPr="009A0B72">
        <w:rPr>
          <w:rFonts w:cs="Arial"/>
        </w:rPr>
        <w:t>.1</w:t>
      </w:r>
      <w:r w:rsidR="00572D3C" w:rsidRPr="009A0B72">
        <w:rPr>
          <w:rFonts w:cs="Arial"/>
        </w:rPr>
        <w:tab/>
        <w:t>For patients liable to detention under the Act other than community treatment patients, the administration of medication for the treatment of mental disorder after three months is authorised by a valid consent certificate (form T2) or second opinion certificate (form T3). The former is only valid as long as the patient is able and willing to give consent, the latter permits specified medication to be given even in the absence of consent or lack of capacity to consent</w:t>
      </w:r>
      <w:r w:rsidR="00BA12A8">
        <w:rPr>
          <w:rFonts w:cs="Arial"/>
        </w:rPr>
        <w:t>.</w:t>
      </w:r>
    </w:p>
    <w:p w14:paraId="5C009D3B" w14:textId="7875D0BB" w:rsidR="00572D3C" w:rsidRPr="009A0B72" w:rsidRDefault="004976BD" w:rsidP="00572D3C">
      <w:pPr>
        <w:spacing w:after="0"/>
        <w:ind w:left="720" w:hanging="720"/>
        <w:rPr>
          <w:rFonts w:cs="Arial"/>
        </w:rPr>
      </w:pPr>
      <w:r>
        <w:rPr>
          <w:rFonts w:cs="Arial"/>
        </w:rPr>
        <w:t>15</w:t>
      </w:r>
      <w:r w:rsidR="00572D3C" w:rsidRPr="009A0B72">
        <w:rPr>
          <w:rFonts w:cs="Arial"/>
        </w:rPr>
        <w:t>.2</w:t>
      </w:r>
      <w:r w:rsidR="00572D3C" w:rsidRPr="009A0B72">
        <w:rPr>
          <w:rFonts w:cs="Arial"/>
        </w:rPr>
        <w:tab/>
        <w:t xml:space="preserve">When a patient </w:t>
      </w:r>
      <w:r w:rsidR="00572D3C">
        <w:rPr>
          <w:rFonts w:cs="Arial"/>
        </w:rPr>
        <w:t>subject to a CTO</w:t>
      </w:r>
      <w:r w:rsidR="00572D3C" w:rsidRPr="009A0B72">
        <w:rPr>
          <w:rFonts w:cs="Arial"/>
        </w:rPr>
        <w:t xml:space="preserve"> is recalled, they will become subject to the provisions of those sections of the Act governing treatment for detained patients.</w:t>
      </w:r>
      <w:r w:rsidR="00572D3C" w:rsidRPr="009A0B72">
        <w:rPr>
          <w:rFonts w:cs="Arial"/>
          <w:vertAlign w:val="superscript"/>
        </w:rPr>
        <w:footnoteReference w:id="28"/>
      </w:r>
      <w:r w:rsidR="00572D3C" w:rsidRPr="009A0B72">
        <w:rPr>
          <w:rFonts w:cs="Arial"/>
        </w:rPr>
        <w:t xml:space="preserve"> If treatment does not include psychotropic medication or Electroconvulsive Therapy (‘ECT’) and a patient with capacity consents to it, it may be given under the direction of the </w:t>
      </w:r>
      <w:r w:rsidR="00572D3C">
        <w:rPr>
          <w:rFonts w:cs="Arial"/>
        </w:rPr>
        <w:t xml:space="preserve">RC.     </w:t>
      </w:r>
    </w:p>
    <w:p w14:paraId="007D0042" w14:textId="0DE6B04C" w:rsidR="00572D3C" w:rsidRPr="009A0B72" w:rsidRDefault="004976BD" w:rsidP="00572D3C">
      <w:pPr>
        <w:spacing w:after="0"/>
        <w:ind w:left="720" w:hanging="720"/>
        <w:rPr>
          <w:rFonts w:cs="Arial"/>
        </w:rPr>
      </w:pPr>
      <w:r>
        <w:rPr>
          <w:rFonts w:cs="Arial"/>
        </w:rPr>
        <w:t>15</w:t>
      </w:r>
      <w:r w:rsidR="00572D3C" w:rsidRPr="009A0B72">
        <w:rPr>
          <w:rFonts w:cs="Arial"/>
        </w:rPr>
        <w:t>.3</w:t>
      </w:r>
      <w:r w:rsidR="00572D3C" w:rsidRPr="009A0B72">
        <w:rPr>
          <w:rFonts w:cs="Arial"/>
        </w:rPr>
        <w:tab/>
        <w:t>If a Second Opinion Appointed Doctor (‘SOAD’) has approved any treatment (on form CTO11) in the event of the patient’s recall to hospital, such treatment may be given as approved subject to any conditions that may h</w:t>
      </w:r>
      <w:r w:rsidR="00572D3C">
        <w:rPr>
          <w:rFonts w:cs="Arial"/>
        </w:rPr>
        <w:t>ave been specified. Unless the SOAD</w:t>
      </w:r>
      <w:r w:rsidR="00572D3C" w:rsidRPr="009A0B72">
        <w:rPr>
          <w:rFonts w:cs="Arial"/>
        </w:rPr>
        <w:t xml:space="preserve"> has indicated otherwise, the certificate will authorise treatment (other than Electro Convulsive Therapy) whether the patient has or does </w:t>
      </w:r>
      <w:r w:rsidR="00572D3C">
        <w:rPr>
          <w:rFonts w:cs="Arial"/>
        </w:rPr>
        <w:t>not have capacity to refuse it.</w:t>
      </w:r>
    </w:p>
    <w:p w14:paraId="762D2278" w14:textId="60AA6010" w:rsidR="00572D3C" w:rsidRDefault="004976BD" w:rsidP="00572D3C">
      <w:pPr>
        <w:spacing w:after="0"/>
        <w:ind w:left="720" w:hanging="720"/>
        <w:rPr>
          <w:rFonts w:cs="Arial"/>
        </w:rPr>
      </w:pPr>
      <w:r>
        <w:rPr>
          <w:rFonts w:cs="Arial"/>
        </w:rPr>
        <w:t>15</w:t>
      </w:r>
      <w:r w:rsidR="00572D3C" w:rsidRPr="009A0B72">
        <w:rPr>
          <w:rFonts w:cs="Arial"/>
        </w:rPr>
        <w:t>.4</w:t>
      </w:r>
      <w:r w:rsidR="00572D3C" w:rsidRPr="009A0B72">
        <w:rPr>
          <w:rFonts w:cs="Arial"/>
        </w:rPr>
        <w:tab/>
        <w:t>On recall, treatment that was already being given as described on form CTO11</w:t>
      </w:r>
      <w:r w:rsidR="001829F5">
        <w:rPr>
          <w:rFonts w:cs="Arial"/>
        </w:rPr>
        <w:t xml:space="preserve"> or CTO12</w:t>
      </w:r>
      <w:r w:rsidR="00572D3C" w:rsidRPr="009A0B72">
        <w:rPr>
          <w:rFonts w:cs="Arial"/>
        </w:rPr>
        <w:t xml:space="preserve"> (but not authorised for administration on recall), may continue to be given if the Approved Clinician</w:t>
      </w:r>
      <w:r w:rsidR="00572D3C">
        <w:rPr>
          <w:rFonts w:cs="Arial"/>
        </w:rPr>
        <w:t xml:space="preserve"> (AC)</w:t>
      </w:r>
      <w:r w:rsidR="00572D3C" w:rsidRPr="009A0B72">
        <w:rPr>
          <w:rFonts w:cs="Arial"/>
        </w:rPr>
        <w:t xml:space="preserve"> in charge of the treatment considers that stopping it would cause the patient serious suffering. Otherwise, the criteria under section </w:t>
      </w:r>
      <w:r w:rsidR="00572D3C">
        <w:rPr>
          <w:rFonts w:cs="Arial"/>
        </w:rPr>
        <w:t>58</w:t>
      </w:r>
      <w:r w:rsidR="0091503D">
        <w:rPr>
          <w:rFonts w:cs="Arial"/>
        </w:rPr>
        <w:t xml:space="preserve"> (T2)</w:t>
      </w:r>
      <w:r w:rsidR="00572D3C">
        <w:rPr>
          <w:rFonts w:cs="Arial"/>
        </w:rPr>
        <w:t xml:space="preserve"> or section </w:t>
      </w:r>
      <w:r w:rsidR="00572D3C" w:rsidRPr="009A0B72">
        <w:rPr>
          <w:rFonts w:cs="Arial"/>
        </w:rPr>
        <w:t>62 may need to be considered.</w:t>
      </w:r>
    </w:p>
    <w:p w14:paraId="2D65235B" w14:textId="17C228AB" w:rsidR="00363638" w:rsidRPr="007E7AD2" w:rsidRDefault="00363638" w:rsidP="007E7AD2">
      <w:pPr>
        <w:spacing w:after="0"/>
        <w:ind w:left="720" w:hanging="720"/>
        <w:rPr>
          <w:rFonts w:eastAsiaTheme="minorHAnsi" w:cs="Arial"/>
          <w:szCs w:val="22"/>
          <w:lang w:eastAsia="en-US"/>
        </w:rPr>
      </w:pPr>
      <w:r>
        <w:rPr>
          <w:rFonts w:cs="Arial"/>
        </w:rPr>
        <w:t xml:space="preserve">15.5     </w:t>
      </w:r>
      <w:r w:rsidRPr="007E7AD2">
        <w:rPr>
          <w:rFonts w:eastAsiaTheme="minorHAnsi" w:cs="Arial"/>
          <w:szCs w:val="22"/>
          <w:lang w:eastAsia="en-US"/>
        </w:rPr>
        <w:t>Medication which would otherwise require a certificate under section</w:t>
      </w:r>
    </w:p>
    <w:p w14:paraId="1C0A1E52" w14:textId="77777777" w:rsidR="00363638" w:rsidRPr="007E7AD2" w:rsidRDefault="00363638" w:rsidP="00363638">
      <w:pPr>
        <w:autoSpaceDE w:val="0"/>
        <w:autoSpaceDN w:val="0"/>
        <w:adjustRightInd w:val="0"/>
        <w:spacing w:before="0" w:after="0"/>
        <w:ind w:firstLine="709"/>
        <w:jc w:val="left"/>
        <w:rPr>
          <w:rFonts w:eastAsiaTheme="minorHAnsi" w:cs="Arial"/>
          <w:color w:val="000000" w:themeColor="text1"/>
          <w:szCs w:val="22"/>
          <w:lang w:eastAsia="en-US"/>
        </w:rPr>
      </w:pPr>
      <w:r w:rsidRPr="007E7AD2">
        <w:rPr>
          <w:rFonts w:eastAsiaTheme="minorHAnsi" w:cs="Arial"/>
          <w:color w:val="000000" w:themeColor="text1"/>
          <w:szCs w:val="22"/>
          <w:lang w:eastAsia="en-US"/>
        </w:rPr>
        <w:t>58 can be given without such a certificate if the certificate requirement in part</w:t>
      </w:r>
    </w:p>
    <w:p w14:paraId="4BFAC3C9" w14:textId="0D9CAC66" w:rsidR="00363638" w:rsidRPr="007E7AD2" w:rsidRDefault="00363638" w:rsidP="007E7AD2">
      <w:pPr>
        <w:autoSpaceDE w:val="0"/>
        <w:autoSpaceDN w:val="0"/>
        <w:adjustRightInd w:val="0"/>
        <w:spacing w:before="0" w:after="0"/>
        <w:ind w:left="709"/>
        <w:jc w:val="left"/>
        <w:rPr>
          <w:rFonts w:eastAsiaTheme="minorHAnsi" w:cs="Arial"/>
          <w:color w:val="000000" w:themeColor="text1"/>
          <w:szCs w:val="22"/>
          <w:lang w:eastAsia="en-US"/>
        </w:rPr>
      </w:pPr>
      <w:r w:rsidRPr="007E7AD2">
        <w:rPr>
          <w:rFonts w:eastAsiaTheme="minorHAnsi" w:cs="Arial"/>
          <w:color w:val="000000" w:themeColor="text1"/>
          <w:szCs w:val="22"/>
          <w:lang w:eastAsia="en-US"/>
        </w:rPr>
        <w:t>4A would not yet apply to the treatment because less than one month has passed since the making of the patient’s CTO</w:t>
      </w:r>
    </w:p>
    <w:p w14:paraId="26B6DA8C" w14:textId="77777777" w:rsidR="00363638" w:rsidRDefault="00363638" w:rsidP="007E7AD2">
      <w:pPr>
        <w:autoSpaceDE w:val="0"/>
        <w:autoSpaceDN w:val="0"/>
        <w:adjustRightInd w:val="0"/>
        <w:spacing w:before="0" w:after="0"/>
        <w:jc w:val="left"/>
        <w:rPr>
          <w:rFonts w:ascii="ArialMT" w:eastAsiaTheme="minorHAnsi" w:hAnsi="ArialMT" w:cs="ArialMT"/>
          <w:sz w:val="24"/>
          <w:lang w:eastAsia="en-US"/>
        </w:rPr>
      </w:pPr>
    </w:p>
    <w:p w14:paraId="0601FE6A" w14:textId="00C5B8D0" w:rsidR="00572D3C" w:rsidRPr="007E7AD2" w:rsidRDefault="001B411A" w:rsidP="007E7AD2">
      <w:pPr>
        <w:autoSpaceDE w:val="0"/>
        <w:autoSpaceDN w:val="0"/>
        <w:adjustRightInd w:val="0"/>
        <w:spacing w:before="0" w:after="0"/>
        <w:ind w:left="709" w:hanging="709"/>
        <w:jc w:val="left"/>
        <w:rPr>
          <w:rFonts w:ascii="ArialMT" w:eastAsiaTheme="minorHAnsi" w:hAnsi="ArialMT" w:cs="ArialMT"/>
          <w:sz w:val="24"/>
          <w:lang w:eastAsia="en-US"/>
        </w:rPr>
      </w:pPr>
      <w:r>
        <w:rPr>
          <w:rFonts w:cs="Arial"/>
        </w:rPr>
        <w:t>15.</w:t>
      </w:r>
      <w:r w:rsidR="00363638">
        <w:rPr>
          <w:rFonts w:cs="Arial"/>
        </w:rPr>
        <w:t xml:space="preserve">6     </w:t>
      </w:r>
      <w:r w:rsidR="00572D3C" w:rsidRPr="009A0B72">
        <w:rPr>
          <w:rFonts w:cs="Arial"/>
        </w:rPr>
        <w:t xml:space="preserve">Following revocation of the </w:t>
      </w:r>
      <w:r w:rsidR="00572D3C">
        <w:rPr>
          <w:rFonts w:cs="Arial"/>
        </w:rPr>
        <w:t>CTO</w:t>
      </w:r>
      <w:r w:rsidR="00572D3C" w:rsidRPr="009A0B72">
        <w:rPr>
          <w:rFonts w:cs="Arial"/>
        </w:rPr>
        <w:t xml:space="preserve">, steps must be taken at the earliest opportunity to </w:t>
      </w:r>
      <w:r w:rsidR="00363638">
        <w:rPr>
          <w:rFonts w:cs="Arial"/>
        </w:rPr>
        <w:t xml:space="preserve">                   </w:t>
      </w:r>
      <w:r w:rsidR="00572D3C" w:rsidRPr="009A0B72">
        <w:rPr>
          <w:rFonts w:cs="Arial"/>
        </w:rPr>
        <w:t>obtain fresh authorisation certif</w:t>
      </w:r>
      <w:r w:rsidR="00572D3C">
        <w:rPr>
          <w:rFonts w:cs="Arial"/>
        </w:rPr>
        <w:t>icated by forms T2 or T3, with S</w:t>
      </w:r>
      <w:r w:rsidR="00572D3C" w:rsidRPr="009A0B72">
        <w:rPr>
          <w:rFonts w:cs="Arial"/>
        </w:rPr>
        <w:t>ection 62 criteria being considered i</w:t>
      </w:r>
      <w:r w:rsidR="00572D3C">
        <w:rPr>
          <w:rFonts w:cs="Arial"/>
        </w:rPr>
        <w:t>n the meantime where necessary.</w:t>
      </w:r>
    </w:p>
    <w:p w14:paraId="4B4D1CEB" w14:textId="439E4675" w:rsidR="00A82BFC" w:rsidRPr="00761306" w:rsidRDefault="004976BD" w:rsidP="00761306">
      <w:pPr>
        <w:spacing w:after="0"/>
        <w:ind w:left="720" w:hanging="720"/>
        <w:rPr>
          <w:rFonts w:cs="Arial"/>
        </w:rPr>
      </w:pPr>
      <w:r>
        <w:rPr>
          <w:rFonts w:cs="Arial"/>
        </w:rPr>
        <w:t>15</w:t>
      </w:r>
      <w:r w:rsidR="00572D3C" w:rsidRPr="009A0B72">
        <w:rPr>
          <w:rFonts w:cs="Arial"/>
        </w:rPr>
        <w:t>.</w:t>
      </w:r>
      <w:r w:rsidR="00363638">
        <w:rPr>
          <w:rFonts w:cs="Arial"/>
        </w:rPr>
        <w:t>7</w:t>
      </w:r>
      <w:r w:rsidR="00572D3C" w:rsidRPr="009A0B72">
        <w:rPr>
          <w:rFonts w:cs="Arial"/>
        </w:rPr>
        <w:t xml:space="preserve"> </w:t>
      </w:r>
      <w:r w:rsidR="00572D3C" w:rsidRPr="009A0B72">
        <w:rPr>
          <w:rFonts w:cs="Arial"/>
        </w:rPr>
        <w:tab/>
      </w:r>
      <w:r w:rsidR="00572D3C">
        <w:rPr>
          <w:rFonts w:cs="Arial"/>
        </w:rPr>
        <w:t xml:space="preserve">The Code of Practice at 25.84 states that </w:t>
      </w:r>
      <w:r w:rsidR="00572D3C" w:rsidRPr="009A0B72">
        <w:rPr>
          <w:rFonts w:cs="Arial"/>
        </w:rPr>
        <w:t xml:space="preserve">Practitioners should not rely on a certificate that was issued while a patient was detained prior to going onto </w:t>
      </w:r>
      <w:r w:rsidR="00572D3C">
        <w:rPr>
          <w:rFonts w:cs="Arial"/>
        </w:rPr>
        <w:t>CTO</w:t>
      </w:r>
      <w:r w:rsidR="00572D3C" w:rsidRPr="009A0B72">
        <w:rPr>
          <w:rFonts w:cs="Arial"/>
        </w:rPr>
        <w:t xml:space="preserve"> even if it remains technically valid. A new certificate </w:t>
      </w:r>
      <w:r w:rsidR="00572D3C">
        <w:rPr>
          <w:rFonts w:cs="Arial"/>
        </w:rPr>
        <w:t>should</w:t>
      </w:r>
      <w:r w:rsidR="00572D3C" w:rsidRPr="009A0B72">
        <w:rPr>
          <w:rFonts w:cs="Arial"/>
        </w:rPr>
        <w:t xml:space="preserve"> be obtained</w:t>
      </w:r>
      <w:r w:rsidR="00572D3C">
        <w:rPr>
          <w:rFonts w:cs="Arial"/>
        </w:rPr>
        <w:t xml:space="preserve"> as necessary</w:t>
      </w:r>
      <w:r w:rsidR="00572D3C" w:rsidRPr="009A0B72">
        <w:rPr>
          <w:rFonts w:cs="Arial"/>
        </w:rPr>
        <w:t>.</w:t>
      </w:r>
      <w:r w:rsidR="00572D3C" w:rsidRPr="009A0B72">
        <w:rPr>
          <w:rFonts w:cs="Arial"/>
          <w:vertAlign w:val="superscript"/>
        </w:rPr>
        <w:footnoteReference w:id="29"/>
      </w:r>
      <w:r w:rsidR="00761306">
        <w:rPr>
          <w:rFonts w:cs="Arial"/>
        </w:rPr>
        <w:t xml:space="preserve"> </w:t>
      </w:r>
    </w:p>
    <w:p w14:paraId="50F14635" w14:textId="0162EDE5" w:rsidR="006A0249" w:rsidRPr="006A0249" w:rsidRDefault="004976BD" w:rsidP="006A0249">
      <w:pPr>
        <w:spacing w:after="0"/>
        <w:ind w:left="720" w:hanging="720"/>
        <w:rPr>
          <w:rFonts w:cs="Arial"/>
          <w:b/>
          <w:sz w:val="24"/>
        </w:rPr>
      </w:pPr>
      <w:r>
        <w:rPr>
          <w:rFonts w:cs="Arial"/>
          <w:b/>
          <w:sz w:val="24"/>
        </w:rPr>
        <w:t>16</w:t>
      </w:r>
      <w:r w:rsidR="006A0249" w:rsidRPr="009A0B72">
        <w:rPr>
          <w:rFonts w:cs="Arial"/>
          <w:b/>
          <w:sz w:val="24"/>
        </w:rPr>
        <w:t>.0</w:t>
      </w:r>
      <w:r w:rsidR="006A0249" w:rsidRPr="009A0B72">
        <w:rPr>
          <w:rFonts w:cs="Arial"/>
          <w:b/>
          <w:sz w:val="24"/>
        </w:rPr>
        <w:tab/>
        <w:t xml:space="preserve">Revocation of </w:t>
      </w:r>
      <w:r w:rsidR="006A0249">
        <w:rPr>
          <w:rFonts w:cs="Arial"/>
          <w:b/>
          <w:sz w:val="24"/>
        </w:rPr>
        <w:t>CTO or return to Community:</w:t>
      </w:r>
    </w:p>
    <w:p w14:paraId="73703643" w14:textId="7878EC9C" w:rsidR="006A0249" w:rsidRPr="009A0B72" w:rsidRDefault="004976BD" w:rsidP="006A0249">
      <w:pPr>
        <w:spacing w:after="0"/>
        <w:ind w:left="720" w:hanging="720"/>
        <w:rPr>
          <w:rFonts w:cs="Arial"/>
        </w:rPr>
      </w:pPr>
      <w:r>
        <w:rPr>
          <w:rFonts w:cs="Arial"/>
        </w:rPr>
        <w:t>16</w:t>
      </w:r>
      <w:r w:rsidR="006A0249" w:rsidRPr="009A0B72">
        <w:rPr>
          <w:rFonts w:cs="Arial"/>
        </w:rPr>
        <w:t>.1</w:t>
      </w:r>
      <w:r w:rsidR="006A0249" w:rsidRPr="009A0B72">
        <w:rPr>
          <w:rFonts w:cs="Arial"/>
        </w:rPr>
        <w:tab/>
        <w:t>If in-patient treatment is required for longer than 72 hours from arrival in hospital, the RC should consider revoking</w:t>
      </w:r>
      <w:r w:rsidR="006A0249">
        <w:rPr>
          <w:rFonts w:cs="Arial"/>
        </w:rPr>
        <w:t xml:space="preserve"> the community treatment order.</w:t>
      </w:r>
    </w:p>
    <w:p w14:paraId="21F7B9A0" w14:textId="7DFB619F" w:rsidR="006A0249" w:rsidRPr="009A0B72" w:rsidRDefault="004976BD" w:rsidP="006A0249">
      <w:pPr>
        <w:spacing w:after="0"/>
        <w:ind w:left="720" w:hanging="720"/>
        <w:rPr>
          <w:rFonts w:cs="Arial"/>
        </w:rPr>
      </w:pPr>
      <w:r>
        <w:rPr>
          <w:rFonts w:cs="Arial"/>
        </w:rPr>
        <w:t>16</w:t>
      </w:r>
      <w:r w:rsidR="006A0249" w:rsidRPr="009A0B72">
        <w:rPr>
          <w:rFonts w:cs="Arial"/>
        </w:rPr>
        <w:t>.2</w:t>
      </w:r>
      <w:r w:rsidR="006A0249" w:rsidRPr="009A0B72">
        <w:rPr>
          <w:rFonts w:cs="Arial"/>
        </w:rPr>
        <w:tab/>
        <w:t xml:space="preserve">To revoke a </w:t>
      </w:r>
      <w:r w:rsidR="006A0249">
        <w:rPr>
          <w:rFonts w:cs="Arial"/>
        </w:rPr>
        <w:t>CTO</w:t>
      </w:r>
      <w:r w:rsidR="006A0249" w:rsidRPr="009A0B72">
        <w:rPr>
          <w:rFonts w:cs="Arial"/>
        </w:rPr>
        <w:t xml:space="preserve">, the RC must consider that the patient now needs to be admitted to hospital for treatment under the Act. An </w:t>
      </w:r>
      <w:r w:rsidR="006A0249">
        <w:rPr>
          <w:rFonts w:cs="Arial"/>
        </w:rPr>
        <w:t>AMHP</w:t>
      </w:r>
      <w:r w:rsidR="006A0249" w:rsidRPr="009A0B72">
        <w:rPr>
          <w:rFonts w:cs="Arial"/>
        </w:rPr>
        <w:t>, having considered the wider social context for the patients, must also agree with the R</w:t>
      </w:r>
      <w:r w:rsidR="006A0249">
        <w:rPr>
          <w:rFonts w:cs="Arial"/>
        </w:rPr>
        <w:t xml:space="preserve">C’s </w:t>
      </w:r>
      <w:r w:rsidR="006A0249" w:rsidRPr="009A0B72">
        <w:rPr>
          <w:rFonts w:cs="Arial"/>
        </w:rPr>
        <w:t xml:space="preserve">assessment, before the </w:t>
      </w:r>
      <w:r w:rsidR="006A0249">
        <w:rPr>
          <w:rFonts w:cs="Arial"/>
        </w:rPr>
        <w:t>CTO</w:t>
      </w:r>
      <w:r w:rsidR="006A0249" w:rsidRPr="009A0B72">
        <w:rPr>
          <w:rFonts w:cs="Arial"/>
        </w:rPr>
        <w:t xml:space="preserve"> may be revoked. This need not be an </w:t>
      </w:r>
      <w:r w:rsidR="006A0249">
        <w:rPr>
          <w:rFonts w:cs="Arial"/>
        </w:rPr>
        <w:t xml:space="preserve">AMHP </w:t>
      </w:r>
      <w:r w:rsidR="006A0249" w:rsidRPr="009A0B72">
        <w:rPr>
          <w:rFonts w:cs="Arial"/>
        </w:rPr>
        <w:t>already involved in th</w:t>
      </w:r>
      <w:r w:rsidR="006A0249">
        <w:rPr>
          <w:rFonts w:cs="Arial"/>
        </w:rPr>
        <w:t>e patient’s care and treatment.</w:t>
      </w:r>
    </w:p>
    <w:p w14:paraId="02CEF65E" w14:textId="26F01D75" w:rsidR="006A0249" w:rsidRPr="006A0249" w:rsidRDefault="004976BD" w:rsidP="006A0249">
      <w:pPr>
        <w:spacing w:after="0"/>
        <w:ind w:left="720" w:hanging="720"/>
        <w:rPr>
          <w:rFonts w:cs="Arial"/>
          <w:color w:val="FF0000"/>
        </w:rPr>
      </w:pPr>
      <w:r>
        <w:rPr>
          <w:rFonts w:cs="Arial"/>
        </w:rPr>
        <w:t>16</w:t>
      </w:r>
      <w:r w:rsidR="006A0249" w:rsidRPr="009A0B72">
        <w:rPr>
          <w:rFonts w:cs="Arial"/>
        </w:rPr>
        <w:t xml:space="preserve">.3    </w:t>
      </w:r>
      <w:r w:rsidR="006A0249">
        <w:rPr>
          <w:rFonts w:cs="Arial"/>
        </w:rPr>
        <w:t xml:space="preserve"> I</w:t>
      </w:r>
      <w:r w:rsidR="006A0249" w:rsidRPr="009A0B72">
        <w:rPr>
          <w:rFonts w:cs="Arial"/>
        </w:rPr>
        <w:t xml:space="preserve">f the </w:t>
      </w:r>
      <w:r w:rsidR="006A0249">
        <w:rPr>
          <w:rFonts w:cs="Arial"/>
        </w:rPr>
        <w:t>AMHP</w:t>
      </w:r>
      <w:r w:rsidR="006A0249" w:rsidRPr="009A0B72">
        <w:rPr>
          <w:rFonts w:cs="Arial"/>
        </w:rPr>
        <w:t xml:space="preserve"> does not agree that the </w:t>
      </w:r>
      <w:r w:rsidR="006A0249">
        <w:rPr>
          <w:rFonts w:cs="Arial"/>
        </w:rPr>
        <w:t>CTO</w:t>
      </w:r>
      <w:r w:rsidR="006A0249" w:rsidRPr="009A0B72">
        <w:rPr>
          <w:rFonts w:cs="Arial"/>
        </w:rPr>
        <w:t xml:space="preserve"> should be revoked, their decision and the reasons for it must be fully documented in the clinical records, and the patient must be discharged from hospital by the end of the 72 hours and the </w:t>
      </w:r>
      <w:r w:rsidR="006A0249">
        <w:rPr>
          <w:rFonts w:cs="Arial"/>
        </w:rPr>
        <w:t>CTO</w:t>
      </w:r>
      <w:r w:rsidR="006A0249" w:rsidRPr="009A0B72">
        <w:rPr>
          <w:rFonts w:cs="Arial"/>
        </w:rPr>
        <w:t xml:space="preserve"> continues. (Alternatively, the Patien</w:t>
      </w:r>
      <w:r w:rsidR="006A0249">
        <w:rPr>
          <w:rFonts w:cs="Arial"/>
        </w:rPr>
        <w:t>t could be discharged from the CTO</w:t>
      </w:r>
      <w:r w:rsidR="006A0249" w:rsidRPr="009A0B72">
        <w:rPr>
          <w:rFonts w:cs="Arial"/>
        </w:rPr>
        <w:t xml:space="preserve"> altogether, in which case original section the patient was sub</w:t>
      </w:r>
      <w:r w:rsidR="006A0249">
        <w:rPr>
          <w:rFonts w:cs="Arial"/>
        </w:rPr>
        <w:t>ject to immediately before the CTO</w:t>
      </w:r>
      <w:r w:rsidR="006A0249" w:rsidRPr="009A0B72">
        <w:rPr>
          <w:rFonts w:cs="Arial"/>
        </w:rPr>
        <w:t xml:space="preserve"> began would be discharged also.) </w:t>
      </w:r>
      <w:r>
        <w:rPr>
          <w:rFonts w:cs="Arial"/>
        </w:rPr>
        <w:t>At 29.67 of the Code of P</w:t>
      </w:r>
      <w:r w:rsidR="006A0249">
        <w:rPr>
          <w:rFonts w:cs="Arial"/>
        </w:rPr>
        <w:t xml:space="preserve">ractice, it states that </w:t>
      </w:r>
      <w:r w:rsidR="006A0249" w:rsidRPr="0091790A">
        <w:rPr>
          <w:rFonts w:cs="Arial"/>
          <w:color w:val="000000" w:themeColor="text1"/>
        </w:rPr>
        <w:t xml:space="preserve">it is not appropriate for a RC to approach another AMHP for an alternative view. </w:t>
      </w:r>
    </w:p>
    <w:p w14:paraId="7637E94A" w14:textId="7874EBCF" w:rsidR="006A0249" w:rsidRPr="006A0249" w:rsidRDefault="004976BD" w:rsidP="006A0249">
      <w:pPr>
        <w:spacing w:after="0"/>
        <w:ind w:left="720" w:hanging="720"/>
        <w:rPr>
          <w:rFonts w:cs="Arial"/>
          <w:color w:val="FF0000"/>
        </w:rPr>
      </w:pPr>
      <w:r>
        <w:rPr>
          <w:rFonts w:cs="Arial"/>
        </w:rPr>
        <w:t>16</w:t>
      </w:r>
      <w:r w:rsidR="006A0249" w:rsidRPr="009A0B72">
        <w:rPr>
          <w:rFonts w:cs="Arial"/>
        </w:rPr>
        <w:t>.4</w:t>
      </w:r>
      <w:r w:rsidR="006A0249" w:rsidRPr="009A0B72">
        <w:rPr>
          <w:rFonts w:cs="Arial"/>
        </w:rPr>
        <w:tab/>
      </w:r>
      <w:r w:rsidR="006A0249" w:rsidRPr="001C35C4">
        <w:rPr>
          <w:rFonts w:cs="Arial"/>
          <w:color w:val="000000" w:themeColor="text1"/>
        </w:rPr>
        <w:t>The RC may start the revocation process by completing Part 1 of the CTO5. If the AMHP agrees they complete Part 2 of the CTO5. And then the RC will complete Part 3 of the CTO5. The revocation takes effect immediately once all parts of the CTO5 have been signed</w:t>
      </w:r>
      <w:r w:rsidR="006A0249" w:rsidRPr="001C35C4">
        <w:rPr>
          <w:rFonts w:cs="Arial"/>
          <w:b/>
          <w:color w:val="000000" w:themeColor="text1"/>
        </w:rPr>
        <w:t xml:space="preserve">. </w:t>
      </w:r>
      <w:r w:rsidR="006A0249">
        <w:rPr>
          <w:rFonts w:cs="Arial"/>
          <w:color w:val="000000" w:themeColor="text1"/>
        </w:rPr>
        <w:t>A</w:t>
      </w:r>
      <w:r w:rsidR="006A0249">
        <w:rPr>
          <w:rFonts w:cs="Arial"/>
        </w:rPr>
        <w:t xml:space="preserve"> copy should be sent via electronic means to the MHL office.</w:t>
      </w:r>
    </w:p>
    <w:p w14:paraId="75DAAD19" w14:textId="2A2323E6" w:rsidR="006A0249" w:rsidRPr="009A0B72" w:rsidRDefault="004976BD" w:rsidP="006A0249">
      <w:pPr>
        <w:spacing w:after="0"/>
        <w:ind w:left="720" w:hanging="720"/>
        <w:rPr>
          <w:rFonts w:cs="Arial"/>
        </w:rPr>
      </w:pPr>
      <w:r>
        <w:rPr>
          <w:rFonts w:cs="Arial"/>
        </w:rPr>
        <w:t>16</w:t>
      </w:r>
      <w:r w:rsidR="006A0249" w:rsidRPr="009A0B72">
        <w:rPr>
          <w:rFonts w:cs="Arial"/>
        </w:rPr>
        <w:t xml:space="preserve">.5 </w:t>
      </w:r>
      <w:r w:rsidR="006A0249" w:rsidRPr="009A0B72">
        <w:rPr>
          <w:rFonts w:cs="Arial"/>
        </w:rPr>
        <w:tab/>
        <w:t xml:space="preserve">The effect of completing form CTO5 is that the patient reverts to being detained under </w:t>
      </w:r>
      <w:r w:rsidR="0051480C">
        <w:rPr>
          <w:rFonts w:cs="Arial"/>
        </w:rPr>
        <w:t>the prior</w:t>
      </w:r>
      <w:r w:rsidR="006A0249" w:rsidRPr="009A0B72">
        <w:rPr>
          <w:rFonts w:cs="Arial"/>
        </w:rPr>
        <w:t xml:space="preserve"> section of the </w:t>
      </w:r>
      <w:r w:rsidR="006A0249">
        <w:rPr>
          <w:rFonts w:cs="Arial"/>
        </w:rPr>
        <w:t>A</w:t>
      </w:r>
      <w:r w:rsidR="006A0249" w:rsidRPr="009A0B72">
        <w:rPr>
          <w:rFonts w:cs="Arial"/>
        </w:rPr>
        <w:t xml:space="preserve">ct they were subject to immediately before the </w:t>
      </w:r>
      <w:r w:rsidR="006A0249">
        <w:rPr>
          <w:rFonts w:cs="Arial"/>
        </w:rPr>
        <w:t>CTO</w:t>
      </w:r>
      <w:r w:rsidR="0051480C">
        <w:rPr>
          <w:rFonts w:cs="Arial"/>
        </w:rPr>
        <w:t xml:space="preserve"> was made. I</w:t>
      </w:r>
      <w:r w:rsidR="006A0249" w:rsidRPr="009A0B72">
        <w:rPr>
          <w:rFonts w:cs="Arial"/>
        </w:rPr>
        <w:t>n all cases they are subject to a new period of detention of up to six months beginning with the day of revocation</w:t>
      </w:r>
      <w:r w:rsidR="006A0249">
        <w:rPr>
          <w:rFonts w:cs="Arial"/>
        </w:rPr>
        <w:t>.</w:t>
      </w:r>
    </w:p>
    <w:p w14:paraId="79BB5CA5" w14:textId="13ABE49D" w:rsidR="006A0249" w:rsidRPr="009A0B72" w:rsidRDefault="004976BD" w:rsidP="006A0249">
      <w:pPr>
        <w:spacing w:after="0"/>
        <w:ind w:left="720" w:hanging="720"/>
        <w:rPr>
          <w:rFonts w:cs="Arial"/>
        </w:rPr>
      </w:pPr>
      <w:r>
        <w:rPr>
          <w:rFonts w:cs="Arial"/>
        </w:rPr>
        <w:t>16</w:t>
      </w:r>
      <w:r w:rsidR="006A0249" w:rsidRPr="009A0B72">
        <w:rPr>
          <w:rFonts w:cs="Arial"/>
        </w:rPr>
        <w:t>.6</w:t>
      </w:r>
      <w:r w:rsidR="006A0249" w:rsidRPr="009A0B72">
        <w:rPr>
          <w:rFonts w:cs="Arial"/>
        </w:rPr>
        <w:tab/>
        <w:t>The patient must be informed of their rights</w:t>
      </w:r>
      <w:r w:rsidR="006A0249">
        <w:rPr>
          <w:rFonts w:cs="Arial"/>
        </w:rPr>
        <w:t xml:space="preserve"> within 24 hours by an inpatient clinical member of staff</w:t>
      </w:r>
      <w:r w:rsidR="006A0249" w:rsidRPr="009A0B72">
        <w:rPr>
          <w:rFonts w:cs="Arial"/>
        </w:rPr>
        <w:t xml:space="preserve"> following revocation and this must be evidenced </w:t>
      </w:r>
      <w:r w:rsidR="006A0249">
        <w:rPr>
          <w:rFonts w:cs="Arial"/>
        </w:rPr>
        <w:t xml:space="preserve">within RIO via the following hyperlink - </w:t>
      </w:r>
      <w:r w:rsidR="006A0249" w:rsidRPr="00BC0F39">
        <w:rPr>
          <w:rFonts w:cs="Arial"/>
        </w:rPr>
        <w:t xml:space="preserve">Rights </w:t>
      </w:r>
      <w:r w:rsidR="006A0249">
        <w:rPr>
          <w:rFonts w:cs="Arial"/>
        </w:rPr>
        <w:t>- S132 (detained) &amp; S132A (CTO).</w:t>
      </w:r>
    </w:p>
    <w:p w14:paraId="23DE2745" w14:textId="7847891A" w:rsidR="006A0249" w:rsidRDefault="004976BD" w:rsidP="006A0249">
      <w:pPr>
        <w:spacing w:after="0"/>
        <w:ind w:left="720" w:hanging="720"/>
        <w:rPr>
          <w:rFonts w:cs="Arial"/>
        </w:rPr>
      </w:pPr>
      <w:r>
        <w:rPr>
          <w:rFonts w:cs="Arial"/>
        </w:rPr>
        <w:t>16</w:t>
      </w:r>
      <w:r w:rsidR="006A0249" w:rsidRPr="009A0B72">
        <w:rPr>
          <w:rFonts w:cs="Arial"/>
        </w:rPr>
        <w:t>.7</w:t>
      </w:r>
      <w:r w:rsidR="006A0249" w:rsidRPr="009A0B72">
        <w:rPr>
          <w:rFonts w:cs="Arial"/>
        </w:rPr>
        <w:tab/>
        <w:t>On revocation, form CTO5 must be copied to the Managers of the Hospital to which the patient was recalled, if the patient was transferred during the period of recall.</w:t>
      </w:r>
    </w:p>
    <w:p w14:paraId="7BFBB335" w14:textId="77777777" w:rsidR="003D11B2" w:rsidRDefault="003D11B2" w:rsidP="00BF3C7E">
      <w:pPr>
        <w:spacing w:after="0"/>
        <w:ind w:left="720" w:hanging="720"/>
        <w:rPr>
          <w:rFonts w:cs="Arial"/>
          <w:b/>
          <w:sz w:val="24"/>
        </w:rPr>
      </w:pPr>
    </w:p>
    <w:p w14:paraId="145B9041" w14:textId="69019A46" w:rsidR="00BF3C7E" w:rsidRDefault="008632AB" w:rsidP="00BF3C7E">
      <w:pPr>
        <w:spacing w:after="0"/>
        <w:ind w:left="720" w:hanging="720"/>
        <w:rPr>
          <w:rFonts w:cs="Arial"/>
          <w:b/>
          <w:sz w:val="24"/>
        </w:rPr>
      </w:pPr>
      <w:r>
        <w:rPr>
          <w:rFonts w:cs="Arial"/>
          <w:b/>
          <w:sz w:val="24"/>
        </w:rPr>
        <w:t xml:space="preserve">17.0    </w:t>
      </w:r>
      <w:r w:rsidR="00BF3C7E" w:rsidRPr="00306385">
        <w:rPr>
          <w:rFonts w:cs="Arial"/>
          <w:b/>
          <w:sz w:val="24"/>
        </w:rPr>
        <w:t>Moni</w:t>
      </w:r>
      <w:r w:rsidR="00BF3C7E">
        <w:rPr>
          <w:rFonts w:cs="Arial"/>
          <w:b/>
          <w:sz w:val="24"/>
        </w:rPr>
        <w:t>toring</w:t>
      </w:r>
    </w:p>
    <w:p w14:paraId="7D884E83" w14:textId="0EB0FCA6" w:rsidR="00F2071B" w:rsidRPr="00BB52B0" w:rsidRDefault="00F2071B" w:rsidP="00BF3C7E">
      <w:pPr>
        <w:spacing w:after="0"/>
        <w:ind w:left="720" w:hanging="720"/>
        <w:rPr>
          <w:rFonts w:cs="Arial"/>
          <w:szCs w:val="22"/>
        </w:rPr>
      </w:pPr>
      <w:r w:rsidRPr="00BB52B0">
        <w:rPr>
          <w:rFonts w:cs="Arial"/>
          <w:szCs w:val="22"/>
        </w:rPr>
        <w:t>17.1    The Mental Health Law Department will monitor and audit the following in line with the above policy across Mental Health directorates:</w:t>
      </w:r>
    </w:p>
    <w:p w14:paraId="36D9282C" w14:textId="77777777" w:rsidR="00F2071B" w:rsidRDefault="00F2071B" w:rsidP="00BF3C7E">
      <w:pPr>
        <w:spacing w:after="0"/>
        <w:ind w:left="720" w:hanging="720"/>
        <w:rPr>
          <w:rFonts w:cs="Arial"/>
          <w:sz w:val="24"/>
        </w:rPr>
      </w:pPr>
    </w:p>
    <w:tbl>
      <w:tblPr>
        <w:tblStyle w:val="TableGrid1"/>
        <w:tblW w:w="9021" w:type="dxa"/>
        <w:tblInd w:w="720" w:type="dxa"/>
        <w:tblLayout w:type="fixed"/>
        <w:tblLook w:val="04A0" w:firstRow="1" w:lastRow="0" w:firstColumn="1" w:lastColumn="0" w:noHBand="0" w:noVBand="1"/>
      </w:tblPr>
      <w:tblGrid>
        <w:gridCol w:w="2110"/>
        <w:gridCol w:w="1276"/>
        <w:gridCol w:w="1276"/>
        <w:gridCol w:w="1417"/>
        <w:gridCol w:w="1439"/>
        <w:gridCol w:w="1503"/>
      </w:tblGrid>
      <w:tr w:rsidR="00F2071B" w:rsidRPr="00F2071B" w14:paraId="6F1B040D" w14:textId="77777777" w:rsidTr="00FE090D">
        <w:tc>
          <w:tcPr>
            <w:tcW w:w="2110" w:type="dxa"/>
          </w:tcPr>
          <w:p w14:paraId="13C1A973" w14:textId="77777777" w:rsidR="00F2071B" w:rsidRPr="00F2071B" w:rsidRDefault="00F2071B" w:rsidP="00F2071B">
            <w:pPr>
              <w:spacing w:before="0"/>
              <w:jc w:val="left"/>
              <w:rPr>
                <w:rFonts w:asciiTheme="minorHAnsi" w:eastAsiaTheme="minorEastAsia" w:hAnsiTheme="minorHAnsi" w:cstheme="minorBidi"/>
                <w:color w:val="000000" w:themeColor="text1"/>
                <w:szCs w:val="22"/>
                <w:lang w:eastAsia="en-US"/>
              </w:rPr>
            </w:pPr>
            <w:r w:rsidRPr="00F2071B">
              <w:rPr>
                <w:rFonts w:asciiTheme="minorHAnsi" w:eastAsiaTheme="minorEastAsia" w:hAnsiTheme="minorHAnsi" w:cstheme="minorBidi"/>
                <w:color w:val="000000" w:themeColor="text1"/>
                <w:szCs w:val="22"/>
                <w:lang w:eastAsia="en-US"/>
              </w:rPr>
              <w:t>Elements to be Monitored</w:t>
            </w:r>
          </w:p>
        </w:tc>
        <w:tc>
          <w:tcPr>
            <w:tcW w:w="1276" w:type="dxa"/>
          </w:tcPr>
          <w:p w14:paraId="078E4D10" w14:textId="77777777" w:rsidR="00F2071B" w:rsidRPr="00F2071B" w:rsidRDefault="00F2071B" w:rsidP="00F2071B">
            <w:pPr>
              <w:spacing w:before="0"/>
              <w:jc w:val="left"/>
              <w:rPr>
                <w:rFonts w:asciiTheme="minorHAnsi" w:eastAsiaTheme="minorEastAsia" w:hAnsiTheme="minorHAnsi" w:cstheme="minorBidi"/>
                <w:color w:val="000000" w:themeColor="text1"/>
                <w:szCs w:val="22"/>
                <w:lang w:eastAsia="en-US"/>
              </w:rPr>
            </w:pPr>
            <w:r w:rsidRPr="00F2071B">
              <w:rPr>
                <w:rFonts w:asciiTheme="minorHAnsi" w:eastAsiaTheme="minorEastAsia" w:hAnsiTheme="minorHAnsi" w:cstheme="minorBidi"/>
                <w:color w:val="000000" w:themeColor="text1"/>
                <w:szCs w:val="22"/>
                <w:lang w:eastAsia="en-US"/>
              </w:rPr>
              <w:t>Lead</w:t>
            </w:r>
          </w:p>
        </w:tc>
        <w:tc>
          <w:tcPr>
            <w:tcW w:w="1276" w:type="dxa"/>
          </w:tcPr>
          <w:p w14:paraId="792F1FB2" w14:textId="77777777" w:rsidR="00F2071B" w:rsidRPr="00F2071B" w:rsidRDefault="00F2071B" w:rsidP="00F2071B">
            <w:pPr>
              <w:spacing w:before="0"/>
              <w:jc w:val="left"/>
              <w:rPr>
                <w:rFonts w:asciiTheme="minorHAnsi" w:eastAsiaTheme="minorEastAsia" w:hAnsiTheme="minorHAnsi" w:cstheme="minorBidi"/>
                <w:color w:val="000000" w:themeColor="text1"/>
                <w:szCs w:val="22"/>
                <w:lang w:eastAsia="en-US"/>
              </w:rPr>
            </w:pPr>
            <w:r w:rsidRPr="00F2071B">
              <w:rPr>
                <w:rFonts w:asciiTheme="minorHAnsi" w:eastAsiaTheme="minorEastAsia" w:hAnsiTheme="minorHAnsi" w:cstheme="minorBidi"/>
                <w:color w:val="000000" w:themeColor="text1"/>
                <w:szCs w:val="22"/>
                <w:lang w:eastAsia="en-US"/>
              </w:rPr>
              <w:t>How Trust will  monitor compliance</w:t>
            </w:r>
          </w:p>
        </w:tc>
        <w:tc>
          <w:tcPr>
            <w:tcW w:w="1417" w:type="dxa"/>
          </w:tcPr>
          <w:p w14:paraId="1FDFFB68" w14:textId="77777777" w:rsidR="00F2071B" w:rsidRPr="00F2071B" w:rsidRDefault="00F2071B" w:rsidP="00F2071B">
            <w:pPr>
              <w:spacing w:before="0"/>
              <w:jc w:val="left"/>
              <w:rPr>
                <w:rFonts w:asciiTheme="minorHAnsi" w:eastAsiaTheme="minorEastAsia" w:hAnsiTheme="minorHAnsi" w:cstheme="minorBidi"/>
                <w:color w:val="000000" w:themeColor="text1"/>
                <w:szCs w:val="22"/>
                <w:lang w:eastAsia="en-US"/>
              </w:rPr>
            </w:pPr>
            <w:r w:rsidRPr="00F2071B">
              <w:rPr>
                <w:rFonts w:asciiTheme="minorHAnsi" w:eastAsiaTheme="minorEastAsia" w:hAnsiTheme="minorHAnsi" w:cstheme="minorBidi"/>
                <w:color w:val="000000" w:themeColor="text1"/>
                <w:szCs w:val="22"/>
                <w:lang w:eastAsia="en-US"/>
              </w:rPr>
              <w:t>Frequency</w:t>
            </w:r>
          </w:p>
        </w:tc>
        <w:tc>
          <w:tcPr>
            <w:tcW w:w="1439" w:type="dxa"/>
          </w:tcPr>
          <w:p w14:paraId="6EBC957A" w14:textId="77777777" w:rsidR="00F2071B" w:rsidRPr="00F2071B" w:rsidRDefault="00F2071B" w:rsidP="00F2071B">
            <w:pPr>
              <w:spacing w:before="0"/>
              <w:jc w:val="left"/>
              <w:rPr>
                <w:rFonts w:asciiTheme="minorHAnsi" w:eastAsiaTheme="minorEastAsia" w:hAnsiTheme="minorHAnsi" w:cstheme="minorBidi"/>
                <w:color w:val="000000" w:themeColor="text1"/>
                <w:szCs w:val="22"/>
                <w:lang w:eastAsia="en-US"/>
              </w:rPr>
            </w:pPr>
            <w:r w:rsidRPr="00F2071B">
              <w:rPr>
                <w:rFonts w:asciiTheme="minorHAnsi" w:eastAsiaTheme="minorEastAsia" w:hAnsiTheme="minorHAnsi" w:cstheme="minorBidi"/>
                <w:color w:val="000000" w:themeColor="text1"/>
                <w:szCs w:val="22"/>
                <w:lang w:eastAsia="en-US"/>
              </w:rPr>
              <w:t>Reporting</w:t>
            </w:r>
          </w:p>
        </w:tc>
        <w:tc>
          <w:tcPr>
            <w:tcW w:w="1503" w:type="dxa"/>
          </w:tcPr>
          <w:p w14:paraId="53BF5B36" w14:textId="77777777" w:rsidR="00F2071B" w:rsidRPr="00F2071B" w:rsidRDefault="00F2071B" w:rsidP="00F2071B">
            <w:pPr>
              <w:spacing w:before="0"/>
              <w:jc w:val="left"/>
              <w:rPr>
                <w:rFonts w:asciiTheme="minorHAnsi" w:eastAsiaTheme="minorEastAsia" w:hAnsiTheme="minorHAnsi" w:cstheme="minorBidi"/>
                <w:color w:val="000000" w:themeColor="text1"/>
                <w:szCs w:val="22"/>
                <w:lang w:eastAsia="en-US"/>
              </w:rPr>
            </w:pPr>
            <w:r w:rsidRPr="00F2071B">
              <w:rPr>
                <w:rFonts w:asciiTheme="minorHAnsi" w:eastAsiaTheme="minorEastAsia" w:hAnsiTheme="minorHAnsi" w:cstheme="minorBidi"/>
                <w:color w:val="000000" w:themeColor="text1"/>
                <w:szCs w:val="22"/>
                <w:lang w:eastAsia="en-US"/>
              </w:rPr>
              <w:t>Parent Committee</w:t>
            </w:r>
          </w:p>
        </w:tc>
      </w:tr>
      <w:tr w:rsidR="00A47CFC" w:rsidRPr="00F2071B" w14:paraId="03547070" w14:textId="77777777" w:rsidTr="005477F1">
        <w:trPr>
          <w:trHeight w:val="718"/>
        </w:trPr>
        <w:tc>
          <w:tcPr>
            <w:tcW w:w="2110" w:type="dxa"/>
          </w:tcPr>
          <w:p w14:paraId="3A54BA1F" w14:textId="0AA10EDE" w:rsidR="00A47CFC" w:rsidRDefault="00BB52B0" w:rsidP="00A47CFC">
            <w:pPr>
              <w:spacing w:before="0"/>
              <w:jc w:val="left"/>
              <w:rPr>
                <w:rFonts w:asciiTheme="minorHAnsi" w:eastAsiaTheme="minorEastAsia" w:hAnsiTheme="minorHAnsi" w:cstheme="minorBidi"/>
                <w:color w:val="000000" w:themeColor="text1"/>
                <w:szCs w:val="22"/>
                <w:lang w:eastAsia="en-US"/>
              </w:rPr>
            </w:pPr>
            <w:r>
              <w:rPr>
                <w:rFonts w:asciiTheme="minorHAnsi" w:eastAsiaTheme="minorEastAsia" w:hAnsiTheme="minorHAnsi" w:cstheme="minorBidi"/>
                <w:color w:val="000000" w:themeColor="text1"/>
                <w:szCs w:val="22"/>
                <w:lang w:eastAsia="en-US"/>
              </w:rPr>
              <w:t xml:space="preserve">Timeliness of </w:t>
            </w:r>
            <w:r w:rsidR="00A47CFC">
              <w:rPr>
                <w:rFonts w:asciiTheme="minorHAnsi" w:eastAsiaTheme="minorEastAsia" w:hAnsiTheme="minorHAnsi" w:cstheme="minorBidi"/>
                <w:color w:val="000000" w:themeColor="text1"/>
                <w:szCs w:val="22"/>
                <w:lang w:eastAsia="en-US"/>
              </w:rPr>
              <w:t xml:space="preserve">S132a rights </w:t>
            </w:r>
            <w:r>
              <w:rPr>
                <w:rFonts w:asciiTheme="minorHAnsi" w:eastAsiaTheme="minorEastAsia" w:hAnsiTheme="minorHAnsi" w:cstheme="minorBidi"/>
                <w:color w:val="000000" w:themeColor="text1"/>
                <w:szCs w:val="22"/>
                <w:lang w:eastAsia="en-US"/>
              </w:rPr>
              <w:t>attempts</w:t>
            </w:r>
          </w:p>
        </w:tc>
        <w:tc>
          <w:tcPr>
            <w:tcW w:w="1276" w:type="dxa"/>
          </w:tcPr>
          <w:p w14:paraId="1188AA16" w14:textId="11B473DA" w:rsidR="00A47CFC" w:rsidRDefault="00A47CFC" w:rsidP="00A47CFC">
            <w:pPr>
              <w:spacing w:before="0"/>
              <w:jc w:val="left"/>
              <w:rPr>
                <w:rFonts w:asciiTheme="minorHAnsi" w:eastAsiaTheme="minorEastAsia" w:hAnsiTheme="minorHAnsi" w:cstheme="minorBidi"/>
                <w:color w:val="000000" w:themeColor="text1"/>
                <w:szCs w:val="22"/>
                <w:lang w:eastAsia="en-US"/>
              </w:rPr>
            </w:pPr>
            <w:r w:rsidRPr="005477F1">
              <w:rPr>
                <w:rFonts w:asciiTheme="minorHAnsi" w:eastAsiaTheme="minorEastAsia" w:hAnsiTheme="minorHAnsi" w:cstheme="minorBidi"/>
                <w:color w:val="000000" w:themeColor="text1"/>
                <w:szCs w:val="22"/>
                <w:lang w:eastAsia="en-US"/>
              </w:rPr>
              <w:t>MHL Manager (MHA)</w:t>
            </w:r>
          </w:p>
        </w:tc>
        <w:tc>
          <w:tcPr>
            <w:tcW w:w="1276" w:type="dxa"/>
          </w:tcPr>
          <w:p w14:paraId="0E8C1F64" w14:textId="249AF89B" w:rsidR="00A47CFC" w:rsidRDefault="00A47CFC" w:rsidP="00A47CFC">
            <w:pPr>
              <w:spacing w:before="0"/>
              <w:jc w:val="left"/>
              <w:rPr>
                <w:rFonts w:asciiTheme="minorHAnsi" w:eastAsiaTheme="minorEastAsia" w:hAnsiTheme="minorHAnsi" w:cstheme="minorBidi"/>
                <w:color w:val="000000" w:themeColor="text1"/>
                <w:szCs w:val="22"/>
                <w:lang w:eastAsia="en-US"/>
              </w:rPr>
            </w:pPr>
            <w:r>
              <w:rPr>
                <w:rFonts w:asciiTheme="minorHAnsi" w:eastAsiaTheme="minorEastAsia" w:hAnsiTheme="minorHAnsi" w:cstheme="minorBidi"/>
                <w:color w:val="000000" w:themeColor="text1"/>
                <w:szCs w:val="22"/>
                <w:lang w:eastAsia="en-US"/>
              </w:rPr>
              <w:t>Audit</w:t>
            </w:r>
          </w:p>
        </w:tc>
        <w:tc>
          <w:tcPr>
            <w:tcW w:w="1417" w:type="dxa"/>
          </w:tcPr>
          <w:p w14:paraId="7C8971E9" w14:textId="4FA86E98" w:rsidR="00A47CFC" w:rsidRDefault="00A47CFC" w:rsidP="00A47CFC">
            <w:pPr>
              <w:spacing w:before="0"/>
              <w:jc w:val="left"/>
              <w:rPr>
                <w:rFonts w:asciiTheme="minorHAnsi" w:eastAsiaTheme="minorEastAsia" w:hAnsiTheme="minorHAnsi" w:cstheme="minorBidi"/>
                <w:color w:val="000000" w:themeColor="text1"/>
                <w:szCs w:val="22"/>
                <w:lang w:eastAsia="en-US"/>
              </w:rPr>
            </w:pPr>
            <w:r>
              <w:rPr>
                <w:rFonts w:asciiTheme="minorHAnsi" w:eastAsiaTheme="minorEastAsia" w:hAnsiTheme="minorHAnsi" w:cstheme="minorBidi"/>
                <w:color w:val="000000" w:themeColor="text1"/>
                <w:szCs w:val="22"/>
                <w:lang w:eastAsia="en-US"/>
              </w:rPr>
              <w:t>Two Yearly</w:t>
            </w:r>
          </w:p>
          <w:p w14:paraId="1DCCD82A" w14:textId="68400EEC" w:rsidR="00A47CFC" w:rsidRDefault="00A47CFC" w:rsidP="00A47CFC">
            <w:pPr>
              <w:spacing w:before="0"/>
              <w:jc w:val="left"/>
              <w:rPr>
                <w:rFonts w:asciiTheme="minorHAnsi" w:eastAsiaTheme="minorEastAsia" w:hAnsiTheme="minorHAnsi" w:cstheme="minorBidi"/>
                <w:color w:val="000000" w:themeColor="text1"/>
                <w:szCs w:val="22"/>
                <w:lang w:eastAsia="en-US"/>
              </w:rPr>
            </w:pPr>
          </w:p>
        </w:tc>
        <w:tc>
          <w:tcPr>
            <w:tcW w:w="1439" w:type="dxa"/>
          </w:tcPr>
          <w:p w14:paraId="26FB9957" w14:textId="77777777" w:rsidR="00A47CFC" w:rsidRDefault="00A47CFC" w:rsidP="00A47CFC">
            <w:pPr>
              <w:spacing w:before="0"/>
              <w:jc w:val="left"/>
              <w:rPr>
                <w:rFonts w:asciiTheme="minorHAnsi" w:eastAsiaTheme="minorEastAsia" w:hAnsiTheme="minorHAnsi" w:cstheme="minorBidi"/>
                <w:color w:val="000000" w:themeColor="text1"/>
                <w:szCs w:val="22"/>
                <w:lang w:eastAsia="en-US"/>
              </w:rPr>
            </w:pPr>
          </w:p>
          <w:p w14:paraId="636B1F81" w14:textId="1D3669B0" w:rsidR="00A47CFC" w:rsidRDefault="00A47CFC" w:rsidP="00A47CFC">
            <w:pPr>
              <w:spacing w:before="0"/>
              <w:jc w:val="left"/>
              <w:rPr>
                <w:rFonts w:asciiTheme="minorHAnsi" w:eastAsiaTheme="minorEastAsia" w:hAnsiTheme="minorHAnsi" w:cstheme="minorBidi"/>
                <w:color w:val="000000" w:themeColor="text1"/>
                <w:szCs w:val="22"/>
                <w:lang w:eastAsia="en-US"/>
              </w:rPr>
            </w:pPr>
            <w:r>
              <w:rPr>
                <w:rFonts w:asciiTheme="minorHAnsi" w:eastAsiaTheme="minorEastAsia" w:hAnsiTheme="minorHAnsi" w:cstheme="minorBidi"/>
                <w:color w:val="000000" w:themeColor="text1"/>
                <w:szCs w:val="22"/>
                <w:lang w:eastAsia="en-US"/>
              </w:rPr>
              <w:t>MHLMG</w:t>
            </w:r>
          </w:p>
        </w:tc>
        <w:tc>
          <w:tcPr>
            <w:tcW w:w="1503" w:type="dxa"/>
            <w:vMerge w:val="restart"/>
          </w:tcPr>
          <w:p w14:paraId="1FA47620" w14:textId="7A0E5B82" w:rsidR="00A47CFC" w:rsidRDefault="00BB52B0" w:rsidP="00A47CFC">
            <w:pPr>
              <w:spacing w:before="0"/>
              <w:jc w:val="left"/>
              <w:rPr>
                <w:rFonts w:asciiTheme="minorHAnsi" w:eastAsiaTheme="minorEastAsia" w:hAnsiTheme="minorHAnsi" w:cstheme="minorBidi"/>
                <w:color w:val="000000" w:themeColor="text1"/>
                <w:szCs w:val="22"/>
                <w:lang w:eastAsia="en-US"/>
              </w:rPr>
            </w:pPr>
            <w:r>
              <w:rPr>
                <w:rFonts w:asciiTheme="minorHAnsi" w:eastAsiaTheme="minorEastAsia" w:hAnsiTheme="minorHAnsi" w:cstheme="minorBidi"/>
                <w:color w:val="000000" w:themeColor="text1"/>
                <w:szCs w:val="22"/>
                <w:lang w:eastAsia="en-US"/>
              </w:rPr>
              <w:t>Quality Committee</w:t>
            </w:r>
          </w:p>
        </w:tc>
      </w:tr>
      <w:tr w:rsidR="00A47CFC" w:rsidRPr="00F2071B" w14:paraId="12DD2030" w14:textId="77777777" w:rsidTr="003A4866">
        <w:trPr>
          <w:trHeight w:val="716"/>
        </w:trPr>
        <w:tc>
          <w:tcPr>
            <w:tcW w:w="2110" w:type="dxa"/>
            <w:shd w:val="clear" w:color="auto" w:fill="FFFFFF" w:themeFill="background1"/>
          </w:tcPr>
          <w:p w14:paraId="12FD31F0" w14:textId="3CA09EAA" w:rsidR="00A47CFC" w:rsidRPr="00304839" w:rsidRDefault="00A47CFC" w:rsidP="00304839">
            <w:pPr>
              <w:spacing w:before="0"/>
              <w:jc w:val="left"/>
              <w:rPr>
                <w:rFonts w:asciiTheme="minorHAnsi" w:eastAsiaTheme="minorEastAsia" w:hAnsiTheme="minorHAnsi" w:cstheme="minorHAnsi"/>
                <w:color w:val="000000" w:themeColor="text1"/>
                <w:szCs w:val="22"/>
                <w:lang w:eastAsia="en-US"/>
              </w:rPr>
            </w:pPr>
            <w:r w:rsidRPr="00304839">
              <w:rPr>
                <w:rFonts w:asciiTheme="minorHAnsi" w:hAnsiTheme="minorHAnsi" w:cstheme="minorHAnsi"/>
                <w:color w:val="000000" w:themeColor="text1"/>
              </w:rPr>
              <w:t xml:space="preserve">Compliance with treatment certificate </w:t>
            </w:r>
            <w:r w:rsidR="00BB52B0">
              <w:rPr>
                <w:rFonts w:asciiTheme="minorHAnsi" w:hAnsiTheme="minorHAnsi" w:cstheme="minorHAnsi"/>
                <w:color w:val="000000" w:themeColor="text1"/>
              </w:rPr>
              <w:t xml:space="preserve">requirements </w:t>
            </w:r>
            <w:r w:rsidRPr="00304839">
              <w:rPr>
                <w:rFonts w:asciiTheme="minorHAnsi" w:hAnsiTheme="minorHAnsi" w:cstheme="minorHAnsi"/>
                <w:color w:val="000000" w:themeColor="text1"/>
              </w:rPr>
              <w:t>under Part IV</w:t>
            </w:r>
            <w:r w:rsidR="00BB52B0">
              <w:rPr>
                <w:rFonts w:asciiTheme="minorHAnsi" w:hAnsiTheme="minorHAnsi" w:cstheme="minorHAnsi"/>
                <w:color w:val="000000" w:themeColor="text1"/>
              </w:rPr>
              <w:t>A</w:t>
            </w:r>
            <w:r w:rsidRPr="00304839">
              <w:rPr>
                <w:rFonts w:asciiTheme="minorHAnsi" w:hAnsiTheme="minorHAnsi" w:cstheme="minorHAnsi"/>
                <w:color w:val="000000" w:themeColor="text1"/>
              </w:rPr>
              <w:t xml:space="preserve"> of the MHA 1983</w:t>
            </w:r>
          </w:p>
        </w:tc>
        <w:tc>
          <w:tcPr>
            <w:tcW w:w="1276" w:type="dxa"/>
            <w:shd w:val="clear" w:color="auto" w:fill="FFFFFF" w:themeFill="background1"/>
          </w:tcPr>
          <w:p w14:paraId="16718EBE" w14:textId="6484646F" w:rsidR="00A47CFC" w:rsidRPr="00304839" w:rsidRDefault="00A47CFC" w:rsidP="00304839">
            <w:pPr>
              <w:spacing w:before="0"/>
              <w:jc w:val="left"/>
              <w:rPr>
                <w:rFonts w:asciiTheme="minorHAnsi" w:eastAsiaTheme="minorEastAsia" w:hAnsiTheme="minorHAnsi" w:cstheme="minorHAnsi"/>
                <w:color w:val="000000" w:themeColor="text1"/>
                <w:szCs w:val="22"/>
                <w:lang w:eastAsia="en-US"/>
              </w:rPr>
            </w:pPr>
            <w:r w:rsidRPr="00304839">
              <w:rPr>
                <w:rFonts w:asciiTheme="minorHAnsi" w:hAnsiTheme="minorHAnsi" w:cstheme="minorHAnsi"/>
                <w:color w:val="000000" w:themeColor="text1"/>
              </w:rPr>
              <w:t>Mental Health Law Manager (MHA)</w:t>
            </w:r>
          </w:p>
        </w:tc>
        <w:tc>
          <w:tcPr>
            <w:tcW w:w="1276" w:type="dxa"/>
            <w:shd w:val="clear" w:color="auto" w:fill="FFFFFF" w:themeFill="background1"/>
          </w:tcPr>
          <w:p w14:paraId="1D7DDE9A" w14:textId="460DEDFC" w:rsidR="00A47CFC" w:rsidRPr="00304839" w:rsidRDefault="00A47CFC" w:rsidP="00304839">
            <w:pPr>
              <w:spacing w:before="0"/>
              <w:jc w:val="left"/>
              <w:rPr>
                <w:rFonts w:asciiTheme="minorHAnsi" w:eastAsiaTheme="minorEastAsia" w:hAnsiTheme="minorHAnsi" w:cstheme="minorHAnsi"/>
                <w:color w:val="000000" w:themeColor="text1"/>
                <w:szCs w:val="22"/>
                <w:lang w:eastAsia="en-US"/>
              </w:rPr>
            </w:pPr>
            <w:r w:rsidRPr="00304839">
              <w:rPr>
                <w:rFonts w:asciiTheme="minorHAnsi" w:hAnsiTheme="minorHAnsi" w:cstheme="minorHAnsi"/>
                <w:color w:val="000000" w:themeColor="text1"/>
              </w:rPr>
              <w:t>Audit</w:t>
            </w:r>
          </w:p>
        </w:tc>
        <w:tc>
          <w:tcPr>
            <w:tcW w:w="1417" w:type="dxa"/>
            <w:shd w:val="clear" w:color="auto" w:fill="FFFFFF" w:themeFill="background1"/>
          </w:tcPr>
          <w:p w14:paraId="00D169AE" w14:textId="3A551CE4" w:rsidR="00A47CFC" w:rsidRPr="00304839" w:rsidRDefault="00A47CFC" w:rsidP="00304839">
            <w:pPr>
              <w:spacing w:before="0"/>
              <w:jc w:val="left"/>
              <w:rPr>
                <w:rFonts w:asciiTheme="minorHAnsi" w:eastAsiaTheme="minorEastAsia" w:hAnsiTheme="minorHAnsi" w:cstheme="minorHAnsi"/>
                <w:color w:val="000000" w:themeColor="text1"/>
                <w:szCs w:val="22"/>
                <w:lang w:eastAsia="en-US"/>
              </w:rPr>
            </w:pPr>
            <w:r>
              <w:rPr>
                <w:rFonts w:asciiTheme="minorHAnsi" w:hAnsiTheme="minorHAnsi" w:cstheme="minorHAnsi"/>
                <w:color w:val="000000" w:themeColor="text1"/>
              </w:rPr>
              <w:t>Two Yearly</w:t>
            </w:r>
          </w:p>
        </w:tc>
        <w:tc>
          <w:tcPr>
            <w:tcW w:w="1439" w:type="dxa"/>
            <w:shd w:val="clear" w:color="auto" w:fill="FFFFFF" w:themeFill="background1"/>
          </w:tcPr>
          <w:p w14:paraId="7CCFE05E" w14:textId="1C2AA056" w:rsidR="00A47CFC" w:rsidRPr="00304839" w:rsidRDefault="00A47CFC" w:rsidP="00304839">
            <w:pPr>
              <w:spacing w:before="0"/>
              <w:jc w:val="left"/>
              <w:rPr>
                <w:rFonts w:asciiTheme="minorHAnsi" w:eastAsiaTheme="minorEastAsia" w:hAnsiTheme="minorHAnsi" w:cstheme="minorHAnsi"/>
                <w:color w:val="000000" w:themeColor="text1"/>
                <w:szCs w:val="22"/>
                <w:lang w:eastAsia="en-US"/>
              </w:rPr>
            </w:pPr>
            <w:r w:rsidRPr="00304839">
              <w:rPr>
                <w:rFonts w:asciiTheme="minorHAnsi" w:hAnsiTheme="minorHAnsi" w:cstheme="minorHAnsi"/>
                <w:color w:val="000000" w:themeColor="text1"/>
              </w:rPr>
              <w:t>MHLMG</w:t>
            </w:r>
          </w:p>
        </w:tc>
        <w:tc>
          <w:tcPr>
            <w:tcW w:w="1503" w:type="dxa"/>
            <w:vMerge/>
          </w:tcPr>
          <w:p w14:paraId="4DDF8423" w14:textId="77777777" w:rsidR="00A47CFC" w:rsidRDefault="00A47CFC" w:rsidP="00304839">
            <w:pPr>
              <w:spacing w:before="0"/>
              <w:jc w:val="left"/>
              <w:rPr>
                <w:rFonts w:asciiTheme="minorHAnsi" w:eastAsiaTheme="minorEastAsia" w:hAnsiTheme="minorHAnsi" w:cstheme="minorBidi"/>
                <w:color w:val="000000" w:themeColor="text1"/>
                <w:szCs w:val="22"/>
                <w:lang w:eastAsia="en-US"/>
              </w:rPr>
            </w:pPr>
          </w:p>
        </w:tc>
      </w:tr>
      <w:tr w:rsidR="00BB52B0" w:rsidRPr="00F2071B" w14:paraId="619DB670" w14:textId="77777777" w:rsidTr="003A4866">
        <w:trPr>
          <w:trHeight w:val="716"/>
        </w:trPr>
        <w:tc>
          <w:tcPr>
            <w:tcW w:w="2110" w:type="dxa"/>
            <w:shd w:val="clear" w:color="auto" w:fill="FFFFFF" w:themeFill="background1"/>
          </w:tcPr>
          <w:p w14:paraId="02FA8A56" w14:textId="74C60515" w:rsidR="00BB52B0" w:rsidRPr="00304839" w:rsidRDefault="00BB52B0" w:rsidP="00BB52B0">
            <w:pPr>
              <w:spacing w:before="0"/>
              <w:jc w:val="left"/>
              <w:rPr>
                <w:rFonts w:asciiTheme="minorHAnsi" w:hAnsiTheme="minorHAnsi" w:cstheme="minorHAnsi"/>
                <w:color w:val="000000" w:themeColor="text1"/>
              </w:rPr>
            </w:pPr>
            <w:r>
              <w:rPr>
                <w:rFonts w:asciiTheme="minorHAnsi" w:hAnsiTheme="minorHAnsi" w:cstheme="minorHAnsi"/>
                <w:color w:val="000000" w:themeColor="text1"/>
              </w:rPr>
              <w:t>T</w:t>
            </w:r>
            <w:r w:rsidRPr="00360DE0">
              <w:rPr>
                <w:rFonts w:asciiTheme="minorHAnsi" w:hAnsiTheme="minorHAnsi" w:cstheme="minorHAnsi"/>
                <w:color w:val="000000" w:themeColor="text1"/>
              </w:rPr>
              <w:t>imely referrals to First Tier Tribunal after CTO revocation</w:t>
            </w:r>
          </w:p>
        </w:tc>
        <w:tc>
          <w:tcPr>
            <w:tcW w:w="1276" w:type="dxa"/>
            <w:shd w:val="clear" w:color="auto" w:fill="FFFFFF" w:themeFill="background1"/>
          </w:tcPr>
          <w:p w14:paraId="6099C65A" w14:textId="761FD97D" w:rsidR="00BB52B0" w:rsidRPr="00304839" w:rsidRDefault="00BB52B0" w:rsidP="00BB52B0">
            <w:pPr>
              <w:spacing w:before="0"/>
              <w:jc w:val="left"/>
              <w:rPr>
                <w:rFonts w:asciiTheme="minorHAnsi" w:hAnsiTheme="minorHAnsi" w:cstheme="minorHAnsi"/>
                <w:color w:val="000000" w:themeColor="text1"/>
              </w:rPr>
            </w:pPr>
            <w:r w:rsidRPr="00304839">
              <w:rPr>
                <w:rFonts w:asciiTheme="minorHAnsi" w:hAnsiTheme="minorHAnsi" w:cstheme="minorHAnsi"/>
                <w:color w:val="000000" w:themeColor="text1"/>
              </w:rPr>
              <w:t>Mental Health Law</w:t>
            </w:r>
            <w:r>
              <w:rPr>
                <w:rFonts w:asciiTheme="minorHAnsi" w:hAnsiTheme="minorHAnsi" w:cstheme="minorHAnsi"/>
                <w:color w:val="000000" w:themeColor="text1"/>
              </w:rPr>
              <w:t xml:space="preserve"> Senior Supervisors</w:t>
            </w:r>
          </w:p>
        </w:tc>
        <w:tc>
          <w:tcPr>
            <w:tcW w:w="1276" w:type="dxa"/>
            <w:shd w:val="clear" w:color="auto" w:fill="FFFFFF" w:themeFill="background1"/>
          </w:tcPr>
          <w:p w14:paraId="065B64FC" w14:textId="2864AFC5" w:rsidR="00BB52B0" w:rsidRPr="00304839" w:rsidRDefault="00BB52B0" w:rsidP="00BB52B0">
            <w:pPr>
              <w:spacing w:before="0"/>
              <w:jc w:val="left"/>
              <w:rPr>
                <w:rFonts w:asciiTheme="minorHAnsi" w:hAnsiTheme="minorHAnsi" w:cstheme="minorHAnsi"/>
                <w:color w:val="000000" w:themeColor="text1"/>
              </w:rPr>
            </w:pPr>
            <w:r w:rsidRPr="00304839">
              <w:rPr>
                <w:rFonts w:asciiTheme="minorHAnsi" w:hAnsiTheme="minorHAnsi" w:cstheme="minorHAnsi"/>
                <w:color w:val="000000" w:themeColor="text1"/>
              </w:rPr>
              <w:t>Audit</w:t>
            </w:r>
          </w:p>
        </w:tc>
        <w:tc>
          <w:tcPr>
            <w:tcW w:w="1417" w:type="dxa"/>
            <w:shd w:val="clear" w:color="auto" w:fill="FFFFFF" w:themeFill="background1"/>
          </w:tcPr>
          <w:p w14:paraId="7B3DCC71" w14:textId="39B7E4D8" w:rsidR="00BB52B0" w:rsidRPr="00304839" w:rsidRDefault="00BB52B0" w:rsidP="00BB52B0">
            <w:pPr>
              <w:spacing w:before="0"/>
              <w:jc w:val="left"/>
              <w:rPr>
                <w:rFonts w:asciiTheme="minorHAnsi" w:hAnsiTheme="minorHAnsi" w:cstheme="minorHAnsi"/>
                <w:color w:val="000000" w:themeColor="text1"/>
              </w:rPr>
            </w:pPr>
            <w:r>
              <w:rPr>
                <w:rFonts w:asciiTheme="minorHAnsi" w:hAnsiTheme="minorHAnsi" w:cstheme="minorHAnsi"/>
                <w:color w:val="000000" w:themeColor="text1"/>
              </w:rPr>
              <w:t>Two Yearly</w:t>
            </w:r>
          </w:p>
        </w:tc>
        <w:tc>
          <w:tcPr>
            <w:tcW w:w="1439" w:type="dxa"/>
            <w:shd w:val="clear" w:color="auto" w:fill="FFFFFF" w:themeFill="background1"/>
          </w:tcPr>
          <w:p w14:paraId="0CD91466" w14:textId="5ED308DC" w:rsidR="00BB52B0" w:rsidRPr="00304839" w:rsidRDefault="00BB52B0" w:rsidP="00BB52B0">
            <w:pPr>
              <w:spacing w:before="0"/>
              <w:jc w:val="left"/>
              <w:rPr>
                <w:rFonts w:asciiTheme="minorHAnsi" w:hAnsiTheme="minorHAnsi" w:cstheme="minorHAnsi"/>
                <w:color w:val="000000" w:themeColor="text1"/>
              </w:rPr>
            </w:pPr>
            <w:r w:rsidRPr="00304839">
              <w:rPr>
                <w:rFonts w:asciiTheme="minorHAnsi" w:hAnsiTheme="minorHAnsi" w:cstheme="minorHAnsi"/>
                <w:color w:val="000000" w:themeColor="text1"/>
              </w:rPr>
              <w:t>MHLMG</w:t>
            </w:r>
          </w:p>
        </w:tc>
        <w:tc>
          <w:tcPr>
            <w:tcW w:w="1503" w:type="dxa"/>
            <w:vMerge/>
          </w:tcPr>
          <w:p w14:paraId="7EF03E94" w14:textId="77777777" w:rsidR="00BB52B0" w:rsidRDefault="00BB52B0" w:rsidP="00BB52B0">
            <w:pPr>
              <w:spacing w:before="0"/>
              <w:jc w:val="left"/>
              <w:rPr>
                <w:rFonts w:asciiTheme="minorHAnsi" w:eastAsiaTheme="minorEastAsia" w:hAnsiTheme="minorHAnsi" w:cstheme="minorBidi"/>
                <w:color w:val="000000" w:themeColor="text1"/>
                <w:szCs w:val="22"/>
                <w:lang w:eastAsia="en-US"/>
              </w:rPr>
            </w:pPr>
          </w:p>
        </w:tc>
      </w:tr>
    </w:tbl>
    <w:p w14:paraId="1469ACD3" w14:textId="77777777" w:rsidR="00F2071B" w:rsidRPr="00F2071B" w:rsidRDefault="00F2071B" w:rsidP="00BF3C7E">
      <w:pPr>
        <w:spacing w:after="0"/>
        <w:ind w:left="720" w:hanging="720"/>
        <w:rPr>
          <w:rFonts w:cs="Arial"/>
          <w:sz w:val="24"/>
        </w:rPr>
      </w:pPr>
    </w:p>
    <w:p w14:paraId="7443232E" w14:textId="7B3D95BC" w:rsidR="00A5712C" w:rsidRDefault="00A5712C" w:rsidP="00A5712C">
      <w:pPr>
        <w:spacing w:after="0"/>
        <w:ind w:left="720" w:hanging="720"/>
        <w:rPr>
          <w:rFonts w:cs="Arial"/>
          <w:sz w:val="24"/>
        </w:rPr>
      </w:pPr>
    </w:p>
    <w:p w14:paraId="5AAB62C4" w14:textId="53D5A8DE" w:rsidR="00A5712C" w:rsidRDefault="00A5712C" w:rsidP="00A5712C">
      <w:pPr>
        <w:spacing w:after="0"/>
        <w:ind w:left="720" w:hanging="720"/>
        <w:rPr>
          <w:rFonts w:cs="Arial"/>
          <w:sz w:val="24"/>
        </w:rPr>
      </w:pPr>
    </w:p>
    <w:p w14:paraId="46BC3566" w14:textId="7008BB7D" w:rsidR="00A5712C" w:rsidRDefault="00A5712C" w:rsidP="00A5712C">
      <w:pPr>
        <w:spacing w:after="0"/>
        <w:ind w:left="720" w:hanging="720"/>
        <w:rPr>
          <w:rFonts w:cs="Arial"/>
          <w:sz w:val="24"/>
        </w:rPr>
      </w:pPr>
    </w:p>
    <w:p w14:paraId="1A0DA1EC" w14:textId="77777777" w:rsidR="00A5712C" w:rsidRDefault="00A5712C" w:rsidP="00A5712C">
      <w:pPr>
        <w:spacing w:after="0"/>
        <w:ind w:left="720" w:hanging="720"/>
        <w:rPr>
          <w:rFonts w:cs="Arial"/>
          <w:sz w:val="24"/>
        </w:rPr>
      </w:pPr>
    </w:p>
    <w:p w14:paraId="076D605D" w14:textId="77777777" w:rsidR="00C60A24" w:rsidRDefault="00C60A24" w:rsidP="00A5712C">
      <w:pPr>
        <w:spacing w:after="0"/>
        <w:ind w:left="720" w:hanging="720"/>
        <w:rPr>
          <w:b/>
          <w:sz w:val="24"/>
          <w:szCs w:val="20"/>
        </w:rPr>
      </w:pPr>
    </w:p>
    <w:p w14:paraId="579BE7DD" w14:textId="77777777" w:rsidR="00C60A24" w:rsidRDefault="00C60A24" w:rsidP="00A5712C">
      <w:pPr>
        <w:spacing w:after="0"/>
        <w:ind w:left="720" w:hanging="720"/>
        <w:rPr>
          <w:b/>
          <w:sz w:val="24"/>
          <w:szCs w:val="20"/>
        </w:rPr>
      </w:pPr>
    </w:p>
    <w:p w14:paraId="71033CF9" w14:textId="77777777" w:rsidR="00C60A24" w:rsidRDefault="00C60A24" w:rsidP="00A5712C">
      <w:pPr>
        <w:spacing w:after="0"/>
        <w:ind w:left="720" w:hanging="720"/>
        <w:rPr>
          <w:b/>
          <w:sz w:val="24"/>
          <w:szCs w:val="20"/>
        </w:rPr>
      </w:pPr>
    </w:p>
    <w:p w14:paraId="4ABF418C" w14:textId="3EE7836D" w:rsidR="00BB52B0" w:rsidRDefault="00BB52B0">
      <w:pPr>
        <w:spacing w:before="0" w:line="276" w:lineRule="auto"/>
        <w:jc w:val="left"/>
        <w:rPr>
          <w:b/>
          <w:sz w:val="24"/>
          <w:szCs w:val="20"/>
        </w:rPr>
      </w:pPr>
      <w:r>
        <w:rPr>
          <w:b/>
          <w:sz w:val="24"/>
          <w:szCs w:val="20"/>
        </w:rPr>
        <w:br w:type="page"/>
      </w:r>
    </w:p>
    <w:p w14:paraId="52A9BF8B" w14:textId="77777777" w:rsidR="00C60A24" w:rsidRDefault="00C60A24" w:rsidP="00A5712C">
      <w:pPr>
        <w:spacing w:after="0"/>
        <w:ind w:left="720" w:hanging="720"/>
        <w:rPr>
          <w:b/>
          <w:sz w:val="24"/>
          <w:szCs w:val="20"/>
        </w:rPr>
      </w:pPr>
    </w:p>
    <w:p w14:paraId="6BA2D4BE" w14:textId="77777777" w:rsidR="00C60A24" w:rsidRDefault="00C60A24" w:rsidP="00A5712C">
      <w:pPr>
        <w:spacing w:after="0"/>
        <w:ind w:left="720" w:hanging="720"/>
        <w:rPr>
          <w:b/>
          <w:sz w:val="24"/>
          <w:szCs w:val="20"/>
        </w:rPr>
      </w:pPr>
    </w:p>
    <w:p w14:paraId="7E000A45" w14:textId="587DC2B1" w:rsidR="00BF3C7E" w:rsidRPr="00A5712C" w:rsidRDefault="008632AB" w:rsidP="00A5712C">
      <w:pPr>
        <w:spacing w:after="0"/>
        <w:ind w:left="720" w:hanging="720"/>
        <w:rPr>
          <w:rFonts w:cs="Arial"/>
          <w:sz w:val="24"/>
        </w:rPr>
      </w:pPr>
      <w:r w:rsidRPr="008632AB">
        <w:rPr>
          <w:b/>
          <w:sz w:val="24"/>
          <w:szCs w:val="20"/>
        </w:rPr>
        <w:t>18.0:       Associated Documentation</w:t>
      </w:r>
    </w:p>
    <w:p w14:paraId="75162BFC" w14:textId="6F438045" w:rsidR="00BF3C7E" w:rsidRDefault="00BF3C7E" w:rsidP="00BF3C7E">
      <w:pPr>
        <w:spacing w:after="0"/>
        <w:rPr>
          <w:rFonts w:cs="Arial"/>
          <w:b/>
          <w:sz w:val="24"/>
        </w:rPr>
      </w:pPr>
    </w:p>
    <w:p w14:paraId="6EA25988" w14:textId="77777777" w:rsidR="00BF3C7E" w:rsidRPr="00797A13" w:rsidRDefault="00BF3C7E" w:rsidP="00BF3C7E">
      <w:pPr>
        <w:spacing w:after="0"/>
        <w:jc w:val="right"/>
        <w:rPr>
          <w:rFonts w:cs="Arial"/>
          <w:b/>
          <w:sz w:val="24"/>
        </w:rPr>
      </w:pPr>
      <w:r w:rsidRPr="00797A13">
        <w:rPr>
          <w:rFonts w:cs="Arial"/>
          <w:b/>
          <w:sz w:val="24"/>
        </w:rPr>
        <w:t>Appendix 1</w:t>
      </w:r>
    </w:p>
    <w:p w14:paraId="6551A154" w14:textId="77777777" w:rsidR="00BF3C7E" w:rsidRPr="009A0B72" w:rsidRDefault="00BF3C7E" w:rsidP="00BF3C7E">
      <w:pPr>
        <w:keepNext/>
        <w:spacing w:before="240" w:after="60"/>
        <w:outlineLvl w:val="1"/>
        <w:rPr>
          <w:rFonts w:ascii="Verdana" w:hAnsi="Verdana" w:cs="Arial"/>
          <w:bCs/>
          <w:i/>
          <w:iCs/>
          <w:sz w:val="28"/>
          <w:szCs w:val="28"/>
        </w:rPr>
      </w:pPr>
      <w:r>
        <w:rPr>
          <w:noProof/>
        </w:rPr>
        <w:drawing>
          <wp:inline distT="0" distB="0" distL="0" distR="0" wp14:anchorId="1FDA0CE3" wp14:editId="0B2D1E95">
            <wp:extent cx="5343525" cy="619125"/>
            <wp:effectExtent l="0" t="0" r="9525" b="9525"/>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343525" cy="619125"/>
                    </a:xfrm>
                    <a:prstGeom prst="rect">
                      <a:avLst/>
                    </a:prstGeom>
                  </pic:spPr>
                </pic:pic>
              </a:graphicData>
            </a:graphic>
          </wp:inline>
        </w:drawing>
      </w:r>
      <w:r>
        <w:tab/>
      </w:r>
    </w:p>
    <w:p w14:paraId="07A6F527" w14:textId="77777777" w:rsidR="00BF3C7E" w:rsidRPr="00797A13" w:rsidRDefault="00BF3C7E" w:rsidP="00BF3C7E">
      <w:pPr>
        <w:keepNext/>
        <w:spacing w:after="0"/>
        <w:outlineLvl w:val="1"/>
        <w:rPr>
          <w:rFonts w:ascii="Verdana" w:hAnsi="Verdana" w:cs="Arial"/>
          <w:b/>
          <w:bCs/>
          <w:i/>
          <w:iCs/>
          <w:sz w:val="26"/>
          <w:szCs w:val="28"/>
        </w:rPr>
      </w:pPr>
      <w:r w:rsidRPr="00797A13">
        <w:rPr>
          <w:rFonts w:ascii="Verdana" w:hAnsi="Verdana" w:cs="Arial"/>
          <w:b/>
          <w:bCs/>
          <w:i/>
          <w:iCs/>
          <w:sz w:val="18"/>
          <w:szCs w:val="28"/>
        </w:rPr>
        <w:t xml:space="preserve">Urgent treatment under section 64 Of the Mental Health Act 1983 </w:t>
      </w:r>
    </w:p>
    <w:p w14:paraId="2B178048" w14:textId="77777777" w:rsidR="00BF3C7E" w:rsidRPr="009A0B72" w:rsidRDefault="00BF3C7E" w:rsidP="00BF3C7E">
      <w:pPr>
        <w:tabs>
          <w:tab w:val="left" w:pos="2835"/>
        </w:tabs>
        <w:spacing w:after="0"/>
        <w:rPr>
          <w:rFonts w:ascii="Verdana" w:hAnsi="Verdana" w:cs="Arial"/>
          <w:b/>
          <w:sz w:val="19"/>
        </w:rPr>
      </w:pPr>
    </w:p>
    <w:p w14:paraId="3FA11CF4" w14:textId="77777777" w:rsidR="00BF3C7E" w:rsidRPr="009A0B72" w:rsidRDefault="00BF3C7E" w:rsidP="00BF3C7E">
      <w:pPr>
        <w:tabs>
          <w:tab w:val="left" w:pos="2835"/>
        </w:tabs>
        <w:spacing w:after="0"/>
        <w:rPr>
          <w:rFonts w:ascii="Verdana" w:hAnsi="Verdana" w:cs="Arial"/>
          <w:b/>
          <w:sz w:val="19"/>
        </w:rPr>
      </w:pPr>
    </w:p>
    <w:p w14:paraId="22E08B78" w14:textId="77777777" w:rsidR="00BF3C7E" w:rsidRPr="009A0B72" w:rsidRDefault="00BF3C7E" w:rsidP="00BF3C7E">
      <w:pPr>
        <w:tabs>
          <w:tab w:val="left" w:pos="2835"/>
        </w:tabs>
        <w:spacing w:after="0"/>
        <w:rPr>
          <w:rFonts w:ascii="Verdana" w:hAnsi="Verdana" w:cs="Arial"/>
          <w:b/>
          <w:sz w:val="19"/>
        </w:rPr>
      </w:pPr>
      <w:r w:rsidRPr="009A0B72">
        <w:rPr>
          <w:rFonts w:ascii="Verdana" w:hAnsi="Verdana" w:cs="Arial"/>
          <w:b/>
          <w:sz w:val="19"/>
        </w:rPr>
        <w:t>Name of Patient:</w:t>
      </w:r>
      <w:r w:rsidRPr="009A0B72">
        <w:rPr>
          <w:rFonts w:ascii="Verdana" w:hAnsi="Verdana" w:cs="Arial"/>
          <w:b/>
          <w:sz w:val="19"/>
        </w:rPr>
        <w:tab/>
        <w:t>_______________________________________</w:t>
      </w:r>
      <w:r w:rsidRPr="009A0B72">
        <w:rPr>
          <w:rFonts w:ascii="Verdana" w:hAnsi="Verdana" w:cs="Arial"/>
          <w:b/>
          <w:sz w:val="19"/>
        </w:rPr>
        <w:tab/>
      </w:r>
      <w:r w:rsidRPr="009A0B72">
        <w:rPr>
          <w:rFonts w:ascii="Verdana" w:hAnsi="Verdana" w:cs="Arial"/>
          <w:b/>
          <w:sz w:val="19"/>
        </w:rPr>
        <w:tab/>
      </w:r>
      <w:r w:rsidRPr="009A0B72">
        <w:rPr>
          <w:rFonts w:ascii="Verdana" w:hAnsi="Verdana" w:cs="Arial"/>
          <w:b/>
          <w:sz w:val="19"/>
        </w:rPr>
        <w:tab/>
      </w:r>
      <w:r w:rsidRPr="009A0B72">
        <w:rPr>
          <w:rFonts w:ascii="Verdana" w:hAnsi="Verdana" w:cs="Arial"/>
          <w:b/>
          <w:sz w:val="18"/>
        </w:rPr>
        <w:t xml:space="preserve">             </w:t>
      </w:r>
    </w:p>
    <w:p w14:paraId="1B53315E" w14:textId="77777777" w:rsidR="00BF3C7E" w:rsidRPr="009A0B72" w:rsidRDefault="00BF3C7E" w:rsidP="00BF3C7E">
      <w:pPr>
        <w:tabs>
          <w:tab w:val="left" w:pos="2835"/>
        </w:tabs>
        <w:spacing w:after="0"/>
        <w:rPr>
          <w:rFonts w:ascii="Verdana" w:hAnsi="Verdana" w:cs="Arial"/>
          <w:b/>
          <w:sz w:val="19"/>
        </w:rPr>
      </w:pPr>
      <w:r w:rsidRPr="009A0B72">
        <w:rPr>
          <w:rFonts w:ascii="Verdana" w:hAnsi="Verdana" w:cs="Arial"/>
          <w:b/>
          <w:sz w:val="19"/>
        </w:rPr>
        <w:t>Section:</w:t>
      </w:r>
      <w:r w:rsidRPr="009A0B72">
        <w:rPr>
          <w:rFonts w:ascii="Verdana" w:hAnsi="Verdana" w:cs="Arial"/>
          <w:b/>
          <w:sz w:val="19"/>
        </w:rPr>
        <w:tab/>
        <w:t>17A - Community Treatment Order</w:t>
      </w:r>
    </w:p>
    <w:p w14:paraId="6199B485" w14:textId="77777777" w:rsidR="00BF3C7E" w:rsidRPr="009A0B72" w:rsidRDefault="00BF3C7E" w:rsidP="00BF3C7E">
      <w:pPr>
        <w:tabs>
          <w:tab w:val="left" w:pos="2835"/>
        </w:tabs>
        <w:spacing w:after="0"/>
        <w:rPr>
          <w:rFonts w:ascii="Verdana" w:hAnsi="Verdana" w:cs="Arial"/>
          <w:b/>
          <w:sz w:val="19"/>
        </w:rPr>
      </w:pPr>
    </w:p>
    <w:tbl>
      <w:tblPr>
        <w:tblW w:w="0" w:type="auto"/>
        <w:tblLayout w:type="fixed"/>
        <w:tblLook w:val="0000" w:firstRow="0" w:lastRow="0" w:firstColumn="0" w:lastColumn="0" w:noHBand="0" w:noVBand="0"/>
      </w:tblPr>
      <w:tblGrid>
        <w:gridCol w:w="828"/>
        <w:gridCol w:w="8100"/>
      </w:tblGrid>
      <w:tr w:rsidR="00BF3C7E" w:rsidRPr="009A0B72" w14:paraId="1302538E" w14:textId="77777777" w:rsidTr="003A7B77">
        <w:tc>
          <w:tcPr>
            <w:tcW w:w="828" w:type="dxa"/>
          </w:tcPr>
          <w:p w14:paraId="60AF3632" w14:textId="77777777" w:rsidR="00BF3C7E" w:rsidRPr="009A0B72" w:rsidRDefault="00BF3C7E" w:rsidP="003A7B77">
            <w:pPr>
              <w:tabs>
                <w:tab w:val="left" w:pos="2835"/>
              </w:tabs>
              <w:spacing w:after="0"/>
              <w:rPr>
                <w:rFonts w:ascii="Verdana" w:hAnsi="Verdana" w:cs="Arial"/>
                <w:b/>
                <w:sz w:val="19"/>
              </w:rPr>
            </w:pPr>
            <w:r w:rsidRPr="009A0B72">
              <w:rPr>
                <w:rFonts w:ascii="Verdana" w:hAnsi="Verdana" w:cs="Arial"/>
                <w:b/>
                <w:sz w:val="19"/>
              </w:rPr>
              <w:t>I am</w:t>
            </w:r>
          </w:p>
        </w:tc>
        <w:tc>
          <w:tcPr>
            <w:tcW w:w="8100" w:type="dxa"/>
            <w:tcBorders>
              <w:top w:val="single" w:sz="6" w:space="0" w:color="auto"/>
              <w:left w:val="single" w:sz="6" w:space="0" w:color="auto"/>
              <w:bottom w:val="single" w:sz="6" w:space="0" w:color="auto"/>
              <w:right w:val="single" w:sz="6" w:space="0" w:color="auto"/>
            </w:tcBorders>
          </w:tcPr>
          <w:p w14:paraId="3CBEFAE0" w14:textId="77777777" w:rsidR="00BF3C7E" w:rsidRPr="009A0B72" w:rsidRDefault="00BF3C7E" w:rsidP="003A7B77">
            <w:pPr>
              <w:tabs>
                <w:tab w:val="left" w:pos="2835"/>
              </w:tabs>
              <w:spacing w:after="0"/>
              <w:rPr>
                <w:rFonts w:ascii="Verdana" w:hAnsi="Verdana" w:cs="Arial"/>
                <w:b/>
                <w:sz w:val="19"/>
              </w:rPr>
            </w:pPr>
          </w:p>
          <w:p w14:paraId="05AB2DA2" w14:textId="77777777" w:rsidR="00BF3C7E" w:rsidRPr="009A0B72" w:rsidRDefault="00BF3C7E" w:rsidP="003A7B77">
            <w:pPr>
              <w:tabs>
                <w:tab w:val="left" w:pos="2835"/>
              </w:tabs>
              <w:spacing w:after="0"/>
              <w:rPr>
                <w:rFonts w:ascii="Verdana" w:hAnsi="Verdana" w:cs="Arial"/>
                <w:b/>
                <w:sz w:val="19"/>
              </w:rPr>
            </w:pPr>
          </w:p>
        </w:tc>
      </w:tr>
    </w:tbl>
    <w:p w14:paraId="5B4C2ECC" w14:textId="77777777" w:rsidR="00BF3C7E" w:rsidRPr="009A0B72" w:rsidRDefault="00BF3C7E" w:rsidP="00BF3C7E">
      <w:pPr>
        <w:tabs>
          <w:tab w:val="left" w:pos="2835"/>
        </w:tabs>
        <w:spacing w:after="0"/>
        <w:rPr>
          <w:rFonts w:ascii="Verdana" w:hAnsi="Verdana" w:cs="Arial"/>
          <w:sz w:val="19"/>
        </w:rPr>
      </w:pPr>
    </w:p>
    <w:p w14:paraId="14AC3B80"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2835"/>
        </w:tabs>
        <w:spacing w:after="0"/>
        <w:rPr>
          <w:rFonts w:ascii="Verdana" w:hAnsi="Verdana" w:cs="Arial"/>
          <w:sz w:val="19"/>
        </w:rPr>
      </w:pPr>
    </w:p>
    <w:p w14:paraId="2E736CDA"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 w:val="left" w:pos="2835"/>
        </w:tabs>
        <w:spacing w:after="0"/>
        <w:rPr>
          <w:rFonts w:ascii="Verdana" w:hAnsi="Verdana" w:cs="Arial"/>
          <w:sz w:val="19"/>
        </w:rPr>
      </w:pPr>
      <w:r w:rsidRPr="009A0B72">
        <w:rPr>
          <w:rFonts w:ascii="Verdana" w:hAnsi="Verdana" w:cs="Arial"/>
          <w:sz w:val="19"/>
        </w:rPr>
        <w:t>I confirm that I am the Approved Clinician responsible for the above named patient and that the following treatment:</w:t>
      </w:r>
    </w:p>
    <w:p w14:paraId="1D23A863"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rPr>
          <w:rFonts w:ascii="Verdana" w:hAnsi="Verdana" w:cs="Arial"/>
          <w:sz w:val="19"/>
        </w:rPr>
      </w:pPr>
    </w:p>
    <w:p w14:paraId="7BFF927C"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jc w:val="center"/>
        <w:rPr>
          <w:rFonts w:ascii="Verdana" w:hAnsi="Verdana" w:cs="Arial"/>
          <w:sz w:val="19"/>
        </w:rPr>
      </w:pPr>
      <w:r w:rsidRPr="009A0B72">
        <w:rPr>
          <w:rFonts w:ascii="Verdana" w:hAnsi="Verdana" w:cs="Arial"/>
          <w:sz w:val="19"/>
        </w:rPr>
        <w:t>________________________________________________________________________</w:t>
      </w:r>
    </w:p>
    <w:p w14:paraId="16A3ABEA"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jc w:val="center"/>
        <w:rPr>
          <w:rFonts w:ascii="Verdana" w:hAnsi="Verdana" w:cs="Arial"/>
          <w:sz w:val="19"/>
        </w:rPr>
      </w:pPr>
    </w:p>
    <w:p w14:paraId="2006F611"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jc w:val="center"/>
        <w:rPr>
          <w:rFonts w:ascii="Verdana" w:hAnsi="Verdana" w:cs="Arial"/>
          <w:sz w:val="19"/>
        </w:rPr>
      </w:pPr>
      <w:r w:rsidRPr="009A0B72">
        <w:rPr>
          <w:rFonts w:ascii="Verdana" w:hAnsi="Verdana" w:cs="Arial"/>
          <w:sz w:val="19"/>
        </w:rPr>
        <w:t>________________________________________________________________________</w:t>
      </w:r>
    </w:p>
    <w:p w14:paraId="461ABDA5"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jc w:val="center"/>
        <w:rPr>
          <w:rFonts w:ascii="Verdana" w:hAnsi="Verdana" w:cs="Arial"/>
          <w:sz w:val="19"/>
        </w:rPr>
      </w:pPr>
    </w:p>
    <w:p w14:paraId="0AEA4A1F"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jc w:val="center"/>
        <w:rPr>
          <w:rFonts w:ascii="Verdana" w:hAnsi="Verdana" w:cs="Arial"/>
          <w:sz w:val="19"/>
        </w:rPr>
      </w:pPr>
      <w:r w:rsidRPr="009A0B72">
        <w:rPr>
          <w:rFonts w:ascii="Verdana" w:hAnsi="Verdana" w:cs="Arial"/>
          <w:sz w:val="19"/>
        </w:rPr>
        <w:t>________________________________________________________________________</w:t>
      </w:r>
    </w:p>
    <w:p w14:paraId="592A3F4F"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rPr>
          <w:rFonts w:ascii="Verdana" w:hAnsi="Verdana" w:cs="Arial"/>
          <w:sz w:val="19"/>
        </w:rPr>
      </w:pPr>
    </w:p>
    <w:p w14:paraId="44CB8E71"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567"/>
        </w:tabs>
        <w:spacing w:after="0"/>
        <w:rPr>
          <w:rFonts w:ascii="Verdana" w:hAnsi="Verdana" w:cs="Arial"/>
          <w:sz w:val="19"/>
        </w:rPr>
      </w:pPr>
      <w:r w:rsidRPr="009A0B72">
        <w:rPr>
          <w:rFonts w:ascii="Verdana" w:hAnsi="Verdana" w:cs="Arial"/>
          <w:sz w:val="19"/>
        </w:rPr>
        <w:t>(Delete option that does not apply)</w:t>
      </w:r>
    </w:p>
    <w:p w14:paraId="50246F99"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2835"/>
        </w:tabs>
        <w:spacing w:after="0"/>
        <w:rPr>
          <w:rFonts w:ascii="Verdana" w:hAnsi="Verdana" w:cs="Arial"/>
          <w:b/>
          <w:sz w:val="19"/>
        </w:rPr>
      </w:pPr>
    </w:p>
    <w:p w14:paraId="20DA25AA" w14:textId="77777777" w:rsidR="00BF3C7E" w:rsidRPr="009A0B72" w:rsidRDefault="00BF3C7E" w:rsidP="00BF3C7E">
      <w:pPr>
        <w:pBdr>
          <w:top w:val="single" w:sz="12" w:space="1" w:color="auto"/>
          <w:left w:val="single" w:sz="12" w:space="1" w:color="auto"/>
          <w:bottom w:val="single" w:sz="12" w:space="1" w:color="auto"/>
          <w:right w:val="single" w:sz="12" w:space="1" w:color="auto"/>
        </w:pBdr>
        <w:spacing w:after="0"/>
        <w:rPr>
          <w:rFonts w:ascii="Verdana" w:hAnsi="Verdana" w:cs="Arial"/>
          <w:sz w:val="19"/>
        </w:rPr>
      </w:pPr>
      <w:r w:rsidRPr="009A0B72">
        <w:rPr>
          <w:rFonts w:ascii="Verdana" w:hAnsi="Verdana" w:cs="Arial"/>
          <w:sz w:val="19"/>
        </w:rPr>
        <w:t>1. is emergency treatment which is authorised under Section 64G as the patient lacks the capacity to consent to it;</w:t>
      </w:r>
    </w:p>
    <w:p w14:paraId="6BE39F81" w14:textId="77777777" w:rsidR="00BF3C7E" w:rsidRPr="009A0B72" w:rsidRDefault="00BF3C7E" w:rsidP="00BF3C7E">
      <w:pPr>
        <w:pBdr>
          <w:top w:val="single" w:sz="12" w:space="1" w:color="auto"/>
          <w:left w:val="single" w:sz="12" w:space="1" w:color="auto"/>
          <w:bottom w:val="single" w:sz="12" w:space="1" w:color="auto"/>
          <w:right w:val="single" w:sz="12" w:space="1" w:color="auto"/>
        </w:pBdr>
        <w:spacing w:after="0"/>
        <w:rPr>
          <w:rFonts w:ascii="Verdana" w:hAnsi="Verdana" w:cs="Arial"/>
          <w:sz w:val="19"/>
        </w:rPr>
      </w:pPr>
    </w:p>
    <w:p w14:paraId="166B1346"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2835"/>
        </w:tabs>
        <w:spacing w:after="0"/>
        <w:ind w:firstLine="2835"/>
        <w:rPr>
          <w:rFonts w:ascii="Verdana" w:hAnsi="Verdana" w:cs="Arial"/>
          <w:b/>
          <w:sz w:val="19"/>
        </w:rPr>
      </w:pPr>
    </w:p>
    <w:p w14:paraId="24CF1E34"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2835"/>
        </w:tabs>
        <w:spacing w:after="0"/>
        <w:rPr>
          <w:rFonts w:ascii="Verdana" w:hAnsi="Verdana" w:cs="Arial"/>
          <w:sz w:val="19"/>
        </w:rPr>
      </w:pPr>
      <w:r w:rsidRPr="009A0B72">
        <w:rPr>
          <w:rFonts w:ascii="Verdana" w:hAnsi="Verdana" w:cs="Arial"/>
          <w:sz w:val="19"/>
        </w:rPr>
        <w:t xml:space="preserve">{PLEASE TICK} </w:t>
      </w:r>
      <w:r w:rsidRPr="009A0B72">
        <w:rPr>
          <w:rFonts w:ascii="Verdana" w:hAnsi="Verdana" w:cs="Arial"/>
          <w:sz w:val="19"/>
        </w:rPr>
        <w:tab/>
      </w:r>
      <w:r w:rsidRPr="009A0B72">
        <w:rPr>
          <w:rFonts w:ascii="Verdana" w:hAnsi="Verdana" w:cs="Arial"/>
          <w:b/>
          <w:sz w:val="19"/>
        </w:rPr>
        <w:t xml:space="preserve">AND </w:t>
      </w:r>
    </w:p>
    <w:p w14:paraId="38C66617"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2835"/>
        </w:tabs>
        <w:spacing w:after="0"/>
        <w:rPr>
          <w:rFonts w:ascii="Verdana" w:hAnsi="Verdana" w:cs="Arial"/>
          <w:sz w:val="19"/>
        </w:rPr>
      </w:pPr>
    </w:p>
    <w:p w14:paraId="2E4758D9"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8789"/>
        </w:tabs>
        <w:spacing w:after="0"/>
        <w:rPr>
          <w:rFonts w:ascii="Verdana" w:hAnsi="Verdana" w:cs="Arial"/>
          <w:sz w:val="19"/>
        </w:rPr>
      </w:pPr>
      <w:r w:rsidRPr="009A0B72">
        <w:rPr>
          <w:rFonts w:ascii="Verdana" w:hAnsi="Verdana" w:cs="Arial"/>
          <w:sz w:val="19"/>
        </w:rPr>
        <w:t>a)</w:t>
      </w:r>
      <w:r w:rsidRPr="009A0B72">
        <w:rPr>
          <w:rFonts w:ascii="Verdana" w:hAnsi="Verdana" w:cs="Arial"/>
          <w:sz w:val="19"/>
        </w:rPr>
        <w:tab/>
        <w:t>is immediately necessary to save the patient’s life { }; or</w:t>
      </w:r>
      <w:r w:rsidRPr="009A0B72">
        <w:rPr>
          <w:rFonts w:ascii="Verdana" w:hAnsi="Verdana" w:cs="Arial"/>
          <w:sz w:val="19"/>
        </w:rPr>
        <w:tab/>
      </w:r>
    </w:p>
    <w:p w14:paraId="0228442B"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s>
        <w:spacing w:after="0"/>
        <w:rPr>
          <w:rFonts w:ascii="Verdana" w:hAnsi="Verdana" w:cs="Arial"/>
          <w:sz w:val="19"/>
        </w:rPr>
      </w:pPr>
    </w:p>
    <w:p w14:paraId="5DCBD619"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s>
        <w:spacing w:after="0"/>
        <w:ind w:left="720" w:hanging="720"/>
        <w:rPr>
          <w:rFonts w:ascii="Verdana" w:hAnsi="Verdana" w:cs="Arial"/>
          <w:sz w:val="19"/>
        </w:rPr>
      </w:pPr>
      <w:r w:rsidRPr="009A0B72">
        <w:rPr>
          <w:rFonts w:ascii="Verdana" w:hAnsi="Verdana" w:cs="Arial"/>
          <w:sz w:val="19"/>
        </w:rPr>
        <w:t>b)</w:t>
      </w:r>
      <w:r w:rsidRPr="009A0B72">
        <w:rPr>
          <w:rFonts w:ascii="Verdana" w:hAnsi="Verdana" w:cs="Arial"/>
          <w:sz w:val="19"/>
        </w:rPr>
        <w:tab/>
        <w:t>which (not being irreversible) is immediately necessary to prevent a serious deterioration in their condition { }; or</w:t>
      </w:r>
      <w:r w:rsidRPr="009A0B72">
        <w:rPr>
          <w:rFonts w:ascii="Verdana" w:hAnsi="Verdana" w:cs="Arial"/>
          <w:sz w:val="19"/>
        </w:rPr>
        <w:tab/>
      </w:r>
    </w:p>
    <w:p w14:paraId="6FE16AED"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s>
        <w:spacing w:after="0"/>
        <w:rPr>
          <w:rFonts w:ascii="Verdana" w:hAnsi="Verdana" w:cs="Arial"/>
          <w:sz w:val="19"/>
        </w:rPr>
      </w:pPr>
    </w:p>
    <w:p w14:paraId="35D001E1"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8505"/>
        </w:tabs>
        <w:spacing w:after="0"/>
        <w:ind w:left="720" w:hanging="720"/>
        <w:rPr>
          <w:rFonts w:ascii="Verdana" w:hAnsi="Verdana" w:cs="Arial"/>
          <w:sz w:val="19"/>
        </w:rPr>
      </w:pPr>
      <w:r w:rsidRPr="009A0B72">
        <w:rPr>
          <w:rFonts w:ascii="Verdana" w:hAnsi="Verdana" w:cs="Arial"/>
          <w:sz w:val="19"/>
        </w:rPr>
        <w:t>c)</w:t>
      </w:r>
      <w:r w:rsidRPr="009A0B72">
        <w:rPr>
          <w:rFonts w:ascii="Verdana" w:hAnsi="Verdana" w:cs="Arial"/>
          <w:sz w:val="19"/>
        </w:rPr>
        <w:tab/>
        <w:t>which (not being irreversible or hazardous) is immediately necessary to alleviate serious suffering by the patient { }; or</w:t>
      </w:r>
      <w:r w:rsidRPr="009A0B72">
        <w:rPr>
          <w:rFonts w:ascii="Verdana" w:hAnsi="Verdana" w:cs="Arial"/>
          <w:sz w:val="19"/>
        </w:rPr>
        <w:tab/>
      </w:r>
    </w:p>
    <w:p w14:paraId="07E4F147"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s>
        <w:spacing w:after="0"/>
        <w:rPr>
          <w:rFonts w:ascii="Verdana" w:hAnsi="Verdana" w:cs="Arial"/>
          <w:sz w:val="19"/>
        </w:rPr>
      </w:pPr>
    </w:p>
    <w:p w14:paraId="7508F0C7"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s>
        <w:spacing w:after="0"/>
        <w:ind w:left="720" w:hanging="720"/>
        <w:rPr>
          <w:rFonts w:ascii="Verdana" w:hAnsi="Verdana" w:cs="Arial"/>
          <w:sz w:val="19"/>
        </w:rPr>
      </w:pPr>
      <w:r w:rsidRPr="009A0B72">
        <w:rPr>
          <w:rFonts w:ascii="Verdana" w:hAnsi="Verdana" w:cs="Arial"/>
          <w:sz w:val="19"/>
        </w:rPr>
        <w:t>d)</w:t>
      </w:r>
      <w:r w:rsidRPr="009A0B72">
        <w:rPr>
          <w:rFonts w:ascii="Verdana" w:hAnsi="Verdana" w:cs="Arial"/>
          <w:sz w:val="19"/>
        </w:rPr>
        <w:tab/>
        <w:t>which (not being irreversible or hazardous) is immediately necessary and represents the minimum interference necessary to prevent the patient from behaving violently or being a danger to themselves or others { }.</w:t>
      </w:r>
      <w:r w:rsidRPr="009A0B72">
        <w:rPr>
          <w:rFonts w:ascii="Verdana" w:hAnsi="Verdana" w:cs="Arial"/>
          <w:sz w:val="19"/>
        </w:rPr>
        <w:tab/>
      </w:r>
    </w:p>
    <w:p w14:paraId="730A0723"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 w:val="left" w:pos="8505"/>
        </w:tabs>
        <w:spacing w:after="0"/>
        <w:rPr>
          <w:rFonts w:ascii="Verdana" w:hAnsi="Verdana" w:cs="Arial"/>
          <w:sz w:val="19"/>
        </w:rPr>
      </w:pPr>
    </w:p>
    <w:p w14:paraId="62C0CBDD"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 w:val="left" w:pos="8505"/>
        </w:tabs>
        <w:spacing w:after="0"/>
        <w:rPr>
          <w:rFonts w:ascii="Verdana" w:hAnsi="Verdana" w:cs="Arial"/>
          <w:sz w:val="19"/>
        </w:rPr>
      </w:pPr>
      <w:r w:rsidRPr="009A0B72">
        <w:rPr>
          <w:rFonts w:ascii="Verdana" w:hAnsi="Verdana" w:cs="Arial"/>
          <w:sz w:val="19"/>
        </w:rPr>
        <w:t xml:space="preserve">(Note: If treatment plan involves ECT only a) and b) of the above options apply) </w:t>
      </w:r>
    </w:p>
    <w:p w14:paraId="1959CAC2"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5040"/>
          <w:tab w:val="left" w:pos="7938"/>
          <w:tab w:val="left" w:pos="8505"/>
        </w:tabs>
        <w:spacing w:after="0"/>
        <w:rPr>
          <w:rFonts w:ascii="Verdana" w:hAnsi="Verdana" w:cs="Arial"/>
          <w:sz w:val="19"/>
        </w:rPr>
      </w:pPr>
    </w:p>
    <w:p w14:paraId="24C4366A"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5040"/>
          <w:tab w:val="left" w:pos="7938"/>
          <w:tab w:val="left" w:pos="8820"/>
        </w:tabs>
        <w:spacing w:after="0"/>
        <w:rPr>
          <w:rFonts w:ascii="Verdana" w:hAnsi="Verdana" w:cs="Arial"/>
          <w:sz w:val="19"/>
        </w:rPr>
      </w:pPr>
      <w:r w:rsidRPr="009A0B72">
        <w:rPr>
          <w:rFonts w:ascii="Verdana" w:hAnsi="Verdana" w:cs="Arial"/>
          <w:sz w:val="19"/>
        </w:rPr>
        <w:t>I confirm that full details of this course of treatment under S64 is recorded in the case notes.</w:t>
      </w:r>
    </w:p>
    <w:p w14:paraId="1668545B"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5040"/>
          <w:tab w:val="left" w:pos="7938"/>
          <w:tab w:val="left" w:pos="8820"/>
        </w:tabs>
        <w:spacing w:after="0"/>
        <w:rPr>
          <w:rFonts w:ascii="Verdana" w:hAnsi="Verdana" w:cs="Arial"/>
          <w:sz w:val="19"/>
        </w:rPr>
      </w:pPr>
    </w:p>
    <w:p w14:paraId="3B78E45A"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5040"/>
          <w:tab w:val="left" w:pos="7938"/>
          <w:tab w:val="left" w:pos="8820"/>
        </w:tabs>
        <w:spacing w:after="0"/>
        <w:rPr>
          <w:rFonts w:ascii="Verdana" w:hAnsi="Verdana" w:cs="Arial"/>
          <w:sz w:val="19"/>
        </w:rPr>
      </w:pPr>
      <w:r w:rsidRPr="009A0B72">
        <w:rPr>
          <w:rFonts w:ascii="Verdana" w:hAnsi="Verdana" w:cs="Arial"/>
          <w:sz w:val="19"/>
        </w:rPr>
        <w:tab/>
      </w:r>
      <w:r w:rsidRPr="009A0B72">
        <w:rPr>
          <w:rFonts w:ascii="Verdana" w:hAnsi="Verdana" w:cs="Arial"/>
          <w:sz w:val="19"/>
        </w:rPr>
        <w:tab/>
      </w:r>
    </w:p>
    <w:p w14:paraId="27DD1A80"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 w:val="left" w:pos="8505"/>
        </w:tabs>
        <w:spacing w:after="0"/>
        <w:rPr>
          <w:rFonts w:ascii="Verdana" w:hAnsi="Verdana" w:cs="Arial"/>
          <w:sz w:val="19"/>
        </w:rPr>
      </w:pPr>
      <w:r w:rsidRPr="009A0B72">
        <w:rPr>
          <w:rFonts w:ascii="Verdana" w:hAnsi="Verdana" w:cs="Arial"/>
          <w:sz w:val="19"/>
        </w:rPr>
        <w:tab/>
        <w:t>Signed</w:t>
      </w:r>
      <w:r w:rsidRPr="009A0B72">
        <w:rPr>
          <w:rFonts w:ascii="Verdana" w:hAnsi="Verdana" w:cs="Arial"/>
          <w:sz w:val="19"/>
        </w:rPr>
        <w:tab/>
        <w:t>_____________________________________________</w:t>
      </w:r>
    </w:p>
    <w:p w14:paraId="684E771D"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 w:val="left" w:pos="8505"/>
        </w:tabs>
        <w:spacing w:after="0"/>
        <w:rPr>
          <w:rFonts w:ascii="Verdana" w:hAnsi="Verdana" w:cs="Arial"/>
          <w:sz w:val="19"/>
        </w:rPr>
      </w:pPr>
    </w:p>
    <w:p w14:paraId="253C92D7" w14:textId="77777777" w:rsidR="00BF3C7E" w:rsidRPr="009A0B72" w:rsidRDefault="00BF3C7E" w:rsidP="00BF3C7E">
      <w:pPr>
        <w:pBdr>
          <w:top w:val="single" w:sz="12" w:space="1" w:color="auto"/>
          <w:left w:val="single" w:sz="12" w:space="1" w:color="auto"/>
          <w:bottom w:val="single" w:sz="12" w:space="1" w:color="auto"/>
          <w:right w:val="single" w:sz="12" w:space="1" w:color="auto"/>
        </w:pBdr>
        <w:tabs>
          <w:tab w:val="left" w:pos="851"/>
          <w:tab w:val="left" w:pos="1276"/>
          <w:tab w:val="left" w:pos="2835"/>
          <w:tab w:val="left" w:pos="7938"/>
          <w:tab w:val="left" w:pos="8505"/>
        </w:tabs>
        <w:spacing w:after="0"/>
        <w:rPr>
          <w:rFonts w:ascii="Verdana" w:hAnsi="Verdana" w:cs="Arial"/>
          <w:sz w:val="19"/>
        </w:rPr>
      </w:pPr>
      <w:r w:rsidRPr="009A0B72">
        <w:rPr>
          <w:rFonts w:ascii="Verdana" w:hAnsi="Verdana" w:cs="Arial"/>
          <w:sz w:val="19"/>
        </w:rPr>
        <w:tab/>
        <w:t>Date</w:t>
      </w:r>
      <w:r w:rsidRPr="009A0B72">
        <w:rPr>
          <w:rFonts w:ascii="Verdana" w:hAnsi="Verdana" w:cs="Arial"/>
          <w:sz w:val="19"/>
        </w:rPr>
        <w:tab/>
        <w:t>________________________</w:t>
      </w:r>
    </w:p>
    <w:p w14:paraId="32DB550F" w14:textId="11157E35" w:rsidR="00BF3C7E" w:rsidRPr="00306385" w:rsidRDefault="00BF3C7E" w:rsidP="00BF3C7E">
      <w:pPr>
        <w:spacing w:after="0"/>
        <w:ind w:left="720" w:hanging="720"/>
        <w:rPr>
          <w:sz w:val="24"/>
          <w:szCs w:val="20"/>
        </w:rPr>
      </w:pPr>
    </w:p>
    <w:p w14:paraId="159A84B0" w14:textId="3627AE26" w:rsidR="008A2465" w:rsidRDefault="008A2465" w:rsidP="008A2465">
      <w:pPr>
        <w:spacing w:after="0"/>
        <w:ind w:left="1080" w:hanging="1080"/>
        <w:rPr>
          <w:rFonts w:cs="Arial"/>
        </w:rPr>
      </w:pPr>
    </w:p>
    <w:p w14:paraId="2B50C8C3" w14:textId="266D3ADF" w:rsidR="00F56311" w:rsidRDefault="00F56311" w:rsidP="008A2465">
      <w:pPr>
        <w:spacing w:after="0"/>
        <w:ind w:left="1080" w:hanging="1080"/>
        <w:rPr>
          <w:rFonts w:cs="Arial"/>
        </w:rPr>
      </w:pPr>
    </w:p>
    <w:p w14:paraId="4778501B" w14:textId="440B5923" w:rsidR="00F56311" w:rsidRDefault="00F56311" w:rsidP="008A2465">
      <w:pPr>
        <w:spacing w:after="0"/>
        <w:ind w:left="1080" w:hanging="1080"/>
        <w:rPr>
          <w:rFonts w:cs="Arial"/>
        </w:rPr>
      </w:pPr>
    </w:p>
    <w:p w14:paraId="026765D7" w14:textId="2D60BA8A" w:rsidR="00F56311" w:rsidRDefault="00F56311" w:rsidP="008A2465">
      <w:pPr>
        <w:spacing w:after="0"/>
        <w:ind w:left="1080" w:hanging="1080"/>
        <w:rPr>
          <w:rFonts w:cs="Arial"/>
        </w:rPr>
      </w:pPr>
    </w:p>
    <w:p w14:paraId="72E0F973" w14:textId="29B48622" w:rsidR="00F56311" w:rsidRDefault="00F56311" w:rsidP="008A2465">
      <w:pPr>
        <w:spacing w:after="0"/>
        <w:ind w:left="1080" w:hanging="1080"/>
        <w:rPr>
          <w:rFonts w:cs="Arial"/>
        </w:rPr>
      </w:pPr>
    </w:p>
    <w:p w14:paraId="0D8A96D4" w14:textId="2CB872EF" w:rsidR="00F56311" w:rsidRDefault="00F56311" w:rsidP="008A2465">
      <w:pPr>
        <w:spacing w:after="0"/>
        <w:ind w:left="1080" w:hanging="1080"/>
        <w:rPr>
          <w:rFonts w:cs="Arial"/>
        </w:rPr>
      </w:pPr>
    </w:p>
    <w:p w14:paraId="3B1E13C4" w14:textId="0022CB84" w:rsidR="00F56311" w:rsidRDefault="00F56311" w:rsidP="008A2465">
      <w:pPr>
        <w:spacing w:after="0"/>
        <w:ind w:left="1080" w:hanging="1080"/>
        <w:rPr>
          <w:rFonts w:cs="Arial"/>
        </w:rPr>
      </w:pPr>
    </w:p>
    <w:p w14:paraId="512A078D" w14:textId="77777777" w:rsidR="00761306" w:rsidRDefault="00761306" w:rsidP="00BB52B0">
      <w:pPr>
        <w:spacing w:after="0"/>
        <w:rPr>
          <w:rFonts w:cs="Arial"/>
          <w:b/>
          <w:sz w:val="24"/>
        </w:rPr>
      </w:pPr>
    </w:p>
    <w:sectPr w:rsidR="00761306"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FDC5" w14:textId="77777777" w:rsidR="003A516B" w:rsidRDefault="003A516B" w:rsidP="006F3719">
      <w:pPr>
        <w:spacing w:before="0" w:after="0"/>
      </w:pPr>
      <w:r>
        <w:separator/>
      </w:r>
    </w:p>
  </w:endnote>
  <w:endnote w:type="continuationSeparator" w:id="0">
    <w:p w14:paraId="74CA4D1F" w14:textId="77777777" w:rsidR="003A516B" w:rsidRDefault="003A516B"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FACF" w14:textId="77777777" w:rsidR="00FE090D" w:rsidRDefault="00FE090D" w:rsidP="00471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19A7D" w14:textId="77777777" w:rsidR="00FE090D" w:rsidRDefault="00FE090D" w:rsidP="004718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EA2" w14:textId="573E75F9" w:rsidR="00FE090D" w:rsidRDefault="00FE090D" w:rsidP="00471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7CFC">
      <w:rPr>
        <w:rStyle w:val="PageNumber"/>
        <w:noProof/>
      </w:rPr>
      <w:t>20</w:t>
    </w:r>
    <w:r>
      <w:rPr>
        <w:rStyle w:val="PageNumber"/>
      </w:rPr>
      <w:fldChar w:fldCharType="end"/>
    </w:r>
  </w:p>
  <w:p w14:paraId="52D933C3" w14:textId="77777777" w:rsidR="00FE090D" w:rsidRDefault="00FE090D" w:rsidP="0047189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573D" w14:textId="0843DD39" w:rsidR="00FE090D" w:rsidRDefault="00FE090D" w:rsidP="00471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CFC">
      <w:rPr>
        <w:rStyle w:val="PageNumber"/>
        <w:noProof/>
      </w:rPr>
      <w:t>1</w:t>
    </w:r>
    <w:r>
      <w:rPr>
        <w:rStyle w:val="PageNumber"/>
      </w:rPr>
      <w:fldChar w:fldCharType="end"/>
    </w:r>
  </w:p>
  <w:p w14:paraId="0391C476" w14:textId="77777777" w:rsidR="00FE090D" w:rsidRDefault="00FE090D" w:rsidP="004718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0523" w14:textId="77777777" w:rsidR="003A516B" w:rsidRDefault="003A516B" w:rsidP="006F3719">
      <w:pPr>
        <w:spacing w:before="0" w:after="0"/>
      </w:pPr>
      <w:r>
        <w:separator/>
      </w:r>
    </w:p>
  </w:footnote>
  <w:footnote w:type="continuationSeparator" w:id="0">
    <w:p w14:paraId="2F491124" w14:textId="77777777" w:rsidR="003A516B" w:rsidRDefault="003A516B" w:rsidP="006F3719">
      <w:pPr>
        <w:spacing w:before="0" w:after="0"/>
      </w:pPr>
      <w:r>
        <w:continuationSeparator/>
      </w:r>
    </w:p>
  </w:footnote>
  <w:footnote w:id="1">
    <w:p w14:paraId="4D44C3E4" w14:textId="77777777" w:rsidR="00FE090D" w:rsidRDefault="00FE090D" w:rsidP="008A2465">
      <w:pPr>
        <w:pStyle w:val="FootnoteText"/>
      </w:pPr>
      <w:r>
        <w:rPr>
          <w:rStyle w:val="FootnoteReference"/>
        </w:rPr>
        <w:footnoteRef/>
      </w:r>
      <w:r>
        <w:t xml:space="preserve"> For a full list of eligible sections see Department of Health (2015) </w:t>
      </w:r>
      <w:r>
        <w:rPr>
          <w:i/>
        </w:rPr>
        <w:t>Reference Guide to the Mental Health Act 1983 as amended by the Mental Health Act 2007- Chapter, 26 - Figure 75.</w:t>
      </w:r>
    </w:p>
  </w:footnote>
  <w:footnote w:id="2">
    <w:p w14:paraId="37D748EB" w14:textId="77777777" w:rsidR="00FE090D" w:rsidRDefault="00FE090D" w:rsidP="00A47AEA">
      <w:pPr>
        <w:pStyle w:val="FootnoteText"/>
        <w:rPr>
          <w:i/>
        </w:rPr>
      </w:pPr>
      <w:r>
        <w:rPr>
          <w:rStyle w:val="FootnoteReference"/>
        </w:rPr>
        <w:footnoteRef/>
      </w:r>
      <w:r>
        <w:t xml:space="preserve"> Statutory Instrument 1205 (2008) Mental Health, England. </w:t>
      </w:r>
      <w:r>
        <w:rPr>
          <w:i/>
        </w:rPr>
        <w:t>The Mental Health (Conflicts of Interest)(England) Regulations 2008</w:t>
      </w:r>
      <w:r>
        <w:t>, regulation 6(1)(b) does not apply to the making of a Community Treatment Order as a community treatment order does not fall within the scope of section 11(1) of the Act.</w:t>
      </w:r>
    </w:p>
  </w:footnote>
  <w:footnote w:id="3">
    <w:p w14:paraId="54E8E27C" w14:textId="77777777" w:rsidR="00FE090D" w:rsidRDefault="00FE090D" w:rsidP="00280F66">
      <w:pPr>
        <w:pStyle w:val="FootnoteText"/>
      </w:pPr>
      <w:r>
        <w:rPr>
          <w:rStyle w:val="FootnoteReference"/>
        </w:rPr>
        <w:footnoteRef/>
      </w:r>
      <w:r>
        <w:t xml:space="preserve"> Reproduced from </w:t>
      </w:r>
      <w:r>
        <w:rPr>
          <w:i/>
        </w:rPr>
        <w:t>the Code</w:t>
      </w:r>
      <w:r>
        <w:t>, para. 31.7</w:t>
      </w:r>
    </w:p>
  </w:footnote>
  <w:footnote w:id="4">
    <w:p w14:paraId="12461CC4" w14:textId="77777777" w:rsidR="00FE090D" w:rsidRDefault="00FE090D" w:rsidP="008A2465">
      <w:pPr>
        <w:pStyle w:val="FootnoteText"/>
      </w:pPr>
      <w:r>
        <w:rPr>
          <w:rStyle w:val="FootnoteReference"/>
        </w:rPr>
        <w:footnoteRef/>
      </w:r>
      <w:r>
        <w:t xml:space="preserve"> Form CTO1 contains a statement to this effect: ‘The patient is to make himself or herself available for examination under section 20A, as requested.’</w:t>
      </w:r>
    </w:p>
  </w:footnote>
  <w:footnote w:id="5">
    <w:p w14:paraId="26CA5349" w14:textId="77777777" w:rsidR="00FE090D" w:rsidRDefault="00FE090D" w:rsidP="008A2465">
      <w:pPr>
        <w:pStyle w:val="FootnoteText"/>
      </w:pPr>
      <w:r>
        <w:rPr>
          <w:rStyle w:val="FootnoteReference"/>
        </w:rPr>
        <w:footnoteRef/>
      </w:r>
      <w:r>
        <w:t xml:space="preserve"> Form CTO1 contains a statement to this effect: ‘If it is proposed to give a certificate under Part 4A of the Act in the patient’s case, the patient is to make himself or herself available for examination to enable the certificate to be given, as requested.’</w:t>
      </w:r>
    </w:p>
  </w:footnote>
  <w:footnote w:id="6">
    <w:p w14:paraId="2A5A5C83" w14:textId="77777777" w:rsidR="00FE090D" w:rsidRDefault="00FE090D" w:rsidP="00A47AEA">
      <w:pPr>
        <w:pStyle w:val="FootnoteText"/>
      </w:pPr>
      <w:r>
        <w:rPr>
          <w:rStyle w:val="FootnoteReference"/>
        </w:rPr>
        <w:footnoteRef/>
      </w:r>
      <w:r>
        <w:t xml:space="preserve"> </w:t>
      </w:r>
      <w:r>
        <w:rPr>
          <w:i/>
        </w:rPr>
        <w:t>The Code</w:t>
      </w:r>
      <w:r>
        <w:t>, paras. 29.27 – 29.33</w:t>
      </w:r>
    </w:p>
  </w:footnote>
  <w:footnote w:id="7">
    <w:p w14:paraId="679BCFC0" w14:textId="77777777" w:rsidR="00FE090D" w:rsidRDefault="00FE090D" w:rsidP="00A47AEA">
      <w:pPr>
        <w:pStyle w:val="FootnoteText"/>
      </w:pPr>
      <w:r>
        <w:rPr>
          <w:rStyle w:val="FootnoteReference"/>
        </w:rPr>
        <w:footnoteRef/>
      </w:r>
      <w:r>
        <w:t xml:space="preserve"> It is held that such an action may be in breach of the Public Law Principle of ‘Propriety of Purpose’ which requires that a statutory power can only be exercised for a legitimate purpose which Parliament intended.</w:t>
      </w:r>
    </w:p>
  </w:footnote>
  <w:footnote w:id="8">
    <w:p w14:paraId="0F100AC3" w14:textId="77777777" w:rsidR="00FE090D" w:rsidRDefault="00FE090D" w:rsidP="003706A8">
      <w:pPr>
        <w:pStyle w:val="FootnoteText"/>
      </w:pPr>
      <w:r>
        <w:rPr>
          <w:rStyle w:val="FootnoteReference"/>
        </w:rPr>
        <w:footnoteRef/>
      </w:r>
      <w:r>
        <w:t xml:space="preserve"> Independent Mental Health Advocacy services under the Act are introduced from April 2009.</w:t>
      </w:r>
    </w:p>
  </w:footnote>
  <w:footnote w:id="9">
    <w:p w14:paraId="2EFA0408" w14:textId="77777777" w:rsidR="00FE090D" w:rsidRDefault="00FE090D" w:rsidP="00B0087A">
      <w:pPr>
        <w:pStyle w:val="FootnoteText"/>
      </w:pPr>
      <w:r>
        <w:rPr>
          <w:rStyle w:val="FootnoteReference"/>
        </w:rPr>
        <w:footnoteRef/>
      </w:r>
      <w:r>
        <w:t xml:space="preserve"> </w:t>
      </w:r>
      <w:r>
        <w:rPr>
          <w:i/>
          <w:iCs/>
        </w:rPr>
        <w:t>Gillick v West Norfolk and Wisbech Area Health Authority</w:t>
      </w:r>
      <w:r>
        <w:t xml:space="preserve"> [1985] 3 All ER 402 (HL)</w:t>
      </w:r>
    </w:p>
  </w:footnote>
  <w:footnote w:id="10">
    <w:p w14:paraId="48796FF6" w14:textId="77777777" w:rsidR="00FE090D" w:rsidRDefault="00FE090D" w:rsidP="00B0087A">
      <w:pPr>
        <w:pStyle w:val="FootnoteText"/>
      </w:pPr>
      <w:r>
        <w:rPr>
          <w:rStyle w:val="FootnoteReference"/>
        </w:rPr>
        <w:footnoteRef/>
      </w:r>
      <w:r>
        <w:t xml:space="preserve"> Young people aged 16 and 17 do not have the power, under the Mental Capacity Act to make a lasting power of attorney nor make valid and applicable advanced decisions to refuse treatment.</w:t>
      </w:r>
    </w:p>
  </w:footnote>
  <w:footnote w:id="11">
    <w:p w14:paraId="75C90E06" w14:textId="77777777" w:rsidR="00FE090D" w:rsidRDefault="00FE090D" w:rsidP="00B0087A">
      <w:pPr>
        <w:pStyle w:val="FootnoteText"/>
      </w:pPr>
      <w:r>
        <w:rPr>
          <w:rStyle w:val="FootnoteReference"/>
        </w:rPr>
        <w:footnoteRef/>
      </w:r>
      <w:r>
        <w:t xml:space="preserve"> See Chapter 9 of </w:t>
      </w:r>
      <w:r>
        <w:rPr>
          <w:i/>
        </w:rPr>
        <w:t>The Code of Practice MHA</w:t>
      </w:r>
    </w:p>
  </w:footnote>
  <w:footnote w:id="12">
    <w:p w14:paraId="3D2BFE55" w14:textId="77777777" w:rsidR="00FE090D" w:rsidRDefault="00FE090D" w:rsidP="00B0087A">
      <w:pPr>
        <w:pStyle w:val="FootnoteText"/>
      </w:pPr>
      <w:r>
        <w:rPr>
          <w:rStyle w:val="FootnoteReference"/>
        </w:rPr>
        <w:footnoteRef/>
      </w:r>
      <w:r>
        <w:t xml:space="preserve"> See conditions set out in section 6 </w:t>
      </w:r>
      <w:r>
        <w:rPr>
          <w:i/>
        </w:rPr>
        <w:t xml:space="preserve">Mental Capacity Act </w:t>
      </w:r>
      <w:r>
        <w:t xml:space="preserve">2005 </w:t>
      </w:r>
    </w:p>
  </w:footnote>
  <w:footnote w:id="13">
    <w:p w14:paraId="5BC8C9FC" w14:textId="77777777" w:rsidR="00FE090D" w:rsidRDefault="00FE090D" w:rsidP="00B0087A">
      <w:pPr>
        <w:pStyle w:val="FootnoteText"/>
      </w:pPr>
      <w:r>
        <w:rPr>
          <w:rStyle w:val="FootnoteReference"/>
        </w:rPr>
        <w:footnoteRef/>
      </w:r>
      <w:r>
        <w:t xml:space="preserve"> </w:t>
      </w:r>
      <w:r>
        <w:rPr>
          <w:i/>
        </w:rPr>
        <w:t>The Code of Practice MHA</w:t>
      </w:r>
      <w:r>
        <w:t>, para 24.26</w:t>
      </w:r>
    </w:p>
  </w:footnote>
  <w:footnote w:id="14">
    <w:p w14:paraId="16F52557" w14:textId="77777777" w:rsidR="00FE090D" w:rsidRDefault="00FE090D" w:rsidP="00A36365">
      <w:pPr>
        <w:pStyle w:val="FootnoteText"/>
      </w:pPr>
      <w:r>
        <w:rPr>
          <w:rStyle w:val="FootnoteReference"/>
        </w:rPr>
        <w:footnoteRef/>
      </w:r>
      <w:r>
        <w:t xml:space="preserve"> High Court - Devon Partnership NHS Trust v SSHC [2021] EWHC 101 (Admin)</w:t>
      </w:r>
    </w:p>
  </w:footnote>
  <w:footnote w:id="15">
    <w:p w14:paraId="55A639B2" w14:textId="77777777" w:rsidR="00FE090D" w:rsidRDefault="00FE090D" w:rsidP="00A36365">
      <w:pPr>
        <w:pStyle w:val="FootnoteText"/>
      </w:pPr>
      <w:r>
        <w:rPr>
          <w:rStyle w:val="FootnoteReference"/>
        </w:rPr>
        <w:footnoteRef/>
      </w:r>
      <w:r>
        <w:t xml:space="preserve"> </w:t>
      </w:r>
      <w:r>
        <w:rPr>
          <w:i/>
        </w:rPr>
        <w:t xml:space="preserve">The Act, </w:t>
      </w:r>
      <w:r>
        <w:t>s20A(6)</w:t>
      </w:r>
    </w:p>
  </w:footnote>
  <w:footnote w:id="16">
    <w:p w14:paraId="65003941" w14:textId="77777777" w:rsidR="00FE090D" w:rsidRDefault="00FE090D" w:rsidP="00A36365">
      <w:pPr>
        <w:pStyle w:val="FootnoteText"/>
      </w:pPr>
      <w:r>
        <w:rPr>
          <w:rStyle w:val="FootnoteReference"/>
        </w:rPr>
        <w:footnoteRef/>
      </w:r>
      <w:r>
        <w:t xml:space="preserve"> </w:t>
      </w:r>
      <w:r>
        <w:rPr>
          <w:i/>
        </w:rPr>
        <w:t xml:space="preserve">The Code, </w:t>
      </w:r>
      <w:r>
        <w:t>paras. 38.11 - 38.12</w:t>
      </w:r>
    </w:p>
  </w:footnote>
  <w:footnote w:id="17">
    <w:p w14:paraId="79F05DD6" w14:textId="77777777" w:rsidR="00FE090D" w:rsidRDefault="00FE090D" w:rsidP="00471898">
      <w:pPr>
        <w:pStyle w:val="FootnoteText"/>
      </w:pPr>
      <w:r>
        <w:rPr>
          <w:rStyle w:val="FootnoteReference"/>
        </w:rPr>
        <w:footnoteRef/>
      </w:r>
      <w:r>
        <w:t xml:space="preserve"> </w:t>
      </w:r>
      <w:r>
        <w:rPr>
          <w:i/>
        </w:rPr>
        <w:t>The Act</w:t>
      </w:r>
      <w:r>
        <w:t xml:space="preserve">, s19A </w:t>
      </w:r>
    </w:p>
  </w:footnote>
  <w:footnote w:id="18">
    <w:p w14:paraId="154CC751" w14:textId="77777777" w:rsidR="00FE090D" w:rsidRDefault="00FE090D" w:rsidP="00471898">
      <w:pPr>
        <w:pStyle w:val="FootnoteText"/>
      </w:pPr>
      <w:r>
        <w:rPr>
          <w:rStyle w:val="FootnoteReference"/>
        </w:rPr>
        <w:footnoteRef/>
      </w:r>
      <w:r>
        <w:t xml:space="preserve"> </w:t>
      </w:r>
      <w:r>
        <w:rPr>
          <w:i/>
        </w:rPr>
        <w:t>The Code</w:t>
      </w:r>
      <w:r>
        <w:t>, para 37.18</w:t>
      </w:r>
    </w:p>
  </w:footnote>
  <w:footnote w:id="19">
    <w:p w14:paraId="58434D66" w14:textId="77777777" w:rsidR="00FE090D" w:rsidRDefault="00FE090D" w:rsidP="007C14AE">
      <w:pPr>
        <w:pStyle w:val="FootnoteText"/>
      </w:pPr>
      <w:r>
        <w:rPr>
          <w:rStyle w:val="FootnoteReference"/>
        </w:rPr>
        <w:footnoteRef/>
      </w:r>
      <w:r>
        <w:t xml:space="preserve"> An order for discharge is made under s23(2)(a) if a Community Treatment Order has been revoked or s23(2)(c) if a Community Treatment Order is still in force </w:t>
      </w:r>
    </w:p>
  </w:footnote>
  <w:footnote w:id="20">
    <w:p w14:paraId="28FD3320" w14:textId="77777777" w:rsidR="00FE090D" w:rsidRDefault="00FE090D" w:rsidP="007C14AE">
      <w:pPr>
        <w:pStyle w:val="FootnoteText"/>
      </w:pPr>
      <w:r>
        <w:rPr>
          <w:rStyle w:val="FootnoteReference"/>
        </w:rPr>
        <w:footnoteRef/>
      </w:r>
      <w:r>
        <w:t xml:space="preserve"> Admission under section 2 should not normally be considered as a legitimate alternative to recall or revocation of a community treatment order.</w:t>
      </w:r>
    </w:p>
  </w:footnote>
  <w:footnote w:id="21">
    <w:p w14:paraId="118464A7" w14:textId="77777777" w:rsidR="00FE090D" w:rsidRDefault="00FE090D" w:rsidP="00624418">
      <w:pPr>
        <w:pStyle w:val="FootnoteText"/>
      </w:pPr>
      <w:r>
        <w:rPr>
          <w:rStyle w:val="FootnoteReference"/>
        </w:rPr>
        <w:footnoteRef/>
      </w:r>
      <w:r>
        <w:t xml:space="preserve"> </w:t>
      </w:r>
      <w:r>
        <w:rPr>
          <w:i/>
        </w:rPr>
        <w:t xml:space="preserve">The Code </w:t>
      </w:r>
      <w:r>
        <w:t>paras. 29.45 - 29.51</w:t>
      </w:r>
    </w:p>
  </w:footnote>
  <w:footnote w:id="22">
    <w:p w14:paraId="3CBA2441" w14:textId="77777777" w:rsidR="00FE090D" w:rsidRPr="007E7AD2" w:rsidRDefault="00FE090D" w:rsidP="007E7AD2">
      <w:pPr>
        <w:pStyle w:val="FootnoteText"/>
      </w:pPr>
      <w:r>
        <w:rPr>
          <w:rStyle w:val="FootnoteReference"/>
        </w:rPr>
        <w:footnoteRef/>
      </w:r>
      <w:r>
        <w:t xml:space="preserve"> </w:t>
      </w:r>
      <w:r w:rsidRPr="007E7AD2">
        <w:rPr>
          <w:b/>
          <w:bCs/>
        </w:rPr>
        <w:t>Hospital</w:t>
      </w:r>
      <w:r w:rsidRPr="007E7AD2">
        <w:t xml:space="preserve"> The definition of hospital in s.275(1) of the 2006 Act is very broad:</w:t>
      </w:r>
    </w:p>
    <w:p w14:paraId="4C0D9799" w14:textId="77777777" w:rsidR="00FE090D" w:rsidRPr="007E7AD2" w:rsidRDefault="00FE090D" w:rsidP="007E7AD2">
      <w:pPr>
        <w:pStyle w:val="FootnoteText"/>
      </w:pPr>
      <w:r w:rsidRPr="007E7AD2">
        <w:t>“‘hospital’ means—</w:t>
      </w:r>
    </w:p>
    <w:p w14:paraId="407D9516" w14:textId="77777777" w:rsidR="00FE090D" w:rsidRPr="007E7AD2" w:rsidRDefault="00FE090D" w:rsidP="007E7AD2">
      <w:pPr>
        <w:pStyle w:val="FootnoteText"/>
      </w:pPr>
      <w:r w:rsidRPr="007E7AD2">
        <w:t>(a) any institution for the reception and treatment of persons suffering from illness,</w:t>
      </w:r>
    </w:p>
    <w:p w14:paraId="2CCD31ED" w14:textId="77777777" w:rsidR="00FE090D" w:rsidRPr="007E7AD2" w:rsidRDefault="00FE090D" w:rsidP="007E7AD2">
      <w:pPr>
        <w:pStyle w:val="FootnoteText"/>
      </w:pPr>
      <w:r w:rsidRPr="007E7AD2">
        <w:t>(b) any maternity home, and</w:t>
      </w:r>
    </w:p>
    <w:p w14:paraId="57012F22" w14:textId="77777777" w:rsidR="00FE090D" w:rsidRPr="007E7AD2" w:rsidRDefault="00FE090D" w:rsidP="007E7AD2">
      <w:pPr>
        <w:pStyle w:val="FootnoteText"/>
      </w:pPr>
      <w:r w:rsidRPr="007E7AD2">
        <w:t>(c) any institution for the reception and treatment of persons during convalescence or persons requiring medical rehabilitation,</w:t>
      </w:r>
    </w:p>
    <w:p w14:paraId="50161B9C" w14:textId="783C8DB8" w:rsidR="00FE090D" w:rsidRDefault="00FE090D">
      <w:pPr>
        <w:pStyle w:val="FootnoteText"/>
      </w:pPr>
      <w:r w:rsidRPr="007E7AD2">
        <w:t>and includes clinics, dispensaries and out-patient departments maintained in connection with any such home or institution, and ‘hospital accommodation’ must be construed accordingly”.</w:t>
      </w:r>
      <w:r>
        <w:t xml:space="preserve"> Section 145(1) General Notes Mental Health Act Manual 27</w:t>
      </w:r>
      <w:r w:rsidRPr="007E7AD2">
        <w:rPr>
          <w:vertAlign w:val="superscript"/>
        </w:rPr>
        <w:t>th</w:t>
      </w:r>
      <w:r>
        <w:t xml:space="preserve"> Ed, 2024</w:t>
      </w:r>
    </w:p>
  </w:footnote>
  <w:footnote w:id="23">
    <w:p w14:paraId="1F161544" w14:textId="77777777" w:rsidR="00FE090D" w:rsidRDefault="00FE090D" w:rsidP="00624418">
      <w:pPr>
        <w:pStyle w:val="FootnoteText"/>
      </w:pPr>
      <w:r>
        <w:rPr>
          <w:rStyle w:val="FootnoteReference"/>
        </w:rPr>
        <w:footnoteRef/>
      </w:r>
      <w:r>
        <w:t xml:space="preserve"> In London see, Mental Health Project Team, Territorial Policing Headquarters, Metropolitan Police (2011) </w:t>
      </w:r>
      <w:r>
        <w:rPr>
          <w:i/>
        </w:rPr>
        <w:t>Operational Guidance for Police Officers and Staff responding to Incidents involving someone with a Mental Illness</w:t>
      </w:r>
      <w:r>
        <w:t>, 1</w:t>
      </w:r>
      <w:r>
        <w:rPr>
          <w:vertAlign w:val="superscript"/>
        </w:rPr>
        <w:t>st</w:t>
      </w:r>
      <w:r>
        <w:t xml:space="preserve"> January 2011 (published under Freedom of Information Act Scheme at </w:t>
      </w:r>
      <w:hyperlink r:id="rId1" w:history="1">
        <w:r w:rsidRPr="00475E85">
          <w:rPr>
            <w:rStyle w:val="Hyperlink"/>
          </w:rPr>
          <w:t>http://www.met.police.uk/foi/pdfs/policies/mental_health_policy.pdf</w:t>
        </w:r>
      </w:hyperlink>
      <w:r>
        <w:t>)</w:t>
      </w:r>
      <w:r>
        <w:rPr>
          <w:i/>
          <w:color w:val="0000FF"/>
        </w:rPr>
        <w:t xml:space="preserve"> </w:t>
      </w:r>
      <w:r>
        <w:rPr>
          <w:color w:val="0000FF"/>
        </w:rPr>
        <w:t xml:space="preserve"> </w:t>
      </w:r>
    </w:p>
  </w:footnote>
  <w:footnote w:id="24">
    <w:p w14:paraId="2D3A86D4" w14:textId="77777777" w:rsidR="00FE090D" w:rsidRDefault="00FE090D" w:rsidP="00624418">
      <w:pPr>
        <w:pStyle w:val="FootnoteText"/>
      </w:pPr>
      <w:r>
        <w:rPr>
          <w:rStyle w:val="FootnoteReference"/>
        </w:rPr>
        <w:footnoteRef/>
      </w:r>
      <w:r>
        <w:t xml:space="preserve"> Statutory Instrument 1184 (2008) Mental Health, England. </w:t>
      </w:r>
      <w:r>
        <w:rPr>
          <w:i/>
        </w:rPr>
        <w:t>The Mental Health (Hospital, Guardianship and Treatment) (</w:t>
      </w:r>
      <w:smartTag w:uri="urn:schemas-microsoft-com:office:smarttags" w:element="country-region">
        <w:smartTag w:uri="urn:schemas-microsoft-com:office:smarttags" w:element="place">
          <w:r>
            <w:rPr>
              <w:i/>
            </w:rPr>
            <w:t>England</w:t>
          </w:r>
        </w:smartTag>
      </w:smartTag>
      <w:r>
        <w:rPr>
          <w:i/>
        </w:rPr>
        <w:t>) Regulations 2008</w:t>
      </w:r>
      <w:r>
        <w:t>, regulation 9(3)-9(5)</w:t>
      </w:r>
    </w:p>
  </w:footnote>
  <w:footnote w:id="25">
    <w:p w14:paraId="3953448A" w14:textId="77777777" w:rsidR="00FE090D" w:rsidRDefault="00FE090D" w:rsidP="00624418">
      <w:pPr>
        <w:pStyle w:val="FootnoteText"/>
      </w:pPr>
      <w:r>
        <w:rPr>
          <w:rStyle w:val="FootnoteReference"/>
        </w:rPr>
        <w:footnoteRef/>
      </w:r>
      <w:r>
        <w:t xml:space="preserve"> This position is confirmed by s17E(4), </w:t>
      </w:r>
      <w:r>
        <w:rPr>
          <w:i/>
        </w:rPr>
        <w:t>The Act</w:t>
      </w:r>
    </w:p>
  </w:footnote>
  <w:footnote w:id="26">
    <w:p w14:paraId="36D9FBEC" w14:textId="77777777" w:rsidR="00FE090D" w:rsidRDefault="00FE090D" w:rsidP="00904361">
      <w:pPr>
        <w:pStyle w:val="FootnoteText"/>
      </w:pPr>
      <w:r>
        <w:rPr>
          <w:rStyle w:val="FootnoteReference"/>
        </w:rPr>
        <w:footnoteRef/>
      </w:r>
      <w:r>
        <w:t xml:space="preserve"> This is a Trust Policy requirement as opposed to the requirements of the MHA 1983</w:t>
      </w:r>
    </w:p>
  </w:footnote>
  <w:footnote w:id="27">
    <w:p w14:paraId="63A26ED0" w14:textId="77777777" w:rsidR="00FE090D" w:rsidRDefault="00FE090D" w:rsidP="00904361">
      <w:pPr>
        <w:pStyle w:val="FootnoteText"/>
      </w:pPr>
      <w:r>
        <w:rPr>
          <w:rStyle w:val="FootnoteReference"/>
        </w:rPr>
        <w:footnoteRef/>
      </w:r>
      <w:r>
        <w:t xml:space="preserve"> This is a Trust Policy requirement as opposed to the requirements of the MHA 1983</w:t>
      </w:r>
    </w:p>
  </w:footnote>
  <w:footnote w:id="28">
    <w:p w14:paraId="61356508" w14:textId="77777777" w:rsidR="00FE090D" w:rsidRDefault="00FE090D" w:rsidP="00572D3C">
      <w:pPr>
        <w:pStyle w:val="FootnoteText"/>
      </w:pPr>
      <w:r>
        <w:rPr>
          <w:rStyle w:val="FootnoteReference"/>
        </w:rPr>
        <w:footnoteRef/>
      </w:r>
      <w:r>
        <w:t xml:space="preserve"> Sections 57, 58, 58A and 63, </w:t>
      </w:r>
      <w:r>
        <w:rPr>
          <w:i/>
        </w:rPr>
        <w:t>The Act</w:t>
      </w:r>
      <w:r>
        <w:t xml:space="preserve"> </w:t>
      </w:r>
    </w:p>
  </w:footnote>
  <w:footnote w:id="29">
    <w:p w14:paraId="5871D08D" w14:textId="77777777" w:rsidR="00FE090D" w:rsidRDefault="00FE090D" w:rsidP="00572D3C">
      <w:pPr>
        <w:pStyle w:val="FootnoteText"/>
      </w:pPr>
      <w:r>
        <w:rPr>
          <w:rStyle w:val="FootnoteReference"/>
        </w:rPr>
        <w:footnoteRef/>
      </w:r>
      <w:r>
        <w:t xml:space="preserve"> </w:t>
      </w:r>
      <w:r>
        <w:rPr>
          <w:i/>
        </w:rPr>
        <w:t xml:space="preserve">The Code, </w:t>
      </w:r>
      <w:r>
        <w:t>para. 25.84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886D" w14:textId="77777777" w:rsidR="00FE090D" w:rsidRDefault="00FE090D" w:rsidP="00742373">
    <w:pPr>
      <w:pStyle w:val="Header"/>
      <w:tabs>
        <w:tab w:val="clear" w:pos="4513"/>
        <w:tab w:val="clear" w:pos="9026"/>
        <w:tab w:val="left" w:pos="6420"/>
      </w:tabs>
    </w:pPr>
    <w:r>
      <w:tab/>
    </w:r>
    <w:r>
      <w:rPr>
        <w:noProof/>
      </w:rPr>
      <w:drawing>
        <wp:anchor distT="0" distB="0" distL="114300" distR="114300" simplePos="0" relativeHeight="251658240" behindDoc="0" locked="0" layoutInCell="1" allowOverlap="1" wp14:anchorId="29B95819" wp14:editId="467579EB">
          <wp:simplePos x="0" y="0"/>
          <wp:positionH relativeFrom="column">
            <wp:posOffset>4076700</wp:posOffset>
          </wp:positionH>
          <wp:positionV relativeFrom="paragraph">
            <wp:posOffset>2540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213"/>
    <w:multiLevelType w:val="multilevel"/>
    <w:tmpl w:val="1A58FD8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9348E1"/>
    <w:multiLevelType w:val="hybridMultilevel"/>
    <w:tmpl w:val="D0C843AC"/>
    <w:lvl w:ilvl="0" w:tplc="6FA201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D0545"/>
    <w:multiLevelType w:val="hybridMultilevel"/>
    <w:tmpl w:val="A1EA24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864D5"/>
    <w:multiLevelType w:val="hybridMultilevel"/>
    <w:tmpl w:val="F7CAC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A70CF"/>
    <w:multiLevelType w:val="hybridMultilevel"/>
    <w:tmpl w:val="4B8486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D779C"/>
    <w:multiLevelType w:val="hybridMultilevel"/>
    <w:tmpl w:val="0EB0CF3C"/>
    <w:lvl w:ilvl="0" w:tplc="6FA0B9F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4B5BCE"/>
    <w:multiLevelType w:val="hybridMultilevel"/>
    <w:tmpl w:val="A8D2216C"/>
    <w:lvl w:ilvl="0" w:tplc="6FA0B9F0">
      <w:start w:val="1"/>
      <w:numFmt w:val="bullet"/>
      <w:lvlText w:val=""/>
      <w:lvlJc w:val="left"/>
      <w:pPr>
        <w:tabs>
          <w:tab w:val="num" w:pos="2160"/>
        </w:tabs>
        <w:ind w:left="2160" w:hanging="360"/>
      </w:pPr>
      <w:rPr>
        <w:rFonts w:ascii="Symbol" w:hAnsi="Symbol" w:hint="default"/>
        <w:color w:val="auto"/>
      </w:rPr>
    </w:lvl>
    <w:lvl w:ilvl="1" w:tplc="6FA0B9F0">
      <w:start w:val="1"/>
      <w:numFmt w:val="bullet"/>
      <w:lvlText w:val=""/>
      <w:lvlJc w:val="left"/>
      <w:pPr>
        <w:ind w:left="2160" w:hanging="360"/>
      </w:pPr>
      <w:rPr>
        <w:rFonts w:ascii="Symbol" w:hAnsi="Symbol" w:hint="default"/>
        <w:color w:val="auto"/>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C96677"/>
    <w:multiLevelType w:val="hybridMultilevel"/>
    <w:tmpl w:val="421ED8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26E200C"/>
    <w:multiLevelType w:val="hybridMultilevel"/>
    <w:tmpl w:val="2E6EAC5C"/>
    <w:lvl w:ilvl="0" w:tplc="0ED69CF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7646555"/>
    <w:multiLevelType w:val="hybridMultilevel"/>
    <w:tmpl w:val="8AD0C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6050AFC"/>
    <w:multiLevelType w:val="multilevel"/>
    <w:tmpl w:val="1A64E3F0"/>
    <w:lvl w:ilvl="0">
      <w:start w:val="1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526CC7"/>
    <w:multiLevelType w:val="hybridMultilevel"/>
    <w:tmpl w:val="087CFAD4"/>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2" w15:restartNumberingAfterBreak="0">
    <w:nsid w:val="6D5075D6"/>
    <w:multiLevelType w:val="hybridMultilevel"/>
    <w:tmpl w:val="DA40653C"/>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D48196F"/>
    <w:multiLevelType w:val="multilevel"/>
    <w:tmpl w:val="B4A0D0B0"/>
    <w:lvl w:ilvl="0">
      <w:start w:val="12"/>
      <w:numFmt w:val="decimal"/>
      <w:lvlText w:val="%1.0"/>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DBD103A"/>
    <w:multiLevelType w:val="hybridMultilevel"/>
    <w:tmpl w:val="77EE41E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634331260">
    <w:abstractNumId w:val="7"/>
  </w:num>
  <w:num w:numId="2" w16cid:durableId="1522740514">
    <w:abstractNumId w:val="8"/>
  </w:num>
  <w:num w:numId="3" w16cid:durableId="1133207707">
    <w:abstractNumId w:val="2"/>
  </w:num>
  <w:num w:numId="4" w16cid:durableId="1078864060">
    <w:abstractNumId w:val="1"/>
  </w:num>
  <w:num w:numId="5" w16cid:durableId="131287656">
    <w:abstractNumId w:val="12"/>
  </w:num>
  <w:num w:numId="6" w16cid:durableId="2075348184">
    <w:abstractNumId w:val="9"/>
  </w:num>
  <w:num w:numId="7" w16cid:durableId="499347438">
    <w:abstractNumId w:val="5"/>
  </w:num>
  <w:num w:numId="8" w16cid:durableId="1201163252">
    <w:abstractNumId w:val="4"/>
  </w:num>
  <w:num w:numId="9" w16cid:durableId="1799255900">
    <w:abstractNumId w:val="10"/>
  </w:num>
  <w:num w:numId="10" w16cid:durableId="896935741">
    <w:abstractNumId w:val="13"/>
  </w:num>
  <w:num w:numId="11" w16cid:durableId="1832066473">
    <w:abstractNumId w:val="0"/>
  </w:num>
  <w:num w:numId="12" w16cid:durableId="1082528888">
    <w:abstractNumId w:val="3"/>
  </w:num>
  <w:num w:numId="13" w16cid:durableId="1007101346">
    <w:abstractNumId w:val="6"/>
  </w:num>
  <w:num w:numId="14" w16cid:durableId="1017393470">
    <w:abstractNumId w:val="14"/>
  </w:num>
  <w:num w:numId="15" w16cid:durableId="1358582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37C4C"/>
    <w:rsid w:val="00053186"/>
    <w:rsid w:val="00066486"/>
    <w:rsid w:val="00074D4A"/>
    <w:rsid w:val="00093C22"/>
    <w:rsid w:val="000A4F93"/>
    <w:rsid w:val="000B2AC8"/>
    <w:rsid w:val="00111FA8"/>
    <w:rsid w:val="0011405B"/>
    <w:rsid w:val="00121F13"/>
    <w:rsid w:val="00140C5D"/>
    <w:rsid w:val="00152866"/>
    <w:rsid w:val="0017072C"/>
    <w:rsid w:val="00175813"/>
    <w:rsid w:val="001829F5"/>
    <w:rsid w:val="0019144D"/>
    <w:rsid w:val="001A2BD9"/>
    <w:rsid w:val="001B411A"/>
    <w:rsid w:val="001D1663"/>
    <w:rsid w:val="001D6BA1"/>
    <w:rsid w:val="001E622E"/>
    <w:rsid w:val="001F6825"/>
    <w:rsid w:val="0020429E"/>
    <w:rsid w:val="00210BB5"/>
    <w:rsid w:val="0021713E"/>
    <w:rsid w:val="002408E9"/>
    <w:rsid w:val="00272A56"/>
    <w:rsid w:val="00280F66"/>
    <w:rsid w:val="002A7FF4"/>
    <w:rsid w:val="002B3B82"/>
    <w:rsid w:val="002E0237"/>
    <w:rsid w:val="002F068F"/>
    <w:rsid w:val="00300675"/>
    <w:rsid w:val="00304839"/>
    <w:rsid w:val="003113ED"/>
    <w:rsid w:val="00330546"/>
    <w:rsid w:val="00350B37"/>
    <w:rsid w:val="00355946"/>
    <w:rsid w:val="0035621D"/>
    <w:rsid w:val="00357681"/>
    <w:rsid w:val="00360DE0"/>
    <w:rsid w:val="00363638"/>
    <w:rsid w:val="003706A8"/>
    <w:rsid w:val="00382B82"/>
    <w:rsid w:val="00385BA7"/>
    <w:rsid w:val="00394FD7"/>
    <w:rsid w:val="003A506F"/>
    <w:rsid w:val="003A516B"/>
    <w:rsid w:val="003A7B77"/>
    <w:rsid w:val="003C4408"/>
    <w:rsid w:val="003D11B2"/>
    <w:rsid w:val="003E3A1A"/>
    <w:rsid w:val="003F325B"/>
    <w:rsid w:val="00433526"/>
    <w:rsid w:val="004364D2"/>
    <w:rsid w:val="00446C18"/>
    <w:rsid w:val="00453392"/>
    <w:rsid w:val="004574A8"/>
    <w:rsid w:val="00467DF7"/>
    <w:rsid w:val="00471898"/>
    <w:rsid w:val="004976BD"/>
    <w:rsid w:val="004B587E"/>
    <w:rsid w:val="004C0B99"/>
    <w:rsid w:val="004C62A3"/>
    <w:rsid w:val="004E3D41"/>
    <w:rsid w:val="00506BF7"/>
    <w:rsid w:val="00510FB1"/>
    <w:rsid w:val="0051480C"/>
    <w:rsid w:val="00531E6A"/>
    <w:rsid w:val="005440C2"/>
    <w:rsid w:val="005477F1"/>
    <w:rsid w:val="00552133"/>
    <w:rsid w:val="005601D4"/>
    <w:rsid w:val="00564DFC"/>
    <w:rsid w:val="005658F1"/>
    <w:rsid w:val="00566155"/>
    <w:rsid w:val="00572D3C"/>
    <w:rsid w:val="00575E49"/>
    <w:rsid w:val="00594FB2"/>
    <w:rsid w:val="005A09C3"/>
    <w:rsid w:val="005C5FAD"/>
    <w:rsid w:val="005D31B2"/>
    <w:rsid w:val="005D64DE"/>
    <w:rsid w:val="005E573D"/>
    <w:rsid w:val="0062391C"/>
    <w:rsid w:val="00624418"/>
    <w:rsid w:val="0064029F"/>
    <w:rsid w:val="00662EA3"/>
    <w:rsid w:val="00666A2C"/>
    <w:rsid w:val="006671B8"/>
    <w:rsid w:val="00697267"/>
    <w:rsid w:val="006A0249"/>
    <w:rsid w:val="006C5E11"/>
    <w:rsid w:val="006D1C52"/>
    <w:rsid w:val="006D6E97"/>
    <w:rsid w:val="006E1F71"/>
    <w:rsid w:val="006E409C"/>
    <w:rsid w:val="006F3719"/>
    <w:rsid w:val="00707F09"/>
    <w:rsid w:val="00711458"/>
    <w:rsid w:val="00742373"/>
    <w:rsid w:val="0075297B"/>
    <w:rsid w:val="007600AB"/>
    <w:rsid w:val="00761306"/>
    <w:rsid w:val="007729E5"/>
    <w:rsid w:val="00795D7D"/>
    <w:rsid w:val="007A37F5"/>
    <w:rsid w:val="007B01EC"/>
    <w:rsid w:val="007C14AE"/>
    <w:rsid w:val="007D41EC"/>
    <w:rsid w:val="007D77B8"/>
    <w:rsid w:val="007E2223"/>
    <w:rsid w:val="007E6683"/>
    <w:rsid w:val="007E7AD2"/>
    <w:rsid w:val="00812EA1"/>
    <w:rsid w:val="00820992"/>
    <w:rsid w:val="0084474D"/>
    <w:rsid w:val="008467B4"/>
    <w:rsid w:val="008632AB"/>
    <w:rsid w:val="008A0504"/>
    <w:rsid w:val="008A2465"/>
    <w:rsid w:val="008B17A6"/>
    <w:rsid w:val="008C7249"/>
    <w:rsid w:val="00904361"/>
    <w:rsid w:val="009133BB"/>
    <w:rsid w:val="0091503D"/>
    <w:rsid w:val="00924B5A"/>
    <w:rsid w:val="00936923"/>
    <w:rsid w:val="00940EAF"/>
    <w:rsid w:val="009420DA"/>
    <w:rsid w:val="009436E3"/>
    <w:rsid w:val="00951E58"/>
    <w:rsid w:val="00965693"/>
    <w:rsid w:val="00977D97"/>
    <w:rsid w:val="009A0486"/>
    <w:rsid w:val="009C5056"/>
    <w:rsid w:val="009D113C"/>
    <w:rsid w:val="009D1A0E"/>
    <w:rsid w:val="009F09B1"/>
    <w:rsid w:val="009F2B70"/>
    <w:rsid w:val="00A36365"/>
    <w:rsid w:val="00A41DAA"/>
    <w:rsid w:val="00A47AEA"/>
    <w:rsid w:val="00A47CFC"/>
    <w:rsid w:val="00A5712C"/>
    <w:rsid w:val="00A72EE1"/>
    <w:rsid w:val="00A80874"/>
    <w:rsid w:val="00A82BFC"/>
    <w:rsid w:val="00A85488"/>
    <w:rsid w:val="00AA2CEB"/>
    <w:rsid w:val="00AB6B13"/>
    <w:rsid w:val="00AC5FCD"/>
    <w:rsid w:val="00AE3955"/>
    <w:rsid w:val="00AF7175"/>
    <w:rsid w:val="00B0087A"/>
    <w:rsid w:val="00B0399B"/>
    <w:rsid w:val="00B12145"/>
    <w:rsid w:val="00B549DB"/>
    <w:rsid w:val="00B575AD"/>
    <w:rsid w:val="00B73481"/>
    <w:rsid w:val="00B74EB0"/>
    <w:rsid w:val="00B815DB"/>
    <w:rsid w:val="00B941E0"/>
    <w:rsid w:val="00BA12A8"/>
    <w:rsid w:val="00BB52B0"/>
    <w:rsid w:val="00BD6467"/>
    <w:rsid w:val="00BF3C7E"/>
    <w:rsid w:val="00C22FC2"/>
    <w:rsid w:val="00C26327"/>
    <w:rsid w:val="00C35897"/>
    <w:rsid w:val="00C42301"/>
    <w:rsid w:val="00C478E4"/>
    <w:rsid w:val="00C50E68"/>
    <w:rsid w:val="00C54460"/>
    <w:rsid w:val="00C60A24"/>
    <w:rsid w:val="00C60FB9"/>
    <w:rsid w:val="00C850DD"/>
    <w:rsid w:val="00CD6CB9"/>
    <w:rsid w:val="00CE29EA"/>
    <w:rsid w:val="00CF2550"/>
    <w:rsid w:val="00D109C3"/>
    <w:rsid w:val="00D14010"/>
    <w:rsid w:val="00D1477F"/>
    <w:rsid w:val="00D2020E"/>
    <w:rsid w:val="00D26C2F"/>
    <w:rsid w:val="00D314BF"/>
    <w:rsid w:val="00DC6ECD"/>
    <w:rsid w:val="00E02939"/>
    <w:rsid w:val="00E02DBB"/>
    <w:rsid w:val="00E143B5"/>
    <w:rsid w:val="00E27182"/>
    <w:rsid w:val="00E27D84"/>
    <w:rsid w:val="00E504E6"/>
    <w:rsid w:val="00E6300C"/>
    <w:rsid w:val="00E64EF5"/>
    <w:rsid w:val="00EB1BE9"/>
    <w:rsid w:val="00EB328A"/>
    <w:rsid w:val="00ED29D5"/>
    <w:rsid w:val="00EE25BD"/>
    <w:rsid w:val="00F2071B"/>
    <w:rsid w:val="00F46513"/>
    <w:rsid w:val="00F56311"/>
    <w:rsid w:val="00FA5E5B"/>
    <w:rsid w:val="00FB6D1D"/>
    <w:rsid w:val="00FC0463"/>
    <w:rsid w:val="00FD7101"/>
    <w:rsid w:val="00FE0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C495BC"/>
  <w15:docId w15:val="{AB6EADB6-CCAD-4BCC-AC92-311CC474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next w:val="Normal"/>
    <w:link w:val="Heading1Char"/>
    <w:uiPriority w:val="9"/>
    <w:qFormat/>
    <w:rsid w:val="00F56311"/>
    <w:pPr>
      <w:keepNext/>
      <w:suppressAutoHyphens/>
      <w:autoSpaceDN w:val="0"/>
      <w:spacing w:before="840" w:after="240" w:line="584" w:lineRule="exact"/>
      <w:textAlignment w:val="baseline"/>
      <w:outlineLvl w:val="0"/>
    </w:pPr>
    <w:rPr>
      <w:rFonts w:ascii="Arial" w:eastAsia="Times New Roman" w:hAnsi="Arial" w:cs="Times New Roman"/>
      <w:b/>
      <w:sz w:val="56"/>
      <w:szCs w:val="20"/>
      <w:lang w:eastAsia="en-GB"/>
    </w:rPr>
  </w:style>
  <w:style w:type="paragraph" w:styleId="Heading2">
    <w:name w:val="heading 2"/>
    <w:next w:val="Paragraphtext"/>
    <w:link w:val="Heading2Char"/>
    <w:uiPriority w:val="9"/>
    <w:unhideWhenUsed/>
    <w:qFormat/>
    <w:rsid w:val="00F56311"/>
    <w:pPr>
      <w:keepNext/>
      <w:keepLines/>
      <w:suppressAutoHyphens/>
      <w:autoSpaceDN w:val="0"/>
      <w:spacing w:before="240" w:after="240" w:line="490" w:lineRule="exact"/>
      <w:textAlignment w:val="baseline"/>
      <w:outlineLvl w:val="1"/>
    </w:pPr>
    <w:rPr>
      <w:rFonts w:ascii="Arial" w:eastAsia="Times New Roman" w:hAnsi="Arial" w:cs="Times New Roman"/>
      <w:b/>
      <w:sz w:val="4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A2465"/>
    <w:pPr>
      <w:spacing w:before="0" w:after="0"/>
      <w:jc w:val="left"/>
    </w:pPr>
    <w:rPr>
      <w:rFonts w:cs="Arial"/>
      <w:sz w:val="20"/>
      <w:szCs w:val="20"/>
    </w:rPr>
  </w:style>
  <w:style w:type="character" w:customStyle="1" w:styleId="FootnoteTextChar">
    <w:name w:val="Footnote Text Char"/>
    <w:basedOn w:val="DefaultParagraphFont"/>
    <w:link w:val="FootnoteText"/>
    <w:semiHidden/>
    <w:rsid w:val="008A2465"/>
    <w:rPr>
      <w:rFonts w:ascii="Arial" w:eastAsia="Times New Roman" w:hAnsi="Arial" w:cs="Arial"/>
      <w:sz w:val="20"/>
      <w:szCs w:val="20"/>
      <w:lang w:eastAsia="en-GB"/>
    </w:rPr>
  </w:style>
  <w:style w:type="character" w:styleId="FootnoteReference">
    <w:name w:val="footnote reference"/>
    <w:semiHidden/>
    <w:rsid w:val="008A2465"/>
    <w:rPr>
      <w:vertAlign w:val="superscript"/>
    </w:rPr>
  </w:style>
  <w:style w:type="character" w:styleId="CommentReference">
    <w:name w:val="annotation reference"/>
    <w:rsid w:val="008A2465"/>
    <w:rPr>
      <w:sz w:val="16"/>
      <w:szCs w:val="16"/>
    </w:rPr>
  </w:style>
  <w:style w:type="paragraph" w:styleId="CommentText">
    <w:name w:val="annotation text"/>
    <w:basedOn w:val="Normal"/>
    <w:link w:val="CommentTextChar"/>
    <w:rsid w:val="008A2465"/>
    <w:pPr>
      <w:spacing w:before="0" w:after="0"/>
      <w:jc w:val="left"/>
    </w:pPr>
    <w:rPr>
      <w:rFonts w:cs="Arial"/>
      <w:sz w:val="20"/>
      <w:szCs w:val="20"/>
    </w:rPr>
  </w:style>
  <w:style w:type="character" w:customStyle="1" w:styleId="CommentTextChar">
    <w:name w:val="Comment Text Char"/>
    <w:basedOn w:val="DefaultParagraphFont"/>
    <w:link w:val="CommentText"/>
    <w:rsid w:val="008A2465"/>
    <w:rPr>
      <w:rFonts w:ascii="Arial" w:eastAsia="Times New Roman" w:hAnsi="Arial" w:cs="Arial"/>
      <w:sz w:val="20"/>
      <w:szCs w:val="20"/>
      <w:lang w:eastAsia="en-GB"/>
    </w:rPr>
  </w:style>
  <w:style w:type="paragraph" w:styleId="ListParagraph">
    <w:name w:val="List Paragraph"/>
    <w:basedOn w:val="Normal"/>
    <w:uiPriority w:val="34"/>
    <w:qFormat/>
    <w:rsid w:val="003706A8"/>
    <w:pPr>
      <w:spacing w:before="0" w:line="276" w:lineRule="auto"/>
      <w:ind w:left="720"/>
      <w:contextualSpacing/>
      <w:jc w:val="left"/>
    </w:pPr>
    <w:rPr>
      <w:rFonts w:asciiTheme="minorHAnsi" w:eastAsiaTheme="minorHAnsi" w:hAnsiTheme="minorHAnsi" w:cstheme="minorBidi"/>
      <w:szCs w:val="22"/>
      <w:lang w:eastAsia="en-US"/>
    </w:rPr>
  </w:style>
  <w:style w:type="paragraph" w:styleId="NoSpacing">
    <w:name w:val="No Spacing"/>
    <w:uiPriority w:val="1"/>
    <w:qFormat/>
    <w:rsid w:val="0021713E"/>
    <w:pPr>
      <w:spacing w:after="0" w:line="240" w:lineRule="auto"/>
      <w:jc w:val="both"/>
    </w:pPr>
    <w:rPr>
      <w:rFonts w:ascii="Arial" w:eastAsia="Times New Roman" w:hAnsi="Arial" w:cs="Times New Roman"/>
      <w:szCs w:val="24"/>
      <w:lang w:eastAsia="en-GB"/>
    </w:rPr>
  </w:style>
  <w:style w:type="character" w:styleId="Hyperlink">
    <w:name w:val="Hyperlink"/>
    <w:rsid w:val="00624418"/>
    <w:rPr>
      <w:color w:val="0000FF"/>
      <w:u w:val="single"/>
    </w:rPr>
  </w:style>
  <w:style w:type="character" w:customStyle="1" w:styleId="Heading1Char">
    <w:name w:val="Heading 1 Char"/>
    <w:basedOn w:val="DefaultParagraphFont"/>
    <w:link w:val="Heading1"/>
    <w:uiPriority w:val="9"/>
    <w:rsid w:val="00F56311"/>
    <w:rPr>
      <w:rFonts w:ascii="Arial" w:eastAsia="Times New Roman" w:hAnsi="Arial" w:cs="Times New Roman"/>
      <w:b/>
      <w:sz w:val="56"/>
      <w:szCs w:val="20"/>
      <w:lang w:eastAsia="en-GB"/>
    </w:rPr>
  </w:style>
  <w:style w:type="character" w:customStyle="1" w:styleId="Heading2Char">
    <w:name w:val="Heading 2 Char"/>
    <w:basedOn w:val="DefaultParagraphFont"/>
    <w:link w:val="Heading2"/>
    <w:uiPriority w:val="9"/>
    <w:rsid w:val="00F56311"/>
    <w:rPr>
      <w:rFonts w:ascii="Arial" w:eastAsia="Times New Roman" w:hAnsi="Arial" w:cs="Times New Roman"/>
      <w:b/>
      <w:sz w:val="41"/>
      <w:szCs w:val="20"/>
      <w:lang w:eastAsia="en-GB"/>
    </w:rPr>
  </w:style>
  <w:style w:type="paragraph" w:customStyle="1" w:styleId="Paragraphtext">
    <w:name w:val="Paragraph text"/>
    <w:rsid w:val="00F56311"/>
    <w:pPr>
      <w:suppressAutoHyphens/>
      <w:autoSpaceDN w:val="0"/>
      <w:spacing w:after="284" w:line="288" w:lineRule="auto"/>
      <w:textAlignment w:val="baseline"/>
    </w:pPr>
    <w:rPr>
      <w:rFonts w:ascii="Arial" w:eastAsia="Times New Roman" w:hAnsi="Arial" w:cs="Times New Roman"/>
      <w:sz w:val="24"/>
      <w:szCs w:val="20"/>
      <w:lang w:eastAsia="en-GB"/>
    </w:rPr>
  </w:style>
  <w:style w:type="paragraph" w:styleId="BodyText">
    <w:name w:val="Body Text"/>
    <w:basedOn w:val="Normal"/>
    <w:link w:val="BodyTextChar"/>
    <w:rsid w:val="00F56311"/>
    <w:pPr>
      <w:widowControl w:val="0"/>
      <w:suppressAutoHyphens/>
      <w:autoSpaceDE w:val="0"/>
      <w:autoSpaceDN w:val="0"/>
      <w:spacing w:before="0" w:after="0"/>
      <w:ind w:left="137"/>
      <w:jc w:val="left"/>
      <w:textAlignment w:val="baseline"/>
    </w:pPr>
    <w:rPr>
      <w:rFonts w:ascii="Times New Roman" w:hAnsi="Times New Roman"/>
      <w:sz w:val="21"/>
      <w:szCs w:val="21"/>
      <w:lang w:val="en-US" w:eastAsia="en-US"/>
    </w:rPr>
  </w:style>
  <w:style w:type="character" w:customStyle="1" w:styleId="BodyTextChar">
    <w:name w:val="Body Text Char"/>
    <w:basedOn w:val="DefaultParagraphFont"/>
    <w:link w:val="BodyText"/>
    <w:rsid w:val="00F56311"/>
    <w:rPr>
      <w:rFonts w:ascii="Times New Roman" w:eastAsia="Times New Roman" w:hAnsi="Times New Roman" w:cs="Times New Roman"/>
      <w:sz w:val="21"/>
      <w:szCs w:val="21"/>
      <w:lang w:val="en-US"/>
    </w:rPr>
  </w:style>
  <w:style w:type="paragraph" w:styleId="CommentSubject">
    <w:name w:val="annotation subject"/>
    <w:basedOn w:val="CommentText"/>
    <w:next w:val="CommentText"/>
    <w:link w:val="CommentSubjectChar"/>
    <w:uiPriority w:val="99"/>
    <w:semiHidden/>
    <w:unhideWhenUsed/>
    <w:rsid w:val="00355946"/>
    <w:pPr>
      <w:spacing w:before="200" w:after="200"/>
      <w:jc w:val="both"/>
    </w:pPr>
    <w:rPr>
      <w:rFonts w:cs="Times New Roman"/>
      <w:b/>
      <w:bCs/>
    </w:rPr>
  </w:style>
  <w:style w:type="character" w:customStyle="1" w:styleId="CommentSubjectChar">
    <w:name w:val="Comment Subject Char"/>
    <w:basedOn w:val="CommentTextChar"/>
    <w:link w:val="CommentSubject"/>
    <w:uiPriority w:val="99"/>
    <w:semiHidden/>
    <w:rsid w:val="00355946"/>
    <w:rPr>
      <w:rFonts w:ascii="Arial" w:eastAsia="Times New Roman" w:hAnsi="Arial" w:cs="Times New Roman"/>
      <w:b/>
      <w:bCs/>
      <w:sz w:val="20"/>
      <w:szCs w:val="20"/>
      <w:lang w:eastAsia="en-GB"/>
    </w:rPr>
  </w:style>
  <w:style w:type="paragraph" w:styleId="Revision">
    <w:name w:val="Revision"/>
    <w:hidden/>
    <w:uiPriority w:val="99"/>
    <w:semiHidden/>
    <w:rsid w:val="00FC0463"/>
    <w:pPr>
      <w:spacing w:after="0" w:line="240" w:lineRule="auto"/>
    </w:pPr>
    <w:rPr>
      <w:rFonts w:ascii="Arial" w:eastAsia="Times New Roman" w:hAnsi="Arial" w:cs="Times New Roman"/>
      <w:szCs w:val="24"/>
      <w:lang w:eastAsia="en-GB"/>
    </w:rPr>
  </w:style>
  <w:style w:type="table" w:customStyle="1" w:styleId="TableGrid1">
    <w:name w:val="Table Grid1"/>
    <w:basedOn w:val="TableNormal"/>
    <w:next w:val="TableGrid"/>
    <w:uiPriority w:val="59"/>
    <w:rsid w:val="00F207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1673">
      <w:bodyDiv w:val="1"/>
      <w:marLeft w:val="0"/>
      <w:marRight w:val="0"/>
      <w:marTop w:val="0"/>
      <w:marBottom w:val="0"/>
      <w:divBdr>
        <w:top w:val="none" w:sz="0" w:space="0" w:color="auto"/>
        <w:left w:val="none" w:sz="0" w:space="0" w:color="auto"/>
        <w:bottom w:val="none" w:sz="0" w:space="0" w:color="auto"/>
        <w:right w:val="none" w:sz="0" w:space="0" w:color="auto"/>
      </w:divBdr>
      <w:divsChild>
        <w:div w:id="891694223">
          <w:marLeft w:val="0"/>
          <w:marRight w:val="0"/>
          <w:marTop w:val="0"/>
          <w:marBottom w:val="0"/>
          <w:divBdr>
            <w:top w:val="none" w:sz="0" w:space="0" w:color="auto"/>
            <w:left w:val="none" w:sz="0" w:space="0" w:color="auto"/>
            <w:bottom w:val="none" w:sz="0" w:space="0" w:color="auto"/>
            <w:right w:val="none" w:sz="0" w:space="0" w:color="auto"/>
          </w:divBdr>
        </w:div>
        <w:div w:id="2011986898">
          <w:marLeft w:val="0"/>
          <w:marRight w:val="0"/>
          <w:marTop w:val="0"/>
          <w:marBottom w:val="0"/>
          <w:divBdr>
            <w:top w:val="none" w:sz="0" w:space="0" w:color="auto"/>
            <w:left w:val="none" w:sz="0" w:space="0" w:color="auto"/>
            <w:bottom w:val="none" w:sz="0" w:space="0" w:color="auto"/>
            <w:right w:val="none" w:sz="0" w:space="0" w:color="auto"/>
          </w:divBdr>
        </w:div>
        <w:div w:id="196896538">
          <w:marLeft w:val="0"/>
          <w:marRight w:val="0"/>
          <w:marTop w:val="0"/>
          <w:marBottom w:val="0"/>
          <w:divBdr>
            <w:top w:val="none" w:sz="0" w:space="0" w:color="auto"/>
            <w:left w:val="none" w:sz="0" w:space="0" w:color="auto"/>
            <w:bottom w:val="none" w:sz="0" w:space="0" w:color="auto"/>
            <w:right w:val="none" w:sz="0" w:space="0" w:color="auto"/>
          </w:divBdr>
          <w:divsChild>
            <w:div w:id="1517886708">
              <w:marLeft w:val="0"/>
              <w:marRight w:val="0"/>
              <w:marTop w:val="0"/>
              <w:marBottom w:val="0"/>
              <w:divBdr>
                <w:top w:val="none" w:sz="0" w:space="0" w:color="auto"/>
                <w:left w:val="none" w:sz="0" w:space="0" w:color="auto"/>
                <w:bottom w:val="none" w:sz="0" w:space="0" w:color="auto"/>
                <w:right w:val="none" w:sz="0" w:space="0" w:color="auto"/>
              </w:divBdr>
            </w:div>
            <w:div w:id="1211841809">
              <w:marLeft w:val="0"/>
              <w:marRight w:val="0"/>
              <w:marTop w:val="0"/>
              <w:marBottom w:val="0"/>
              <w:divBdr>
                <w:top w:val="none" w:sz="0" w:space="0" w:color="auto"/>
                <w:left w:val="none" w:sz="0" w:space="0" w:color="auto"/>
                <w:bottom w:val="none" w:sz="0" w:space="0" w:color="auto"/>
                <w:right w:val="none" w:sz="0" w:space="0" w:color="auto"/>
              </w:divBdr>
            </w:div>
            <w:div w:id="1295405692">
              <w:marLeft w:val="0"/>
              <w:marRight w:val="0"/>
              <w:marTop w:val="0"/>
              <w:marBottom w:val="0"/>
              <w:divBdr>
                <w:top w:val="none" w:sz="0" w:space="0" w:color="auto"/>
                <w:left w:val="none" w:sz="0" w:space="0" w:color="auto"/>
                <w:bottom w:val="none" w:sz="0" w:space="0" w:color="auto"/>
                <w:right w:val="none" w:sz="0" w:space="0" w:color="auto"/>
              </w:divBdr>
            </w:div>
          </w:divsChild>
        </w:div>
        <w:div w:id="1897036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met.police.uk/foi/pdfs/policies/mental_health_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2" ma:contentTypeDescription="Create a new document." ma:contentTypeScope="" ma:versionID="52928c480210fb21ac5bc7b0ba46c4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a1ac623b9d969425433635a2f19282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F6B79D3-AE6C-44FF-9B2A-9CE2634E4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291C8-ABE8-49BA-9BCC-B5B958169E12}">
  <ds:schemaRefs>
    <ds:schemaRef ds:uri="http://schemas.microsoft.com/sharepoint/v3/contenttype/forms"/>
  </ds:schemaRefs>
</ds:datastoreItem>
</file>

<file path=customXml/itemProps3.xml><?xml version="1.0" encoding="utf-8"?>
<ds:datastoreItem xmlns:ds="http://schemas.openxmlformats.org/officeDocument/2006/customXml" ds:itemID="{9E774788-3740-4357-8C5B-B61E5AB7A32F}">
  <ds:schemaRefs>
    <ds:schemaRef ds:uri="http://schemas.openxmlformats.org/officeDocument/2006/bibliography"/>
  </ds:schemaRefs>
</ds:datastoreItem>
</file>

<file path=customXml/itemProps4.xml><?xml version="1.0" encoding="utf-8"?>
<ds:datastoreItem xmlns:ds="http://schemas.openxmlformats.org/officeDocument/2006/customXml" ds:itemID="{40495E31-67ED-4A05-B7B5-64437791E969}">
  <ds:schemaRefs>
    <ds:schemaRef ds:uri="0b4fc205-a614-4830-878e-1fcbd167ea01"/>
    <ds:schemaRef ds:uri="http://purl.org/dc/elements/1.1/"/>
    <ds:schemaRef ds:uri="http://schemas.microsoft.com/office/2006/metadata/properties"/>
    <ds:schemaRef ds:uri="http://purl.org/dc/terms/"/>
    <ds:schemaRef ds:uri="http://schemas.microsoft.com/sharepoint/v3"/>
    <ds:schemaRef ds:uri="http://purl.org/dc/dcmitype/"/>
    <ds:schemaRef ds:uri="http://schemas.microsoft.com/office/2006/documentManagement/types"/>
    <ds:schemaRef ds:uri="670439b0-d7f9-4a70-9686-b0bacac466a7"/>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TotalTime>
  <Pages>21</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3</cp:revision>
  <cp:lastPrinted>2025-07-23T13:13:00Z</cp:lastPrinted>
  <dcterms:created xsi:type="dcterms:W3CDTF">2025-07-23T13:12:00Z</dcterms:created>
  <dcterms:modified xsi:type="dcterms:W3CDTF">2025-07-23T14:17:00Z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