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83A0" w14:textId="3637A025" w:rsidR="00965683" w:rsidRPr="00983FE6" w:rsidRDefault="00965683" w:rsidP="00F06F81">
      <w:pPr>
        <w:jc w:val="center"/>
        <w:rPr>
          <w:rFonts w:ascii="Arial" w:hAnsi="Arial" w:cs="Arial"/>
          <w:sz w:val="24"/>
          <w:szCs w:val="24"/>
        </w:rPr>
      </w:pPr>
      <w:r w:rsidRPr="00983FE6">
        <w:rPr>
          <w:rFonts w:ascii="Arial" w:hAnsi="Arial" w:cs="Arial"/>
          <w:b/>
          <w:bCs/>
          <w:sz w:val="24"/>
          <w:szCs w:val="24"/>
        </w:rPr>
        <w:t xml:space="preserve">Policy in a Nutshell </w:t>
      </w:r>
      <w:r w:rsidR="00B72C3E" w:rsidRPr="00983FE6">
        <w:rPr>
          <w:rFonts w:ascii="Arial" w:hAnsi="Arial" w:cs="Arial"/>
          <w:sz w:val="24"/>
          <w:szCs w:val="24"/>
        </w:rPr>
        <w:t>(</w:t>
      </w:r>
      <w:r w:rsidR="00F84601">
        <w:rPr>
          <w:rFonts w:ascii="Arial" w:hAnsi="Arial" w:cs="Arial"/>
          <w:sz w:val="24"/>
          <w:szCs w:val="24"/>
        </w:rPr>
        <w:t>June</w:t>
      </w:r>
      <w:r w:rsidR="00A72E97" w:rsidRPr="00983FE6">
        <w:rPr>
          <w:rFonts w:ascii="Arial" w:hAnsi="Arial" w:cs="Arial"/>
          <w:sz w:val="24"/>
          <w:szCs w:val="24"/>
        </w:rPr>
        <w:t xml:space="preserve"> 2025</w:t>
      </w:r>
      <w:r w:rsidRPr="00983FE6">
        <w:rPr>
          <w:rFonts w:ascii="Arial" w:hAnsi="Arial" w:cs="Arial"/>
          <w:sz w:val="24"/>
          <w:szCs w:val="24"/>
        </w:rPr>
        <w:t>)</w:t>
      </w:r>
    </w:p>
    <w:p w14:paraId="576DF214" w14:textId="77777777" w:rsidR="00FD1F91" w:rsidRPr="00983FE6" w:rsidRDefault="00FD1F91" w:rsidP="00F06F81">
      <w:pPr>
        <w:jc w:val="center"/>
        <w:rPr>
          <w:rFonts w:ascii="Arial" w:hAnsi="Arial" w:cs="Arial"/>
        </w:rPr>
      </w:pPr>
    </w:p>
    <w:p w14:paraId="28096DE3" w14:textId="2FECD11E" w:rsidR="00965683" w:rsidRPr="00983FE6" w:rsidRDefault="00965683" w:rsidP="00965683">
      <w:pPr>
        <w:rPr>
          <w:rFonts w:ascii="Arial" w:hAnsi="Arial" w:cs="Arial"/>
        </w:rPr>
      </w:pPr>
      <w:r w:rsidRPr="00983FE6">
        <w:rPr>
          <w:rFonts w:ascii="Arial" w:hAnsi="Arial" w:cs="Arial"/>
        </w:rPr>
        <w:t>The following policies were ratified or extended recently by the Quality Committee</w:t>
      </w:r>
      <w:r w:rsidR="00FD1F91" w:rsidRPr="00983FE6">
        <w:rPr>
          <w:rFonts w:ascii="Arial" w:hAnsi="Arial" w:cs="Arial"/>
        </w:rPr>
        <w:t>:</w:t>
      </w:r>
      <w:r w:rsidRPr="00983FE6">
        <w:rPr>
          <w:rFonts w:ascii="Arial" w:hAnsi="Arial" w:cs="Arial"/>
        </w:rPr>
        <w:t xml:space="preserve"> </w:t>
      </w:r>
    </w:p>
    <w:p w14:paraId="0371AF97" w14:textId="5AFB7F4D" w:rsidR="00F84601" w:rsidRPr="00F84601" w:rsidRDefault="00965683" w:rsidP="00F84601">
      <w:pPr>
        <w:rPr>
          <w:rFonts w:ascii="Arial" w:hAnsi="Arial" w:cs="Arial"/>
          <w:b/>
          <w:bCs/>
        </w:rPr>
      </w:pPr>
      <w:r w:rsidRPr="00983FE6">
        <w:rPr>
          <w:rFonts w:ascii="Arial" w:hAnsi="Arial" w:cs="Arial"/>
          <w:b/>
          <w:bCs/>
        </w:rPr>
        <w:t>Policies Ratified</w:t>
      </w:r>
    </w:p>
    <w:p w14:paraId="68949CC8" w14:textId="69A6DD78" w:rsidR="00F84601" w:rsidRPr="00F84601" w:rsidRDefault="00F84601" w:rsidP="00F84601">
      <w:pPr>
        <w:rPr>
          <w:rFonts w:ascii="Arial" w:hAnsi="Arial" w:cs="Arial"/>
        </w:rPr>
      </w:pPr>
      <w:r w:rsidRPr="00F84601">
        <w:rPr>
          <w:rFonts w:ascii="Arial" w:hAnsi="Arial" w:cs="Arial"/>
        </w:rPr>
        <w:t xml:space="preserve">The </w:t>
      </w:r>
      <w:r w:rsidRPr="00F84601">
        <w:rPr>
          <w:rFonts w:ascii="Arial" w:hAnsi="Arial" w:cs="Arial"/>
          <w:b/>
          <w:bCs/>
        </w:rPr>
        <w:t>Business Continuity Plan</w:t>
      </w:r>
      <w:r w:rsidRPr="00F84601">
        <w:rPr>
          <w:rFonts w:ascii="Arial" w:hAnsi="Arial" w:cs="Arial"/>
        </w:rPr>
        <w:t xml:space="preserve"> outlines the procedures to manage disruptions affecting the Trust, ensuring the continued delivery of critical functions and prioriti</w:t>
      </w:r>
      <w:r w:rsidR="001D77CC">
        <w:rPr>
          <w:rFonts w:ascii="Arial" w:hAnsi="Arial" w:cs="Arial"/>
        </w:rPr>
        <w:t>s</w:t>
      </w:r>
      <w:r w:rsidRPr="00F84601">
        <w:rPr>
          <w:rFonts w:ascii="Arial" w:hAnsi="Arial" w:cs="Arial"/>
        </w:rPr>
        <w:t>ing service recovery. It can be activated independently or alongside the Incident Response Plan during major incidents and complements other emergency preparedness plans such as those for severe weather, flooding, and fuel shortages.</w:t>
      </w:r>
    </w:p>
    <w:p w14:paraId="10945332" w14:textId="6F21A92A" w:rsidR="00F84601" w:rsidRPr="00F84601" w:rsidRDefault="00F84601" w:rsidP="00F84601">
      <w:pPr>
        <w:rPr>
          <w:rFonts w:ascii="Arial" w:hAnsi="Arial" w:cs="Arial"/>
        </w:rPr>
      </w:pPr>
      <w:r w:rsidRPr="00F84601">
        <w:rPr>
          <w:rFonts w:ascii="Arial" w:hAnsi="Arial" w:cs="Arial"/>
        </w:rPr>
        <w:t>The plan supports a coordinated response to incidents impacting service delivery, with a focus on maintaining essential care to the community. It is regularly reviewed and updated to reflect legislative, technological, and best practice changes.</w:t>
      </w:r>
    </w:p>
    <w:p w14:paraId="63130209" w14:textId="79639495" w:rsidR="00F84601" w:rsidRPr="00F84601" w:rsidRDefault="00F84601" w:rsidP="00F84601">
      <w:pPr>
        <w:rPr>
          <w:rFonts w:ascii="Arial" w:hAnsi="Arial" w:cs="Arial"/>
        </w:rPr>
      </w:pPr>
      <w:r w:rsidRPr="00F84601">
        <w:rPr>
          <w:rFonts w:ascii="Arial" w:hAnsi="Arial" w:cs="Arial"/>
        </w:rPr>
        <w:t>Key objectives include ensuring legal compliance, protecting essential services, addressing stakeholder needs, maintaining clear communication, supporting staff during disruptions, and securing supply chain resilience.</w:t>
      </w:r>
    </w:p>
    <w:p w14:paraId="04BCDF1F" w14:textId="7C4820B8" w:rsidR="00983FE6" w:rsidRDefault="00F84601" w:rsidP="00F84601">
      <w:pPr>
        <w:rPr>
          <w:rFonts w:ascii="Arial" w:hAnsi="Arial" w:cs="Arial"/>
        </w:rPr>
      </w:pPr>
      <w:r w:rsidRPr="00F84601">
        <w:rPr>
          <w:rFonts w:ascii="Arial" w:hAnsi="Arial" w:cs="Arial"/>
        </w:rPr>
        <w:t xml:space="preserve">The policy was reviewed as part of the annual review process, but there were no significant changes made. </w:t>
      </w:r>
    </w:p>
    <w:p w14:paraId="42F21BEB" w14:textId="77777777" w:rsidR="0071013B" w:rsidRDefault="0071013B" w:rsidP="00965683">
      <w:pPr>
        <w:rPr>
          <w:rFonts w:ascii="Arial" w:hAnsi="Arial" w:cs="Arial"/>
        </w:rPr>
      </w:pPr>
    </w:p>
    <w:p w14:paraId="0A829C7C" w14:textId="514584FC" w:rsidR="00F84601" w:rsidRPr="00F84601" w:rsidRDefault="00F84601" w:rsidP="00F84601">
      <w:pPr>
        <w:shd w:val="clear" w:color="auto" w:fill="FFFFFF"/>
        <w:jc w:val="both"/>
        <w:rPr>
          <w:rFonts w:ascii="Arial" w:hAnsi="Arial" w:cs="Arial"/>
          <w:b/>
          <w:bCs/>
          <w:u w:val="single"/>
        </w:rPr>
      </w:pPr>
      <w:r w:rsidRPr="005E662B">
        <w:rPr>
          <w:rFonts w:ascii="Arial" w:hAnsi="Arial" w:cs="Arial"/>
          <w:b/>
          <w:bCs/>
          <w:u w:val="single"/>
        </w:rPr>
        <w:t xml:space="preserve">Policies for </w:t>
      </w:r>
      <w:r>
        <w:rPr>
          <w:rFonts w:ascii="Arial" w:hAnsi="Arial" w:cs="Arial"/>
          <w:b/>
          <w:bCs/>
          <w:u w:val="single"/>
        </w:rPr>
        <w:t>Extens</w:t>
      </w:r>
      <w:r w:rsidRPr="005E662B">
        <w:rPr>
          <w:rFonts w:ascii="Arial" w:hAnsi="Arial" w:cs="Arial"/>
          <w:b/>
          <w:bCs/>
          <w:u w:val="single"/>
        </w:rPr>
        <w:t>ion</w:t>
      </w:r>
    </w:p>
    <w:p w14:paraId="29B323B3" w14:textId="730B8FA9" w:rsidR="00F84601" w:rsidRPr="00F84601" w:rsidRDefault="00F84601" w:rsidP="00F84601">
      <w:pPr>
        <w:shd w:val="clear" w:color="auto" w:fill="FFFFFF"/>
        <w:jc w:val="both"/>
        <w:rPr>
          <w:rFonts w:ascii="Arial" w:hAnsi="Arial" w:cs="Arial"/>
          <w:bCs/>
        </w:rPr>
      </w:pPr>
      <w:r w:rsidRPr="00976202">
        <w:rPr>
          <w:rFonts w:ascii="Arial" w:hAnsi="Arial" w:cs="Arial"/>
          <w:bCs/>
        </w:rPr>
        <w:t>Authors have requested extensions to the policies detailed in table 1</w:t>
      </w:r>
      <w:r>
        <w:rPr>
          <w:rFonts w:ascii="Arial" w:hAnsi="Arial" w:cs="Arial"/>
          <w:bCs/>
        </w:rPr>
        <w:t>.</w:t>
      </w:r>
    </w:p>
    <w:p w14:paraId="77DC4A79" w14:textId="1D93379D" w:rsidR="00F84601" w:rsidRPr="00F84601" w:rsidRDefault="00F84601" w:rsidP="00F84601">
      <w:pPr>
        <w:shd w:val="clear" w:color="auto" w:fill="FFFFFF"/>
        <w:jc w:val="both"/>
        <w:rPr>
          <w:rFonts w:ascii="Arial" w:hAnsi="Arial" w:cs="Arial"/>
          <w:b/>
          <w:bCs/>
          <w:u w:val="single"/>
        </w:rPr>
      </w:pPr>
      <w:r w:rsidRPr="00976202">
        <w:rPr>
          <w:rFonts w:ascii="Arial" w:hAnsi="Arial" w:cs="Arial"/>
          <w:b/>
          <w:bCs/>
          <w:u w:val="single"/>
        </w:rPr>
        <w:t>Table 1</w:t>
      </w:r>
    </w:p>
    <w:tbl>
      <w:tblPr>
        <w:tblStyle w:val="TableGrid"/>
        <w:tblW w:w="9555" w:type="dxa"/>
        <w:tblLook w:val="04A0" w:firstRow="1" w:lastRow="0" w:firstColumn="1" w:lastColumn="0" w:noHBand="0" w:noVBand="1"/>
      </w:tblPr>
      <w:tblGrid>
        <w:gridCol w:w="3317"/>
        <w:gridCol w:w="2411"/>
        <w:gridCol w:w="3827"/>
      </w:tblGrid>
      <w:tr w:rsidR="00F84601" w:rsidRPr="00FE79F3" w14:paraId="75EC9B5C" w14:textId="77777777" w:rsidTr="00FC79FF">
        <w:tc>
          <w:tcPr>
            <w:tcW w:w="3317" w:type="dxa"/>
          </w:tcPr>
          <w:p w14:paraId="5921F5C6" w14:textId="77777777" w:rsidR="00F84601" w:rsidRPr="00FE79F3" w:rsidRDefault="00F84601" w:rsidP="00FC79FF">
            <w:pPr>
              <w:shd w:val="clear" w:color="auto" w:fill="FFFFFF"/>
              <w:jc w:val="both"/>
              <w:rPr>
                <w:rFonts w:ascii="Arial" w:hAnsi="Arial" w:cs="Arial"/>
                <w:b/>
                <w:bCs/>
                <w:sz w:val="22"/>
                <w:szCs w:val="22"/>
              </w:rPr>
            </w:pPr>
            <w:r w:rsidRPr="00FE79F3">
              <w:rPr>
                <w:rFonts w:ascii="Arial" w:hAnsi="Arial" w:cs="Arial"/>
                <w:b/>
                <w:bCs/>
                <w:sz w:val="22"/>
                <w:szCs w:val="22"/>
              </w:rPr>
              <w:t>Policy Name</w:t>
            </w:r>
          </w:p>
        </w:tc>
        <w:tc>
          <w:tcPr>
            <w:tcW w:w="2411" w:type="dxa"/>
          </w:tcPr>
          <w:p w14:paraId="06DE837A" w14:textId="77777777" w:rsidR="00F84601" w:rsidRPr="00FE79F3" w:rsidRDefault="00F84601" w:rsidP="00FC79FF">
            <w:pPr>
              <w:shd w:val="clear" w:color="auto" w:fill="FFFFFF"/>
              <w:jc w:val="both"/>
              <w:rPr>
                <w:rFonts w:ascii="Arial" w:hAnsi="Arial" w:cs="Arial"/>
                <w:b/>
                <w:bCs/>
                <w:sz w:val="22"/>
                <w:szCs w:val="22"/>
              </w:rPr>
            </w:pPr>
            <w:r w:rsidRPr="00FE79F3">
              <w:rPr>
                <w:rFonts w:ascii="Arial" w:hAnsi="Arial" w:cs="Arial"/>
                <w:b/>
                <w:bCs/>
                <w:sz w:val="22"/>
                <w:szCs w:val="22"/>
              </w:rPr>
              <w:t>Extension requested to</w:t>
            </w:r>
          </w:p>
        </w:tc>
        <w:tc>
          <w:tcPr>
            <w:tcW w:w="3827" w:type="dxa"/>
          </w:tcPr>
          <w:p w14:paraId="21668AEE" w14:textId="77777777" w:rsidR="00F84601" w:rsidRPr="00FE79F3" w:rsidRDefault="00F84601" w:rsidP="00FC79FF">
            <w:pPr>
              <w:shd w:val="clear" w:color="auto" w:fill="FFFFFF"/>
              <w:jc w:val="both"/>
              <w:rPr>
                <w:rFonts w:ascii="Arial" w:hAnsi="Arial" w:cs="Arial"/>
                <w:b/>
                <w:bCs/>
                <w:sz w:val="22"/>
                <w:szCs w:val="22"/>
              </w:rPr>
            </w:pPr>
            <w:r w:rsidRPr="00FE79F3">
              <w:rPr>
                <w:rFonts w:ascii="Arial" w:hAnsi="Arial" w:cs="Arial"/>
                <w:b/>
                <w:bCs/>
                <w:sz w:val="22"/>
                <w:szCs w:val="22"/>
              </w:rPr>
              <w:t>Rationale</w:t>
            </w:r>
          </w:p>
        </w:tc>
      </w:tr>
      <w:tr w:rsidR="00F84601" w:rsidRPr="00FE79F3" w14:paraId="7DD63AAF" w14:textId="77777777" w:rsidTr="00FC79FF">
        <w:tc>
          <w:tcPr>
            <w:tcW w:w="3317" w:type="dxa"/>
          </w:tcPr>
          <w:p w14:paraId="1110FC87" w14:textId="77777777" w:rsidR="00F84601" w:rsidRPr="00FE79F3" w:rsidRDefault="00F84601" w:rsidP="00FC79FF">
            <w:pPr>
              <w:shd w:val="clear" w:color="auto" w:fill="FFFFFF"/>
              <w:rPr>
                <w:rFonts w:ascii="Arial" w:hAnsi="Arial" w:cs="Arial"/>
                <w:bCs/>
                <w:sz w:val="22"/>
                <w:szCs w:val="22"/>
              </w:rPr>
            </w:pPr>
            <w:r w:rsidRPr="00C576F6">
              <w:rPr>
                <w:rFonts w:ascii="Arial" w:hAnsi="Arial" w:cs="Arial"/>
                <w:bCs/>
                <w:sz w:val="22"/>
                <w:szCs w:val="22"/>
              </w:rPr>
              <w:t>Food Safety and Hygiene Policy</w:t>
            </w:r>
          </w:p>
        </w:tc>
        <w:tc>
          <w:tcPr>
            <w:tcW w:w="2411" w:type="dxa"/>
          </w:tcPr>
          <w:p w14:paraId="53B4944B" w14:textId="77777777" w:rsidR="00F84601" w:rsidRPr="00FE79F3" w:rsidRDefault="00F84601" w:rsidP="00FC79FF">
            <w:pPr>
              <w:shd w:val="clear" w:color="auto" w:fill="FFFFFF"/>
              <w:jc w:val="both"/>
              <w:rPr>
                <w:rFonts w:ascii="Arial" w:hAnsi="Arial" w:cs="Arial"/>
                <w:bCs/>
                <w:sz w:val="22"/>
                <w:szCs w:val="22"/>
              </w:rPr>
            </w:pPr>
            <w:r>
              <w:rPr>
                <w:rFonts w:ascii="Arial" w:hAnsi="Arial" w:cs="Arial"/>
                <w:bCs/>
                <w:sz w:val="22"/>
                <w:szCs w:val="22"/>
              </w:rPr>
              <w:t>January 2026</w:t>
            </w:r>
          </w:p>
        </w:tc>
        <w:tc>
          <w:tcPr>
            <w:tcW w:w="3827" w:type="dxa"/>
          </w:tcPr>
          <w:p w14:paraId="51A9E580" w14:textId="77777777" w:rsidR="00F84601" w:rsidRPr="00FE79F3" w:rsidRDefault="00F84601" w:rsidP="00FC79FF">
            <w:pPr>
              <w:shd w:val="clear" w:color="auto" w:fill="FFFFFF"/>
              <w:rPr>
                <w:rFonts w:ascii="Arial" w:hAnsi="Arial" w:cs="Arial"/>
                <w:bCs/>
                <w:sz w:val="22"/>
                <w:szCs w:val="22"/>
              </w:rPr>
            </w:pPr>
            <w:r w:rsidRPr="00760C24">
              <w:rPr>
                <w:rFonts w:ascii="Arial" w:hAnsi="Arial" w:cs="Arial"/>
                <w:bCs/>
                <w:sz w:val="22"/>
                <w:szCs w:val="22"/>
              </w:rPr>
              <w:t>Extended for review to enable full consideration of recent and pending changes to the process.</w:t>
            </w:r>
          </w:p>
        </w:tc>
      </w:tr>
    </w:tbl>
    <w:p w14:paraId="1E964DF4" w14:textId="77777777" w:rsidR="00F84601" w:rsidRPr="00FE79F3" w:rsidRDefault="00F84601" w:rsidP="00F84601">
      <w:pPr>
        <w:shd w:val="clear" w:color="auto" w:fill="FFFFFF"/>
        <w:jc w:val="both"/>
        <w:rPr>
          <w:rFonts w:ascii="Arial" w:hAnsi="Arial" w:cs="Arial"/>
          <w:bCs/>
        </w:rPr>
      </w:pPr>
    </w:p>
    <w:p w14:paraId="3A3AF5F3" w14:textId="33C94732" w:rsidR="00F84601" w:rsidRPr="00F84601" w:rsidRDefault="00F84601" w:rsidP="00F84601">
      <w:pPr>
        <w:shd w:val="clear" w:color="auto" w:fill="FFFFFF"/>
        <w:jc w:val="both"/>
        <w:rPr>
          <w:rFonts w:ascii="Arial" w:hAnsi="Arial" w:cs="Arial"/>
          <w:b/>
          <w:bCs/>
          <w:u w:val="single"/>
        </w:rPr>
      </w:pPr>
      <w:r w:rsidRPr="00FE79F3">
        <w:rPr>
          <w:rFonts w:ascii="Arial" w:hAnsi="Arial" w:cs="Arial"/>
          <w:b/>
          <w:bCs/>
          <w:u w:val="single"/>
        </w:rPr>
        <w:t>Additional Updates</w:t>
      </w:r>
    </w:p>
    <w:p w14:paraId="561DA2DD" w14:textId="5EA82AFA" w:rsidR="00F84601" w:rsidRPr="00FE79F3" w:rsidRDefault="00F84601" w:rsidP="00F84601">
      <w:pPr>
        <w:shd w:val="clear" w:color="auto" w:fill="FFFFFF"/>
        <w:jc w:val="both"/>
        <w:rPr>
          <w:rFonts w:ascii="Arial" w:hAnsi="Arial" w:cs="Arial"/>
          <w:bCs/>
        </w:rPr>
      </w:pPr>
      <w:r w:rsidRPr="00FE79F3">
        <w:rPr>
          <w:rFonts w:ascii="Arial" w:hAnsi="Arial" w:cs="Arial"/>
          <w:bCs/>
        </w:rPr>
        <w:t>The following</w:t>
      </w:r>
      <w:r w:rsidR="00F647CF">
        <w:rPr>
          <w:rFonts w:ascii="Arial" w:hAnsi="Arial" w:cs="Arial"/>
          <w:bCs/>
        </w:rPr>
        <w:t xml:space="preserve"> </w:t>
      </w:r>
      <w:r w:rsidRPr="00FE79F3">
        <w:rPr>
          <w:rFonts w:ascii="Arial" w:hAnsi="Arial" w:cs="Arial"/>
          <w:bCs/>
        </w:rPr>
        <w:t>polic</w:t>
      </w:r>
      <w:r w:rsidR="00F647CF">
        <w:rPr>
          <w:rFonts w:ascii="Arial" w:hAnsi="Arial" w:cs="Arial"/>
          <w:bCs/>
        </w:rPr>
        <w:t>y</w:t>
      </w:r>
      <w:r w:rsidRPr="00FE79F3">
        <w:rPr>
          <w:rFonts w:ascii="Arial" w:hAnsi="Arial" w:cs="Arial"/>
          <w:bCs/>
        </w:rPr>
        <w:t xml:space="preserve"> </w:t>
      </w:r>
      <w:r w:rsidR="00F647CF">
        <w:rPr>
          <w:rFonts w:ascii="Arial" w:hAnsi="Arial" w:cs="Arial"/>
          <w:bCs/>
        </w:rPr>
        <w:t>was</w:t>
      </w:r>
      <w:r w:rsidRPr="00FE79F3">
        <w:rPr>
          <w:rFonts w:ascii="Arial" w:hAnsi="Arial" w:cs="Arial"/>
          <w:bCs/>
        </w:rPr>
        <w:t xml:space="preserve"> made redundant this month:</w:t>
      </w:r>
    </w:p>
    <w:tbl>
      <w:tblPr>
        <w:tblStyle w:val="TableGrid"/>
        <w:tblW w:w="9493" w:type="dxa"/>
        <w:tblLook w:val="04A0" w:firstRow="1" w:lastRow="0" w:firstColumn="1" w:lastColumn="0" w:noHBand="0" w:noVBand="1"/>
      </w:tblPr>
      <w:tblGrid>
        <w:gridCol w:w="4503"/>
        <w:gridCol w:w="4990"/>
      </w:tblGrid>
      <w:tr w:rsidR="00F84601" w:rsidRPr="00FE79F3" w14:paraId="045FDCCD" w14:textId="77777777" w:rsidTr="00F84601">
        <w:tc>
          <w:tcPr>
            <w:tcW w:w="4503" w:type="dxa"/>
          </w:tcPr>
          <w:p w14:paraId="11C9448D" w14:textId="77777777" w:rsidR="00F84601" w:rsidRDefault="00F84601" w:rsidP="00FC79FF">
            <w:pPr>
              <w:jc w:val="both"/>
              <w:rPr>
                <w:rFonts w:ascii="Arial" w:hAnsi="Arial" w:cs="Arial"/>
                <w:b/>
                <w:bCs/>
                <w:sz w:val="22"/>
                <w:szCs w:val="22"/>
              </w:rPr>
            </w:pPr>
            <w:r w:rsidRPr="00FE79F3">
              <w:rPr>
                <w:rFonts w:ascii="Arial" w:hAnsi="Arial" w:cs="Arial"/>
                <w:b/>
                <w:bCs/>
                <w:sz w:val="22"/>
                <w:szCs w:val="22"/>
              </w:rPr>
              <w:t>Name of Policy</w:t>
            </w:r>
          </w:p>
          <w:p w14:paraId="49FDD486" w14:textId="77777777" w:rsidR="00F84601" w:rsidRPr="00FE79F3" w:rsidRDefault="00F84601" w:rsidP="00FC79FF">
            <w:pPr>
              <w:jc w:val="both"/>
              <w:rPr>
                <w:rFonts w:ascii="Arial" w:hAnsi="Arial" w:cs="Arial"/>
                <w:b/>
                <w:bCs/>
                <w:sz w:val="22"/>
                <w:szCs w:val="22"/>
              </w:rPr>
            </w:pPr>
          </w:p>
        </w:tc>
        <w:tc>
          <w:tcPr>
            <w:tcW w:w="4990" w:type="dxa"/>
          </w:tcPr>
          <w:p w14:paraId="29CEFA2A" w14:textId="77777777" w:rsidR="00F84601" w:rsidRPr="00FE79F3" w:rsidRDefault="00F84601" w:rsidP="00FC79FF">
            <w:pPr>
              <w:jc w:val="both"/>
              <w:rPr>
                <w:rFonts w:ascii="Arial" w:hAnsi="Arial" w:cs="Arial"/>
                <w:b/>
                <w:bCs/>
                <w:sz w:val="22"/>
                <w:szCs w:val="22"/>
              </w:rPr>
            </w:pPr>
            <w:r w:rsidRPr="00FE79F3">
              <w:rPr>
                <w:rFonts w:ascii="Arial" w:hAnsi="Arial" w:cs="Arial"/>
                <w:b/>
                <w:bCs/>
                <w:sz w:val="22"/>
                <w:szCs w:val="22"/>
              </w:rPr>
              <w:t>Rationale for being made redundant</w:t>
            </w:r>
          </w:p>
        </w:tc>
      </w:tr>
      <w:tr w:rsidR="00F84601" w:rsidRPr="00FE79F3" w14:paraId="3511A011" w14:textId="77777777" w:rsidTr="00F84601">
        <w:tc>
          <w:tcPr>
            <w:tcW w:w="4503" w:type="dxa"/>
          </w:tcPr>
          <w:p w14:paraId="47465FA3" w14:textId="77777777" w:rsidR="00F84601" w:rsidRDefault="00F84601" w:rsidP="00FC79FF">
            <w:pPr>
              <w:jc w:val="both"/>
              <w:rPr>
                <w:rFonts w:ascii="Arial" w:hAnsi="Arial" w:cs="Arial"/>
                <w:bCs/>
                <w:sz w:val="22"/>
                <w:szCs w:val="22"/>
              </w:rPr>
            </w:pPr>
            <w:r w:rsidRPr="00D33451">
              <w:rPr>
                <w:rFonts w:ascii="Arial" w:hAnsi="Arial" w:cs="Arial"/>
                <w:bCs/>
                <w:sz w:val="22"/>
                <w:szCs w:val="22"/>
              </w:rPr>
              <w:t>Additional Leave &amp; Reward for Exceptional &amp; Near Exceptional Work Attendance Policy</w:t>
            </w:r>
          </w:p>
          <w:p w14:paraId="6CA65925" w14:textId="77777777" w:rsidR="00F84601" w:rsidRPr="00FE79F3" w:rsidRDefault="00F84601" w:rsidP="00FC79FF">
            <w:pPr>
              <w:jc w:val="both"/>
              <w:rPr>
                <w:rFonts w:ascii="Arial" w:hAnsi="Arial" w:cs="Arial"/>
                <w:bCs/>
                <w:sz w:val="22"/>
                <w:szCs w:val="22"/>
              </w:rPr>
            </w:pPr>
          </w:p>
        </w:tc>
        <w:tc>
          <w:tcPr>
            <w:tcW w:w="4990" w:type="dxa"/>
          </w:tcPr>
          <w:p w14:paraId="44B6D4E1" w14:textId="77777777" w:rsidR="00F84601" w:rsidRPr="00FE79F3" w:rsidRDefault="00F84601" w:rsidP="00FC79FF">
            <w:pPr>
              <w:jc w:val="both"/>
              <w:rPr>
                <w:rFonts w:ascii="Arial" w:hAnsi="Arial" w:cs="Arial"/>
                <w:bCs/>
                <w:sz w:val="22"/>
                <w:szCs w:val="22"/>
              </w:rPr>
            </w:pPr>
            <w:r>
              <w:rPr>
                <w:rFonts w:ascii="Arial" w:hAnsi="Arial" w:cs="Arial"/>
                <w:bCs/>
                <w:sz w:val="22"/>
                <w:szCs w:val="22"/>
              </w:rPr>
              <w:t>I</w:t>
            </w:r>
            <w:r w:rsidRPr="00D33451">
              <w:rPr>
                <w:rFonts w:ascii="Arial" w:hAnsi="Arial" w:cs="Arial"/>
                <w:bCs/>
                <w:sz w:val="22"/>
                <w:szCs w:val="22"/>
              </w:rPr>
              <w:t xml:space="preserve">ncorporated into the </w:t>
            </w:r>
            <w:r>
              <w:rPr>
                <w:rFonts w:ascii="Arial" w:hAnsi="Arial" w:cs="Arial"/>
                <w:bCs/>
                <w:sz w:val="22"/>
                <w:szCs w:val="22"/>
              </w:rPr>
              <w:t>new A</w:t>
            </w:r>
            <w:r w:rsidRPr="00D33451">
              <w:rPr>
                <w:rFonts w:ascii="Arial" w:hAnsi="Arial" w:cs="Arial"/>
                <w:bCs/>
                <w:sz w:val="22"/>
                <w:szCs w:val="22"/>
              </w:rPr>
              <w:t xml:space="preserve">nnual </w:t>
            </w:r>
            <w:r>
              <w:rPr>
                <w:rFonts w:ascii="Arial" w:hAnsi="Arial" w:cs="Arial"/>
                <w:bCs/>
                <w:sz w:val="22"/>
                <w:szCs w:val="22"/>
              </w:rPr>
              <w:t>L</w:t>
            </w:r>
            <w:r w:rsidRPr="00D33451">
              <w:rPr>
                <w:rFonts w:ascii="Arial" w:hAnsi="Arial" w:cs="Arial"/>
                <w:bCs/>
                <w:sz w:val="22"/>
                <w:szCs w:val="22"/>
              </w:rPr>
              <w:t>eave policy</w:t>
            </w:r>
          </w:p>
        </w:tc>
      </w:tr>
    </w:tbl>
    <w:p w14:paraId="6476252D" w14:textId="77777777" w:rsidR="006A4EF2" w:rsidRPr="00983FE6" w:rsidRDefault="006A4EF2" w:rsidP="00965683">
      <w:pPr>
        <w:rPr>
          <w:rFonts w:ascii="Arial" w:hAnsi="Arial" w:cs="Arial"/>
        </w:rPr>
      </w:pPr>
    </w:p>
    <w:p w14:paraId="3939D0C2" w14:textId="77777777" w:rsidR="006A4EF2" w:rsidRPr="00983FE6" w:rsidRDefault="006A4EF2" w:rsidP="00983FE6">
      <w:pPr>
        <w:jc w:val="both"/>
        <w:rPr>
          <w:rFonts w:ascii="Arial" w:hAnsi="Arial" w:cs="Arial"/>
        </w:rPr>
      </w:pPr>
    </w:p>
    <w:p w14:paraId="573D82B6" w14:textId="129900DE" w:rsidR="00134492" w:rsidRPr="00983FE6" w:rsidRDefault="006A4EF2" w:rsidP="00480688">
      <w:pPr>
        <w:shd w:val="clear" w:color="auto" w:fill="FFFFFF"/>
        <w:jc w:val="both"/>
        <w:rPr>
          <w:rFonts w:ascii="Arial" w:hAnsi="Arial" w:cs="Arial"/>
          <w:bCs/>
        </w:rPr>
      </w:pPr>
      <w:r>
        <w:rPr>
          <w:rFonts w:ascii="Arial" w:hAnsi="Arial" w:cs="Arial"/>
          <w:bCs/>
        </w:rPr>
        <w:t xml:space="preserve"> </w:t>
      </w:r>
    </w:p>
    <w:p w14:paraId="31FE339F" w14:textId="77777777" w:rsidR="0071013B" w:rsidRDefault="0071013B" w:rsidP="00480688">
      <w:pPr>
        <w:shd w:val="clear" w:color="auto" w:fill="FFFFFF"/>
        <w:jc w:val="both"/>
        <w:rPr>
          <w:rFonts w:ascii="Arial" w:hAnsi="Arial" w:cs="Arial"/>
          <w:bCs/>
        </w:rPr>
      </w:pPr>
    </w:p>
    <w:p w14:paraId="66EE05D7" w14:textId="77777777" w:rsidR="00837C00" w:rsidRPr="00983FE6" w:rsidRDefault="00837C00" w:rsidP="00837C00">
      <w:pPr>
        <w:rPr>
          <w:rFonts w:ascii="Arial" w:hAnsi="Arial" w:cs="Arial"/>
        </w:rPr>
      </w:pPr>
    </w:p>
    <w:sectPr w:rsidR="00837C00" w:rsidRPr="00983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FBB"/>
    <w:multiLevelType w:val="hybridMultilevel"/>
    <w:tmpl w:val="5D94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67F56"/>
    <w:multiLevelType w:val="hybridMultilevel"/>
    <w:tmpl w:val="D1F8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600AC"/>
    <w:multiLevelType w:val="hybridMultilevel"/>
    <w:tmpl w:val="C6E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E784A"/>
    <w:multiLevelType w:val="hybridMultilevel"/>
    <w:tmpl w:val="F27C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04E1A"/>
    <w:multiLevelType w:val="hybridMultilevel"/>
    <w:tmpl w:val="C632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58144D"/>
    <w:multiLevelType w:val="hybridMultilevel"/>
    <w:tmpl w:val="D46E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F5915"/>
    <w:multiLevelType w:val="hybridMultilevel"/>
    <w:tmpl w:val="A6E8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D61D14"/>
    <w:multiLevelType w:val="hybridMultilevel"/>
    <w:tmpl w:val="7C8815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A195F7C"/>
    <w:multiLevelType w:val="hybridMultilevel"/>
    <w:tmpl w:val="17C8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77F67"/>
    <w:multiLevelType w:val="hybridMultilevel"/>
    <w:tmpl w:val="FEB0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141917">
    <w:abstractNumId w:val="8"/>
  </w:num>
  <w:num w:numId="2" w16cid:durableId="570774161">
    <w:abstractNumId w:val="7"/>
  </w:num>
  <w:num w:numId="3" w16cid:durableId="225185074">
    <w:abstractNumId w:val="5"/>
  </w:num>
  <w:num w:numId="4" w16cid:durableId="867376249">
    <w:abstractNumId w:val="4"/>
  </w:num>
  <w:num w:numId="5" w16cid:durableId="1576665601">
    <w:abstractNumId w:val="9"/>
  </w:num>
  <w:num w:numId="6" w16cid:durableId="1588155096">
    <w:abstractNumId w:val="2"/>
  </w:num>
  <w:num w:numId="7" w16cid:durableId="734665514">
    <w:abstractNumId w:val="0"/>
  </w:num>
  <w:num w:numId="8" w16cid:durableId="1968974012">
    <w:abstractNumId w:val="6"/>
  </w:num>
  <w:num w:numId="9" w16cid:durableId="1798796778">
    <w:abstractNumId w:val="3"/>
  </w:num>
  <w:num w:numId="10" w16cid:durableId="25060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83"/>
    <w:rsid w:val="000152F4"/>
    <w:rsid w:val="00134492"/>
    <w:rsid w:val="001C4F23"/>
    <w:rsid w:val="001D77CC"/>
    <w:rsid w:val="001E114B"/>
    <w:rsid w:val="001E1BFE"/>
    <w:rsid w:val="00233303"/>
    <w:rsid w:val="002550DC"/>
    <w:rsid w:val="002C498C"/>
    <w:rsid w:val="002C51CD"/>
    <w:rsid w:val="0037187A"/>
    <w:rsid w:val="003D21EF"/>
    <w:rsid w:val="003F269D"/>
    <w:rsid w:val="00453284"/>
    <w:rsid w:val="004642CB"/>
    <w:rsid w:val="00480688"/>
    <w:rsid w:val="004E4B08"/>
    <w:rsid w:val="00547FA2"/>
    <w:rsid w:val="00595A21"/>
    <w:rsid w:val="005A2BEA"/>
    <w:rsid w:val="0069092A"/>
    <w:rsid w:val="006A4EF2"/>
    <w:rsid w:val="006B65C9"/>
    <w:rsid w:val="006D000B"/>
    <w:rsid w:val="006F3F1F"/>
    <w:rsid w:val="0071013B"/>
    <w:rsid w:val="007C726B"/>
    <w:rsid w:val="00837C00"/>
    <w:rsid w:val="008F4DB2"/>
    <w:rsid w:val="00965683"/>
    <w:rsid w:val="00983FE6"/>
    <w:rsid w:val="009B0763"/>
    <w:rsid w:val="009D33ED"/>
    <w:rsid w:val="009D5F7E"/>
    <w:rsid w:val="00A72E97"/>
    <w:rsid w:val="00B72C3E"/>
    <w:rsid w:val="00B73BFE"/>
    <w:rsid w:val="00BE3A04"/>
    <w:rsid w:val="00C826F6"/>
    <w:rsid w:val="00D6086E"/>
    <w:rsid w:val="00DD4632"/>
    <w:rsid w:val="00E6405C"/>
    <w:rsid w:val="00EE356F"/>
    <w:rsid w:val="00F06F81"/>
    <w:rsid w:val="00F647CF"/>
    <w:rsid w:val="00F84601"/>
    <w:rsid w:val="00FD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8ACB"/>
  <w15:chartTrackingRefBased/>
  <w15:docId w15:val="{2525C32B-F83A-467B-83D4-9B8E42C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6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56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56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56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56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5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56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56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56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56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5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683"/>
    <w:rPr>
      <w:rFonts w:eastAsiaTheme="majorEastAsia" w:cstheme="majorBidi"/>
      <w:color w:val="272727" w:themeColor="text1" w:themeTint="D8"/>
    </w:rPr>
  </w:style>
  <w:style w:type="paragraph" w:styleId="Title">
    <w:name w:val="Title"/>
    <w:basedOn w:val="Normal"/>
    <w:next w:val="Normal"/>
    <w:link w:val="TitleChar"/>
    <w:uiPriority w:val="10"/>
    <w:qFormat/>
    <w:rsid w:val="00965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683"/>
    <w:pPr>
      <w:spacing w:before="160"/>
      <w:jc w:val="center"/>
    </w:pPr>
    <w:rPr>
      <w:i/>
      <w:iCs/>
      <w:color w:val="404040" w:themeColor="text1" w:themeTint="BF"/>
    </w:rPr>
  </w:style>
  <w:style w:type="character" w:customStyle="1" w:styleId="QuoteChar">
    <w:name w:val="Quote Char"/>
    <w:basedOn w:val="DefaultParagraphFont"/>
    <w:link w:val="Quote"/>
    <w:uiPriority w:val="29"/>
    <w:rsid w:val="00965683"/>
    <w:rPr>
      <w:i/>
      <w:iCs/>
      <w:color w:val="404040" w:themeColor="text1" w:themeTint="BF"/>
    </w:rPr>
  </w:style>
  <w:style w:type="paragraph" w:styleId="ListParagraph">
    <w:name w:val="List Paragraph"/>
    <w:basedOn w:val="Normal"/>
    <w:uiPriority w:val="34"/>
    <w:qFormat/>
    <w:rsid w:val="00965683"/>
    <w:pPr>
      <w:ind w:left="720"/>
      <w:contextualSpacing/>
    </w:pPr>
  </w:style>
  <w:style w:type="character" w:styleId="IntenseEmphasis">
    <w:name w:val="Intense Emphasis"/>
    <w:basedOn w:val="DefaultParagraphFont"/>
    <w:uiPriority w:val="21"/>
    <w:qFormat/>
    <w:rsid w:val="00965683"/>
    <w:rPr>
      <w:i/>
      <w:iCs/>
      <w:color w:val="2E74B5" w:themeColor="accent1" w:themeShade="BF"/>
    </w:rPr>
  </w:style>
  <w:style w:type="paragraph" w:styleId="IntenseQuote">
    <w:name w:val="Intense Quote"/>
    <w:basedOn w:val="Normal"/>
    <w:next w:val="Normal"/>
    <w:link w:val="IntenseQuoteChar"/>
    <w:uiPriority w:val="30"/>
    <w:qFormat/>
    <w:rsid w:val="009656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5683"/>
    <w:rPr>
      <w:i/>
      <w:iCs/>
      <w:color w:val="2E74B5" w:themeColor="accent1" w:themeShade="BF"/>
    </w:rPr>
  </w:style>
  <w:style w:type="character" w:styleId="IntenseReference">
    <w:name w:val="Intense Reference"/>
    <w:basedOn w:val="DefaultParagraphFont"/>
    <w:uiPriority w:val="32"/>
    <w:qFormat/>
    <w:rsid w:val="00965683"/>
    <w:rPr>
      <w:b/>
      <w:bCs/>
      <w:smallCaps/>
      <w:color w:val="2E74B5" w:themeColor="accent1" w:themeShade="BF"/>
      <w:spacing w:val="5"/>
    </w:rPr>
  </w:style>
  <w:style w:type="table" w:styleId="TableGrid">
    <w:name w:val="Table Grid"/>
    <w:basedOn w:val="TableNormal"/>
    <w:rsid w:val="00F06F8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F81"/>
    <w:rPr>
      <w:color w:val="0563C1" w:themeColor="hyperlink"/>
      <w:u w:val="single"/>
    </w:rPr>
  </w:style>
  <w:style w:type="character" w:customStyle="1" w:styleId="UnresolvedMention1">
    <w:name w:val="Unresolved Mention1"/>
    <w:basedOn w:val="DefaultParagraphFont"/>
    <w:uiPriority w:val="99"/>
    <w:semiHidden/>
    <w:unhideWhenUsed/>
    <w:rsid w:val="00C826F6"/>
    <w:rPr>
      <w:color w:val="605E5C"/>
      <w:shd w:val="clear" w:color="auto" w:fill="E1DFDD"/>
    </w:rPr>
  </w:style>
  <w:style w:type="character" w:customStyle="1" w:styleId="UnresolvedMention2">
    <w:name w:val="Unresolved Mention2"/>
    <w:basedOn w:val="DefaultParagraphFont"/>
    <w:uiPriority w:val="99"/>
    <w:semiHidden/>
    <w:unhideWhenUsed/>
    <w:rsid w:val="006D000B"/>
    <w:rPr>
      <w:color w:val="605E5C"/>
      <w:shd w:val="clear" w:color="auto" w:fill="E1DFDD"/>
    </w:rPr>
  </w:style>
  <w:style w:type="paragraph" w:styleId="Revision">
    <w:name w:val="Revision"/>
    <w:hidden/>
    <w:uiPriority w:val="99"/>
    <w:semiHidden/>
    <w:rsid w:val="000152F4"/>
    <w:pPr>
      <w:spacing w:after="0" w:line="240" w:lineRule="auto"/>
    </w:pPr>
  </w:style>
  <w:style w:type="character" w:styleId="UnresolvedMention">
    <w:name w:val="Unresolved Mention"/>
    <w:basedOn w:val="DefaultParagraphFont"/>
    <w:uiPriority w:val="99"/>
    <w:semiHidden/>
    <w:unhideWhenUsed/>
    <w:rsid w:val="00A7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cp:lastModifiedBy>
  <cp:revision>3</cp:revision>
  <dcterms:created xsi:type="dcterms:W3CDTF">2025-07-02T11:52:00Z</dcterms:created>
  <dcterms:modified xsi:type="dcterms:W3CDTF">2025-07-02T11:58:00Z</dcterms:modified>
</cp:coreProperties>
</file>