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42D41" w:rsidR="00FC74BB" w:rsidP="00052AA2" w:rsidRDefault="00FC74BB" w14:paraId="54C60DD0" w14:textId="1679CB5D">
      <w:pPr>
        <w:spacing w:after="0" w:line="259" w:lineRule="auto"/>
        <w:ind w:left="0" w:right="0" w:firstLine="0"/>
        <w:rPr>
          <w:sz w:val="22"/>
        </w:rPr>
      </w:pPr>
    </w:p>
    <w:p w:rsidR="004D6046" w:rsidP="00310253" w:rsidRDefault="004D6046" w14:paraId="2BCDEA87" w14:textId="77777777">
      <w:pPr>
        <w:spacing w:after="1" w:line="259" w:lineRule="auto"/>
        <w:ind w:left="0" w:right="0" w:firstLine="0"/>
        <w:jc w:val="center"/>
        <w:rPr>
          <w:b/>
          <w:szCs w:val="24"/>
        </w:rPr>
      </w:pPr>
    </w:p>
    <w:p w:rsidRPr="00642D41" w:rsidR="00FC74BB" w:rsidP="00310253" w:rsidRDefault="00340E70" w14:paraId="15AB0C18" w14:textId="77777777">
      <w:pPr>
        <w:spacing w:after="1" w:line="259" w:lineRule="auto"/>
        <w:ind w:left="0" w:right="0" w:firstLine="0"/>
        <w:jc w:val="center"/>
        <w:rPr>
          <w:szCs w:val="24"/>
        </w:rPr>
      </w:pPr>
      <w:r w:rsidRPr="00642D41">
        <w:rPr>
          <w:b/>
          <w:szCs w:val="24"/>
        </w:rPr>
        <w:t>REPORT TO THE QUALITY ASSURANCE COMMITTEE TRUST BOARD IN PUBLIC</w:t>
      </w:r>
    </w:p>
    <w:p w:rsidRPr="00642D41" w:rsidR="00FC74BB" w:rsidRDefault="00340E70" w14:paraId="5DFBC065" w14:textId="77777777">
      <w:pPr>
        <w:spacing w:after="0" w:line="259" w:lineRule="auto"/>
        <w:ind w:left="312" w:right="0" w:firstLine="0"/>
        <w:jc w:val="center"/>
        <w:rPr>
          <w:szCs w:val="24"/>
        </w:rPr>
      </w:pPr>
      <w:r w:rsidRPr="00642D41">
        <w:rPr>
          <w:b/>
          <w:szCs w:val="24"/>
        </w:rPr>
        <w:t xml:space="preserve"> </w:t>
      </w:r>
    </w:p>
    <w:p w:rsidR="00FC74BB" w:rsidRDefault="00451CD0" w14:paraId="1E10CE11" w14:textId="67BCE21E">
      <w:pPr>
        <w:spacing w:after="1" w:line="259" w:lineRule="auto"/>
        <w:ind w:left="262" w:right="1" w:hanging="10"/>
        <w:jc w:val="center"/>
        <w:rPr>
          <w:b/>
          <w:color w:val="auto"/>
          <w:sz w:val="22"/>
        </w:rPr>
      </w:pPr>
      <w:r w:rsidRPr="00642D41">
        <w:rPr>
          <w:b/>
          <w:color w:val="auto"/>
          <w:sz w:val="22"/>
        </w:rPr>
        <w:t>June 202</w:t>
      </w:r>
      <w:r w:rsidR="0003700F">
        <w:rPr>
          <w:b/>
          <w:color w:val="auto"/>
          <w:sz w:val="22"/>
        </w:rPr>
        <w:t>5</w:t>
      </w:r>
      <w:r w:rsidRPr="00642D41" w:rsidR="00340E70">
        <w:rPr>
          <w:b/>
          <w:color w:val="auto"/>
          <w:sz w:val="22"/>
        </w:rPr>
        <w:t xml:space="preserve">  </w:t>
      </w:r>
    </w:p>
    <w:p w:rsidRPr="00642D41" w:rsidR="00067204" w:rsidRDefault="00067204" w14:paraId="543B79DB" w14:textId="77777777">
      <w:pPr>
        <w:spacing w:after="1" w:line="259" w:lineRule="auto"/>
        <w:ind w:left="262" w:right="1" w:hanging="10"/>
        <w:jc w:val="center"/>
        <w:rPr>
          <w:b/>
          <w:color w:val="auto"/>
          <w:sz w:val="22"/>
        </w:rPr>
      </w:pPr>
    </w:p>
    <w:tbl>
      <w:tblPr>
        <w:tblW w:w="9369" w:type="dxa"/>
        <w:tblInd w:w="257" w:type="dxa"/>
        <w:tblLook w:val="04A0" w:firstRow="1" w:lastRow="0" w:firstColumn="1" w:lastColumn="0" w:noHBand="0" w:noVBand="1"/>
      </w:tblPr>
      <w:tblGrid>
        <w:gridCol w:w="3566"/>
        <w:gridCol w:w="5528"/>
        <w:gridCol w:w="275"/>
      </w:tblGrid>
      <w:tr w:rsidRPr="00642D41" w:rsidR="0092130D" w:rsidTr="00B64D91" w14:paraId="3152A263" w14:textId="77777777">
        <w:tc>
          <w:tcPr>
            <w:tcW w:w="35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642D41" w:rsidR="0092130D" w:rsidP="001949B3" w:rsidRDefault="0092130D" w14:paraId="7F0D6E90" w14:textId="77777777">
            <w:pPr>
              <w:pStyle w:val="Heading1"/>
              <w:numPr>
                <w:ilvl w:val="0"/>
                <w:numId w:val="0"/>
              </w:numPr>
              <w:spacing w:after="0" w:line="259" w:lineRule="auto"/>
              <w:rPr>
                <w:rFonts w:eastAsia="Calibri"/>
                <w:b w:val="0"/>
                <w:sz w:val="22"/>
              </w:rPr>
            </w:pPr>
            <w:r w:rsidRPr="45867E8A">
              <w:rPr>
                <w:bCs/>
                <w:color w:val="000000" w:themeColor="text1"/>
                <w:sz w:val="22"/>
              </w:rPr>
              <w:t>Title</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642D41" w:rsidR="0092130D" w:rsidP="008E705B" w:rsidRDefault="0092130D" w14:paraId="41578A84" w14:textId="77777777">
            <w:pPr>
              <w:spacing w:after="0" w:line="259" w:lineRule="auto"/>
              <w:ind w:left="0" w:right="1" w:firstLine="0"/>
              <w:jc w:val="left"/>
              <w:rPr>
                <w:sz w:val="22"/>
              </w:rPr>
            </w:pPr>
            <w:r w:rsidRPr="45867E8A">
              <w:rPr>
                <w:sz w:val="22"/>
              </w:rPr>
              <w:t xml:space="preserve">Associate Director of Safeguarding </w:t>
            </w:r>
          </w:p>
        </w:tc>
        <w:tc>
          <w:tcPr>
            <w:tcW w:w="275" w:type="dxa"/>
          </w:tcPr>
          <w:p w:rsidRPr="00642D41" w:rsidR="0092130D" w:rsidP="008E705B" w:rsidRDefault="0092130D" w14:paraId="5669BBB3" w14:textId="77777777">
            <w:pPr>
              <w:spacing w:after="0" w:line="259" w:lineRule="auto"/>
              <w:ind w:left="0" w:right="1" w:firstLine="0"/>
              <w:jc w:val="center"/>
              <w:rPr>
                <w:color w:val="auto"/>
                <w:sz w:val="22"/>
              </w:rPr>
            </w:pPr>
          </w:p>
        </w:tc>
      </w:tr>
      <w:tr w:rsidRPr="00642D41" w:rsidR="0092130D" w:rsidTr="00B64D91" w14:paraId="5578F893" w14:textId="77777777">
        <w:tblPrEx>
          <w:tblCellMar>
            <w:top w:w="5" w:type="dxa"/>
            <w:left w:w="107" w:type="dxa"/>
            <w:right w:w="115" w:type="dxa"/>
          </w:tblCellMar>
        </w:tblPrEx>
        <w:trPr>
          <w:gridAfter w:val="1"/>
          <w:wAfter w:w="275" w:type="dxa"/>
          <w:trHeight w:val="262"/>
        </w:trPr>
        <w:tc>
          <w:tcPr>
            <w:tcW w:w="3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42D41" w:rsidR="0092130D" w:rsidP="008E705B" w:rsidRDefault="0092130D" w14:paraId="4A2C7A12" w14:textId="77777777">
            <w:pPr>
              <w:spacing w:after="0" w:line="259" w:lineRule="auto"/>
              <w:ind w:left="0" w:right="0" w:firstLine="0"/>
              <w:jc w:val="left"/>
              <w:rPr>
                <w:sz w:val="22"/>
              </w:rPr>
            </w:pPr>
            <w:r w:rsidRPr="00642D41">
              <w:rPr>
                <w:b/>
                <w:sz w:val="22"/>
              </w:rPr>
              <w:t xml:space="preserve">Author  </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42D41" w:rsidR="0092130D" w:rsidP="008E705B" w:rsidRDefault="0092130D" w14:paraId="2753D0AB" w14:textId="77777777">
            <w:pPr>
              <w:spacing w:after="0" w:line="259" w:lineRule="auto"/>
              <w:ind w:left="1" w:right="0" w:firstLine="0"/>
              <w:jc w:val="left"/>
              <w:rPr>
                <w:sz w:val="22"/>
              </w:rPr>
            </w:pPr>
            <w:r w:rsidRPr="00642D41">
              <w:rPr>
                <w:sz w:val="22"/>
              </w:rPr>
              <w:t xml:space="preserve">Dinh Padicala </w:t>
            </w:r>
          </w:p>
        </w:tc>
      </w:tr>
      <w:tr w:rsidRPr="00642D41" w:rsidR="0092130D" w:rsidTr="00B64D91" w14:paraId="51EBEE5D" w14:textId="77777777">
        <w:tblPrEx>
          <w:tblCellMar>
            <w:top w:w="5" w:type="dxa"/>
            <w:left w:w="107" w:type="dxa"/>
            <w:right w:w="115" w:type="dxa"/>
          </w:tblCellMar>
        </w:tblPrEx>
        <w:trPr>
          <w:gridAfter w:val="1"/>
          <w:wAfter w:w="275" w:type="dxa"/>
          <w:trHeight w:val="263"/>
        </w:trPr>
        <w:tc>
          <w:tcPr>
            <w:tcW w:w="35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45F3" w:rsidR="000C48BF" w:rsidP="002345F3" w:rsidRDefault="0092130D" w14:paraId="2A69AF90" w14:textId="77777777">
            <w:pPr>
              <w:spacing w:after="0" w:line="259" w:lineRule="auto"/>
              <w:ind w:left="0" w:right="0" w:firstLine="0"/>
              <w:jc w:val="left"/>
              <w:rPr>
                <w:b/>
                <w:sz w:val="22"/>
              </w:rPr>
            </w:pPr>
            <w:r w:rsidRPr="002345F3">
              <w:rPr>
                <w:b/>
                <w:sz w:val="22"/>
              </w:rPr>
              <w:t>Accountable Executive Director</w:t>
            </w:r>
          </w:p>
          <w:p w:rsidRPr="00642D41" w:rsidR="0092130D" w:rsidP="008E705B" w:rsidRDefault="000C48BF" w14:paraId="1CE5120C" w14:textId="12EF9380">
            <w:pPr>
              <w:spacing w:after="0" w:line="259" w:lineRule="auto"/>
              <w:ind w:left="0" w:right="0" w:firstLine="0"/>
              <w:jc w:val="left"/>
              <w:rPr>
                <w:sz w:val="22"/>
              </w:rPr>
            </w:pPr>
            <w:r>
              <w:rPr>
                <w:b/>
                <w:sz w:val="22"/>
              </w:rPr>
              <w:t>Delegated Executive Lead</w:t>
            </w:r>
            <w:r w:rsidRPr="00642D41" w:rsidR="0092130D">
              <w:rPr>
                <w:b/>
                <w:sz w:val="22"/>
              </w:rPr>
              <w:t xml:space="preserve"> </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2130D" w:rsidP="008E705B" w:rsidRDefault="000C48BF" w14:paraId="11F6C59C" w14:textId="77777777">
            <w:pPr>
              <w:spacing w:after="0" w:line="259" w:lineRule="auto"/>
              <w:ind w:left="1" w:right="0" w:firstLine="0"/>
              <w:jc w:val="left"/>
              <w:rPr>
                <w:sz w:val="22"/>
              </w:rPr>
            </w:pPr>
            <w:r>
              <w:rPr>
                <w:sz w:val="22"/>
              </w:rPr>
              <w:t xml:space="preserve">Claire McKenna </w:t>
            </w:r>
          </w:p>
          <w:p w:rsidRPr="00642D41" w:rsidR="000C48BF" w:rsidP="008E705B" w:rsidRDefault="000C48BF" w14:paraId="1AF20664" w14:textId="7015BBD8">
            <w:pPr>
              <w:spacing w:after="0" w:line="259" w:lineRule="auto"/>
              <w:ind w:left="1" w:right="0" w:firstLine="0"/>
              <w:jc w:val="left"/>
              <w:rPr>
                <w:sz w:val="22"/>
              </w:rPr>
            </w:pPr>
            <w:r>
              <w:rPr>
                <w:sz w:val="22"/>
              </w:rPr>
              <w:t>Eileen Bryant</w:t>
            </w:r>
          </w:p>
        </w:tc>
      </w:tr>
    </w:tbl>
    <w:p w:rsidRPr="00642D41" w:rsidR="0092130D" w:rsidP="0092130D" w:rsidRDefault="0092130D" w14:paraId="63243CED" w14:textId="77777777">
      <w:pPr>
        <w:spacing w:after="0" w:line="259" w:lineRule="auto"/>
        <w:ind w:left="567" w:right="0" w:firstLine="0"/>
        <w:jc w:val="left"/>
        <w:rPr>
          <w:sz w:val="22"/>
        </w:rPr>
      </w:pPr>
      <w:r w:rsidRPr="00642D41">
        <w:rPr>
          <w:sz w:val="22"/>
        </w:rPr>
        <w:t xml:space="preserve"> </w:t>
      </w:r>
    </w:p>
    <w:p w:rsidRPr="00642D41" w:rsidR="00FC74BB" w:rsidP="001949B3" w:rsidRDefault="00340E70" w14:paraId="00423375" w14:textId="77777777">
      <w:pPr>
        <w:pStyle w:val="Heading1"/>
        <w:numPr>
          <w:ilvl w:val="0"/>
          <w:numId w:val="0"/>
        </w:numPr>
        <w:spacing w:after="4" w:line="259" w:lineRule="auto"/>
        <w:rPr>
          <w:sz w:val="22"/>
        </w:rPr>
      </w:pPr>
      <w:r w:rsidRPr="00642D41">
        <w:rPr>
          <w:sz w:val="22"/>
        </w:rPr>
        <w:t xml:space="preserve">Purpose of the report </w:t>
      </w:r>
    </w:p>
    <w:p w:rsidRPr="00642D41" w:rsidR="00B43FED" w:rsidP="00310253" w:rsidRDefault="00B43FED" w14:paraId="06BCBD70" w14:textId="77777777">
      <w:pPr>
        <w:rPr>
          <w:sz w:val="22"/>
        </w:rPr>
      </w:pPr>
    </w:p>
    <w:tbl>
      <w:tblPr>
        <w:tblW w:w="0" w:type="auto"/>
        <w:tblInd w:w="137" w:type="dxa"/>
        <w:tblLook w:val="04A0" w:firstRow="1" w:lastRow="0" w:firstColumn="1" w:lastColumn="0" w:noHBand="0" w:noVBand="1"/>
      </w:tblPr>
      <w:tblGrid>
        <w:gridCol w:w="9761"/>
      </w:tblGrid>
      <w:tr w:rsidRPr="00642D41" w:rsidR="00B43FED" w:rsidTr="45867E8A" w14:paraId="7BE7656A" w14:textId="77777777">
        <w:tc>
          <w:tcPr>
            <w:tcW w:w="9761" w:type="dxa"/>
          </w:tcPr>
          <w:p w:rsidRPr="000C48BF" w:rsidR="00B43FED" w:rsidP="0003700F" w:rsidRDefault="00B43FED" w14:paraId="11BC326E" w14:textId="7FDC0BF0">
            <w:pPr>
              <w:shd w:val="clear" w:color="auto" w:fill="FFFFFF" w:themeFill="background1"/>
              <w:spacing w:after="100" w:afterAutospacing="1"/>
              <w:ind w:left="57" w:right="113" w:firstLine="0"/>
              <w:rPr>
                <w:color w:val="auto"/>
                <w:sz w:val="20"/>
                <w:szCs w:val="20"/>
              </w:rPr>
            </w:pPr>
            <w:r w:rsidRPr="000C48BF">
              <w:rPr>
                <w:color w:val="auto"/>
                <w:sz w:val="20"/>
                <w:szCs w:val="20"/>
              </w:rPr>
              <w:t xml:space="preserve">This is </w:t>
            </w:r>
            <w:r w:rsidRPr="000C48BF" w:rsidR="3D2014AA">
              <w:rPr>
                <w:color w:val="auto"/>
                <w:sz w:val="20"/>
                <w:szCs w:val="20"/>
              </w:rPr>
              <w:t xml:space="preserve">a </w:t>
            </w:r>
            <w:r w:rsidRPr="000C48BF">
              <w:rPr>
                <w:color w:val="auto"/>
                <w:sz w:val="20"/>
                <w:szCs w:val="20"/>
              </w:rPr>
              <w:t xml:space="preserve">combined adult and children Safeguarding Annual Report that has been adopted in line with the Trust’s shared safeguarding strategy. Its purpose is to inform Trust Board members of the progress </w:t>
            </w:r>
            <w:r w:rsidRPr="000C48BF" w:rsidR="61C093D8">
              <w:rPr>
                <w:color w:val="auto"/>
                <w:sz w:val="20"/>
                <w:szCs w:val="20"/>
              </w:rPr>
              <w:t>regarding</w:t>
            </w:r>
            <w:r w:rsidRPr="000C48BF">
              <w:rPr>
                <w:color w:val="auto"/>
                <w:sz w:val="20"/>
                <w:szCs w:val="20"/>
              </w:rPr>
              <w:t xml:space="preserve"> its responsibilities for safeguarding adults and children’s activity as part of its regulated and statutory responsibilities, and to ensure that patients, service users and carers know that safeguarding of </w:t>
            </w:r>
            <w:r w:rsidR="000632F3">
              <w:rPr>
                <w:color w:val="auto"/>
                <w:sz w:val="20"/>
                <w:szCs w:val="20"/>
              </w:rPr>
              <w:t>adults and children</w:t>
            </w:r>
            <w:r w:rsidRPr="000C48BF">
              <w:rPr>
                <w:color w:val="auto"/>
                <w:sz w:val="20"/>
                <w:szCs w:val="20"/>
              </w:rPr>
              <w:t xml:space="preserve"> is a Trust priority. </w:t>
            </w:r>
            <w:r w:rsidRPr="000C48BF" w:rsidR="13EA8536">
              <w:rPr>
                <w:color w:val="auto"/>
                <w:sz w:val="20"/>
                <w:szCs w:val="20"/>
              </w:rPr>
              <w:t>The report outlines the work the Trust has done to strengthen</w:t>
            </w:r>
            <w:r w:rsidRPr="000C48BF" w:rsidR="67DE2174">
              <w:rPr>
                <w:color w:val="auto"/>
                <w:sz w:val="20"/>
                <w:szCs w:val="20"/>
              </w:rPr>
              <w:t xml:space="preserve"> safeguarding governance through better alignment of the safeguarding priorities. </w:t>
            </w:r>
            <w:r w:rsidRPr="000C48BF">
              <w:rPr>
                <w:color w:val="auto"/>
                <w:sz w:val="20"/>
                <w:szCs w:val="20"/>
              </w:rPr>
              <w:t>This</w:t>
            </w:r>
            <w:r w:rsidRPr="000C48BF" w:rsidR="5E7C2393">
              <w:rPr>
                <w:color w:val="auto"/>
                <w:sz w:val="20"/>
                <w:szCs w:val="20"/>
              </w:rPr>
              <w:t xml:space="preserve"> report</w:t>
            </w:r>
            <w:r w:rsidRPr="000C48BF">
              <w:rPr>
                <w:color w:val="auto"/>
                <w:sz w:val="20"/>
                <w:szCs w:val="20"/>
              </w:rPr>
              <w:t xml:space="preserve"> </w:t>
            </w:r>
            <w:r w:rsidRPr="000C48BF" w:rsidR="0E6EF0AF">
              <w:rPr>
                <w:color w:val="auto"/>
                <w:sz w:val="20"/>
                <w:szCs w:val="20"/>
              </w:rPr>
              <w:t xml:space="preserve">also </w:t>
            </w:r>
            <w:r w:rsidRPr="000C48BF">
              <w:rPr>
                <w:color w:val="auto"/>
                <w:sz w:val="20"/>
                <w:szCs w:val="20"/>
              </w:rPr>
              <w:t xml:space="preserve">includes the achievements, </w:t>
            </w:r>
            <w:r w:rsidR="00C075DE">
              <w:rPr>
                <w:color w:val="auto"/>
                <w:sz w:val="20"/>
                <w:szCs w:val="20"/>
              </w:rPr>
              <w:t>priorities</w:t>
            </w:r>
            <w:r w:rsidRPr="000C48BF">
              <w:rPr>
                <w:color w:val="auto"/>
                <w:sz w:val="20"/>
                <w:szCs w:val="20"/>
              </w:rPr>
              <w:t xml:space="preserve"> and challenges f</w:t>
            </w:r>
            <w:r w:rsidRPr="000C48BF" w:rsidR="668E9C66">
              <w:rPr>
                <w:color w:val="auto"/>
                <w:sz w:val="20"/>
                <w:szCs w:val="20"/>
              </w:rPr>
              <w:t>or safeguarding during 2</w:t>
            </w:r>
            <w:r w:rsidRPr="000C48BF" w:rsidR="0003700F">
              <w:rPr>
                <w:color w:val="auto"/>
                <w:sz w:val="20"/>
                <w:szCs w:val="20"/>
              </w:rPr>
              <w:t>024</w:t>
            </w:r>
            <w:r w:rsidRPr="000C48BF" w:rsidR="668E9C66">
              <w:rPr>
                <w:color w:val="auto"/>
                <w:sz w:val="20"/>
                <w:szCs w:val="20"/>
              </w:rPr>
              <w:t>-202</w:t>
            </w:r>
            <w:r w:rsidRPr="000C48BF" w:rsidR="0003700F">
              <w:rPr>
                <w:color w:val="auto"/>
                <w:sz w:val="20"/>
                <w:szCs w:val="20"/>
              </w:rPr>
              <w:t>5.</w:t>
            </w:r>
          </w:p>
        </w:tc>
      </w:tr>
    </w:tbl>
    <w:p w:rsidRPr="00642D41" w:rsidR="000F02AB" w:rsidP="00310253" w:rsidRDefault="000F02AB" w14:paraId="772A7EB1" w14:textId="77777777">
      <w:pPr>
        <w:shd w:val="clear" w:color="auto" w:fill="FFFFFF" w:themeFill="background1"/>
        <w:ind w:left="0" w:firstLine="0"/>
        <w:rPr>
          <w:color w:val="44546A" w:themeColor="text2"/>
          <w:sz w:val="22"/>
        </w:rPr>
      </w:pPr>
      <w:r w:rsidRPr="00642D41">
        <w:rPr>
          <w:sz w:val="22"/>
        </w:rPr>
        <w:t xml:space="preserve">          </w:t>
      </w:r>
    </w:p>
    <w:p w:rsidRPr="00642D41" w:rsidR="00FC74BB" w:rsidP="00DD39B8" w:rsidRDefault="00310253" w14:paraId="344B332E" w14:textId="77777777">
      <w:pPr>
        <w:shd w:val="clear" w:color="auto" w:fill="FFFFFF" w:themeFill="background1"/>
        <w:spacing w:after="0"/>
        <w:rPr>
          <w:color w:val="auto"/>
          <w:sz w:val="22"/>
        </w:rPr>
      </w:pPr>
      <w:r w:rsidRPr="00642D41">
        <w:rPr>
          <w:sz w:val="22"/>
        </w:rPr>
        <w:t xml:space="preserve">         </w:t>
      </w:r>
    </w:p>
    <w:p w:rsidR="00FC74BB" w:rsidP="001949B3" w:rsidRDefault="00340E70" w14:paraId="43F72E53" w14:textId="77777777">
      <w:pPr>
        <w:pStyle w:val="Heading1"/>
        <w:numPr>
          <w:ilvl w:val="0"/>
          <w:numId w:val="0"/>
        </w:numPr>
        <w:spacing w:after="4" w:line="259" w:lineRule="auto"/>
        <w:rPr>
          <w:sz w:val="22"/>
        </w:rPr>
      </w:pPr>
      <w:r w:rsidRPr="00642D41">
        <w:rPr>
          <w:sz w:val="22"/>
        </w:rPr>
        <w:t xml:space="preserve">Committees/meetings where this item has been considered </w:t>
      </w:r>
    </w:p>
    <w:p w:rsidRPr="00DD39B8" w:rsidR="00DD39B8" w:rsidP="00DD39B8" w:rsidRDefault="00DD39B8" w14:paraId="73DA7204" w14:textId="77777777"/>
    <w:tbl>
      <w:tblPr>
        <w:tblW w:w="9924" w:type="dxa"/>
        <w:tblInd w:w="113" w:type="dxa"/>
        <w:tblCellMar>
          <w:top w:w="7" w:type="dxa"/>
          <w:right w:w="115" w:type="dxa"/>
        </w:tblCellMar>
        <w:tblLook w:val="04A0" w:firstRow="1" w:lastRow="0" w:firstColumn="1" w:lastColumn="0" w:noHBand="0" w:noVBand="1"/>
      </w:tblPr>
      <w:tblGrid>
        <w:gridCol w:w="1769"/>
        <w:gridCol w:w="8155"/>
      </w:tblGrid>
      <w:tr w:rsidRPr="00642D41" w:rsidR="00FC74BB" w:rsidTr="0003700F" w14:paraId="4925A092" w14:textId="77777777">
        <w:trPr>
          <w:trHeight w:val="334"/>
        </w:trPr>
        <w:tc>
          <w:tcPr>
            <w:tcW w:w="1769" w:type="dxa"/>
            <w:tcBorders>
              <w:top w:val="single" w:color="000000" w:sz="4" w:space="0"/>
              <w:left w:val="single" w:color="000000" w:sz="4" w:space="0"/>
              <w:bottom w:val="single" w:color="000000" w:sz="4" w:space="0"/>
              <w:right w:val="single" w:color="000000" w:sz="4" w:space="0"/>
            </w:tcBorders>
          </w:tcPr>
          <w:p w:rsidRPr="00642D41" w:rsidR="00FC74BB" w:rsidRDefault="00340E70" w14:paraId="7CB8EBFB" w14:textId="77777777">
            <w:pPr>
              <w:spacing w:after="0" w:line="259" w:lineRule="auto"/>
              <w:ind w:left="0" w:right="0" w:firstLine="0"/>
              <w:jc w:val="left"/>
              <w:rPr>
                <w:sz w:val="22"/>
              </w:rPr>
            </w:pPr>
            <w:r w:rsidRPr="00642D41">
              <w:rPr>
                <w:b/>
                <w:sz w:val="22"/>
              </w:rPr>
              <w:t xml:space="preserve">Date </w:t>
            </w:r>
          </w:p>
        </w:tc>
        <w:tc>
          <w:tcPr>
            <w:tcW w:w="8155" w:type="dxa"/>
            <w:tcBorders>
              <w:top w:val="single" w:color="000000" w:sz="4" w:space="0"/>
              <w:left w:val="single" w:color="000000" w:sz="4" w:space="0"/>
              <w:bottom w:val="single" w:color="000000" w:sz="4" w:space="0"/>
              <w:right w:val="single" w:color="000000" w:sz="4" w:space="0"/>
            </w:tcBorders>
          </w:tcPr>
          <w:p w:rsidRPr="00642D41" w:rsidR="00FC74BB" w:rsidRDefault="00340E70" w14:paraId="5D420779" w14:textId="77777777">
            <w:pPr>
              <w:spacing w:after="0" w:line="259" w:lineRule="auto"/>
              <w:ind w:left="0" w:right="0" w:firstLine="0"/>
              <w:jc w:val="left"/>
              <w:rPr>
                <w:sz w:val="22"/>
              </w:rPr>
            </w:pPr>
            <w:r w:rsidRPr="00642D41">
              <w:rPr>
                <w:b/>
                <w:sz w:val="22"/>
              </w:rPr>
              <w:t xml:space="preserve">Committee/Meeting  </w:t>
            </w:r>
          </w:p>
        </w:tc>
      </w:tr>
      <w:tr w:rsidRPr="00642D41" w:rsidR="0003700F" w:rsidTr="0003700F" w14:paraId="2DE80356" w14:textId="77777777">
        <w:trPr>
          <w:trHeight w:val="331"/>
        </w:trPr>
        <w:tc>
          <w:tcPr>
            <w:tcW w:w="1769" w:type="dxa"/>
            <w:tcBorders>
              <w:top w:val="single" w:color="000000" w:sz="4" w:space="0"/>
              <w:left w:val="single" w:color="000000" w:sz="4" w:space="0"/>
              <w:bottom w:val="single" w:color="000000" w:sz="4" w:space="0"/>
              <w:right w:val="single" w:color="000000" w:sz="4" w:space="0"/>
            </w:tcBorders>
          </w:tcPr>
          <w:p w:rsidRPr="000C48BF" w:rsidR="0003700F" w:rsidP="0003700F" w:rsidRDefault="00DD39B8" w14:paraId="438DE54B" w14:textId="298A2979">
            <w:pPr>
              <w:spacing w:after="0" w:line="259" w:lineRule="auto"/>
              <w:ind w:left="0" w:right="0" w:firstLine="0"/>
              <w:jc w:val="left"/>
              <w:rPr>
                <w:color w:val="auto"/>
                <w:sz w:val="20"/>
                <w:szCs w:val="20"/>
              </w:rPr>
            </w:pPr>
            <w:r>
              <w:rPr>
                <w:color w:val="auto"/>
                <w:sz w:val="20"/>
                <w:szCs w:val="20"/>
              </w:rPr>
              <w:t>09/05</w:t>
            </w:r>
            <w:r w:rsidRPr="000C48BF">
              <w:rPr>
                <w:color w:val="auto"/>
                <w:sz w:val="20"/>
                <w:szCs w:val="20"/>
              </w:rPr>
              <w:t>/2025</w:t>
            </w:r>
          </w:p>
        </w:tc>
        <w:tc>
          <w:tcPr>
            <w:tcW w:w="8155" w:type="dxa"/>
            <w:tcBorders>
              <w:top w:val="single" w:color="000000" w:sz="4" w:space="0"/>
              <w:left w:val="single" w:color="000000" w:sz="4" w:space="0"/>
              <w:bottom w:val="single" w:color="000000" w:sz="4" w:space="0"/>
              <w:right w:val="single" w:color="000000" w:sz="4" w:space="0"/>
            </w:tcBorders>
          </w:tcPr>
          <w:p w:rsidRPr="000C48BF" w:rsidR="0003700F" w:rsidP="0003700F" w:rsidRDefault="00DD39B8" w14:paraId="35A2496F" w14:textId="20C923DD">
            <w:pPr>
              <w:spacing w:after="0" w:line="259" w:lineRule="auto"/>
              <w:ind w:left="0" w:right="0" w:firstLine="0"/>
              <w:jc w:val="left"/>
              <w:rPr>
                <w:color w:val="auto"/>
                <w:sz w:val="20"/>
                <w:szCs w:val="20"/>
              </w:rPr>
            </w:pPr>
            <w:r>
              <w:rPr>
                <w:color w:val="auto"/>
                <w:sz w:val="20"/>
                <w:szCs w:val="20"/>
              </w:rPr>
              <w:t xml:space="preserve">Trust </w:t>
            </w:r>
            <w:r w:rsidRPr="000C48BF">
              <w:rPr>
                <w:color w:val="auto"/>
                <w:sz w:val="20"/>
                <w:szCs w:val="20"/>
              </w:rPr>
              <w:t>Safeguarding Committee</w:t>
            </w:r>
          </w:p>
        </w:tc>
      </w:tr>
    </w:tbl>
    <w:p w:rsidRPr="00642D41" w:rsidR="00FC74BB" w:rsidP="00DD39B8" w:rsidRDefault="00340E70" w14:paraId="11A7B83F" w14:textId="77777777">
      <w:pPr>
        <w:spacing w:before="240" w:after="0" w:line="259" w:lineRule="auto"/>
        <w:ind w:left="567" w:right="0" w:firstLine="0"/>
        <w:jc w:val="left"/>
        <w:rPr>
          <w:sz w:val="22"/>
        </w:rPr>
      </w:pPr>
      <w:bookmarkStart w:name="_GoBack" w:id="0"/>
      <w:bookmarkEnd w:id="0"/>
      <w:r w:rsidRPr="00642D41">
        <w:rPr>
          <w:b/>
          <w:sz w:val="22"/>
        </w:rPr>
        <w:t xml:space="preserve"> </w:t>
      </w:r>
    </w:p>
    <w:p w:rsidR="00DD39B8" w:rsidP="001949B3" w:rsidRDefault="00340E70" w14:paraId="3E3AD8A0" w14:textId="77777777">
      <w:pPr>
        <w:pStyle w:val="Heading1"/>
        <w:numPr>
          <w:ilvl w:val="0"/>
          <w:numId w:val="0"/>
        </w:numPr>
        <w:spacing w:after="4" w:line="259" w:lineRule="auto"/>
        <w:rPr>
          <w:sz w:val="22"/>
        </w:rPr>
      </w:pPr>
      <w:r w:rsidRPr="00642D41">
        <w:rPr>
          <w:sz w:val="22"/>
        </w:rPr>
        <w:t>Key messages</w:t>
      </w:r>
    </w:p>
    <w:p w:rsidRPr="00642D41" w:rsidR="00FC74BB" w:rsidP="001949B3" w:rsidRDefault="00340E70" w14:paraId="6A53F29F" w14:textId="1E550202">
      <w:pPr>
        <w:pStyle w:val="Heading1"/>
        <w:numPr>
          <w:ilvl w:val="0"/>
          <w:numId w:val="0"/>
        </w:numPr>
        <w:spacing w:after="4" w:line="259" w:lineRule="auto"/>
        <w:rPr>
          <w:sz w:val="22"/>
        </w:rPr>
      </w:pPr>
      <w:r w:rsidRPr="00642D41">
        <w:rPr>
          <w:sz w:val="22"/>
        </w:rPr>
        <w:t xml:space="preserve"> </w:t>
      </w:r>
    </w:p>
    <w:tbl>
      <w:tblPr>
        <w:tblW w:w="9924" w:type="dxa"/>
        <w:tblInd w:w="113" w:type="dxa"/>
        <w:tblCellMar>
          <w:top w:w="9" w:type="dxa"/>
          <w:right w:w="115" w:type="dxa"/>
        </w:tblCellMar>
        <w:tblLook w:val="04A0" w:firstRow="1" w:lastRow="0" w:firstColumn="1" w:lastColumn="0" w:noHBand="0" w:noVBand="1"/>
      </w:tblPr>
      <w:tblGrid>
        <w:gridCol w:w="9924"/>
      </w:tblGrid>
      <w:tr w:rsidRPr="00642D41" w:rsidR="00F2560A" w:rsidTr="302817C8" w14:paraId="24E5762C" w14:textId="77777777">
        <w:trPr>
          <w:trHeight w:val="2345"/>
        </w:trPr>
        <w:tc>
          <w:tcPr>
            <w:tcW w:w="9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02658" w:rsidR="000C48BF" w:rsidP="1995DA90" w:rsidRDefault="00874C40" w14:paraId="1AA60ED5" w14:textId="3CEFF135">
            <w:pPr>
              <w:shd w:val="clear" w:color="auto" w:fill="FFFFFF" w:themeFill="background1"/>
              <w:spacing w:before="240" w:line="276" w:lineRule="auto"/>
              <w:ind w:left="57" w:right="113" w:firstLine="0"/>
              <w:rPr>
                <w:rFonts w:ascii="Arial" w:hAnsi="Arial" w:cs="Arial"/>
                <w:sz w:val="22"/>
                <w:szCs w:val="22"/>
              </w:rPr>
            </w:pPr>
            <w:r w:rsidRPr="1995DA90" w:rsidR="003D0E55">
              <w:rPr>
                <w:color w:val="auto"/>
                <w:sz w:val="22"/>
                <w:szCs w:val="22"/>
              </w:rPr>
              <w:t xml:space="preserve">The Executive team, the Corporate Safeguarding team and all staff across the Trust remain committed to ensuring that the safety and protection of our patients/service users and staff </w:t>
            </w:r>
            <w:r w:rsidRPr="1995DA90" w:rsidR="003D0E55">
              <w:rPr>
                <w:color w:val="auto"/>
                <w:sz w:val="22"/>
                <w:szCs w:val="22"/>
              </w:rPr>
              <w:t>remains</w:t>
            </w:r>
            <w:r w:rsidRPr="1995DA90" w:rsidR="003D0E55">
              <w:rPr>
                <w:color w:val="auto"/>
                <w:sz w:val="22"/>
                <w:szCs w:val="22"/>
              </w:rPr>
              <w:t xml:space="preserve"> a key Trust priority. </w:t>
            </w:r>
          </w:p>
          <w:p w:rsidRPr="00802658" w:rsidR="000C48BF" w:rsidP="1995DA90" w:rsidRDefault="00874C40" w14:paraId="4F3D06F6" w14:textId="45D9457E">
            <w:pPr>
              <w:shd w:val="clear" w:color="auto" w:fill="FFFFFF" w:themeFill="background1"/>
              <w:spacing w:before="240" w:line="276" w:lineRule="auto"/>
              <w:ind w:left="57" w:right="113" w:firstLine="0"/>
              <w:rPr>
                <w:rFonts w:ascii="Arial" w:hAnsi="Arial" w:cs="Arial"/>
                <w:sz w:val="22"/>
                <w:szCs w:val="22"/>
              </w:rPr>
            </w:pPr>
            <w:r w:rsidRPr="1995DA90" w:rsidR="00874C40">
              <w:rPr>
                <w:rFonts w:ascii="Arial" w:hAnsi="Arial" w:cs="Arial"/>
                <w:sz w:val="22"/>
                <w:szCs w:val="22"/>
              </w:rPr>
              <w:t>This year has brought both challenge and reflection, prompting us to draw critical learning from national safeguarding failure</w:t>
            </w:r>
            <w:r w:rsidRPr="1995DA90" w:rsidR="000562FB">
              <w:rPr>
                <w:rFonts w:ascii="Arial" w:hAnsi="Arial" w:cs="Arial"/>
                <w:sz w:val="22"/>
                <w:szCs w:val="22"/>
              </w:rPr>
              <w:t>s, including the ongoing inquiries</w:t>
            </w:r>
            <w:r w:rsidRPr="1995DA90" w:rsidR="00874C40">
              <w:rPr>
                <w:rFonts w:ascii="Arial" w:hAnsi="Arial" w:cs="Arial"/>
                <w:sz w:val="22"/>
                <w:szCs w:val="22"/>
              </w:rPr>
              <w:t xml:space="preserve"> into Southport and Nottingham attack</w:t>
            </w:r>
            <w:r w:rsidRPr="1995DA90" w:rsidR="005A3E38">
              <w:rPr>
                <w:rFonts w:ascii="Arial" w:hAnsi="Arial" w:cs="Arial"/>
                <w:sz w:val="22"/>
                <w:szCs w:val="22"/>
              </w:rPr>
              <w:t>s</w:t>
            </w:r>
            <w:r w:rsidRPr="1995DA90" w:rsidR="00874C40">
              <w:rPr>
                <w:rFonts w:ascii="Arial" w:hAnsi="Arial" w:cs="Arial"/>
                <w:sz w:val="22"/>
                <w:szCs w:val="22"/>
              </w:rPr>
              <w:t xml:space="preserve">. These events serve as powerful reminders of the </w:t>
            </w:r>
            <w:r w:rsidRPr="1995DA90" w:rsidR="00874C40">
              <w:rPr>
                <w:rFonts w:ascii="Arial" w:hAnsi="Arial" w:cs="Arial"/>
                <w:sz w:val="22"/>
                <w:szCs w:val="22"/>
              </w:rPr>
              <w:t>serious consequences</w:t>
            </w:r>
            <w:r w:rsidRPr="1995DA90" w:rsidR="00874C40">
              <w:rPr>
                <w:rFonts w:ascii="Arial" w:hAnsi="Arial" w:cs="Arial"/>
                <w:sz w:val="22"/>
                <w:szCs w:val="22"/>
              </w:rPr>
              <w:t xml:space="preserve"> that can arise when concerns are </w:t>
            </w:r>
            <w:r w:rsidRPr="1995DA90" w:rsidR="00DD39B8">
              <w:rPr>
                <w:rFonts w:ascii="Arial" w:hAnsi="Arial" w:cs="Arial"/>
                <w:sz w:val="22"/>
                <w:szCs w:val="22"/>
              </w:rPr>
              <w:t>overlooked,</w:t>
            </w:r>
            <w:r w:rsidRPr="1995DA90" w:rsidR="00874C40">
              <w:rPr>
                <w:rFonts w:ascii="Arial" w:hAnsi="Arial" w:cs="Arial"/>
                <w:sz w:val="22"/>
                <w:szCs w:val="22"/>
              </w:rPr>
              <w:t xml:space="preserve"> and systems </w:t>
            </w:r>
            <w:r w:rsidRPr="1995DA90" w:rsidR="00874C40">
              <w:rPr>
                <w:rFonts w:ascii="Arial" w:hAnsi="Arial" w:cs="Arial"/>
                <w:sz w:val="22"/>
                <w:szCs w:val="22"/>
              </w:rPr>
              <w:t>fail to</w:t>
            </w:r>
            <w:r w:rsidRPr="1995DA90" w:rsidR="00874C40">
              <w:rPr>
                <w:rFonts w:ascii="Arial" w:hAnsi="Arial" w:cs="Arial"/>
                <w:sz w:val="22"/>
                <w:szCs w:val="22"/>
              </w:rPr>
              <w:t xml:space="preserve"> respond effectively.</w:t>
            </w:r>
          </w:p>
          <w:p w:rsidRPr="00802658" w:rsidR="000C48BF" w:rsidP="1995DA90" w:rsidRDefault="00874C40" w14:paraId="153B5C4B" w14:textId="3218A197">
            <w:pPr>
              <w:shd w:val="clear" w:color="auto" w:fill="FFFFFF" w:themeFill="background1"/>
              <w:spacing w:before="240" w:line="276" w:lineRule="auto"/>
              <w:ind w:left="57" w:right="113" w:firstLine="0"/>
              <w:rPr>
                <w:rFonts w:ascii="Arial" w:hAnsi="Arial" w:cs="Arial"/>
                <w:sz w:val="22"/>
                <w:szCs w:val="22"/>
              </w:rPr>
            </w:pPr>
            <w:r w:rsidRPr="1995DA90" w:rsidR="00874C40">
              <w:rPr>
                <w:rFonts w:ascii="Arial" w:hAnsi="Arial" w:cs="Arial"/>
                <w:sz w:val="22"/>
                <w:szCs w:val="22"/>
              </w:rPr>
              <w:t xml:space="preserve">At ELFT, we are proud to uphold a strong safeguarding culture, underpinned by </w:t>
            </w:r>
            <w:r w:rsidRPr="1995DA90" w:rsidR="00874C40">
              <w:rPr>
                <w:rFonts w:ascii="Arial" w:hAnsi="Arial" w:cs="Arial"/>
                <w:sz w:val="22"/>
                <w:szCs w:val="22"/>
              </w:rPr>
              <w:t>high levels</w:t>
            </w:r>
            <w:r w:rsidRPr="1995DA90" w:rsidR="00874C40">
              <w:rPr>
                <w:rFonts w:ascii="Arial" w:hAnsi="Arial" w:cs="Arial"/>
                <w:sz w:val="22"/>
                <w:szCs w:val="22"/>
              </w:rPr>
              <w:t xml:space="preserve"> of training and supervision compliance, and driven</w:t>
            </w:r>
            <w:r w:rsidRPr="1995DA90" w:rsidR="000562FB">
              <w:rPr>
                <w:rFonts w:ascii="Arial" w:hAnsi="Arial" w:cs="Arial"/>
                <w:sz w:val="22"/>
                <w:szCs w:val="22"/>
              </w:rPr>
              <w:t xml:space="preserve"> by a shared commitment to profe</w:t>
            </w:r>
            <w:r w:rsidRPr="1995DA90" w:rsidR="00874C40">
              <w:rPr>
                <w:rFonts w:ascii="Arial" w:hAnsi="Arial" w:cs="Arial"/>
                <w:sz w:val="22"/>
                <w:szCs w:val="22"/>
              </w:rPr>
              <w:t xml:space="preserve">ssional accountability, compassionate care, and continuous improvement. These principles are central to our safeguarding approach and shape the way we respond across </w:t>
            </w:r>
            <w:r w:rsidRPr="1995DA90" w:rsidR="00874C40">
              <w:rPr>
                <w:rFonts w:ascii="Arial" w:hAnsi="Arial" w:cs="Arial"/>
                <w:sz w:val="22"/>
                <w:szCs w:val="22"/>
              </w:rPr>
              <w:t>services.</w:t>
            </w:r>
            <w:r w:rsidRPr="1995DA90" w:rsidR="00874C40">
              <w:rPr>
                <w:rFonts w:ascii="Arial" w:hAnsi="Arial" w:cs="Arial"/>
                <w:sz w:val="22"/>
                <w:szCs w:val="22"/>
              </w:rPr>
              <w:t>We</w:t>
            </w:r>
            <w:r w:rsidRPr="1995DA90" w:rsidR="00874C40">
              <w:rPr>
                <w:rFonts w:ascii="Arial" w:hAnsi="Arial" w:cs="Arial"/>
                <w:sz w:val="22"/>
                <w:szCs w:val="22"/>
              </w:rPr>
              <w:t xml:space="preserve"> recognise that ongoing fi</w:t>
            </w:r>
            <w:r w:rsidRPr="1995DA90" w:rsidR="003D0E55">
              <w:rPr>
                <w:rFonts w:ascii="Arial" w:hAnsi="Arial" w:cs="Arial"/>
                <w:sz w:val="22"/>
                <w:szCs w:val="22"/>
              </w:rPr>
              <w:t>nancial pressures across the Trust</w:t>
            </w:r>
            <w:r w:rsidRPr="1995DA90" w:rsidR="00874C40">
              <w:rPr>
                <w:rFonts w:ascii="Arial" w:hAnsi="Arial" w:cs="Arial"/>
                <w:sz w:val="22"/>
                <w:szCs w:val="22"/>
              </w:rPr>
              <w:t xml:space="preserve"> present </w:t>
            </w:r>
            <w:r w:rsidRPr="1995DA90" w:rsidR="00874C40">
              <w:rPr>
                <w:rFonts w:ascii="Arial" w:hAnsi="Arial" w:cs="Arial"/>
                <w:sz w:val="22"/>
                <w:szCs w:val="22"/>
              </w:rPr>
              <w:t>real challenges</w:t>
            </w:r>
            <w:r w:rsidRPr="1995DA90" w:rsidR="00874C40">
              <w:rPr>
                <w:rFonts w:ascii="Arial" w:hAnsi="Arial" w:cs="Arial"/>
                <w:sz w:val="22"/>
                <w:szCs w:val="22"/>
              </w:rPr>
              <w:t xml:space="preserve"> to safeguarding delivery. Workforce shortages, funding constraints, and rising demand place pressure on our teams and systems. </w:t>
            </w:r>
            <w:r w:rsidRPr="1995DA90" w:rsidR="003D0E55">
              <w:rPr>
                <w:rFonts w:ascii="Arial" w:hAnsi="Arial" w:cs="Arial"/>
                <w:sz w:val="22"/>
                <w:szCs w:val="22"/>
              </w:rPr>
              <w:t xml:space="preserve">We </w:t>
            </w:r>
            <w:r w:rsidRPr="1995DA90" w:rsidR="00874C40">
              <w:rPr>
                <w:rFonts w:ascii="Arial" w:hAnsi="Arial" w:cs="Arial"/>
                <w:sz w:val="22"/>
                <w:szCs w:val="22"/>
              </w:rPr>
              <w:t>remain</w:t>
            </w:r>
            <w:r w:rsidRPr="1995DA90" w:rsidR="00874C40">
              <w:rPr>
                <w:rFonts w:ascii="Arial" w:hAnsi="Arial" w:cs="Arial"/>
                <w:sz w:val="22"/>
                <w:szCs w:val="22"/>
              </w:rPr>
              <w:t xml:space="preserve"> </w:t>
            </w:r>
            <w:r w:rsidRPr="1995DA90" w:rsidR="00874C40">
              <w:rPr>
                <w:rFonts w:ascii="Arial" w:hAnsi="Arial" w:cs="Arial"/>
                <w:sz w:val="22"/>
                <w:szCs w:val="22"/>
              </w:rPr>
              <w:t>firmly committed</w:t>
            </w:r>
            <w:r w:rsidRPr="1995DA90" w:rsidR="00874C40">
              <w:rPr>
                <w:rFonts w:ascii="Arial" w:hAnsi="Arial" w:cs="Arial"/>
                <w:sz w:val="22"/>
                <w:szCs w:val="22"/>
              </w:rPr>
              <w:t xml:space="preserve"> to a whole family approach, recognising that </w:t>
            </w:r>
            <w:r w:rsidRPr="1995DA90" w:rsidR="00874C40">
              <w:rPr>
                <w:rFonts w:ascii="Arial" w:hAnsi="Arial" w:cs="Arial"/>
                <w:sz w:val="22"/>
                <w:szCs w:val="22"/>
              </w:rPr>
              <w:t>safeguarding cannot be separated from holistic, person-centred care. Whether working in mental health, community services, or corporate teams, our staff collaborate across disciplines to ensure that children, adults, and families receive the right support at the right time.</w:t>
            </w:r>
          </w:p>
          <w:p w:rsidRPr="00802658" w:rsidR="000C48BF" w:rsidP="1995DA90" w:rsidRDefault="00874C40" w14:paraId="388A441C" w14:textId="4DE59767">
            <w:pPr>
              <w:shd w:val="clear" w:color="auto" w:fill="FFFFFF" w:themeFill="background1"/>
              <w:spacing w:before="240" w:line="276" w:lineRule="auto"/>
              <w:ind w:left="57" w:right="113" w:firstLine="0"/>
              <w:rPr>
                <w:rFonts w:ascii="Arial" w:hAnsi="Arial" w:cs="Arial"/>
                <w:sz w:val="22"/>
                <w:szCs w:val="22"/>
              </w:rPr>
            </w:pPr>
            <w:r w:rsidRPr="1995DA90" w:rsidR="00874C40">
              <w:rPr>
                <w:rFonts w:ascii="Arial" w:hAnsi="Arial" w:cs="Arial"/>
                <w:sz w:val="22"/>
                <w:szCs w:val="22"/>
              </w:rPr>
              <w:t xml:space="preserve">This year marked key leadership milestones with the appointment of Lorraine </w:t>
            </w:r>
            <w:r w:rsidRPr="1995DA90" w:rsidR="00874C40">
              <w:rPr>
                <w:rFonts w:ascii="Arial" w:hAnsi="Arial" w:cs="Arial"/>
                <w:sz w:val="22"/>
                <w:szCs w:val="22"/>
              </w:rPr>
              <w:t>Sunduza</w:t>
            </w:r>
            <w:r w:rsidRPr="1995DA90" w:rsidR="00874C40">
              <w:rPr>
                <w:rFonts w:ascii="Arial" w:hAnsi="Arial" w:cs="Arial"/>
                <w:sz w:val="22"/>
                <w:szCs w:val="22"/>
              </w:rPr>
              <w:t xml:space="preserve"> OBE as the Chief Executive Officer of ELFT and Claire McKenna as Chief Nurse and Executive Director of Safeguarding. </w:t>
            </w:r>
            <w:r w:rsidRPr="1995DA90" w:rsidR="003D0E55">
              <w:rPr>
                <w:rFonts w:ascii="Arial" w:hAnsi="Arial" w:cs="Arial"/>
                <w:sz w:val="22"/>
                <w:szCs w:val="22"/>
              </w:rPr>
              <w:t xml:space="preserve">Lorraine and </w:t>
            </w:r>
            <w:r w:rsidRPr="1995DA90" w:rsidR="00874C40">
              <w:rPr>
                <w:rFonts w:ascii="Arial" w:hAnsi="Arial" w:cs="Arial"/>
                <w:sz w:val="22"/>
                <w:szCs w:val="22"/>
              </w:rPr>
              <w:t>Claire previously led the Corporate Safeguarding Team with clarity, compassion, and a deep-rooted dedication to protecting those most at risk. Their transition into this strategic role reflects both the outstanding leadership and the Trust’s commitment to safeguarding at the highest level. The safeguarding team has embraced new structures and wor</w:t>
            </w:r>
            <w:r w:rsidRPr="1995DA90" w:rsidR="00DD1514">
              <w:rPr>
                <w:rFonts w:ascii="Arial" w:hAnsi="Arial" w:cs="Arial"/>
                <w:sz w:val="22"/>
                <w:szCs w:val="22"/>
              </w:rPr>
              <w:t xml:space="preserve">ked through staffing </w:t>
            </w:r>
            <w:r w:rsidRPr="1995DA90" w:rsidR="008F61AF">
              <w:rPr>
                <w:rFonts w:ascii="Arial" w:hAnsi="Arial" w:cs="Arial"/>
                <w:sz w:val="22"/>
                <w:szCs w:val="22"/>
              </w:rPr>
              <w:t>pressures including</w:t>
            </w:r>
            <w:r w:rsidRPr="1995DA90" w:rsidR="00DD1514">
              <w:rPr>
                <w:rFonts w:ascii="Arial" w:hAnsi="Arial" w:cs="Arial"/>
                <w:sz w:val="22"/>
                <w:szCs w:val="22"/>
              </w:rPr>
              <w:t xml:space="preserve"> vacancies and secondments</w:t>
            </w:r>
            <w:r w:rsidRPr="1995DA90" w:rsidR="00874C40">
              <w:rPr>
                <w:rFonts w:ascii="Arial" w:hAnsi="Arial" w:cs="Arial"/>
                <w:sz w:val="22"/>
                <w:szCs w:val="22"/>
              </w:rPr>
              <w:t xml:space="preserve"> with remarkable resilience and professionalism.</w:t>
            </w:r>
          </w:p>
          <w:p w:rsidRPr="00802658" w:rsidR="000C48BF" w:rsidP="1995DA90" w:rsidRDefault="00874C40" w14:paraId="06F53B39" w14:textId="6C44888C">
            <w:pPr>
              <w:shd w:val="clear" w:color="auto" w:fill="FFFFFF" w:themeFill="background1"/>
              <w:spacing w:before="240" w:line="276" w:lineRule="auto"/>
              <w:ind w:left="57" w:right="113" w:firstLine="0"/>
              <w:rPr>
                <w:rFonts w:ascii="Arial" w:hAnsi="Arial" w:cs="Arial"/>
                <w:sz w:val="22"/>
                <w:szCs w:val="22"/>
              </w:rPr>
            </w:pPr>
            <w:r w:rsidRPr="1995DA90" w:rsidR="00874C40">
              <w:rPr>
                <w:rFonts w:ascii="Arial" w:hAnsi="Arial" w:cs="Arial"/>
                <w:sz w:val="22"/>
                <w:szCs w:val="22"/>
              </w:rPr>
              <w:t>Among the team’s notable achievements is the launch of a new Quality Improvement project on Routine Enquiry into Domestic Abuse. This initiative aims to strengthen early identification of domestic abuse, enhance support pathways for service users, and ensure staff are equipped to respond sensitively and confidently to disclosures.</w:t>
            </w:r>
          </w:p>
          <w:p w:rsidRPr="000C48BF" w:rsidR="00874C40" w:rsidP="302817C8" w:rsidRDefault="00874C40" w14:paraId="2771A6EF" w14:textId="30FDA128">
            <w:pPr>
              <w:shd w:val="clear" w:color="auto" w:fill="FFFFFF" w:themeFill="background1"/>
              <w:spacing w:before="240" w:line="276" w:lineRule="auto"/>
              <w:ind w:left="57" w:right="113" w:firstLine="0"/>
              <w:rPr>
                <w:rFonts w:ascii="Arial" w:hAnsi="Arial" w:cs="Arial"/>
                <w:color w:val="0070C0"/>
                <w:sz w:val="20"/>
                <w:szCs w:val="20"/>
              </w:rPr>
            </w:pPr>
            <w:r w:rsidRPr="302817C8" w:rsidR="00874C40">
              <w:rPr>
                <w:rFonts w:ascii="Arial" w:hAnsi="Arial" w:cs="Arial"/>
                <w:sz w:val="22"/>
                <w:szCs w:val="22"/>
              </w:rPr>
              <w:t>I extend our sincere thanks to the Corporate Safeguarding Team, our frontline staff, partner agencies, and Local Authority colleagues. Your vigilance, collaboration, and compassion form the bedrock of our safeguarding system. Together, we have responded to emerging risks, adapted to complex challenges, and continued to build a culture that places safety, dignity, and wellbeing at its core.</w:t>
            </w:r>
          </w:p>
          <w:p w:rsidRPr="000C48BF" w:rsidR="00874C40" w:rsidP="302817C8" w:rsidRDefault="00874C40" w14:paraId="485B650C" w14:textId="5928ABC9">
            <w:pPr>
              <w:shd w:val="clear" w:color="auto" w:fill="FFFFFF" w:themeFill="background1"/>
              <w:spacing w:before="240" w:line="276" w:lineRule="auto"/>
              <w:ind w:left="57" w:right="113" w:firstLine="0"/>
              <w:rPr>
                <w:rFonts w:ascii="Arial" w:hAnsi="Arial" w:cs="Arial"/>
                <w:color w:val="0070C0"/>
                <w:sz w:val="20"/>
                <w:szCs w:val="20"/>
              </w:rPr>
            </w:pPr>
            <w:r w:rsidRPr="302817C8" w:rsidR="00874C40">
              <w:rPr>
                <w:rFonts w:ascii="Arial" w:hAnsi="Arial" w:cs="Arial"/>
                <w:sz w:val="22"/>
                <w:szCs w:val="22"/>
              </w:rPr>
              <w:t>As we look ahead, we reaffirm our commitment to fostering a culture where safeguarding is everyone’s responsibility — where all voices are heard, concerns are acted upon, and people feel safe and supported. With continued partnership and an unwavering focus on our values — We Care, We Respect, and We Are Inclusive — we will remain a Trust where safeguarding is not only embedded in practice, but led from the heart</w:t>
            </w:r>
            <w:r w:rsidRPr="302817C8" w:rsidR="00874C40">
              <w:rPr>
                <w:rFonts w:ascii="Arial" w:hAnsi="Arial" w:cs="Arial"/>
                <w:color w:val="0070C0"/>
                <w:sz w:val="20"/>
                <w:szCs w:val="20"/>
              </w:rPr>
              <w:t>.</w:t>
            </w:r>
          </w:p>
          <w:p w:rsidRPr="00642D41" w:rsidR="00E47025" w:rsidP="00874C40" w:rsidRDefault="00E47025" w14:paraId="5734EFEF" w14:textId="055DC3FE">
            <w:pPr>
              <w:shd w:val="clear" w:color="auto" w:fill="FFFFFF" w:themeFill="background1"/>
              <w:spacing w:before="240" w:line="276" w:lineRule="auto"/>
              <w:ind w:left="57" w:right="113" w:firstLine="0"/>
              <w:rPr>
                <w:color w:val="auto"/>
                <w:sz w:val="22"/>
              </w:rPr>
            </w:pPr>
          </w:p>
        </w:tc>
      </w:tr>
    </w:tbl>
    <w:p w:rsidRPr="00642D41" w:rsidR="00FC74BB" w:rsidRDefault="00340E70" w14:paraId="11F3415E" w14:textId="77777777">
      <w:pPr>
        <w:spacing w:after="0" w:line="259" w:lineRule="auto"/>
        <w:ind w:left="567" w:right="0" w:firstLine="0"/>
        <w:jc w:val="left"/>
        <w:rPr>
          <w:color w:val="auto"/>
          <w:sz w:val="22"/>
        </w:rPr>
      </w:pPr>
      <w:r w:rsidRPr="00642D41">
        <w:rPr>
          <w:b/>
          <w:color w:val="auto"/>
          <w:sz w:val="22"/>
        </w:rPr>
        <w:t xml:space="preserve"> </w:t>
      </w:r>
    </w:p>
    <w:p w:rsidR="00FC74BB" w:rsidP="001949B3" w:rsidRDefault="00340E70" w14:paraId="3C1F5C49" w14:textId="77777777">
      <w:pPr>
        <w:pStyle w:val="Heading1"/>
        <w:numPr>
          <w:ilvl w:val="0"/>
          <w:numId w:val="0"/>
        </w:numPr>
        <w:spacing w:after="4" w:line="259" w:lineRule="auto"/>
        <w:rPr>
          <w:sz w:val="22"/>
        </w:rPr>
      </w:pPr>
      <w:r w:rsidRPr="00642D41">
        <w:rPr>
          <w:sz w:val="22"/>
        </w:rPr>
        <w:t xml:space="preserve">Strategic priorities this paper supports </w:t>
      </w:r>
    </w:p>
    <w:p w:rsidRPr="00DD39B8" w:rsidR="00DD39B8" w:rsidP="00DD39B8" w:rsidRDefault="00DD39B8" w14:paraId="1E450D0E" w14:textId="77777777"/>
    <w:tbl>
      <w:tblPr>
        <w:tblW w:w="9924" w:type="dxa"/>
        <w:tblInd w:w="113" w:type="dxa"/>
        <w:tblCellMar>
          <w:top w:w="9" w:type="dxa"/>
          <w:right w:w="56" w:type="dxa"/>
        </w:tblCellMar>
        <w:tblLook w:val="04A0" w:firstRow="1" w:lastRow="0" w:firstColumn="1" w:lastColumn="0" w:noHBand="0" w:noVBand="1"/>
      </w:tblPr>
      <w:tblGrid>
        <w:gridCol w:w="3999"/>
        <w:gridCol w:w="425"/>
        <w:gridCol w:w="5500"/>
      </w:tblGrid>
      <w:tr w:rsidRPr="00642D41" w:rsidR="00FC74BB" w14:paraId="698D5E8D" w14:textId="77777777">
        <w:trPr>
          <w:trHeight w:val="838"/>
        </w:trPr>
        <w:tc>
          <w:tcPr>
            <w:tcW w:w="3999" w:type="dxa"/>
            <w:tcBorders>
              <w:top w:val="single" w:color="000000" w:sz="4" w:space="0"/>
              <w:left w:val="single" w:color="000000" w:sz="4" w:space="0"/>
              <w:bottom w:val="single" w:color="000000" w:sz="4" w:space="0"/>
              <w:right w:val="single" w:color="000000" w:sz="4" w:space="0"/>
            </w:tcBorders>
          </w:tcPr>
          <w:p w:rsidRPr="00642D41" w:rsidR="00FC74BB" w:rsidRDefault="00340E70" w14:paraId="1A242BA5" w14:textId="77777777">
            <w:pPr>
              <w:spacing w:after="0" w:line="259" w:lineRule="auto"/>
              <w:ind w:left="0" w:right="0" w:firstLine="0"/>
              <w:jc w:val="left"/>
              <w:rPr>
                <w:sz w:val="22"/>
              </w:rPr>
            </w:pPr>
            <w:r w:rsidRPr="00642D41">
              <w:rPr>
                <w:sz w:val="22"/>
              </w:rPr>
              <w:t xml:space="preserve">Improved population health outcomes </w:t>
            </w:r>
          </w:p>
        </w:tc>
        <w:tc>
          <w:tcPr>
            <w:tcW w:w="425" w:type="dxa"/>
            <w:tcBorders>
              <w:top w:val="single" w:color="000000" w:sz="4" w:space="0"/>
              <w:left w:val="single" w:color="000000" w:sz="4" w:space="0"/>
              <w:bottom w:val="single" w:color="000000" w:sz="4" w:space="0"/>
              <w:right w:val="single" w:color="000000" w:sz="4" w:space="0"/>
            </w:tcBorders>
          </w:tcPr>
          <w:p w:rsidRPr="00642D41" w:rsidR="00FC74BB" w:rsidRDefault="00340E70" w14:paraId="78AB2B96" w14:textId="77777777">
            <w:pPr>
              <w:spacing w:after="0" w:line="259" w:lineRule="auto"/>
              <w:ind w:left="0" w:right="0" w:firstLine="0"/>
              <w:rPr>
                <w:sz w:val="22"/>
              </w:rPr>
            </w:pPr>
            <w:r w:rsidRPr="00642D41">
              <w:rPr>
                <w:rFonts w:ascii="Segoe UI Symbol" w:hAnsi="Segoe UI Symbol" w:eastAsia="MS Gothic" w:cs="Segoe UI Symbol"/>
                <w:sz w:val="22"/>
              </w:rPr>
              <w:t>☒</w:t>
            </w:r>
            <w:r w:rsidRPr="00642D41">
              <w:rPr>
                <w:sz w:val="22"/>
              </w:rPr>
              <w:t xml:space="preserve"> </w:t>
            </w:r>
          </w:p>
        </w:tc>
        <w:tc>
          <w:tcPr>
            <w:tcW w:w="5499" w:type="dxa"/>
            <w:tcBorders>
              <w:top w:val="single" w:color="000000" w:sz="4" w:space="0"/>
              <w:left w:val="single" w:color="000000" w:sz="4" w:space="0"/>
              <w:bottom w:val="single" w:color="000000" w:sz="4" w:space="0"/>
              <w:right w:val="single" w:color="000000" w:sz="4" w:space="0"/>
            </w:tcBorders>
          </w:tcPr>
          <w:p w:rsidRPr="00802658" w:rsidR="00FC74BB" w:rsidP="00EB6A72" w:rsidRDefault="003D0E55" w14:paraId="59B400BE" w14:textId="722445F1">
            <w:pPr>
              <w:spacing w:after="0" w:line="259" w:lineRule="auto"/>
              <w:ind w:left="0" w:right="0" w:firstLine="0"/>
              <w:rPr>
                <w:color w:val="auto"/>
                <w:sz w:val="22"/>
              </w:rPr>
            </w:pPr>
            <w:r w:rsidRPr="00802658">
              <w:rPr>
                <w:color w:val="auto"/>
                <w:sz w:val="22"/>
              </w:rPr>
              <w:t xml:space="preserve">By using safeguarding to identify and address abuse, neglect, and exploitation early, preventing long –term harm. Embed safeguarding </w:t>
            </w:r>
            <w:r w:rsidRPr="00802658" w:rsidR="00CF6BE8">
              <w:rPr>
                <w:color w:val="auto"/>
                <w:sz w:val="22"/>
              </w:rPr>
              <w:t>within wider health and social care systems to reduce health inequalities and protect the most vulnerable.</w:t>
            </w:r>
          </w:p>
        </w:tc>
      </w:tr>
      <w:tr w:rsidRPr="00642D41" w:rsidR="00FC74BB" w14:paraId="3531FD8F" w14:textId="77777777">
        <w:trPr>
          <w:trHeight w:val="562"/>
        </w:trPr>
        <w:tc>
          <w:tcPr>
            <w:tcW w:w="3999" w:type="dxa"/>
            <w:tcBorders>
              <w:top w:val="single" w:color="000000" w:sz="4" w:space="0"/>
              <w:left w:val="single" w:color="000000" w:sz="4" w:space="0"/>
              <w:bottom w:val="single" w:color="000000" w:sz="4" w:space="0"/>
              <w:right w:val="single" w:color="000000" w:sz="4" w:space="0"/>
            </w:tcBorders>
          </w:tcPr>
          <w:p w:rsidRPr="00642D41" w:rsidR="00FC74BB" w:rsidRDefault="00340E70" w14:paraId="6F7125C8" w14:textId="77777777">
            <w:pPr>
              <w:spacing w:after="0" w:line="259" w:lineRule="auto"/>
              <w:ind w:left="0" w:right="0" w:firstLine="0"/>
              <w:jc w:val="left"/>
              <w:rPr>
                <w:sz w:val="22"/>
              </w:rPr>
            </w:pPr>
            <w:r w:rsidRPr="00642D41">
              <w:rPr>
                <w:sz w:val="22"/>
              </w:rPr>
              <w:t xml:space="preserve">Improved experience of care  </w:t>
            </w:r>
          </w:p>
        </w:tc>
        <w:tc>
          <w:tcPr>
            <w:tcW w:w="425" w:type="dxa"/>
            <w:tcBorders>
              <w:top w:val="single" w:color="000000" w:sz="4" w:space="0"/>
              <w:left w:val="single" w:color="000000" w:sz="4" w:space="0"/>
              <w:bottom w:val="single" w:color="000000" w:sz="4" w:space="0"/>
              <w:right w:val="single" w:color="000000" w:sz="4" w:space="0"/>
            </w:tcBorders>
          </w:tcPr>
          <w:p w:rsidRPr="00642D41" w:rsidR="00FC74BB" w:rsidRDefault="00340E70" w14:paraId="62C34C56" w14:textId="77777777">
            <w:pPr>
              <w:spacing w:after="0" w:line="259" w:lineRule="auto"/>
              <w:ind w:left="0" w:right="0" w:firstLine="0"/>
              <w:rPr>
                <w:sz w:val="22"/>
              </w:rPr>
            </w:pPr>
            <w:r w:rsidRPr="00642D41">
              <w:rPr>
                <w:rFonts w:ascii="Segoe UI Symbol" w:hAnsi="Segoe UI Symbol" w:eastAsia="MS Gothic" w:cs="Segoe UI Symbol"/>
                <w:sz w:val="22"/>
              </w:rPr>
              <w:t>☒</w:t>
            </w:r>
            <w:r w:rsidRPr="00642D41">
              <w:rPr>
                <w:sz w:val="22"/>
              </w:rPr>
              <w:t xml:space="preserve"> </w:t>
            </w:r>
          </w:p>
        </w:tc>
        <w:tc>
          <w:tcPr>
            <w:tcW w:w="5499" w:type="dxa"/>
            <w:tcBorders>
              <w:top w:val="single" w:color="000000" w:sz="4" w:space="0"/>
              <w:left w:val="single" w:color="000000" w:sz="4" w:space="0"/>
              <w:bottom w:val="single" w:color="000000" w:sz="4" w:space="0"/>
              <w:right w:val="single" w:color="000000" w:sz="4" w:space="0"/>
            </w:tcBorders>
          </w:tcPr>
          <w:p w:rsidRPr="00802658" w:rsidR="00FC74BB" w:rsidP="00EB6A72" w:rsidRDefault="00CF6BE8" w14:paraId="7954619F" w14:textId="19E5D092">
            <w:pPr>
              <w:spacing w:after="0" w:line="259" w:lineRule="auto"/>
              <w:ind w:left="0" w:right="0" w:firstLine="0"/>
              <w:rPr>
                <w:color w:val="auto"/>
                <w:sz w:val="22"/>
              </w:rPr>
            </w:pPr>
            <w:r w:rsidRPr="00802658">
              <w:rPr>
                <w:color w:val="auto"/>
                <w:sz w:val="22"/>
              </w:rPr>
              <w:t>By ensuring safeguarding process are person –centred, trauma –informed, and respectful of individuals’ rights and dignity. Strengthen multi-agency collaboration to provide timely, coordinated support that builds trust and empowers those at risk.</w:t>
            </w:r>
          </w:p>
        </w:tc>
      </w:tr>
      <w:tr w:rsidRPr="00642D41" w:rsidR="00FC74BB" w14:paraId="40ADA4DB" w14:textId="77777777">
        <w:trPr>
          <w:trHeight w:val="562"/>
        </w:trPr>
        <w:tc>
          <w:tcPr>
            <w:tcW w:w="3999" w:type="dxa"/>
            <w:tcBorders>
              <w:top w:val="single" w:color="000000" w:sz="4" w:space="0"/>
              <w:left w:val="single" w:color="000000" w:sz="4" w:space="0"/>
              <w:bottom w:val="single" w:color="000000" w:sz="4" w:space="0"/>
              <w:right w:val="single" w:color="000000" w:sz="4" w:space="0"/>
            </w:tcBorders>
          </w:tcPr>
          <w:p w:rsidRPr="00642D41" w:rsidR="00FC74BB" w:rsidRDefault="00340E70" w14:paraId="59D926E5" w14:textId="77777777">
            <w:pPr>
              <w:spacing w:after="0" w:line="259" w:lineRule="auto"/>
              <w:ind w:left="0" w:right="0" w:firstLine="0"/>
              <w:jc w:val="left"/>
              <w:rPr>
                <w:sz w:val="22"/>
              </w:rPr>
            </w:pPr>
            <w:r w:rsidRPr="00642D41">
              <w:rPr>
                <w:sz w:val="22"/>
              </w:rPr>
              <w:t xml:space="preserve">Improved staff experience  </w:t>
            </w:r>
          </w:p>
        </w:tc>
        <w:tc>
          <w:tcPr>
            <w:tcW w:w="425" w:type="dxa"/>
            <w:tcBorders>
              <w:top w:val="single" w:color="000000" w:sz="4" w:space="0"/>
              <w:left w:val="single" w:color="000000" w:sz="4" w:space="0"/>
              <w:bottom w:val="single" w:color="000000" w:sz="4" w:space="0"/>
              <w:right w:val="single" w:color="000000" w:sz="4" w:space="0"/>
            </w:tcBorders>
          </w:tcPr>
          <w:p w:rsidRPr="00642D41" w:rsidR="00FC74BB" w:rsidRDefault="00340E70" w14:paraId="7AB6181F" w14:textId="77777777">
            <w:pPr>
              <w:spacing w:after="0" w:line="259" w:lineRule="auto"/>
              <w:ind w:left="0" w:right="0" w:firstLine="0"/>
              <w:rPr>
                <w:sz w:val="22"/>
              </w:rPr>
            </w:pPr>
            <w:r w:rsidRPr="00642D41">
              <w:rPr>
                <w:rFonts w:ascii="Segoe UI Symbol" w:hAnsi="Segoe UI Symbol" w:eastAsia="MS Gothic" w:cs="Segoe UI Symbol"/>
                <w:sz w:val="22"/>
              </w:rPr>
              <w:t>☒</w:t>
            </w:r>
            <w:r w:rsidRPr="00642D41">
              <w:rPr>
                <w:sz w:val="22"/>
              </w:rPr>
              <w:t xml:space="preserve"> </w:t>
            </w:r>
          </w:p>
        </w:tc>
        <w:tc>
          <w:tcPr>
            <w:tcW w:w="5499" w:type="dxa"/>
            <w:tcBorders>
              <w:top w:val="single" w:color="000000" w:sz="4" w:space="0"/>
              <w:left w:val="single" w:color="000000" w:sz="4" w:space="0"/>
              <w:bottom w:val="single" w:color="000000" w:sz="4" w:space="0"/>
              <w:right w:val="single" w:color="000000" w:sz="4" w:space="0"/>
            </w:tcBorders>
          </w:tcPr>
          <w:p w:rsidRPr="00802658" w:rsidR="00FC74BB" w:rsidP="00EB6A72" w:rsidRDefault="00CF6BE8" w14:paraId="36C863E9" w14:textId="1D0F82A1">
            <w:pPr>
              <w:spacing w:after="0" w:line="259" w:lineRule="auto"/>
              <w:ind w:left="0" w:right="0" w:firstLine="0"/>
              <w:rPr>
                <w:color w:val="auto"/>
                <w:sz w:val="22"/>
              </w:rPr>
            </w:pPr>
            <w:r w:rsidRPr="00802658">
              <w:rPr>
                <w:color w:val="auto"/>
                <w:sz w:val="22"/>
              </w:rPr>
              <w:t>By providing clear safeguarding procedures, supportive supervision, and regular training to build confidence and reduce anxiety in managing concerns. Foster a culture of psychological safety where staff feel valued, heard, and supported when raising or responding to safeguarding issues.</w:t>
            </w:r>
          </w:p>
        </w:tc>
      </w:tr>
      <w:tr w:rsidRPr="00642D41" w:rsidR="00FC74BB" w14:paraId="505B317F" w14:textId="77777777">
        <w:trPr>
          <w:trHeight w:val="565"/>
        </w:trPr>
        <w:tc>
          <w:tcPr>
            <w:tcW w:w="3999" w:type="dxa"/>
            <w:tcBorders>
              <w:top w:val="single" w:color="000000" w:sz="4" w:space="0"/>
              <w:left w:val="single" w:color="000000" w:sz="4" w:space="0"/>
              <w:bottom w:val="single" w:color="000000" w:sz="4" w:space="0"/>
              <w:right w:val="single" w:color="000000" w:sz="4" w:space="0"/>
            </w:tcBorders>
          </w:tcPr>
          <w:p w:rsidRPr="00642D41" w:rsidR="00FC74BB" w:rsidRDefault="00340E70" w14:paraId="609A3CC6" w14:textId="77777777">
            <w:pPr>
              <w:spacing w:after="0" w:line="259" w:lineRule="auto"/>
              <w:ind w:left="0" w:right="0" w:firstLine="0"/>
              <w:jc w:val="left"/>
              <w:rPr>
                <w:sz w:val="22"/>
              </w:rPr>
            </w:pPr>
            <w:r w:rsidRPr="00642D41">
              <w:rPr>
                <w:sz w:val="22"/>
              </w:rPr>
              <w:t xml:space="preserve">Improved value </w:t>
            </w:r>
          </w:p>
        </w:tc>
        <w:tc>
          <w:tcPr>
            <w:tcW w:w="425" w:type="dxa"/>
            <w:tcBorders>
              <w:top w:val="single" w:color="000000" w:sz="4" w:space="0"/>
              <w:left w:val="single" w:color="000000" w:sz="4" w:space="0"/>
              <w:bottom w:val="single" w:color="000000" w:sz="4" w:space="0"/>
              <w:right w:val="single" w:color="000000" w:sz="4" w:space="0"/>
            </w:tcBorders>
          </w:tcPr>
          <w:p w:rsidRPr="00642D41" w:rsidR="00FC74BB" w:rsidRDefault="00340E70" w14:paraId="181A6241" w14:textId="77777777">
            <w:pPr>
              <w:spacing w:after="0" w:line="259" w:lineRule="auto"/>
              <w:ind w:left="0" w:right="0" w:firstLine="0"/>
              <w:rPr>
                <w:sz w:val="22"/>
              </w:rPr>
            </w:pPr>
            <w:r w:rsidRPr="00642D41">
              <w:rPr>
                <w:rFonts w:ascii="Segoe UI Symbol" w:hAnsi="Segoe UI Symbol" w:eastAsia="MS Gothic" w:cs="Segoe UI Symbol"/>
                <w:sz w:val="22"/>
              </w:rPr>
              <w:t>☒</w:t>
            </w:r>
            <w:r w:rsidRPr="00642D41">
              <w:rPr>
                <w:sz w:val="22"/>
              </w:rPr>
              <w:t xml:space="preserve"> </w:t>
            </w:r>
          </w:p>
        </w:tc>
        <w:tc>
          <w:tcPr>
            <w:tcW w:w="5499" w:type="dxa"/>
            <w:tcBorders>
              <w:top w:val="single" w:color="000000" w:sz="4" w:space="0"/>
              <w:left w:val="single" w:color="000000" w:sz="4" w:space="0"/>
              <w:bottom w:val="single" w:color="000000" w:sz="4" w:space="0"/>
              <w:right w:val="single" w:color="000000" w:sz="4" w:space="0"/>
            </w:tcBorders>
          </w:tcPr>
          <w:p w:rsidRPr="00802658" w:rsidR="00FC74BB" w:rsidP="00EB6A72" w:rsidRDefault="00CF6BE8" w14:paraId="473827C9" w14:textId="26D563CE">
            <w:pPr>
              <w:spacing w:after="0" w:line="259" w:lineRule="auto"/>
              <w:ind w:left="0" w:right="0" w:firstLine="0"/>
              <w:rPr>
                <w:color w:val="auto"/>
                <w:sz w:val="22"/>
              </w:rPr>
            </w:pPr>
            <w:r w:rsidRPr="00802658">
              <w:rPr>
                <w:color w:val="auto"/>
                <w:sz w:val="22"/>
              </w:rPr>
              <w:t>By embedding safeguarding into all levels of care, leading to earlier intervention, reduce harm, and more efficient use of resources. This enhances outcomes for service users, supports staff confidence and retention, and strengthens the organisation’s reputation and accountability.</w:t>
            </w:r>
          </w:p>
        </w:tc>
      </w:tr>
    </w:tbl>
    <w:p w:rsidRPr="00642D41" w:rsidR="00FC74BB" w:rsidRDefault="00340E70" w14:paraId="5586A90E" w14:textId="77777777">
      <w:pPr>
        <w:spacing w:after="0" w:line="259" w:lineRule="auto"/>
        <w:ind w:left="0" w:right="0" w:firstLine="0"/>
        <w:jc w:val="left"/>
        <w:rPr>
          <w:sz w:val="22"/>
        </w:rPr>
      </w:pPr>
      <w:r w:rsidRPr="00642D41">
        <w:rPr>
          <w:b/>
          <w:sz w:val="22"/>
        </w:rPr>
        <w:t xml:space="preserve"> </w:t>
      </w:r>
    </w:p>
    <w:p w:rsidR="00FC74BB" w:rsidP="001949B3" w:rsidRDefault="00340E70" w14:paraId="2A1068B6" w14:textId="77777777">
      <w:pPr>
        <w:pStyle w:val="Heading1"/>
        <w:numPr>
          <w:ilvl w:val="0"/>
          <w:numId w:val="0"/>
        </w:numPr>
        <w:spacing w:after="4" w:line="259" w:lineRule="auto"/>
        <w:rPr>
          <w:sz w:val="22"/>
        </w:rPr>
      </w:pPr>
      <w:r w:rsidRPr="00642D41">
        <w:rPr>
          <w:sz w:val="22"/>
        </w:rPr>
        <w:t xml:space="preserve">Implications </w:t>
      </w:r>
    </w:p>
    <w:p w:rsidRPr="00DD39B8" w:rsidR="00DD39B8" w:rsidP="00DD39B8" w:rsidRDefault="00DD39B8" w14:paraId="13B495D3" w14:textId="77777777"/>
    <w:tbl>
      <w:tblPr>
        <w:tblW w:w="9924" w:type="dxa"/>
        <w:tblInd w:w="113" w:type="dxa"/>
        <w:tblCellMar>
          <w:top w:w="9" w:type="dxa"/>
          <w:right w:w="32" w:type="dxa"/>
        </w:tblCellMar>
        <w:tblLook w:val="04A0" w:firstRow="1" w:lastRow="0" w:firstColumn="1" w:lastColumn="0" w:noHBand="0" w:noVBand="1"/>
      </w:tblPr>
      <w:tblGrid>
        <w:gridCol w:w="2864"/>
        <w:gridCol w:w="7060"/>
      </w:tblGrid>
      <w:tr w:rsidRPr="00802658" w:rsidR="00FC74BB" w14:paraId="03E8E4D8" w14:textId="77777777">
        <w:trPr>
          <w:trHeight w:val="1068"/>
        </w:trPr>
        <w:tc>
          <w:tcPr>
            <w:tcW w:w="2864" w:type="dxa"/>
            <w:tcBorders>
              <w:top w:val="single" w:color="000000" w:sz="4" w:space="0"/>
              <w:left w:val="single" w:color="000000" w:sz="4" w:space="0"/>
              <w:bottom w:val="single" w:color="000000" w:sz="4" w:space="0"/>
              <w:right w:val="single" w:color="000000" w:sz="4" w:space="0"/>
            </w:tcBorders>
          </w:tcPr>
          <w:p w:rsidRPr="00802658" w:rsidR="00FC74BB" w:rsidRDefault="00340E70" w14:paraId="528DD3CD" w14:textId="77777777">
            <w:pPr>
              <w:spacing w:after="0" w:line="259" w:lineRule="auto"/>
              <w:ind w:left="0" w:right="0" w:firstLine="0"/>
              <w:jc w:val="left"/>
              <w:rPr>
                <w:sz w:val="22"/>
              </w:rPr>
            </w:pPr>
            <w:r w:rsidRPr="00802658">
              <w:rPr>
                <w:sz w:val="22"/>
              </w:rPr>
              <w:t xml:space="preserve">Equality Analysis </w:t>
            </w:r>
          </w:p>
        </w:tc>
        <w:tc>
          <w:tcPr>
            <w:tcW w:w="7059" w:type="dxa"/>
            <w:tcBorders>
              <w:top w:val="single" w:color="000000" w:sz="4" w:space="0"/>
              <w:left w:val="single" w:color="000000" w:sz="4" w:space="0"/>
              <w:bottom w:val="single" w:color="000000" w:sz="4" w:space="0"/>
              <w:right w:val="single" w:color="000000" w:sz="4" w:space="0"/>
            </w:tcBorders>
          </w:tcPr>
          <w:p w:rsidRPr="00802658" w:rsidR="00FC74BB" w:rsidP="00823681" w:rsidRDefault="00340E70" w14:paraId="26033677" w14:textId="77777777">
            <w:pPr>
              <w:spacing w:after="0" w:line="240" w:lineRule="auto"/>
              <w:ind w:left="0" w:right="0" w:firstLine="0"/>
              <w:jc w:val="left"/>
              <w:rPr>
                <w:sz w:val="22"/>
              </w:rPr>
            </w:pPr>
            <w:r w:rsidRPr="00802658">
              <w:rPr>
                <w:sz w:val="22"/>
              </w:rPr>
              <w:t xml:space="preserve">This report provides an overview of actions the safeguarding team have taken to identify inequalities that can contribute to vulnerabilities of service users and strategies to address these.  </w:t>
            </w:r>
          </w:p>
          <w:p w:rsidRPr="00802658" w:rsidR="00FC74BB" w:rsidRDefault="00340E70" w14:paraId="644D48A6" w14:textId="77777777">
            <w:pPr>
              <w:spacing w:after="0" w:line="259" w:lineRule="auto"/>
              <w:ind w:left="0" w:right="0" w:firstLine="0"/>
              <w:jc w:val="left"/>
              <w:rPr>
                <w:sz w:val="22"/>
              </w:rPr>
            </w:pPr>
            <w:r w:rsidRPr="00802658">
              <w:rPr>
                <w:sz w:val="22"/>
              </w:rPr>
              <w:t xml:space="preserve"> </w:t>
            </w:r>
          </w:p>
        </w:tc>
      </w:tr>
      <w:tr w:rsidRPr="00802658" w:rsidR="00FC74BB" w14:paraId="71A0D59F" w14:textId="77777777">
        <w:trPr>
          <w:trHeight w:val="840"/>
        </w:trPr>
        <w:tc>
          <w:tcPr>
            <w:tcW w:w="2864" w:type="dxa"/>
            <w:tcBorders>
              <w:top w:val="single" w:color="000000" w:sz="4" w:space="0"/>
              <w:left w:val="single" w:color="000000" w:sz="4" w:space="0"/>
              <w:bottom w:val="single" w:color="000000" w:sz="4" w:space="0"/>
              <w:right w:val="single" w:color="000000" w:sz="4" w:space="0"/>
            </w:tcBorders>
          </w:tcPr>
          <w:p w:rsidRPr="00802658" w:rsidR="00FC74BB" w:rsidRDefault="00340E70" w14:paraId="189FF276" w14:textId="77777777">
            <w:pPr>
              <w:spacing w:after="0" w:line="259" w:lineRule="auto"/>
              <w:ind w:left="0" w:right="0" w:firstLine="0"/>
              <w:jc w:val="left"/>
              <w:rPr>
                <w:sz w:val="22"/>
              </w:rPr>
            </w:pPr>
            <w:r w:rsidRPr="00802658">
              <w:rPr>
                <w:sz w:val="22"/>
              </w:rPr>
              <w:t xml:space="preserve">Risk and Assurance </w:t>
            </w:r>
          </w:p>
        </w:tc>
        <w:tc>
          <w:tcPr>
            <w:tcW w:w="7059" w:type="dxa"/>
            <w:tcBorders>
              <w:top w:val="single" w:color="000000" w:sz="4" w:space="0"/>
              <w:left w:val="single" w:color="000000" w:sz="4" w:space="0"/>
              <w:bottom w:val="single" w:color="000000" w:sz="4" w:space="0"/>
              <w:right w:val="single" w:color="000000" w:sz="4" w:space="0"/>
            </w:tcBorders>
          </w:tcPr>
          <w:p w:rsidRPr="00802658" w:rsidR="00FC74BB" w:rsidRDefault="00340E70" w14:paraId="4B2550FD" w14:textId="77777777">
            <w:pPr>
              <w:spacing w:after="0" w:line="259" w:lineRule="auto"/>
              <w:ind w:left="0" w:right="0" w:firstLine="0"/>
              <w:jc w:val="left"/>
              <w:rPr>
                <w:sz w:val="22"/>
              </w:rPr>
            </w:pPr>
            <w:r w:rsidRPr="00802658">
              <w:rPr>
                <w:rFonts w:eastAsia="Times New Roman"/>
                <w:sz w:val="22"/>
              </w:rPr>
              <w:t xml:space="preserve">The report provides assurance of the monitoring and understanding the occurrence of safeguarding practices and incidents with learning lessons. </w:t>
            </w:r>
            <w:r w:rsidRPr="00802658">
              <w:rPr>
                <w:sz w:val="22"/>
              </w:rPr>
              <w:t xml:space="preserve"> </w:t>
            </w:r>
          </w:p>
        </w:tc>
      </w:tr>
      <w:tr w:rsidRPr="00802658" w:rsidR="00FC74BB" w14:paraId="0D76134B" w14:textId="77777777">
        <w:trPr>
          <w:trHeight w:val="286"/>
        </w:trPr>
        <w:tc>
          <w:tcPr>
            <w:tcW w:w="2864" w:type="dxa"/>
            <w:tcBorders>
              <w:top w:val="single" w:color="000000" w:sz="4" w:space="0"/>
              <w:left w:val="single" w:color="000000" w:sz="4" w:space="0"/>
              <w:bottom w:val="single" w:color="000000" w:sz="4" w:space="0"/>
              <w:right w:val="single" w:color="000000" w:sz="4" w:space="0"/>
            </w:tcBorders>
          </w:tcPr>
          <w:p w:rsidRPr="00802658" w:rsidR="00FC74BB" w:rsidRDefault="00340E70" w14:paraId="42301B30" w14:textId="77777777">
            <w:pPr>
              <w:spacing w:after="0" w:line="259" w:lineRule="auto"/>
              <w:ind w:left="0" w:right="0" w:firstLine="0"/>
              <w:jc w:val="left"/>
              <w:rPr>
                <w:sz w:val="22"/>
              </w:rPr>
            </w:pPr>
            <w:r w:rsidRPr="00802658">
              <w:rPr>
                <w:sz w:val="22"/>
              </w:rPr>
              <w:t xml:space="preserve">Service User/ Carer/Staff  </w:t>
            </w:r>
          </w:p>
        </w:tc>
        <w:tc>
          <w:tcPr>
            <w:tcW w:w="7059" w:type="dxa"/>
            <w:tcBorders>
              <w:top w:val="single" w:color="000000" w:sz="4" w:space="0"/>
              <w:left w:val="single" w:color="000000" w:sz="4" w:space="0"/>
              <w:bottom w:val="single" w:color="000000" w:sz="4" w:space="0"/>
              <w:right w:val="single" w:color="000000" w:sz="4" w:space="0"/>
            </w:tcBorders>
          </w:tcPr>
          <w:p w:rsidRPr="00802658" w:rsidR="00FC74BB" w:rsidRDefault="00340E70" w14:paraId="4A8FE5F7" w14:textId="77777777">
            <w:pPr>
              <w:spacing w:after="0" w:line="259" w:lineRule="auto"/>
              <w:ind w:left="0" w:right="0" w:firstLine="0"/>
              <w:jc w:val="left"/>
              <w:rPr>
                <w:sz w:val="22"/>
              </w:rPr>
            </w:pPr>
            <w:r w:rsidRPr="00802658">
              <w:rPr>
                <w:rFonts w:eastAsia="Times New Roman"/>
                <w:sz w:val="22"/>
              </w:rPr>
              <w:t>Positive service user impact</w:t>
            </w:r>
            <w:r w:rsidRPr="00802658">
              <w:rPr>
                <w:sz w:val="22"/>
              </w:rPr>
              <w:t xml:space="preserve"> </w:t>
            </w:r>
          </w:p>
        </w:tc>
      </w:tr>
      <w:tr w:rsidRPr="00802658" w:rsidR="00FC74BB" w14:paraId="7EFB5139" w14:textId="77777777">
        <w:trPr>
          <w:trHeight w:val="562"/>
        </w:trPr>
        <w:tc>
          <w:tcPr>
            <w:tcW w:w="2864" w:type="dxa"/>
            <w:tcBorders>
              <w:top w:val="single" w:color="000000" w:sz="4" w:space="0"/>
              <w:left w:val="single" w:color="000000" w:sz="4" w:space="0"/>
              <w:bottom w:val="single" w:color="000000" w:sz="4" w:space="0"/>
              <w:right w:val="single" w:color="000000" w:sz="4" w:space="0"/>
            </w:tcBorders>
          </w:tcPr>
          <w:p w:rsidRPr="00802658" w:rsidR="00FC74BB" w:rsidRDefault="00340E70" w14:paraId="05CEE091" w14:textId="77777777">
            <w:pPr>
              <w:spacing w:after="0" w:line="259" w:lineRule="auto"/>
              <w:ind w:left="0" w:right="0" w:firstLine="0"/>
              <w:jc w:val="left"/>
              <w:rPr>
                <w:sz w:val="22"/>
              </w:rPr>
            </w:pPr>
            <w:r w:rsidRPr="00802658">
              <w:rPr>
                <w:sz w:val="22"/>
              </w:rPr>
              <w:t xml:space="preserve">Financial  </w:t>
            </w:r>
          </w:p>
        </w:tc>
        <w:tc>
          <w:tcPr>
            <w:tcW w:w="7059" w:type="dxa"/>
            <w:tcBorders>
              <w:top w:val="single" w:color="000000" w:sz="4" w:space="0"/>
              <w:left w:val="single" w:color="000000" w:sz="4" w:space="0"/>
              <w:bottom w:val="single" w:color="000000" w:sz="4" w:space="0"/>
              <w:right w:val="single" w:color="000000" w:sz="4" w:space="0"/>
            </w:tcBorders>
          </w:tcPr>
          <w:p w:rsidRPr="00802658" w:rsidR="00FC74BB" w:rsidRDefault="00340E70" w14:paraId="6C89D69E" w14:textId="77777777">
            <w:pPr>
              <w:spacing w:after="0" w:line="259" w:lineRule="auto"/>
              <w:ind w:left="0" w:right="51" w:firstLine="0"/>
              <w:jc w:val="left"/>
              <w:rPr>
                <w:sz w:val="22"/>
              </w:rPr>
            </w:pPr>
            <w:r w:rsidRPr="00802658">
              <w:rPr>
                <w:rFonts w:eastAsia="Times New Roman"/>
                <w:sz w:val="22"/>
              </w:rPr>
              <w:t xml:space="preserve">Review of team from external review resulting in increase of resources. </w:t>
            </w:r>
            <w:r w:rsidRPr="00802658">
              <w:rPr>
                <w:sz w:val="22"/>
              </w:rPr>
              <w:t xml:space="preserve"> </w:t>
            </w:r>
          </w:p>
        </w:tc>
      </w:tr>
      <w:tr w:rsidRPr="00802658" w:rsidR="00FC74BB" w14:paraId="0A6FA800" w14:textId="77777777">
        <w:trPr>
          <w:trHeight w:val="286"/>
        </w:trPr>
        <w:tc>
          <w:tcPr>
            <w:tcW w:w="2864" w:type="dxa"/>
            <w:tcBorders>
              <w:top w:val="single" w:color="000000" w:sz="4" w:space="0"/>
              <w:left w:val="single" w:color="000000" w:sz="4" w:space="0"/>
              <w:bottom w:val="single" w:color="000000" w:sz="4" w:space="0"/>
              <w:right w:val="single" w:color="000000" w:sz="4" w:space="0"/>
            </w:tcBorders>
          </w:tcPr>
          <w:p w:rsidRPr="00802658" w:rsidR="00FC74BB" w:rsidRDefault="00340E70" w14:paraId="0A67F238" w14:textId="77777777">
            <w:pPr>
              <w:spacing w:after="0" w:line="259" w:lineRule="auto"/>
              <w:ind w:left="0" w:right="0" w:firstLine="0"/>
              <w:jc w:val="left"/>
              <w:rPr>
                <w:sz w:val="22"/>
              </w:rPr>
            </w:pPr>
            <w:r w:rsidRPr="00802658">
              <w:rPr>
                <w:sz w:val="22"/>
              </w:rPr>
              <w:t xml:space="preserve">Quality </w:t>
            </w:r>
          </w:p>
        </w:tc>
        <w:tc>
          <w:tcPr>
            <w:tcW w:w="7059" w:type="dxa"/>
            <w:tcBorders>
              <w:top w:val="single" w:color="000000" w:sz="4" w:space="0"/>
              <w:left w:val="single" w:color="000000" w:sz="4" w:space="0"/>
              <w:bottom w:val="single" w:color="000000" w:sz="4" w:space="0"/>
              <w:right w:val="single" w:color="000000" w:sz="4" w:space="0"/>
            </w:tcBorders>
          </w:tcPr>
          <w:p w:rsidRPr="00802658" w:rsidR="00FC74BB" w:rsidRDefault="00340E70" w14:paraId="50C40138" w14:textId="54B815BB">
            <w:pPr>
              <w:spacing w:after="0" w:line="259" w:lineRule="auto"/>
              <w:ind w:left="0" w:right="0" w:firstLine="0"/>
              <w:jc w:val="left"/>
              <w:rPr>
                <w:sz w:val="22"/>
              </w:rPr>
            </w:pPr>
            <w:r w:rsidRPr="00802658">
              <w:rPr>
                <w:rFonts w:eastAsia="Times New Roman"/>
                <w:sz w:val="22"/>
              </w:rPr>
              <w:t>Increase in quality displayed through audit</w:t>
            </w:r>
            <w:r w:rsidRPr="00802658" w:rsidR="00402A9C">
              <w:rPr>
                <w:rFonts w:eastAsia="Times New Roman"/>
                <w:sz w:val="22"/>
              </w:rPr>
              <w:t>s</w:t>
            </w:r>
            <w:r w:rsidRPr="00802658">
              <w:rPr>
                <w:rFonts w:eastAsia="Times New Roman"/>
                <w:sz w:val="22"/>
              </w:rPr>
              <w:t>.</w:t>
            </w:r>
            <w:r w:rsidRPr="00802658">
              <w:rPr>
                <w:sz w:val="22"/>
              </w:rPr>
              <w:t xml:space="preserve"> </w:t>
            </w:r>
          </w:p>
        </w:tc>
      </w:tr>
    </w:tbl>
    <w:p w:rsidRPr="00802658" w:rsidR="00FC74BB" w:rsidRDefault="00340E70" w14:paraId="788CB5A1" w14:textId="77777777">
      <w:pPr>
        <w:spacing w:after="0" w:line="259" w:lineRule="auto"/>
        <w:ind w:left="0" w:right="0" w:firstLine="0"/>
        <w:jc w:val="left"/>
        <w:rPr>
          <w:sz w:val="22"/>
        </w:rPr>
      </w:pPr>
      <w:r w:rsidRPr="00802658">
        <w:rPr>
          <w:b/>
          <w:sz w:val="22"/>
        </w:rPr>
        <w:t xml:space="preserve"> </w:t>
      </w:r>
    </w:p>
    <w:p w:rsidR="00054590" w:rsidP="004D7744" w:rsidRDefault="00054590" w14:paraId="5E532715" w14:textId="32618472">
      <w:pPr>
        <w:spacing w:after="0" w:line="259" w:lineRule="auto"/>
        <w:ind w:left="0" w:right="0" w:firstLine="0"/>
        <w:jc w:val="center"/>
        <w:rPr>
          <w:b/>
          <w:noProof/>
          <w:color w:val="auto"/>
          <w:sz w:val="22"/>
        </w:rPr>
      </w:pPr>
    </w:p>
    <w:p w:rsidR="00630D25" w:rsidRDefault="00630D25" w14:paraId="4920D314" w14:textId="1ABFAD6D">
      <w:pPr>
        <w:spacing w:after="160" w:line="259" w:lineRule="auto"/>
        <w:ind w:left="0" w:right="0" w:firstLine="0"/>
        <w:jc w:val="left"/>
        <w:rPr>
          <w:sz w:val="22"/>
        </w:rPr>
      </w:pPr>
      <w:r>
        <w:rPr>
          <w:sz w:val="22"/>
        </w:rPr>
        <w:br w:type="page"/>
      </w:r>
    </w:p>
    <w:p w:rsidRPr="00642D41" w:rsidR="00FC74BB" w:rsidP="00630D25" w:rsidRDefault="00630D25" w14:paraId="1DA6AE7E" w14:textId="397188E8">
      <w:pPr>
        <w:spacing w:after="160" w:line="259" w:lineRule="auto"/>
        <w:ind w:left="0" w:right="0" w:firstLine="0"/>
        <w:jc w:val="left"/>
        <w:rPr>
          <w:sz w:val="22"/>
        </w:rPr>
      </w:pPr>
      <w:r w:rsidRPr="00FE3DA5">
        <w:rPr>
          <w:b/>
          <w:noProof/>
          <w:sz w:val="22"/>
        </w:rPr>
        <w:drawing>
          <wp:anchor distT="0" distB="0" distL="114300" distR="114300" simplePos="0" relativeHeight="251660288" behindDoc="0" locked="0" layoutInCell="1" allowOverlap="1" wp14:anchorId="370C048D" wp14:editId="0672E306">
            <wp:simplePos x="0" y="0"/>
            <wp:positionH relativeFrom="page">
              <wp:align>right</wp:align>
            </wp:positionH>
            <wp:positionV relativeFrom="paragraph">
              <wp:posOffset>1056640</wp:posOffset>
            </wp:positionV>
            <wp:extent cx="7563485" cy="45129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3485" cy="4512945"/>
                    </a:xfrm>
                    <a:prstGeom prst="rect">
                      <a:avLst/>
                    </a:prstGeom>
                  </pic:spPr>
                </pic:pic>
              </a:graphicData>
            </a:graphic>
            <wp14:sizeRelH relativeFrom="margin">
              <wp14:pctWidth>0</wp14:pctWidth>
            </wp14:sizeRelH>
            <wp14:sizeRelV relativeFrom="margin">
              <wp14:pctHeight>0</wp14:pctHeight>
            </wp14:sizeRelV>
          </wp:anchor>
        </w:drawing>
      </w:r>
      <w:r>
        <w:rPr>
          <w:sz w:val="22"/>
        </w:rPr>
        <w:br w:type="page"/>
      </w:r>
    </w:p>
    <w:p w:rsidR="00FC74BB" w:rsidP="00840465" w:rsidRDefault="00340E70" w14:paraId="5FB1C52A" w14:textId="14AEB1F6">
      <w:pPr>
        <w:pStyle w:val="Heading1"/>
        <w:rPr>
          <w:sz w:val="22"/>
        </w:rPr>
      </w:pPr>
      <w:r w:rsidRPr="00B36900">
        <w:rPr>
          <w:sz w:val="22"/>
        </w:rPr>
        <w:t>Introduction</w:t>
      </w:r>
      <w:r w:rsidRPr="00B36900" w:rsidR="00B43FED">
        <w:rPr>
          <w:sz w:val="22"/>
        </w:rPr>
        <w:t xml:space="preserve"> and background</w:t>
      </w:r>
    </w:p>
    <w:p w:rsidRPr="00D560C2" w:rsidR="00D560C2" w:rsidP="00DD39B8" w:rsidRDefault="00CF6BE8" w14:paraId="64316743" w14:textId="56535BFE">
      <w:pPr>
        <w:spacing w:before="100" w:beforeAutospacing="1" w:after="0" w:line="240" w:lineRule="auto"/>
        <w:ind w:left="567" w:firstLine="0"/>
        <w:jc w:val="left"/>
        <w:rPr>
          <w:rFonts w:eastAsia="Times New Roman"/>
          <w:sz w:val="22"/>
        </w:rPr>
      </w:pPr>
      <w:r w:rsidRPr="00D560C2">
        <w:rPr>
          <w:sz w:val="22"/>
        </w:rPr>
        <w:t xml:space="preserve">This annual report </w:t>
      </w:r>
      <w:r w:rsidRPr="00D560C2" w:rsidR="00D560C2">
        <w:rPr>
          <w:rFonts w:eastAsia="Times New Roman"/>
          <w:sz w:val="22"/>
        </w:rPr>
        <w:t xml:space="preserve">provides a comprehensive overview of </w:t>
      </w:r>
      <w:r w:rsidRPr="00D560C2">
        <w:rPr>
          <w:sz w:val="22"/>
        </w:rPr>
        <w:t xml:space="preserve">safeguarding activity across East London NHS Foundation Trust (ELFT), </w:t>
      </w:r>
      <w:r w:rsidRPr="00D560C2" w:rsidR="00D560C2">
        <w:rPr>
          <w:rFonts w:eastAsia="Times New Roman"/>
          <w:sz w:val="22"/>
        </w:rPr>
        <w:t>for the financial year 2024-25. It demonstrates the Trust's adherence to statutory duties under key legislation, including:</w:t>
      </w:r>
    </w:p>
    <w:p w:rsidRPr="00D560C2" w:rsidR="00CF6BE8" w:rsidP="00DD39B8" w:rsidRDefault="00D560C2" w14:paraId="18290DD1" w14:textId="4FB0ABB1">
      <w:pPr>
        <w:pStyle w:val="NormalWeb"/>
        <w:spacing w:before="0" w:beforeAutospacing="0" w:after="0" w:afterAutospacing="0"/>
        <w:ind w:left="567"/>
        <w:rPr>
          <w:rFonts w:ascii="Arial" w:hAnsi="Arial" w:cs="Arial"/>
          <w:sz w:val="22"/>
          <w:szCs w:val="22"/>
        </w:rPr>
      </w:pPr>
      <w:r w:rsidRPr="00D560C2">
        <w:rPr>
          <w:rFonts w:ascii="Arial" w:hAnsi="Arial" w:cs="Arial"/>
          <w:color w:val="000000"/>
          <w:sz w:val="22"/>
          <w:szCs w:val="22"/>
        </w:rPr>
        <w:t> </w:t>
      </w:r>
    </w:p>
    <w:p w:rsidRPr="00D560C2" w:rsidR="00CF6BE8" w:rsidP="00B80E06" w:rsidRDefault="00CF6BE8" w14:paraId="7A03BA34" w14:textId="293787AE">
      <w:pPr>
        <w:pStyle w:val="NormalWeb"/>
        <w:numPr>
          <w:ilvl w:val="3"/>
          <w:numId w:val="12"/>
        </w:numPr>
        <w:ind w:left="2460"/>
        <w:rPr>
          <w:rFonts w:ascii="Arial" w:hAnsi="Arial" w:cs="Arial"/>
          <w:sz w:val="22"/>
          <w:szCs w:val="22"/>
        </w:rPr>
      </w:pPr>
      <w:r w:rsidRPr="00D560C2">
        <w:rPr>
          <w:rFonts w:ascii="Arial" w:hAnsi="Arial" w:cs="Arial"/>
          <w:sz w:val="22"/>
          <w:szCs w:val="22"/>
        </w:rPr>
        <w:t>Children Act 2004</w:t>
      </w:r>
    </w:p>
    <w:p w:rsidRPr="00D560C2" w:rsidR="00CF6BE8" w:rsidP="00B80E06" w:rsidRDefault="00CF6BE8" w14:paraId="7C0B4E54" w14:textId="7E17D9B2">
      <w:pPr>
        <w:pStyle w:val="NormalWeb"/>
        <w:numPr>
          <w:ilvl w:val="3"/>
          <w:numId w:val="12"/>
        </w:numPr>
        <w:ind w:left="2460"/>
        <w:rPr>
          <w:rFonts w:ascii="Arial" w:hAnsi="Arial" w:cs="Arial"/>
          <w:sz w:val="22"/>
          <w:szCs w:val="22"/>
        </w:rPr>
      </w:pPr>
      <w:r w:rsidRPr="00D560C2">
        <w:rPr>
          <w:rFonts w:ascii="Arial" w:hAnsi="Arial" w:cs="Arial"/>
          <w:sz w:val="22"/>
          <w:szCs w:val="22"/>
        </w:rPr>
        <w:t>Mental Capacity Act 2005</w:t>
      </w:r>
    </w:p>
    <w:p w:rsidRPr="00D560C2" w:rsidR="00CF6BE8" w:rsidP="00B80E06" w:rsidRDefault="00CF6BE8" w14:paraId="58C8ED04" w14:textId="5F850074">
      <w:pPr>
        <w:pStyle w:val="NormalWeb"/>
        <w:numPr>
          <w:ilvl w:val="3"/>
          <w:numId w:val="12"/>
        </w:numPr>
        <w:ind w:left="2460"/>
        <w:rPr>
          <w:rFonts w:ascii="Arial" w:hAnsi="Arial" w:cs="Arial"/>
          <w:sz w:val="22"/>
          <w:szCs w:val="22"/>
        </w:rPr>
      </w:pPr>
      <w:r w:rsidRPr="00D560C2">
        <w:rPr>
          <w:rFonts w:ascii="Arial" w:hAnsi="Arial" w:cs="Arial"/>
          <w:sz w:val="22"/>
          <w:szCs w:val="22"/>
        </w:rPr>
        <w:t>Care Act 2014</w:t>
      </w:r>
    </w:p>
    <w:p w:rsidRPr="00D560C2" w:rsidR="00CF6BE8" w:rsidP="00B80E06" w:rsidRDefault="00CF6BE8" w14:paraId="2F39A013" w14:textId="187F83C0">
      <w:pPr>
        <w:pStyle w:val="NormalWeb"/>
        <w:numPr>
          <w:ilvl w:val="3"/>
          <w:numId w:val="12"/>
        </w:numPr>
        <w:ind w:left="2460"/>
        <w:rPr>
          <w:rFonts w:ascii="Arial" w:hAnsi="Arial" w:cs="Arial"/>
          <w:sz w:val="22"/>
          <w:szCs w:val="22"/>
        </w:rPr>
      </w:pPr>
      <w:r w:rsidRPr="00D560C2">
        <w:rPr>
          <w:rFonts w:ascii="Arial" w:hAnsi="Arial" w:cs="Arial"/>
          <w:sz w:val="22"/>
          <w:szCs w:val="22"/>
        </w:rPr>
        <w:t>Modern Slavery Act 2015</w:t>
      </w:r>
    </w:p>
    <w:p w:rsidRPr="00D560C2" w:rsidR="00CF6BE8" w:rsidP="00B80E06" w:rsidRDefault="00CF6BE8" w14:paraId="50BEC8C6" w14:textId="4DC7F9AF">
      <w:pPr>
        <w:pStyle w:val="NormalWeb"/>
        <w:numPr>
          <w:ilvl w:val="3"/>
          <w:numId w:val="12"/>
        </w:numPr>
        <w:ind w:left="2460"/>
        <w:rPr>
          <w:rFonts w:ascii="Arial" w:hAnsi="Arial" w:cs="Arial"/>
          <w:sz w:val="22"/>
          <w:szCs w:val="22"/>
        </w:rPr>
      </w:pPr>
      <w:r w:rsidRPr="00D560C2">
        <w:rPr>
          <w:rFonts w:ascii="Arial" w:hAnsi="Arial" w:cs="Arial"/>
          <w:sz w:val="22"/>
          <w:szCs w:val="22"/>
        </w:rPr>
        <w:t>Equality Act 2010</w:t>
      </w:r>
    </w:p>
    <w:p w:rsidRPr="00D560C2" w:rsidR="00CF6BE8" w:rsidP="00B80E06" w:rsidRDefault="00CF6BE8" w14:paraId="422945E5" w14:textId="3D19C7FA">
      <w:pPr>
        <w:pStyle w:val="NormalWeb"/>
        <w:numPr>
          <w:ilvl w:val="3"/>
          <w:numId w:val="12"/>
        </w:numPr>
        <w:ind w:left="2460"/>
        <w:rPr>
          <w:rFonts w:ascii="Arial" w:hAnsi="Arial" w:cs="Arial"/>
          <w:sz w:val="22"/>
          <w:szCs w:val="22"/>
        </w:rPr>
      </w:pPr>
      <w:r w:rsidRPr="00D560C2">
        <w:rPr>
          <w:rFonts w:ascii="Arial" w:hAnsi="Arial" w:cs="Arial"/>
          <w:sz w:val="22"/>
          <w:szCs w:val="22"/>
        </w:rPr>
        <w:t>Domestic Abuse Act 2021</w:t>
      </w:r>
    </w:p>
    <w:p w:rsidRPr="00D560C2" w:rsidR="00470FD3" w:rsidP="00B64D91" w:rsidRDefault="00D560C2" w14:paraId="299C6D96" w14:textId="6177AFE0">
      <w:pPr>
        <w:pStyle w:val="NormalWeb"/>
        <w:ind w:left="567"/>
        <w:jc w:val="both"/>
        <w:rPr>
          <w:rFonts w:ascii="Arial" w:hAnsi="Arial" w:cs="Arial"/>
          <w:sz w:val="22"/>
          <w:szCs w:val="22"/>
        </w:rPr>
      </w:pPr>
      <w:r w:rsidRPr="00D560C2">
        <w:rPr>
          <w:rFonts w:ascii="Arial" w:hAnsi="Arial" w:cs="Arial"/>
          <w:sz w:val="22"/>
          <w:szCs w:val="22"/>
        </w:rPr>
        <w:t xml:space="preserve">The report </w:t>
      </w:r>
      <w:r w:rsidRPr="00D560C2" w:rsidR="00CF6BE8">
        <w:rPr>
          <w:rFonts w:ascii="Arial" w:hAnsi="Arial" w:cs="Arial"/>
          <w:sz w:val="22"/>
          <w:szCs w:val="22"/>
        </w:rPr>
        <w:t>aligns with the Safeguarding Accountability and Assurance Framework (2022), providing assurance to the Trust Board and external partners that effective safeguarding systems are in place to protect children, young people, and adults at risk.</w:t>
      </w:r>
    </w:p>
    <w:p w:rsidRPr="00D560C2" w:rsidR="00A44B86" w:rsidP="00B64D91" w:rsidRDefault="00CF6BE8" w14:paraId="5966C50E" w14:textId="51D286EF">
      <w:pPr>
        <w:pStyle w:val="NormalWeb"/>
        <w:ind w:left="567"/>
        <w:jc w:val="both"/>
        <w:rPr>
          <w:rFonts w:ascii="Arial" w:hAnsi="Arial" w:cs="Arial"/>
          <w:sz w:val="22"/>
          <w:szCs w:val="22"/>
        </w:rPr>
      </w:pPr>
      <w:r w:rsidRPr="00D560C2">
        <w:rPr>
          <w:rFonts w:ascii="Arial" w:hAnsi="Arial" w:cs="Arial"/>
          <w:sz w:val="22"/>
          <w:szCs w:val="22"/>
        </w:rPr>
        <w:t>The report outlines ELFT’s safeguarding performance, key achievements, and forward priorities. Safeguarding practice is underpinned by the Trust’s values—</w:t>
      </w:r>
      <w:proofErr w:type="gramStart"/>
      <w:r w:rsidRPr="00D560C2">
        <w:rPr>
          <w:rFonts w:ascii="Arial" w:hAnsi="Arial" w:cs="Arial"/>
          <w:sz w:val="22"/>
          <w:szCs w:val="22"/>
        </w:rPr>
        <w:t>We</w:t>
      </w:r>
      <w:proofErr w:type="gramEnd"/>
      <w:r w:rsidRPr="00D560C2">
        <w:rPr>
          <w:rFonts w:ascii="Arial" w:hAnsi="Arial" w:cs="Arial"/>
          <w:sz w:val="22"/>
          <w:szCs w:val="22"/>
        </w:rPr>
        <w:t xml:space="preserve"> Care, We Respect, We Are Inclusive—and reflects a commitment to proportionate, partnership-based responses to risk.</w:t>
      </w:r>
    </w:p>
    <w:p w:rsidRPr="00D560C2" w:rsidR="00CF6BE8" w:rsidP="00B64D91" w:rsidRDefault="00CF6BE8" w14:paraId="6B23CC1E" w14:textId="10A5FB23">
      <w:pPr>
        <w:pStyle w:val="NormalWeb"/>
        <w:ind w:left="567"/>
        <w:jc w:val="both"/>
        <w:rPr>
          <w:rFonts w:ascii="Arial" w:hAnsi="Arial" w:cs="Arial"/>
          <w:sz w:val="22"/>
          <w:szCs w:val="22"/>
        </w:rPr>
      </w:pPr>
      <w:r w:rsidRPr="00D560C2">
        <w:rPr>
          <w:rFonts w:ascii="Arial" w:hAnsi="Arial" w:cs="Arial"/>
          <w:sz w:val="22"/>
          <w:szCs w:val="22"/>
        </w:rPr>
        <w:t>ELFT operates across East London, Luton and Bedfordshire, serving a highly diverse population with a workforce of 7,786 permanent staff. Safeguarding arrangements are delivered in close collaboration with multi-agency partners and are fully compliant with CQC Regulation 13: Safeguarding service users from abuse and improper treatment</w:t>
      </w:r>
    </w:p>
    <w:p w:rsidRPr="002345F3" w:rsidR="000B0C11" w:rsidP="00B80E06" w:rsidRDefault="00340E70" w14:paraId="58351AEF" w14:textId="77434428">
      <w:pPr>
        <w:pStyle w:val="ListParagraph"/>
        <w:numPr>
          <w:ilvl w:val="0"/>
          <w:numId w:val="14"/>
        </w:numPr>
        <w:spacing w:after="3" w:line="259" w:lineRule="auto"/>
        <w:ind w:left="567" w:right="0" w:hanging="567"/>
        <w:jc w:val="left"/>
        <w:rPr>
          <w:b/>
          <w:color w:val="auto"/>
          <w:sz w:val="20"/>
          <w:szCs w:val="20"/>
        </w:rPr>
      </w:pPr>
      <w:r w:rsidRPr="002345F3">
        <w:rPr>
          <w:b/>
          <w:sz w:val="22"/>
        </w:rPr>
        <w:t>Governance and Accountability arrangements</w:t>
      </w:r>
      <w:r w:rsidRPr="002345F3" w:rsidR="00FF78DB">
        <w:rPr>
          <w:b/>
          <w:sz w:val="22"/>
        </w:rPr>
        <w:t xml:space="preserve"> for Safeguarding</w:t>
      </w:r>
    </w:p>
    <w:p w:rsidRPr="00D560C2" w:rsidR="00D560C2" w:rsidP="000E02D5" w:rsidRDefault="00D560C2" w14:paraId="79337419" w14:textId="77777777">
      <w:pPr>
        <w:spacing w:before="100" w:beforeAutospacing="1" w:after="100" w:afterAutospacing="1" w:line="240" w:lineRule="auto"/>
        <w:ind w:left="567" w:firstLine="0"/>
        <w:jc w:val="left"/>
        <w:rPr>
          <w:rFonts w:eastAsia="Times New Roman"/>
          <w:sz w:val="22"/>
        </w:rPr>
      </w:pPr>
      <w:r w:rsidRPr="00D560C2">
        <w:rPr>
          <w:rFonts w:eastAsia="Times New Roman"/>
          <w:sz w:val="22"/>
        </w:rPr>
        <w:t>ELFT maintains a robust safeguarding governance framework, ensuring effective leadership, accountability, and multi-agency collaboration across all services and boroughs. Safeguarding is a core responsibility embedded at all organisational levels, reflecting the Trust's values.</w:t>
      </w:r>
    </w:p>
    <w:p w:rsidRPr="00D560C2" w:rsidR="00D560C2" w:rsidP="00D560C2" w:rsidRDefault="00D560C2" w14:paraId="45F9EAA1" w14:textId="77777777">
      <w:pPr>
        <w:spacing w:before="100" w:beforeAutospacing="1" w:after="100" w:afterAutospacing="1" w:line="240" w:lineRule="auto"/>
        <w:jc w:val="left"/>
        <w:rPr>
          <w:rFonts w:eastAsia="Times New Roman"/>
          <w:sz w:val="22"/>
        </w:rPr>
      </w:pPr>
      <w:r w:rsidRPr="00D560C2">
        <w:rPr>
          <w:rFonts w:eastAsia="Times New Roman"/>
          <w:b/>
          <w:bCs/>
          <w:sz w:val="22"/>
        </w:rPr>
        <w:t>Strategic Leadership and Internal Governance:</w:t>
      </w:r>
    </w:p>
    <w:p w:rsidRPr="000E02D5" w:rsidR="00D560C2" w:rsidP="000E02D5" w:rsidRDefault="00D560C2" w14:paraId="1FAAEC98"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The Chief Nurse serves as the Executive Director for Safeguarding, providing Board-level oversight and leadership.</w:t>
      </w:r>
    </w:p>
    <w:p w:rsidRPr="000E02D5" w:rsidR="00D560C2" w:rsidP="000E02D5" w:rsidRDefault="00D560C2" w14:paraId="7B434F58"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The Director of Nursing is the delegated executive lead responsible for delivering the Trust’s safeguarding strategy.</w:t>
      </w:r>
    </w:p>
    <w:p w:rsidRPr="000E02D5" w:rsidR="00D560C2" w:rsidP="000E02D5" w:rsidRDefault="00D560C2" w14:paraId="6047D1C9"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The Associate Director of Safeguarding holds strategic and operational responsibility, ensuring the Trust meets its statutory safeguarding duties for children, young people, and adults at risk.</w:t>
      </w:r>
    </w:p>
    <w:p w:rsidRPr="000E02D5" w:rsidR="00D560C2" w:rsidP="000E02D5" w:rsidRDefault="00D560C2" w14:paraId="3E47FEBC"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Lead Professionals for Safeguarding Adults and Children provide operational leadership, oversee the corporate safeguarding team, and coordinate complex case management, training, and supervision.</w:t>
      </w:r>
    </w:p>
    <w:p w:rsidRPr="000E02D5" w:rsidR="00D560C2" w:rsidP="000E02D5" w:rsidRDefault="00D560C2" w14:paraId="6B044FA8"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Named Safeguarding Professionals offer expert advice, training, and assurance, embedding safeguarding into everyday clinical practice.</w:t>
      </w:r>
    </w:p>
    <w:p w:rsidRPr="000E02D5" w:rsidR="00D560C2" w:rsidP="000E02D5" w:rsidRDefault="00D560C2" w14:paraId="1F70C650" w14:textId="77777777">
      <w:pPr>
        <w:pStyle w:val="ListParagraph"/>
        <w:numPr>
          <w:ilvl w:val="0"/>
          <w:numId w:val="49"/>
        </w:numPr>
        <w:spacing w:before="100" w:beforeAutospacing="1" w:after="100" w:afterAutospacing="1" w:line="240" w:lineRule="auto"/>
        <w:ind w:right="0"/>
        <w:jc w:val="left"/>
        <w:rPr>
          <w:rFonts w:eastAsia="Times New Roman"/>
          <w:sz w:val="22"/>
        </w:rPr>
      </w:pPr>
      <w:r w:rsidRPr="000E02D5">
        <w:rPr>
          <w:rFonts w:eastAsia="Times New Roman"/>
          <w:sz w:val="22"/>
        </w:rPr>
        <w:t>The Corporate Safeguarding Team operates under a 'Think Family' approach, supported by a unified Safeguarding Committee with integrated work plans.</w:t>
      </w:r>
    </w:p>
    <w:p w:rsidRPr="00D560C2" w:rsidR="00D560C2" w:rsidP="00D560C2" w:rsidRDefault="00D560C2" w14:paraId="44749C4A" w14:textId="77777777">
      <w:pPr>
        <w:spacing w:before="100" w:beforeAutospacing="1" w:after="100" w:afterAutospacing="1" w:line="240" w:lineRule="auto"/>
        <w:jc w:val="left"/>
        <w:rPr>
          <w:rFonts w:eastAsia="Times New Roman"/>
          <w:sz w:val="22"/>
        </w:rPr>
      </w:pPr>
      <w:r w:rsidRPr="00D560C2">
        <w:rPr>
          <w:rFonts w:eastAsia="Times New Roman"/>
          <w:b/>
          <w:bCs/>
          <w:sz w:val="22"/>
        </w:rPr>
        <w:t>Partnership Working and External Governance:</w:t>
      </w:r>
    </w:p>
    <w:p w:rsidR="000E02D5" w:rsidP="000E02D5" w:rsidRDefault="00D560C2" w14:paraId="75F566B5" w14:textId="77777777">
      <w:pPr>
        <w:spacing w:before="100" w:beforeAutospacing="1" w:after="100" w:afterAutospacing="1" w:line="240" w:lineRule="auto"/>
        <w:ind w:left="567" w:firstLine="0"/>
        <w:jc w:val="left"/>
        <w:rPr>
          <w:rFonts w:eastAsia="Times New Roman"/>
          <w:sz w:val="22"/>
        </w:rPr>
      </w:pPr>
      <w:r w:rsidRPr="00D560C2">
        <w:rPr>
          <w:rFonts w:eastAsia="Times New Roman"/>
          <w:sz w:val="22"/>
        </w:rPr>
        <w:t>ELFT is committed to multi-agency collaboration, maintaining representation on five Safeguarding Adult Boards (SABs) and six Safeguarding Children Partnerships (SCPs) across its operational footprint. </w:t>
      </w:r>
    </w:p>
    <w:p w:rsidR="000E02D5" w:rsidP="000E02D5" w:rsidRDefault="00D560C2" w14:paraId="7B05ACF3" w14:textId="77777777">
      <w:pPr>
        <w:spacing w:before="100" w:beforeAutospacing="1" w:after="100" w:afterAutospacing="1" w:line="240" w:lineRule="auto"/>
        <w:ind w:left="567" w:firstLine="0"/>
        <w:jc w:val="left"/>
        <w:rPr>
          <w:rFonts w:eastAsia="Times New Roman"/>
          <w:sz w:val="22"/>
        </w:rPr>
      </w:pPr>
      <w:r w:rsidRPr="00D560C2">
        <w:rPr>
          <w:rFonts w:eastAsia="Times New Roman"/>
          <w:sz w:val="22"/>
        </w:rPr>
        <w:t>The Trust contributes strategically and operationally through participation in various safeguarding partnership boards, subgroups, and local assurance meetings. This includes engagement in local audits, multi-agency training, and strategic reviews such as Safeguarding Adult Reviews (SARs), Child Safeguarding Practice Reviews (CSPRs), Domestic Abuse Related Death Reviews (DARDR), Channel Panels, and PREVENT/CONTEST Boards. </w:t>
      </w:r>
    </w:p>
    <w:p w:rsidRPr="00D560C2" w:rsidR="00D560C2" w:rsidP="000E02D5" w:rsidRDefault="00D560C2" w14:paraId="489CA9AF" w14:textId="7D387C4E">
      <w:pPr>
        <w:spacing w:before="100" w:beforeAutospacing="1" w:after="100" w:afterAutospacing="1" w:line="240" w:lineRule="auto"/>
        <w:ind w:left="567" w:firstLine="0"/>
        <w:jc w:val="left"/>
        <w:rPr>
          <w:rFonts w:eastAsia="Times New Roman"/>
          <w:sz w:val="22"/>
        </w:rPr>
      </w:pPr>
      <w:r w:rsidRPr="00D560C2">
        <w:rPr>
          <w:rFonts w:eastAsia="Times New Roman"/>
          <w:sz w:val="22"/>
        </w:rPr>
        <w:t>Direct contributions to local safeguarding reports and the implementation of actions are monitored by the Trust Safeguarding Committee. These arrangements ensure a cohesive safeguarding leadership, assurance, and accountability framework from frontline services to the Board, supporting the delivery of safe, inclusive, and responsive care.</w:t>
      </w:r>
    </w:p>
    <w:p w:rsidR="00030B51" w:rsidP="00B80E06" w:rsidRDefault="00030B51" w14:paraId="260B42B6" w14:textId="7EAC9735">
      <w:pPr>
        <w:pStyle w:val="BodyText"/>
        <w:numPr>
          <w:ilvl w:val="0"/>
          <w:numId w:val="14"/>
        </w:numPr>
        <w:ind w:left="567" w:hanging="567"/>
        <w:rPr>
          <w:rFonts w:cs="Arial"/>
          <w:b/>
          <w:lang w:val="en-GB"/>
        </w:rPr>
      </w:pPr>
      <w:r w:rsidRPr="00DA39E0">
        <w:rPr>
          <w:rFonts w:cs="Arial"/>
          <w:b/>
          <w:lang w:val="en-GB"/>
        </w:rPr>
        <w:t>Reporting</w:t>
      </w:r>
      <w:r w:rsidRPr="00DA39E0" w:rsidR="00B43FED">
        <w:rPr>
          <w:rFonts w:cs="Arial"/>
          <w:b/>
          <w:lang w:val="en-GB"/>
        </w:rPr>
        <w:t xml:space="preserve"> of Safeguarding activity</w:t>
      </w:r>
    </w:p>
    <w:p w:rsidRPr="000E02D5" w:rsidR="000E02D5" w:rsidP="000E02D5" w:rsidRDefault="000E02D5" w14:paraId="7C4E825E" w14:textId="77777777">
      <w:pPr>
        <w:spacing w:before="100" w:beforeAutospacing="1" w:after="100" w:afterAutospacing="1" w:line="240" w:lineRule="auto"/>
        <w:ind w:left="577" w:firstLine="0"/>
        <w:rPr>
          <w:rFonts w:ascii="Times New Roman" w:hAnsi="Times New Roman" w:eastAsia="Times New Roman" w:cs="Times New Roman"/>
        </w:rPr>
      </w:pPr>
      <w:r w:rsidRPr="000E02D5">
        <w:rPr>
          <w:rFonts w:eastAsia="Times New Roman"/>
          <w:sz w:val="22"/>
        </w:rPr>
        <w:t>The Trust Safeguarding Committee meets quarterly to provide challenge and assurance regarding safeguarding arrangements and monitors compliance. Quarterly reports are submitted, providing assurance against responsibilities outlined in CQC Regulation 13, Contractual Safeguarding requirements, the Children Act (1989/2004), and the Care Act 2014</w:t>
      </w:r>
      <w:r w:rsidRPr="000E02D5">
        <w:rPr>
          <w:rFonts w:ascii="Times New Roman" w:hAnsi="Times New Roman" w:eastAsia="Times New Roman" w:cs="Times New Roman"/>
        </w:rPr>
        <w:t>.</w:t>
      </w:r>
    </w:p>
    <w:p w:rsidRPr="00A8227D" w:rsidR="00A8227D" w:rsidP="00B80E06" w:rsidRDefault="00A8227D" w14:paraId="798F3F68" w14:textId="77777777">
      <w:pPr>
        <w:pStyle w:val="ListParagraph"/>
        <w:numPr>
          <w:ilvl w:val="0"/>
          <w:numId w:val="21"/>
        </w:numPr>
        <w:spacing w:before="100" w:beforeAutospacing="1" w:after="100" w:afterAutospacing="1" w:line="240" w:lineRule="auto"/>
        <w:ind w:right="0"/>
        <w:contextualSpacing w:val="0"/>
        <w:rPr>
          <w:rFonts w:eastAsia="Times New Roman"/>
          <w:vanish/>
          <w:color w:val="auto"/>
          <w:sz w:val="20"/>
          <w:szCs w:val="20"/>
        </w:rPr>
      </w:pPr>
    </w:p>
    <w:p w:rsidRPr="00A8227D" w:rsidR="00A8227D" w:rsidP="00B80E06" w:rsidRDefault="00A8227D" w14:paraId="667A6F9F" w14:textId="77777777">
      <w:pPr>
        <w:pStyle w:val="ListParagraph"/>
        <w:numPr>
          <w:ilvl w:val="0"/>
          <w:numId w:val="21"/>
        </w:numPr>
        <w:spacing w:before="100" w:beforeAutospacing="1" w:after="100" w:afterAutospacing="1" w:line="240" w:lineRule="auto"/>
        <w:ind w:right="0"/>
        <w:contextualSpacing w:val="0"/>
        <w:rPr>
          <w:rFonts w:eastAsia="Times New Roman"/>
          <w:vanish/>
          <w:color w:val="auto"/>
          <w:sz w:val="20"/>
          <w:szCs w:val="20"/>
        </w:rPr>
      </w:pPr>
    </w:p>
    <w:p w:rsidRPr="00A8227D" w:rsidR="00A8227D" w:rsidP="00B80E06" w:rsidRDefault="00A8227D" w14:paraId="14D13EC4" w14:textId="77777777">
      <w:pPr>
        <w:pStyle w:val="ListParagraph"/>
        <w:numPr>
          <w:ilvl w:val="0"/>
          <w:numId w:val="21"/>
        </w:numPr>
        <w:spacing w:before="100" w:beforeAutospacing="1" w:after="100" w:afterAutospacing="1" w:line="240" w:lineRule="auto"/>
        <w:ind w:right="0"/>
        <w:contextualSpacing w:val="0"/>
        <w:rPr>
          <w:rFonts w:eastAsia="Times New Roman"/>
          <w:vanish/>
          <w:color w:val="auto"/>
          <w:sz w:val="20"/>
          <w:szCs w:val="20"/>
        </w:rPr>
      </w:pPr>
    </w:p>
    <w:p w:rsidR="002A712B" w:rsidP="00485AAF" w:rsidRDefault="00485AAF" w14:paraId="78E81E8D" w14:textId="6E53A0D5">
      <w:pPr>
        <w:pStyle w:val="NormalWeb"/>
        <w:ind w:left="567" w:hanging="567"/>
        <w:jc w:val="both"/>
        <w:rPr>
          <w:rFonts w:cs="Arial"/>
          <w:b/>
        </w:rPr>
      </w:pPr>
      <w:r>
        <w:rPr>
          <w:rFonts w:ascii="Arial" w:hAnsi="Arial" w:cs="Arial"/>
          <w:b/>
          <w:sz w:val="22"/>
          <w:szCs w:val="22"/>
        </w:rPr>
        <w:t>4.0</w:t>
      </w:r>
      <w:r>
        <w:rPr>
          <w:rFonts w:ascii="Arial" w:hAnsi="Arial" w:cs="Arial"/>
          <w:b/>
          <w:sz w:val="22"/>
          <w:szCs w:val="22"/>
        </w:rPr>
        <w:tab/>
      </w:r>
      <w:r>
        <w:rPr>
          <w:rFonts w:ascii="Arial" w:hAnsi="Arial" w:cs="Arial"/>
          <w:b/>
          <w:sz w:val="22"/>
          <w:szCs w:val="22"/>
        </w:rPr>
        <w:t>Risk Register</w:t>
      </w:r>
    </w:p>
    <w:p w:rsidR="002A712B" w:rsidP="00485AAF" w:rsidRDefault="002A712B" w14:paraId="505C526C" w14:textId="68BC7E6B">
      <w:pPr>
        <w:pStyle w:val="BodyText"/>
        <w:numPr>
          <w:ilvl w:val="0"/>
          <w:numId w:val="0"/>
        </w:numPr>
        <w:ind w:left="567"/>
        <w:rPr>
          <w:sz w:val="20"/>
          <w:szCs w:val="20"/>
        </w:rPr>
      </w:pPr>
      <w:r w:rsidRPr="009077CD">
        <w:rPr>
          <w:sz w:val="20"/>
          <w:szCs w:val="20"/>
        </w:rPr>
        <w:t xml:space="preserve">During 2024/25, the Trust Safeguarding Committee maintained close oversight of safeguarding risks through quarterly reviews and active mitigation. The summary below outlines key risks, mitigation actions, and </w:t>
      </w:r>
      <w:r w:rsidRPr="009077CD" w:rsidR="00DD39B8">
        <w:rPr>
          <w:sz w:val="20"/>
          <w:szCs w:val="20"/>
        </w:rPr>
        <w:t>status</w:t>
      </w:r>
      <w:r w:rsidRPr="009077CD">
        <w:rPr>
          <w:sz w:val="20"/>
          <w:szCs w:val="20"/>
        </w:rPr>
        <w:t>.</w:t>
      </w:r>
    </w:p>
    <w:p w:rsidRPr="009077CD" w:rsidR="002A712B" w:rsidP="00486583" w:rsidRDefault="002A712B" w14:paraId="5799B554" w14:textId="07C44CEB">
      <w:pPr>
        <w:pStyle w:val="BodyText"/>
        <w:numPr>
          <w:ilvl w:val="0"/>
          <w:numId w:val="0"/>
        </w:numPr>
        <w:rPr>
          <w:rFonts w:cs="Arial"/>
          <w:sz w:val="20"/>
          <w:szCs w:val="20"/>
          <w:lang w:val="en-GB"/>
        </w:rPr>
      </w:pPr>
    </w:p>
    <w:p w:rsidRPr="009077CD" w:rsidR="00C0077D" w:rsidP="00486583" w:rsidRDefault="00C0077D" w14:paraId="6F3A6917" w14:textId="71C598DF">
      <w:pPr>
        <w:pStyle w:val="BodyText"/>
        <w:numPr>
          <w:ilvl w:val="0"/>
          <w:numId w:val="0"/>
        </w:numPr>
        <w:ind w:left="2836"/>
        <w:rPr>
          <w:rFonts w:cs="Arial"/>
          <w:b/>
          <w:sz w:val="20"/>
          <w:szCs w:val="20"/>
          <w:lang w:val="en-GB"/>
        </w:rPr>
      </w:pPr>
    </w:p>
    <w:tbl>
      <w:tblPr>
        <w:tblStyle w:val="TableGrid"/>
        <w:tblW w:w="9821" w:type="dxa"/>
        <w:tblInd w:w="846" w:type="dxa"/>
        <w:tblLook w:val="04A0" w:firstRow="1" w:lastRow="0" w:firstColumn="1" w:lastColumn="0" w:noHBand="0" w:noVBand="1"/>
      </w:tblPr>
      <w:tblGrid>
        <w:gridCol w:w="2276"/>
        <w:gridCol w:w="2932"/>
        <w:gridCol w:w="2461"/>
        <w:gridCol w:w="2152"/>
      </w:tblGrid>
      <w:tr w:rsidRPr="009077CD" w:rsidR="002A712B" w:rsidTr="00486583" w14:paraId="1B7A3C36" w14:textId="77777777">
        <w:tc>
          <w:tcPr>
            <w:tcW w:w="2103" w:type="dxa"/>
            <w:shd w:val="clear" w:color="auto" w:fill="D9D9D9"/>
          </w:tcPr>
          <w:p w:rsidRPr="009077CD" w:rsidR="002A712B" w:rsidP="00B62999" w:rsidRDefault="002A712B" w14:paraId="52EEDF1F" w14:textId="77777777">
            <w:pPr>
              <w:rPr>
                <w:sz w:val="20"/>
                <w:szCs w:val="20"/>
              </w:rPr>
            </w:pPr>
            <w:r w:rsidRPr="009077CD">
              <w:rPr>
                <w:b/>
                <w:sz w:val="20"/>
                <w:szCs w:val="20"/>
              </w:rPr>
              <w:t>Risk Area</w:t>
            </w:r>
          </w:p>
        </w:tc>
        <w:tc>
          <w:tcPr>
            <w:tcW w:w="2932" w:type="dxa"/>
            <w:shd w:val="clear" w:color="auto" w:fill="D9D9D9"/>
          </w:tcPr>
          <w:p w:rsidRPr="009077CD" w:rsidR="002A712B" w:rsidP="00B62999" w:rsidRDefault="002A712B" w14:paraId="30F28A45" w14:textId="77777777">
            <w:pPr>
              <w:rPr>
                <w:sz w:val="20"/>
                <w:szCs w:val="20"/>
              </w:rPr>
            </w:pPr>
            <w:r w:rsidRPr="009077CD">
              <w:rPr>
                <w:b/>
                <w:sz w:val="20"/>
                <w:szCs w:val="20"/>
              </w:rPr>
              <w:t>Risk Description</w:t>
            </w:r>
          </w:p>
        </w:tc>
        <w:tc>
          <w:tcPr>
            <w:tcW w:w="2558" w:type="dxa"/>
            <w:shd w:val="clear" w:color="auto" w:fill="D9D9D9"/>
          </w:tcPr>
          <w:p w:rsidRPr="009077CD" w:rsidR="002A712B" w:rsidP="00B62999" w:rsidRDefault="002A712B" w14:paraId="63AF4305" w14:textId="77777777">
            <w:pPr>
              <w:rPr>
                <w:sz w:val="20"/>
                <w:szCs w:val="20"/>
              </w:rPr>
            </w:pPr>
            <w:r w:rsidRPr="009077CD">
              <w:rPr>
                <w:b/>
                <w:sz w:val="20"/>
                <w:szCs w:val="20"/>
              </w:rPr>
              <w:t>Mitigation</w:t>
            </w:r>
          </w:p>
        </w:tc>
        <w:tc>
          <w:tcPr>
            <w:tcW w:w="2228" w:type="dxa"/>
            <w:shd w:val="clear" w:color="auto" w:fill="D9D9D9"/>
          </w:tcPr>
          <w:p w:rsidRPr="009077CD" w:rsidR="002A712B" w:rsidP="002A712B" w:rsidRDefault="002A712B" w14:paraId="55AAFB5F" w14:textId="77777777">
            <w:pPr>
              <w:ind w:left="567" w:firstLine="0"/>
              <w:rPr>
                <w:sz w:val="20"/>
                <w:szCs w:val="20"/>
              </w:rPr>
            </w:pPr>
            <w:r w:rsidRPr="009077CD">
              <w:rPr>
                <w:b/>
                <w:sz w:val="20"/>
                <w:szCs w:val="20"/>
              </w:rPr>
              <w:t>Current Status</w:t>
            </w:r>
          </w:p>
        </w:tc>
      </w:tr>
      <w:tr w:rsidRPr="009077CD" w:rsidR="002A712B" w:rsidTr="00486583" w14:paraId="14EC5EBE" w14:textId="77777777">
        <w:tc>
          <w:tcPr>
            <w:tcW w:w="2103" w:type="dxa"/>
          </w:tcPr>
          <w:p w:rsidRPr="009077CD" w:rsidR="002A712B" w:rsidP="000935B5" w:rsidRDefault="002A712B" w14:paraId="3B64AF25" w14:textId="77777777">
            <w:pPr>
              <w:ind w:left="0" w:firstLine="0"/>
              <w:rPr>
                <w:sz w:val="20"/>
                <w:szCs w:val="20"/>
              </w:rPr>
            </w:pPr>
            <w:r w:rsidRPr="009077CD">
              <w:rPr>
                <w:sz w:val="20"/>
                <w:szCs w:val="20"/>
              </w:rPr>
              <w:t>Safeguarding Referrals</w:t>
            </w:r>
          </w:p>
        </w:tc>
        <w:tc>
          <w:tcPr>
            <w:tcW w:w="2932" w:type="dxa"/>
          </w:tcPr>
          <w:p w:rsidRPr="009077CD" w:rsidR="002A712B" w:rsidP="000935B5" w:rsidRDefault="002A712B" w14:paraId="209FFBE1" w14:textId="77777777">
            <w:pPr>
              <w:ind w:left="0" w:firstLine="0"/>
              <w:jc w:val="left"/>
              <w:rPr>
                <w:sz w:val="20"/>
                <w:szCs w:val="20"/>
              </w:rPr>
            </w:pPr>
            <w:r w:rsidRPr="009077CD">
              <w:rPr>
                <w:sz w:val="20"/>
                <w:szCs w:val="20"/>
              </w:rPr>
              <w:t>Variability in staff recording practices led to underreporting in some boroughs.</w:t>
            </w:r>
          </w:p>
        </w:tc>
        <w:tc>
          <w:tcPr>
            <w:tcW w:w="2558" w:type="dxa"/>
          </w:tcPr>
          <w:p w:rsidRPr="009077CD" w:rsidR="002A712B" w:rsidP="000935B5" w:rsidRDefault="002A712B" w14:paraId="348EAD9F" w14:textId="094F78FA">
            <w:pPr>
              <w:ind w:left="0" w:firstLine="0"/>
              <w:rPr>
                <w:sz w:val="20"/>
                <w:szCs w:val="20"/>
              </w:rPr>
            </w:pPr>
            <w:r w:rsidRPr="009077CD">
              <w:rPr>
                <w:sz w:val="20"/>
                <w:szCs w:val="20"/>
              </w:rPr>
              <w:t xml:space="preserve">Policy </w:t>
            </w:r>
            <w:r w:rsidRPr="009077CD" w:rsidR="00DD39B8">
              <w:rPr>
                <w:sz w:val="20"/>
                <w:szCs w:val="20"/>
              </w:rPr>
              <w:t>changes</w:t>
            </w:r>
            <w:r w:rsidRPr="009077CD">
              <w:rPr>
                <w:sz w:val="20"/>
                <w:szCs w:val="20"/>
              </w:rPr>
              <w:t xml:space="preserve"> requiring all children’s safeguarding referrals via incident system.</w:t>
            </w:r>
          </w:p>
        </w:tc>
        <w:tc>
          <w:tcPr>
            <w:tcW w:w="2228" w:type="dxa"/>
            <w:shd w:val="clear" w:color="auto" w:fill="FFE599" w:themeFill="accent4" w:themeFillTint="66"/>
          </w:tcPr>
          <w:p w:rsidRPr="009077CD" w:rsidR="002A712B" w:rsidP="000935B5" w:rsidRDefault="002A712B" w14:paraId="60A78028" w14:textId="77777777">
            <w:pPr>
              <w:ind w:left="0" w:firstLine="0"/>
              <w:jc w:val="left"/>
              <w:rPr>
                <w:sz w:val="20"/>
                <w:szCs w:val="20"/>
              </w:rPr>
            </w:pPr>
            <w:r w:rsidRPr="009077CD">
              <w:rPr>
                <w:sz w:val="20"/>
                <w:szCs w:val="20"/>
              </w:rPr>
              <w:t>Risk remains under monitoring</w:t>
            </w:r>
          </w:p>
        </w:tc>
      </w:tr>
      <w:tr w:rsidRPr="009077CD" w:rsidR="002A712B" w:rsidTr="00486583" w14:paraId="0695C001" w14:textId="77777777">
        <w:tc>
          <w:tcPr>
            <w:tcW w:w="2103" w:type="dxa"/>
          </w:tcPr>
          <w:p w:rsidRPr="009077CD" w:rsidR="002A712B" w:rsidP="000935B5" w:rsidRDefault="002A712B" w14:paraId="4AFB5B31" w14:textId="77777777">
            <w:pPr>
              <w:ind w:left="0" w:firstLine="0"/>
              <w:rPr>
                <w:sz w:val="20"/>
                <w:szCs w:val="20"/>
              </w:rPr>
            </w:pPr>
            <w:r w:rsidRPr="009077CD">
              <w:rPr>
                <w:sz w:val="20"/>
                <w:szCs w:val="20"/>
              </w:rPr>
              <w:t>Prevent Training Compliance</w:t>
            </w:r>
          </w:p>
        </w:tc>
        <w:tc>
          <w:tcPr>
            <w:tcW w:w="2932" w:type="dxa"/>
          </w:tcPr>
          <w:p w:rsidRPr="009077CD" w:rsidR="002A712B" w:rsidP="000935B5" w:rsidRDefault="002A712B" w14:paraId="27E63B2C" w14:textId="77777777">
            <w:pPr>
              <w:ind w:left="0" w:firstLine="0"/>
              <w:jc w:val="left"/>
              <w:rPr>
                <w:sz w:val="20"/>
                <w:szCs w:val="20"/>
              </w:rPr>
            </w:pPr>
            <w:r w:rsidRPr="009077CD">
              <w:rPr>
                <w:sz w:val="20"/>
                <w:szCs w:val="20"/>
              </w:rPr>
              <w:t>National changes to Prevent Level 3 requirements caused a temporary dip in compliance.</w:t>
            </w:r>
          </w:p>
        </w:tc>
        <w:tc>
          <w:tcPr>
            <w:tcW w:w="2558" w:type="dxa"/>
          </w:tcPr>
          <w:p w:rsidRPr="009077CD" w:rsidR="002A712B" w:rsidP="000935B5" w:rsidRDefault="002A712B" w14:paraId="4678CEB1" w14:textId="77777777">
            <w:pPr>
              <w:ind w:left="0" w:firstLine="0"/>
              <w:rPr>
                <w:sz w:val="20"/>
                <w:szCs w:val="20"/>
              </w:rPr>
            </w:pPr>
            <w:r w:rsidRPr="009077CD">
              <w:rPr>
                <w:sz w:val="20"/>
                <w:szCs w:val="20"/>
              </w:rPr>
              <w:t>Focused recovery plans implemented to restore compliance.</w:t>
            </w:r>
          </w:p>
        </w:tc>
        <w:tc>
          <w:tcPr>
            <w:tcW w:w="2228" w:type="dxa"/>
            <w:shd w:val="clear" w:color="auto" w:fill="C5E0B3" w:themeFill="accent6" w:themeFillTint="66"/>
          </w:tcPr>
          <w:p w:rsidRPr="009077CD" w:rsidR="002A712B" w:rsidP="000935B5" w:rsidRDefault="00B62999" w14:paraId="239E2FA0" w14:textId="7E6D34A9">
            <w:pPr>
              <w:ind w:left="0" w:firstLine="0"/>
              <w:rPr>
                <w:sz w:val="20"/>
                <w:szCs w:val="20"/>
              </w:rPr>
            </w:pPr>
            <w:r w:rsidRPr="009077CD">
              <w:rPr>
                <w:sz w:val="20"/>
                <w:szCs w:val="20"/>
              </w:rPr>
              <w:t>Risk removed from register</w:t>
            </w:r>
          </w:p>
        </w:tc>
      </w:tr>
      <w:tr w:rsidRPr="009077CD" w:rsidR="002A712B" w:rsidTr="00486583" w14:paraId="2EEA4453" w14:textId="77777777">
        <w:tc>
          <w:tcPr>
            <w:tcW w:w="2103" w:type="dxa"/>
          </w:tcPr>
          <w:p w:rsidRPr="009077CD" w:rsidR="002A712B" w:rsidP="000935B5" w:rsidRDefault="002A712B" w14:paraId="39F3A6A7" w14:textId="77777777">
            <w:pPr>
              <w:ind w:left="0" w:firstLine="0"/>
              <w:rPr>
                <w:sz w:val="20"/>
                <w:szCs w:val="20"/>
              </w:rPr>
            </w:pPr>
            <w:r w:rsidRPr="009077CD">
              <w:rPr>
                <w:sz w:val="20"/>
                <w:szCs w:val="20"/>
              </w:rPr>
              <w:t>Non-Compliance with Mandatory Training</w:t>
            </w:r>
          </w:p>
        </w:tc>
        <w:tc>
          <w:tcPr>
            <w:tcW w:w="2932" w:type="dxa"/>
          </w:tcPr>
          <w:p w:rsidRPr="009077CD" w:rsidR="002A712B" w:rsidP="000935B5" w:rsidRDefault="002A712B" w14:paraId="534D28A9" w14:textId="77777777">
            <w:pPr>
              <w:ind w:left="0" w:firstLine="0"/>
              <w:jc w:val="left"/>
              <w:rPr>
                <w:sz w:val="20"/>
                <w:szCs w:val="20"/>
              </w:rPr>
            </w:pPr>
            <w:r w:rsidRPr="009077CD">
              <w:rPr>
                <w:sz w:val="20"/>
                <w:szCs w:val="20"/>
              </w:rPr>
              <w:t>Low uptake of Level 2 and 3 safeguarding training for adults and children increased risk of unrecognised abuse or neglect.</w:t>
            </w:r>
          </w:p>
        </w:tc>
        <w:tc>
          <w:tcPr>
            <w:tcW w:w="2558" w:type="dxa"/>
          </w:tcPr>
          <w:p w:rsidRPr="009077CD" w:rsidR="002A712B" w:rsidP="000935B5" w:rsidRDefault="002A712B" w14:paraId="521DCCFC" w14:textId="77777777">
            <w:pPr>
              <w:ind w:left="0" w:firstLine="0"/>
              <w:rPr>
                <w:sz w:val="20"/>
                <w:szCs w:val="20"/>
              </w:rPr>
            </w:pPr>
            <w:r w:rsidRPr="009077CD">
              <w:rPr>
                <w:sz w:val="20"/>
                <w:szCs w:val="20"/>
              </w:rPr>
              <w:t>Action plan introduced and monitored. Compliance improved.</w:t>
            </w:r>
          </w:p>
        </w:tc>
        <w:tc>
          <w:tcPr>
            <w:tcW w:w="2228" w:type="dxa"/>
            <w:shd w:val="clear" w:color="auto" w:fill="C5E0B3" w:themeFill="accent6" w:themeFillTint="66"/>
          </w:tcPr>
          <w:p w:rsidRPr="009077CD" w:rsidR="002A712B" w:rsidP="000935B5" w:rsidRDefault="002A712B" w14:paraId="5C4DC779" w14:textId="77777777">
            <w:pPr>
              <w:ind w:left="0" w:firstLine="0"/>
              <w:rPr>
                <w:sz w:val="20"/>
                <w:szCs w:val="20"/>
              </w:rPr>
            </w:pPr>
            <w:r w:rsidRPr="009077CD">
              <w:rPr>
                <w:sz w:val="20"/>
                <w:szCs w:val="20"/>
              </w:rPr>
              <w:t>Risk removed from register</w:t>
            </w:r>
          </w:p>
        </w:tc>
      </w:tr>
      <w:tr w:rsidRPr="009077CD" w:rsidR="002A712B" w:rsidTr="00486583" w14:paraId="6DB6AFF3" w14:textId="77777777">
        <w:tc>
          <w:tcPr>
            <w:tcW w:w="2103" w:type="dxa"/>
          </w:tcPr>
          <w:p w:rsidRPr="009077CD" w:rsidR="002A712B" w:rsidP="000935B5" w:rsidRDefault="002A712B" w14:paraId="6C4BF60C" w14:textId="77777777">
            <w:pPr>
              <w:ind w:left="0" w:firstLine="0"/>
              <w:jc w:val="left"/>
              <w:rPr>
                <w:sz w:val="20"/>
                <w:szCs w:val="20"/>
              </w:rPr>
            </w:pPr>
            <w:r w:rsidRPr="009077CD">
              <w:rPr>
                <w:sz w:val="20"/>
                <w:szCs w:val="20"/>
              </w:rPr>
              <w:t>Lack of Professional Curiosity</w:t>
            </w:r>
          </w:p>
        </w:tc>
        <w:tc>
          <w:tcPr>
            <w:tcW w:w="2932" w:type="dxa"/>
          </w:tcPr>
          <w:p w:rsidRPr="009077CD" w:rsidR="002A712B" w:rsidP="000935B5" w:rsidRDefault="002A712B" w14:paraId="392B18A8" w14:textId="77777777">
            <w:pPr>
              <w:ind w:left="0" w:firstLine="0"/>
              <w:jc w:val="left"/>
              <w:rPr>
                <w:sz w:val="20"/>
                <w:szCs w:val="20"/>
              </w:rPr>
            </w:pPr>
            <w:r w:rsidRPr="009077CD">
              <w:rPr>
                <w:sz w:val="20"/>
                <w:szCs w:val="20"/>
              </w:rPr>
              <w:t>Failure to routinely exercise professional curiosity may result in missed safeguarding concerns.</w:t>
            </w:r>
          </w:p>
        </w:tc>
        <w:tc>
          <w:tcPr>
            <w:tcW w:w="2558" w:type="dxa"/>
          </w:tcPr>
          <w:p w:rsidRPr="009077CD" w:rsidR="002A712B" w:rsidP="000935B5" w:rsidRDefault="002A712B" w14:paraId="455DA6E5" w14:textId="19CC04C0">
            <w:pPr>
              <w:ind w:left="0" w:firstLine="0"/>
              <w:jc w:val="left"/>
              <w:rPr>
                <w:sz w:val="20"/>
                <w:szCs w:val="20"/>
              </w:rPr>
            </w:pPr>
            <w:r w:rsidRPr="009077CD">
              <w:rPr>
                <w:sz w:val="20"/>
                <w:szCs w:val="20"/>
              </w:rPr>
              <w:t xml:space="preserve">Safeguarding supervision </w:t>
            </w:r>
            <w:r w:rsidR="005A3E38">
              <w:rPr>
                <w:sz w:val="20"/>
                <w:szCs w:val="20"/>
              </w:rPr>
              <w:t>was strengthen</w:t>
            </w:r>
            <w:r w:rsidRPr="009077CD">
              <w:rPr>
                <w:sz w:val="20"/>
                <w:szCs w:val="20"/>
              </w:rPr>
              <w:t>ed across the Trust.</w:t>
            </w:r>
          </w:p>
        </w:tc>
        <w:tc>
          <w:tcPr>
            <w:tcW w:w="2228" w:type="dxa"/>
            <w:shd w:val="clear" w:color="auto" w:fill="C5E0B3" w:themeFill="accent6" w:themeFillTint="66"/>
          </w:tcPr>
          <w:p w:rsidRPr="009077CD" w:rsidR="002A712B" w:rsidP="000935B5" w:rsidRDefault="002A712B" w14:paraId="34D86C12" w14:textId="77777777">
            <w:pPr>
              <w:ind w:left="0" w:firstLine="0"/>
              <w:jc w:val="left"/>
              <w:rPr>
                <w:sz w:val="20"/>
                <w:szCs w:val="20"/>
              </w:rPr>
            </w:pPr>
            <w:r w:rsidRPr="009077CD">
              <w:rPr>
                <w:sz w:val="20"/>
                <w:szCs w:val="20"/>
              </w:rPr>
              <w:t>Risk removed from register</w:t>
            </w:r>
          </w:p>
        </w:tc>
      </w:tr>
      <w:tr w:rsidRPr="009077CD" w:rsidR="002A712B" w:rsidTr="00486583" w14:paraId="4B6F7F4E" w14:textId="77777777">
        <w:tc>
          <w:tcPr>
            <w:tcW w:w="2103" w:type="dxa"/>
          </w:tcPr>
          <w:p w:rsidRPr="009077CD" w:rsidR="002A712B" w:rsidP="000935B5" w:rsidRDefault="002A712B" w14:paraId="1488ED13" w14:textId="77777777">
            <w:pPr>
              <w:ind w:left="0" w:firstLine="0"/>
              <w:jc w:val="left"/>
              <w:rPr>
                <w:sz w:val="20"/>
                <w:szCs w:val="20"/>
              </w:rPr>
            </w:pPr>
            <w:r w:rsidRPr="009077CD">
              <w:rPr>
                <w:sz w:val="20"/>
                <w:szCs w:val="20"/>
              </w:rPr>
              <w:t>Impact of Team Restructure</w:t>
            </w:r>
          </w:p>
        </w:tc>
        <w:tc>
          <w:tcPr>
            <w:tcW w:w="2932" w:type="dxa"/>
          </w:tcPr>
          <w:p w:rsidRPr="009077CD" w:rsidR="002A712B" w:rsidP="000935B5" w:rsidRDefault="002A712B" w14:paraId="63FBA5AD" w14:textId="77777777">
            <w:pPr>
              <w:ind w:left="0" w:firstLine="0"/>
              <w:jc w:val="left"/>
              <w:rPr>
                <w:sz w:val="20"/>
                <w:szCs w:val="20"/>
              </w:rPr>
            </w:pPr>
            <w:r w:rsidRPr="009077CD">
              <w:rPr>
                <w:sz w:val="20"/>
                <w:szCs w:val="20"/>
              </w:rPr>
              <w:t>Restructure led to increased staff responsibility, risking delays in support to services.</w:t>
            </w:r>
          </w:p>
        </w:tc>
        <w:tc>
          <w:tcPr>
            <w:tcW w:w="2558" w:type="dxa"/>
          </w:tcPr>
          <w:p w:rsidRPr="009077CD" w:rsidR="002A712B" w:rsidP="000935B5" w:rsidRDefault="002A712B" w14:paraId="480FCB65" w14:textId="77777777">
            <w:pPr>
              <w:ind w:left="0" w:firstLine="0"/>
              <w:jc w:val="left"/>
              <w:rPr>
                <w:sz w:val="20"/>
                <w:szCs w:val="20"/>
              </w:rPr>
            </w:pPr>
            <w:r w:rsidRPr="009077CD">
              <w:rPr>
                <w:sz w:val="20"/>
                <w:szCs w:val="20"/>
              </w:rPr>
              <w:t>Digital changes and new leadership absorbed added responsibilities.</w:t>
            </w:r>
          </w:p>
        </w:tc>
        <w:tc>
          <w:tcPr>
            <w:tcW w:w="2228" w:type="dxa"/>
            <w:shd w:val="clear" w:color="auto" w:fill="C5E0B3" w:themeFill="accent6" w:themeFillTint="66"/>
          </w:tcPr>
          <w:p w:rsidRPr="009077CD" w:rsidR="002A712B" w:rsidP="000935B5" w:rsidRDefault="002A712B" w14:paraId="20FAAA99" w14:textId="77777777">
            <w:pPr>
              <w:ind w:left="0" w:firstLine="0"/>
              <w:jc w:val="left"/>
              <w:rPr>
                <w:sz w:val="20"/>
                <w:szCs w:val="20"/>
              </w:rPr>
            </w:pPr>
            <w:r w:rsidRPr="009077CD">
              <w:rPr>
                <w:sz w:val="20"/>
                <w:szCs w:val="20"/>
              </w:rPr>
              <w:t>Risk removed from register</w:t>
            </w:r>
          </w:p>
        </w:tc>
      </w:tr>
      <w:tr w:rsidRPr="009077CD" w:rsidR="002A712B" w:rsidTr="00486583" w14:paraId="4204359F" w14:textId="77777777">
        <w:tc>
          <w:tcPr>
            <w:tcW w:w="2103" w:type="dxa"/>
          </w:tcPr>
          <w:p w:rsidRPr="009077CD" w:rsidR="002A712B" w:rsidP="000935B5" w:rsidRDefault="002A712B" w14:paraId="0F73B75E" w14:textId="77777777">
            <w:pPr>
              <w:ind w:left="0" w:firstLine="0"/>
              <w:jc w:val="left"/>
              <w:rPr>
                <w:sz w:val="20"/>
                <w:szCs w:val="20"/>
              </w:rPr>
            </w:pPr>
            <w:r w:rsidRPr="009077CD">
              <w:rPr>
                <w:sz w:val="20"/>
                <w:szCs w:val="20"/>
              </w:rPr>
              <w:t>Workforce Shortages</w:t>
            </w:r>
          </w:p>
        </w:tc>
        <w:tc>
          <w:tcPr>
            <w:tcW w:w="2932" w:type="dxa"/>
          </w:tcPr>
          <w:p w:rsidRPr="009077CD" w:rsidR="002A712B" w:rsidP="000935B5" w:rsidRDefault="002A712B" w14:paraId="654E576E" w14:textId="77777777">
            <w:pPr>
              <w:ind w:left="0" w:firstLine="0"/>
              <w:jc w:val="left"/>
              <w:rPr>
                <w:sz w:val="20"/>
                <w:szCs w:val="20"/>
              </w:rPr>
            </w:pPr>
            <w:r w:rsidRPr="009077CD">
              <w:rPr>
                <w:sz w:val="20"/>
                <w:szCs w:val="20"/>
              </w:rPr>
              <w:t>Vacancies among Named Professionals paused non-urgent activities, affecting delivery capacity.</w:t>
            </w:r>
          </w:p>
        </w:tc>
        <w:tc>
          <w:tcPr>
            <w:tcW w:w="2558" w:type="dxa"/>
          </w:tcPr>
          <w:p w:rsidRPr="009077CD" w:rsidR="002A712B" w:rsidP="000935B5" w:rsidRDefault="002A712B" w14:paraId="097CFF57" w14:textId="77777777">
            <w:pPr>
              <w:ind w:left="0" w:firstLine="0"/>
              <w:jc w:val="left"/>
              <w:rPr>
                <w:sz w:val="20"/>
                <w:szCs w:val="20"/>
              </w:rPr>
            </w:pPr>
            <w:r w:rsidRPr="009077CD">
              <w:rPr>
                <w:sz w:val="20"/>
                <w:szCs w:val="20"/>
              </w:rPr>
              <w:t>New staff members recruited to restore team capacity.</w:t>
            </w:r>
          </w:p>
        </w:tc>
        <w:tc>
          <w:tcPr>
            <w:tcW w:w="2228" w:type="dxa"/>
            <w:shd w:val="clear" w:color="auto" w:fill="FFE599" w:themeFill="accent4" w:themeFillTint="66"/>
          </w:tcPr>
          <w:p w:rsidRPr="009077CD" w:rsidR="002A712B" w:rsidP="000935B5" w:rsidRDefault="00B62999" w14:paraId="1B5C610F" w14:textId="02A2E1A8">
            <w:pPr>
              <w:ind w:left="0" w:firstLine="0"/>
              <w:jc w:val="left"/>
              <w:rPr>
                <w:sz w:val="20"/>
                <w:szCs w:val="20"/>
              </w:rPr>
            </w:pPr>
            <w:r w:rsidRPr="009077CD">
              <w:rPr>
                <w:sz w:val="20"/>
                <w:szCs w:val="20"/>
              </w:rPr>
              <w:t>Risk remains under monitoring</w:t>
            </w:r>
          </w:p>
        </w:tc>
      </w:tr>
    </w:tbl>
    <w:p w:rsidR="00486583" w:rsidP="00486583" w:rsidRDefault="00486583" w14:paraId="730BFE1E" w14:textId="2E7DDA5C">
      <w:pPr>
        <w:pStyle w:val="BodyText"/>
        <w:numPr>
          <w:ilvl w:val="0"/>
          <w:numId w:val="0"/>
        </w:numPr>
        <w:rPr>
          <w:rFonts w:cs="Arial"/>
          <w:lang w:val="en-GB"/>
        </w:rPr>
      </w:pPr>
    </w:p>
    <w:p w:rsidR="00485AAF" w:rsidP="00486583" w:rsidRDefault="00485AAF" w14:paraId="2D2EB797" w14:textId="77777777">
      <w:pPr>
        <w:pStyle w:val="BodyText"/>
        <w:numPr>
          <w:ilvl w:val="0"/>
          <w:numId w:val="0"/>
        </w:numPr>
        <w:rPr>
          <w:rFonts w:cs="Arial"/>
          <w:lang w:val="en-GB"/>
        </w:rPr>
      </w:pPr>
    </w:p>
    <w:p w:rsidRPr="00DA39E0" w:rsidR="00662B59" w:rsidP="00485AAF" w:rsidRDefault="00B36900" w14:paraId="3A79E445" w14:textId="2F126858">
      <w:pPr>
        <w:pStyle w:val="BodyText"/>
        <w:numPr>
          <w:ilvl w:val="0"/>
          <w:numId w:val="0"/>
        </w:numPr>
        <w:ind w:left="567" w:hanging="567"/>
        <w:rPr>
          <w:rFonts w:cs="Arial"/>
          <w:color w:val="FF0000"/>
          <w:lang w:val="en-GB"/>
        </w:rPr>
      </w:pPr>
      <w:r>
        <w:rPr>
          <w:rFonts w:cs="Arial"/>
          <w:b/>
          <w:lang w:val="en-GB"/>
        </w:rPr>
        <w:t xml:space="preserve">5.0 </w:t>
      </w:r>
      <w:r w:rsidR="00485AAF">
        <w:rPr>
          <w:rFonts w:cs="Arial"/>
          <w:b/>
          <w:lang w:val="en-GB"/>
        </w:rPr>
        <w:tab/>
      </w:r>
      <w:r w:rsidRPr="00710DD3" w:rsidR="00432B2A">
        <w:rPr>
          <w:rFonts w:cs="Arial"/>
          <w:b/>
          <w:lang w:val="en-GB"/>
        </w:rPr>
        <w:t>Section 42</w:t>
      </w:r>
      <w:r w:rsidRPr="00DA39E0" w:rsidR="00432B2A">
        <w:rPr>
          <w:rFonts w:cs="Arial"/>
          <w:lang w:val="en-GB"/>
        </w:rPr>
        <w:t xml:space="preserve"> </w:t>
      </w:r>
      <w:r w:rsidRPr="00710DD3" w:rsidR="00432B2A">
        <w:rPr>
          <w:rFonts w:cs="Arial"/>
          <w:b/>
          <w:lang w:val="en-GB"/>
        </w:rPr>
        <w:t>R</w:t>
      </w:r>
      <w:r w:rsidRPr="00710DD3" w:rsidR="00662B59">
        <w:rPr>
          <w:rFonts w:cs="Arial"/>
          <w:b/>
          <w:lang w:val="en-GB"/>
        </w:rPr>
        <w:t>esponsibilities</w:t>
      </w:r>
      <w:r w:rsidRPr="00DA39E0" w:rsidR="00662B59">
        <w:rPr>
          <w:rFonts w:cs="Arial"/>
          <w:lang w:val="en-GB"/>
        </w:rPr>
        <w:t xml:space="preserve"> </w:t>
      </w:r>
      <w:r w:rsidRPr="00710DD3" w:rsidR="00662B59">
        <w:rPr>
          <w:rFonts w:cs="Arial"/>
          <w:b/>
          <w:lang w:val="en-GB"/>
        </w:rPr>
        <w:t>(Care Act, 2014</w:t>
      </w:r>
      <w:r w:rsidRPr="00710DD3" w:rsidR="006B5BB0">
        <w:rPr>
          <w:rFonts w:cs="Arial"/>
          <w:b/>
          <w:lang w:val="en-GB"/>
        </w:rPr>
        <w:t>)</w:t>
      </w:r>
    </w:p>
    <w:p w:rsidRPr="00052AA2" w:rsidR="00052AA2" w:rsidP="00052AA2" w:rsidRDefault="00052AA2" w14:paraId="0E87CCFF" w14:textId="1D4B9F2F">
      <w:pPr>
        <w:spacing w:before="100" w:beforeAutospacing="1" w:after="100" w:afterAutospacing="1" w:line="240" w:lineRule="auto"/>
        <w:ind w:left="567" w:firstLine="0"/>
        <w:rPr>
          <w:rFonts w:eastAsia="Times New Roman"/>
          <w:sz w:val="22"/>
        </w:rPr>
      </w:pPr>
      <w:r w:rsidRPr="00052AA2">
        <w:rPr>
          <w:rFonts w:eastAsia="Times New Roman"/>
          <w:sz w:val="22"/>
        </w:rPr>
        <w:t>The Trust continues to see growth in the number of section 42 enquiries being undertaken in all of its areas. In 2024-25 the Trust completed 863 enquiries compared to 643 the previous year. This was a 34.2% increase in enquiries compared to 202</w:t>
      </w:r>
      <w:r>
        <w:rPr>
          <w:rFonts w:eastAsia="Times New Roman"/>
          <w:sz w:val="22"/>
        </w:rPr>
        <w:t>3-24 and a</w:t>
      </w:r>
      <w:r w:rsidRPr="00052AA2">
        <w:rPr>
          <w:rFonts w:eastAsia="Times New Roman"/>
          <w:sz w:val="22"/>
        </w:rPr>
        <w:t xml:space="preserve"> 102% in</w:t>
      </w:r>
      <w:r>
        <w:rPr>
          <w:rFonts w:eastAsia="Times New Roman"/>
          <w:sz w:val="22"/>
        </w:rPr>
        <w:t>crease from 2022–23.</w:t>
      </w:r>
    </w:p>
    <w:p w:rsidRPr="00052AA2" w:rsidR="00052AA2" w:rsidP="00052AA2" w:rsidRDefault="00052AA2" w14:paraId="6A3F4FEE" w14:textId="784A5777">
      <w:pPr>
        <w:spacing w:before="100" w:beforeAutospacing="1" w:after="100" w:afterAutospacing="1" w:line="240" w:lineRule="auto"/>
        <w:ind w:left="567" w:firstLine="0"/>
        <w:rPr>
          <w:rFonts w:eastAsia="Times New Roman"/>
          <w:sz w:val="22"/>
        </w:rPr>
      </w:pPr>
      <w:r w:rsidRPr="00052AA2">
        <w:rPr>
          <w:rFonts w:eastAsia="Times New Roman"/>
          <w:sz w:val="22"/>
        </w:rPr>
        <w:t>The Trust has seen a much higher increase in section 42 enquiries compared to 2% record in 2023-24 nationally (national data from 2024-25 is not yet available). There are a number of reasons for the increased number of enquiries be</w:t>
      </w:r>
      <w:r>
        <w:rPr>
          <w:rFonts w:eastAsia="Times New Roman"/>
          <w:sz w:val="22"/>
        </w:rPr>
        <w:t>ing undertaken by ELFT, namely:</w:t>
      </w:r>
    </w:p>
    <w:p w:rsidRPr="00052AA2" w:rsidR="00052AA2" w:rsidP="00052AA2" w:rsidRDefault="00052AA2" w14:paraId="49FF0F25" w14:textId="66131A5B">
      <w:pPr>
        <w:spacing w:before="100" w:beforeAutospacing="1" w:after="100" w:afterAutospacing="1" w:line="240" w:lineRule="auto"/>
        <w:ind w:left="567" w:firstLine="0"/>
        <w:rPr>
          <w:rFonts w:eastAsia="Times New Roman"/>
          <w:sz w:val="22"/>
        </w:rPr>
      </w:pPr>
      <w:r>
        <w:rPr>
          <w:rFonts w:eastAsia="Times New Roman"/>
          <w:sz w:val="22"/>
        </w:rPr>
        <w:t xml:space="preserve">- </w:t>
      </w:r>
      <w:r w:rsidRPr="00052AA2">
        <w:rPr>
          <w:rFonts w:eastAsia="Times New Roman"/>
          <w:sz w:val="22"/>
        </w:rPr>
        <w:t xml:space="preserve">Changes adopted by some local authorities </w:t>
      </w:r>
      <w:r>
        <w:rPr>
          <w:rFonts w:eastAsia="Times New Roman"/>
          <w:sz w:val="22"/>
        </w:rPr>
        <w:t xml:space="preserve">in how they </w:t>
      </w:r>
      <w:r w:rsidRPr="00052AA2">
        <w:rPr>
          <w:rFonts w:eastAsia="Times New Roman"/>
          <w:sz w:val="22"/>
        </w:rPr>
        <w:t>record enquiries and adoption three leve</w:t>
      </w:r>
      <w:r>
        <w:rPr>
          <w:rFonts w:eastAsia="Times New Roman"/>
          <w:sz w:val="22"/>
        </w:rPr>
        <w:t>l section 42 enquiry framework.</w:t>
      </w:r>
    </w:p>
    <w:p w:rsidRPr="00052AA2" w:rsidR="00052AA2" w:rsidP="00052AA2" w:rsidRDefault="00052AA2" w14:paraId="42B5A3DD" w14:textId="07B32B46">
      <w:pPr>
        <w:spacing w:before="100" w:beforeAutospacing="1" w:after="100" w:afterAutospacing="1" w:line="240" w:lineRule="auto"/>
        <w:ind w:left="567" w:firstLine="0"/>
        <w:rPr>
          <w:rFonts w:eastAsia="Times New Roman"/>
          <w:sz w:val="22"/>
        </w:rPr>
      </w:pPr>
      <w:r>
        <w:rPr>
          <w:rFonts w:eastAsia="Times New Roman"/>
          <w:sz w:val="22"/>
        </w:rPr>
        <w:t>- Higher</w:t>
      </w:r>
      <w:r w:rsidRPr="00052AA2">
        <w:rPr>
          <w:rFonts w:eastAsia="Times New Roman"/>
          <w:sz w:val="22"/>
        </w:rPr>
        <w:t xml:space="preserve"> conversion rate of concern to enquiry following improvement work undertaken with mental health directorates to improve bo</w:t>
      </w:r>
      <w:r w:rsidR="009960E4">
        <w:rPr>
          <w:rFonts w:eastAsia="Times New Roman"/>
          <w:sz w:val="22"/>
        </w:rPr>
        <w:t>th the quality of referral and s</w:t>
      </w:r>
      <w:r>
        <w:rPr>
          <w:rFonts w:eastAsia="Times New Roman"/>
          <w:sz w:val="22"/>
        </w:rPr>
        <w:t>.42 threshold decision making.</w:t>
      </w:r>
    </w:p>
    <w:p w:rsidRPr="00052AA2" w:rsidR="00052AA2" w:rsidP="00052AA2" w:rsidRDefault="00052AA2" w14:paraId="664EDBDD" w14:textId="278AC768">
      <w:pPr>
        <w:spacing w:before="100" w:beforeAutospacing="1" w:after="100" w:afterAutospacing="1" w:line="240" w:lineRule="auto"/>
        <w:ind w:left="567" w:firstLine="0"/>
        <w:rPr>
          <w:rFonts w:eastAsia="Times New Roman"/>
          <w:sz w:val="22"/>
        </w:rPr>
      </w:pPr>
      <w:r w:rsidRPr="00052AA2">
        <w:rPr>
          <w:rFonts w:eastAsia="Times New Roman"/>
          <w:sz w:val="22"/>
        </w:rPr>
        <w:t xml:space="preserve">- Improved identification of safeguarding concerns following improvement work undertaken by the safeguarding team through training, safeguarding supervision and monitoring of </w:t>
      </w:r>
      <w:proofErr w:type="spellStart"/>
      <w:proofErr w:type="gramStart"/>
      <w:r w:rsidRPr="00052AA2">
        <w:rPr>
          <w:rFonts w:eastAsia="Times New Roman"/>
          <w:sz w:val="22"/>
        </w:rPr>
        <w:t>InPhase</w:t>
      </w:r>
      <w:proofErr w:type="spellEnd"/>
      <w:proofErr w:type="gramEnd"/>
      <w:r w:rsidRPr="00052AA2">
        <w:rPr>
          <w:rFonts w:eastAsia="Times New Roman"/>
          <w:sz w:val="22"/>
        </w:rPr>
        <w:t xml:space="preserve"> alerts. This also tallies with the substantial increase seen in </w:t>
      </w:r>
      <w:proofErr w:type="spellStart"/>
      <w:proofErr w:type="gramStart"/>
      <w:r w:rsidRPr="00052AA2">
        <w:rPr>
          <w:rFonts w:eastAsia="Times New Roman"/>
          <w:sz w:val="22"/>
        </w:rPr>
        <w:t>InPhase</w:t>
      </w:r>
      <w:proofErr w:type="spellEnd"/>
      <w:proofErr w:type="gramEnd"/>
      <w:r w:rsidRPr="00052AA2">
        <w:rPr>
          <w:rFonts w:eastAsia="Times New Roman"/>
          <w:sz w:val="22"/>
        </w:rPr>
        <w:t xml:space="preserve"> incidents with s</w:t>
      </w:r>
      <w:r>
        <w:rPr>
          <w:rFonts w:eastAsia="Times New Roman"/>
          <w:sz w:val="22"/>
        </w:rPr>
        <w:t>afeguarding adult implications.</w:t>
      </w:r>
    </w:p>
    <w:p w:rsidR="00052AA2" w:rsidP="00052AA2" w:rsidRDefault="00052AA2" w14:paraId="436604E0" w14:textId="4FF1B94E">
      <w:pPr>
        <w:spacing w:before="100" w:beforeAutospacing="1" w:after="100" w:afterAutospacing="1" w:line="240" w:lineRule="auto"/>
        <w:ind w:left="567" w:firstLine="0"/>
        <w:rPr>
          <w:rFonts w:eastAsia="Times New Roman"/>
          <w:sz w:val="22"/>
        </w:rPr>
      </w:pPr>
      <w:r w:rsidRPr="00052AA2">
        <w:rPr>
          <w:rFonts w:eastAsia="Times New Roman"/>
          <w:sz w:val="22"/>
        </w:rPr>
        <w:t>- Within London directorates, increased focus on timeliness of completion of s.42 decision, resulting in higher conversion rate to full enquiries</w:t>
      </w:r>
      <w:r>
        <w:rPr>
          <w:rFonts w:eastAsia="Times New Roman"/>
          <w:sz w:val="22"/>
        </w:rPr>
        <w:t>.</w:t>
      </w:r>
    </w:p>
    <w:p w:rsidR="00052AA2" w:rsidP="00F6429F" w:rsidRDefault="00052AA2" w14:paraId="075EB3B7" w14:textId="21AC54C6">
      <w:pPr>
        <w:spacing w:before="100" w:beforeAutospacing="1" w:after="100" w:afterAutospacing="1" w:line="240" w:lineRule="auto"/>
        <w:ind w:left="567" w:firstLine="0"/>
        <w:jc w:val="center"/>
        <w:rPr>
          <w:rFonts w:eastAsia="Times New Roman"/>
          <w:sz w:val="22"/>
        </w:rPr>
      </w:pPr>
      <w:r w:rsidRPr="00052AA2">
        <w:rPr>
          <w:rFonts w:eastAsia="Times New Roman"/>
          <w:noProof/>
          <w:sz w:val="22"/>
        </w:rPr>
        <w:drawing>
          <wp:inline distT="0" distB="0" distL="0" distR="0" wp14:anchorId="2727CB3F" wp14:editId="67C43435">
            <wp:extent cx="4879340" cy="3063875"/>
            <wp:effectExtent l="0" t="0" r="0" b="3175"/>
            <wp:docPr id="3" name="Picture 3" descr="C:\Users\Thomasj\AppData\Local\Microsoft\Windows\INetCache\Content.MSO\11A196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j\AppData\Local\Microsoft\Windows\INetCache\Content.MSO\11A196A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9340" cy="3063875"/>
                    </a:xfrm>
                    <a:prstGeom prst="rect">
                      <a:avLst/>
                    </a:prstGeom>
                    <a:noFill/>
                    <a:ln>
                      <a:noFill/>
                    </a:ln>
                  </pic:spPr>
                </pic:pic>
              </a:graphicData>
            </a:graphic>
          </wp:inline>
        </w:drawing>
      </w:r>
    </w:p>
    <w:p w:rsidRPr="00662B59" w:rsidR="00662B59" w:rsidP="00662B59" w:rsidRDefault="00662B59" w14:paraId="69BE512A" w14:textId="0C7B68C4">
      <w:pPr>
        <w:ind w:left="0" w:firstLine="0"/>
        <w:rPr>
          <w:color w:val="auto"/>
          <w:sz w:val="22"/>
          <w:lang w:eastAsia="en-US"/>
        </w:rPr>
      </w:pPr>
    </w:p>
    <w:p w:rsidR="00F6429F" w:rsidP="00F6429F" w:rsidRDefault="00F6429F" w14:paraId="3A60DC7D" w14:textId="51BFC3EA">
      <w:pPr>
        <w:spacing w:before="100" w:beforeAutospacing="1" w:after="100" w:afterAutospacing="1" w:line="240" w:lineRule="auto"/>
        <w:ind w:left="567" w:firstLine="0"/>
        <w:rPr>
          <w:rFonts w:eastAsia="Times New Roman"/>
          <w:sz w:val="22"/>
        </w:rPr>
      </w:pPr>
      <w:r>
        <w:rPr>
          <w:rFonts w:eastAsia="Times New Roman"/>
          <w:sz w:val="22"/>
        </w:rPr>
        <w:t>T</w:t>
      </w:r>
      <w:r w:rsidRPr="00F6429F">
        <w:rPr>
          <w:rFonts w:eastAsia="Times New Roman"/>
          <w:sz w:val="22"/>
        </w:rPr>
        <w:t>he most common location of risk for our patients is their own homes at 68%, but it should be noted a small but significant proportion is ELFT premises at 5% and highlights the necessity for close scrutiny and oversight of enquiries where adult are at risk or have experienced harm while in the Trust’s care. Similarly</w:t>
      </w:r>
      <w:r>
        <w:rPr>
          <w:rFonts w:eastAsia="Times New Roman"/>
          <w:sz w:val="22"/>
        </w:rPr>
        <w:t>,</w:t>
      </w:r>
      <w:r w:rsidRPr="00F6429F">
        <w:rPr>
          <w:rFonts w:eastAsia="Times New Roman"/>
          <w:sz w:val="22"/>
        </w:rPr>
        <w:t xml:space="preserve"> in 7% of enquiries source of risk was an ELFT member of staff (mostly allegations of neglect or acts of omission). </w:t>
      </w:r>
    </w:p>
    <w:p w:rsidR="00F6429F" w:rsidP="00F6429F" w:rsidRDefault="00F6429F" w14:paraId="1FC534E7" w14:textId="11D85615">
      <w:pPr>
        <w:spacing w:before="100" w:beforeAutospacing="1" w:after="100" w:afterAutospacing="1" w:line="240" w:lineRule="auto"/>
        <w:ind w:left="567" w:firstLine="0"/>
        <w:rPr>
          <w:rFonts w:eastAsia="Times New Roman"/>
          <w:sz w:val="22"/>
        </w:rPr>
      </w:pPr>
      <w:r w:rsidRPr="00F6429F">
        <w:rPr>
          <w:rFonts w:eastAsia="Times New Roman"/>
          <w:sz w:val="22"/>
        </w:rPr>
        <w:t>The mos</w:t>
      </w:r>
      <w:r w:rsidR="00BE6613">
        <w:rPr>
          <w:rFonts w:eastAsia="Times New Roman"/>
          <w:sz w:val="22"/>
        </w:rPr>
        <w:t xml:space="preserve">t common source of risk were </w:t>
      </w:r>
      <w:r w:rsidRPr="00F6429F" w:rsidR="00BE6613">
        <w:rPr>
          <w:rFonts w:eastAsia="Times New Roman"/>
          <w:sz w:val="22"/>
        </w:rPr>
        <w:t>adu</w:t>
      </w:r>
      <w:r w:rsidR="00BE6613">
        <w:rPr>
          <w:rFonts w:eastAsia="Times New Roman"/>
          <w:sz w:val="22"/>
        </w:rPr>
        <w:t>lts at risk themselves</w:t>
      </w:r>
      <w:r>
        <w:rPr>
          <w:rFonts w:eastAsia="Times New Roman"/>
          <w:sz w:val="22"/>
        </w:rPr>
        <w:t xml:space="preserve"> and this </w:t>
      </w:r>
      <w:r w:rsidRPr="00F6429F">
        <w:rPr>
          <w:rFonts w:eastAsia="Times New Roman"/>
          <w:sz w:val="22"/>
        </w:rPr>
        <w:t>reflects the high number of enquiries where self-neglect is a concern</w:t>
      </w:r>
      <w:r>
        <w:rPr>
          <w:rFonts w:eastAsia="Times New Roman"/>
          <w:sz w:val="22"/>
        </w:rPr>
        <w:t>. Members of</w:t>
      </w:r>
      <w:r w:rsidRPr="00F6429F">
        <w:rPr>
          <w:rFonts w:eastAsia="Times New Roman"/>
          <w:sz w:val="22"/>
        </w:rPr>
        <w:t xml:space="preserve"> </w:t>
      </w:r>
      <w:r>
        <w:rPr>
          <w:rFonts w:eastAsia="Times New Roman"/>
          <w:sz w:val="22"/>
        </w:rPr>
        <w:t xml:space="preserve">the adult at risk’s family, </w:t>
      </w:r>
      <w:r w:rsidRPr="00F6429F">
        <w:rPr>
          <w:rFonts w:eastAsia="Times New Roman"/>
          <w:sz w:val="22"/>
        </w:rPr>
        <w:t xml:space="preserve">12%, or their partner, 17%, account for the source of risk in 29% of </w:t>
      </w:r>
      <w:r>
        <w:rPr>
          <w:rFonts w:eastAsia="Times New Roman"/>
          <w:sz w:val="22"/>
        </w:rPr>
        <w:t xml:space="preserve">ELFT </w:t>
      </w:r>
      <w:r w:rsidRPr="00F6429F">
        <w:rPr>
          <w:rFonts w:eastAsia="Times New Roman"/>
          <w:sz w:val="22"/>
        </w:rPr>
        <w:t>enquiries. This is reflective of the higher proportion of enquires conducted by ELFT where there are concerns of domestic abuse.</w:t>
      </w:r>
    </w:p>
    <w:p w:rsidR="00F6429F" w:rsidP="00F6429F" w:rsidRDefault="00F6429F" w14:paraId="5584F579" w14:textId="77777777">
      <w:pPr>
        <w:spacing w:before="100" w:beforeAutospacing="1" w:after="100" w:afterAutospacing="1" w:line="240" w:lineRule="auto"/>
        <w:ind w:left="567" w:firstLine="0"/>
        <w:rPr>
          <w:rFonts w:eastAsia="Times New Roman"/>
          <w:sz w:val="22"/>
        </w:rPr>
      </w:pPr>
      <w:r>
        <w:rPr>
          <w:rFonts w:eastAsia="Times New Roman"/>
          <w:sz w:val="22"/>
        </w:rPr>
        <w:t>T</w:t>
      </w:r>
      <w:r w:rsidRPr="00F6429F">
        <w:rPr>
          <w:rFonts w:eastAsia="Times New Roman"/>
          <w:sz w:val="22"/>
        </w:rPr>
        <w:t xml:space="preserve">he type of abuse of neglect in enquiries undertaken by ELFT, differs significantly from the national picture and reflects that 83% of ELFT safeguarding enquiries are undertaken with working age adults whereas the national average is the reverse with over 85% of enquiries conducted with adults over 65 years of age. </w:t>
      </w:r>
    </w:p>
    <w:p w:rsidRPr="00F6429F" w:rsidR="00F6429F" w:rsidP="00F6429F" w:rsidRDefault="00F6429F" w14:paraId="58B044A2" w14:textId="0714881A">
      <w:pPr>
        <w:spacing w:before="100" w:beforeAutospacing="1" w:after="100" w:afterAutospacing="1" w:line="240" w:lineRule="auto"/>
        <w:ind w:left="567" w:firstLine="0"/>
        <w:rPr>
          <w:rFonts w:eastAsia="Times New Roman"/>
          <w:sz w:val="22"/>
        </w:rPr>
      </w:pPr>
      <w:r w:rsidRPr="00F6429F">
        <w:rPr>
          <w:rFonts w:eastAsia="Times New Roman"/>
          <w:sz w:val="22"/>
        </w:rPr>
        <w:t>In ELFT</w:t>
      </w:r>
      <w:r w:rsidR="00BE6613">
        <w:rPr>
          <w:rFonts w:eastAsia="Times New Roman"/>
          <w:sz w:val="22"/>
        </w:rPr>
        <w:t>,</w:t>
      </w:r>
      <w:r w:rsidRPr="00F6429F">
        <w:rPr>
          <w:rFonts w:eastAsia="Times New Roman"/>
          <w:sz w:val="22"/>
        </w:rPr>
        <w:t xml:space="preserve"> the most frequent type of abuse in enquiries is self-neglect at 22% compared to 8% nationally while neglect and acts of omission and organisational abuse are significantly less frequent then the national average. As a mental health Trust primarily working with working age adults the types of abuse and risks these adults encounter is different </w:t>
      </w:r>
      <w:r w:rsidRPr="00F6429F" w:rsidR="00BE6613">
        <w:rPr>
          <w:rFonts w:eastAsia="Times New Roman"/>
          <w:sz w:val="22"/>
        </w:rPr>
        <w:t>from</w:t>
      </w:r>
      <w:r w:rsidRPr="00F6429F">
        <w:rPr>
          <w:rFonts w:eastAsia="Times New Roman"/>
          <w:sz w:val="22"/>
        </w:rPr>
        <w:t xml:space="preserve"> adults in older age. Our patients are younger likely more physically well than older </w:t>
      </w:r>
      <w:r w:rsidRPr="00F6429F" w:rsidR="00BE6613">
        <w:rPr>
          <w:rFonts w:eastAsia="Times New Roman"/>
          <w:sz w:val="22"/>
        </w:rPr>
        <w:t>adults are</w:t>
      </w:r>
      <w:r w:rsidRPr="00F6429F">
        <w:rPr>
          <w:rFonts w:eastAsia="Times New Roman"/>
          <w:sz w:val="22"/>
        </w:rPr>
        <w:t xml:space="preserve"> and less likely to be receiving domiciliary, residential or nursing care. However, they have different sets of vulnerabilities and this is accounted in the higher proportion of enquiries where self-neglect, domestic abuse and sexual abuse are identified compared to the national averages. These differences in the risks faced by our patients informs our work plans, training and safeguarding supervision.</w:t>
      </w:r>
    </w:p>
    <w:p w:rsidRPr="00F6429F" w:rsidR="00F6429F" w:rsidP="00F6429F" w:rsidRDefault="00F6429F" w14:paraId="6B8B370A" w14:textId="77777777">
      <w:pPr>
        <w:spacing w:before="100" w:beforeAutospacing="1" w:after="100" w:afterAutospacing="1" w:line="240" w:lineRule="auto"/>
        <w:ind w:left="567" w:firstLine="0"/>
        <w:rPr>
          <w:rFonts w:eastAsia="Times New Roman"/>
          <w:sz w:val="22"/>
        </w:rPr>
      </w:pPr>
    </w:p>
    <w:p w:rsidR="00F6429F" w:rsidP="00BE6613" w:rsidRDefault="00F6429F" w14:paraId="00EE8AE4" w14:textId="7B40C2AA">
      <w:pPr>
        <w:spacing w:before="100" w:beforeAutospacing="1" w:after="100" w:afterAutospacing="1" w:line="240" w:lineRule="auto"/>
        <w:ind w:left="567" w:firstLine="0"/>
        <w:jc w:val="left"/>
        <w:rPr>
          <w:rFonts w:eastAsia="Times New Roman"/>
          <w:sz w:val="22"/>
        </w:rPr>
      </w:pPr>
      <w:r>
        <w:rPr>
          <w:noProof/>
          <w:sz w:val="22"/>
        </w:rPr>
        <w:drawing>
          <wp:inline distT="0" distB="0" distL="0" distR="0" wp14:anchorId="7E78DB3B" wp14:editId="0D95FC6D">
            <wp:extent cx="4070477" cy="3467819"/>
            <wp:effectExtent l="0" t="0" r="6350" b="0"/>
            <wp:docPr id="15" name="Picture 15" descr="C:\Users\Thomasj\AppData\Local\Microsoft\Windows\INetCache\Content.MSO\EA5D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j\AppData\Local\Microsoft\Windows\INetCache\Content.MSO\EA5DC6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196" cy="3472691"/>
                    </a:xfrm>
                    <a:prstGeom prst="rect">
                      <a:avLst/>
                    </a:prstGeom>
                    <a:noFill/>
                    <a:ln>
                      <a:noFill/>
                    </a:ln>
                  </pic:spPr>
                </pic:pic>
              </a:graphicData>
            </a:graphic>
          </wp:inline>
        </w:drawing>
      </w:r>
    </w:p>
    <w:p w:rsidRPr="00BB4BCC" w:rsidR="00BB4BCC" w:rsidP="302817C8" w:rsidRDefault="0006472E" w14:paraId="33B2CE44" w14:textId="1AB8C328">
      <w:pPr>
        <w:spacing w:before="100" w:beforeAutospacing="on" w:after="100" w:afterAutospacing="on" w:line="240" w:lineRule="auto"/>
        <w:ind w:left="567" w:firstLine="0"/>
        <w:rPr>
          <w:rFonts w:eastAsia="Times New Roman"/>
          <w:sz w:val="22"/>
          <w:szCs w:val="22"/>
        </w:rPr>
      </w:pPr>
      <w:r w:rsidRPr="302817C8" w:rsidR="0006472E">
        <w:rPr>
          <w:rFonts w:eastAsia="Times New Roman"/>
          <w:sz w:val="22"/>
          <w:szCs w:val="22"/>
        </w:rPr>
        <w:t xml:space="preserve">Service </w:t>
      </w:r>
      <w:r w:rsidRPr="302817C8" w:rsidR="00BB4BCC">
        <w:rPr>
          <w:rFonts w:eastAsia="Times New Roman"/>
          <w:sz w:val="22"/>
          <w:szCs w:val="22"/>
        </w:rPr>
        <w:t>Directors hold bi-monthly Section 75 meetings with Local Authorities, providing updates on delegated safeguarding and social care activities, attended by the Trust safeguarding team.</w:t>
      </w:r>
    </w:p>
    <w:p w:rsidR="302817C8" w:rsidP="302817C8" w:rsidRDefault="302817C8" w14:paraId="010E40C0" w14:textId="7BE49865">
      <w:pPr>
        <w:spacing w:beforeAutospacing="on" w:afterAutospacing="on" w:line="240" w:lineRule="auto"/>
        <w:ind w:left="567" w:firstLine="0"/>
        <w:rPr>
          <w:rFonts w:eastAsia="Times New Roman"/>
          <w:sz w:val="22"/>
          <w:szCs w:val="22"/>
        </w:rPr>
      </w:pPr>
    </w:p>
    <w:p w:rsidR="302817C8" w:rsidP="74D63591" w:rsidRDefault="302817C8" w14:paraId="7EEF6D2F" w14:textId="2BA606A0">
      <w:pPr>
        <w:pStyle w:val="Normal"/>
        <w:spacing w:beforeAutospacing="on" w:afterAutospacing="on" w:line="240" w:lineRule="auto"/>
        <w:ind w:left="567" w:firstLine="0"/>
        <w:rPr>
          <w:rFonts w:eastAsia="Times New Roman"/>
          <w:sz w:val="22"/>
          <w:szCs w:val="22"/>
        </w:rPr>
      </w:pPr>
    </w:p>
    <w:p w:rsidRPr="00485AAF" w:rsidR="00815FF4" w:rsidP="00485AAF" w:rsidRDefault="00E411A6" w14:paraId="7619F0C0" w14:textId="089048B8">
      <w:pPr>
        <w:spacing w:before="100" w:beforeAutospacing="1" w:after="100" w:afterAutospacing="1" w:line="240" w:lineRule="auto"/>
        <w:ind w:left="0" w:right="0" w:firstLine="0"/>
        <w:rPr>
          <w:b/>
          <w:sz w:val="20"/>
          <w:szCs w:val="20"/>
        </w:rPr>
      </w:pPr>
      <w:r>
        <w:rPr>
          <w:b/>
          <w:color w:val="auto"/>
          <w:sz w:val="20"/>
          <w:szCs w:val="20"/>
          <w:lang w:eastAsia="en-US"/>
        </w:rPr>
        <w:t xml:space="preserve">5.1 </w:t>
      </w:r>
      <w:r w:rsidRPr="00485AAF" w:rsidR="003B64EC">
        <w:rPr>
          <w:b/>
          <w:color w:val="auto"/>
          <w:sz w:val="20"/>
          <w:szCs w:val="20"/>
          <w:lang w:eastAsia="en-US"/>
        </w:rPr>
        <w:t>C</w:t>
      </w:r>
      <w:r w:rsidRPr="00485AAF" w:rsidR="00815FF4">
        <w:rPr>
          <w:b/>
          <w:color w:val="auto"/>
          <w:sz w:val="20"/>
          <w:szCs w:val="20"/>
          <w:lang w:eastAsia="en-US"/>
        </w:rPr>
        <w:t>hildren’s</w:t>
      </w:r>
      <w:r w:rsidRPr="00485AAF" w:rsidR="00815FF4">
        <w:rPr>
          <w:b/>
        </w:rPr>
        <w:t xml:space="preserve"> </w:t>
      </w:r>
      <w:r w:rsidRPr="00485AAF" w:rsidR="00815FF4">
        <w:rPr>
          <w:b/>
          <w:sz w:val="20"/>
          <w:szCs w:val="20"/>
        </w:rPr>
        <w:t>Social Care Referral</w:t>
      </w:r>
      <w:r w:rsidRPr="00485AAF" w:rsidR="008501E2">
        <w:rPr>
          <w:b/>
          <w:sz w:val="20"/>
          <w:szCs w:val="20"/>
        </w:rPr>
        <w:t>s</w:t>
      </w:r>
      <w:r w:rsidRPr="00485AAF" w:rsidR="00815FF4">
        <w:rPr>
          <w:b/>
          <w:sz w:val="20"/>
          <w:szCs w:val="20"/>
        </w:rPr>
        <w:t xml:space="preserve"> (CSC)</w:t>
      </w:r>
      <w:r w:rsidRPr="00485AAF" w:rsidR="003C14DE">
        <w:rPr>
          <w:b/>
          <w:sz w:val="20"/>
          <w:szCs w:val="20"/>
        </w:rPr>
        <w:t xml:space="preserve"> based on</w:t>
      </w:r>
      <w:r w:rsidRPr="00485AAF" w:rsidR="009E6817">
        <w:rPr>
          <w:b/>
          <w:sz w:val="20"/>
          <w:szCs w:val="20"/>
        </w:rPr>
        <w:t xml:space="preserve"> </w:t>
      </w:r>
      <w:proofErr w:type="spellStart"/>
      <w:proofErr w:type="gramStart"/>
      <w:r w:rsidRPr="00485AAF" w:rsidR="009E6817">
        <w:rPr>
          <w:b/>
          <w:sz w:val="20"/>
          <w:szCs w:val="20"/>
        </w:rPr>
        <w:t>InPhase</w:t>
      </w:r>
      <w:proofErr w:type="spellEnd"/>
      <w:proofErr w:type="gramEnd"/>
      <w:r w:rsidRPr="00485AAF" w:rsidR="003C14DE">
        <w:rPr>
          <w:b/>
          <w:sz w:val="20"/>
          <w:szCs w:val="20"/>
        </w:rPr>
        <w:t xml:space="preserve"> reporting</w:t>
      </w:r>
    </w:p>
    <w:p w:rsidR="009E6817" w:rsidP="00E71169" w:rsidRDefault="009E6817" w14:paraId="6AF7B438" w14:textId="3A1EAC96">
      <w:pPr>
        <w:pStyle w:val="NormalWeb"/>
        <w:ind w:left="720"/>
        <w:rPr>
          <w:rFonts w:ascii="Arial" w:hAnsi="Arial" w:eastAsia="Arial" w:cs="Arial"/>
          <w:b/>
          <w:noProof/>
          <w:color w:val="FF0000"/>
          <w:sz w:val="22"/>
          <w:szCs w:val="22"/>
        </w:rPr>
      </w:pPr>
      <w:r w:rsidRPr="009E6817">
        <w:rPr>
          <w:rFonts w:ascii="Arial" w:hAnsi="Arial" w:eastAsia="Arial" w:cs="Arial"/>
          <w:b/>
          <w:noProof/>
          <w:color w:val="FF0000"/>
          <w:sz w:val="22"/>
          <w:szCs w:val="22"/>
        </w:rPr>
        <w:drawing>
          <wp:inline distT="0" distB="0" distL="0" distR="0" wp14:anchorId="0451D441" wp14:editId="75FC1E98">
            <wp:extent cx="4705350" cy="264676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5350" cy="2646760"/>
                    </a:xfrm>
                    <a:prstGeom prst="rect">
                      <a:avLst/>
                    </a:prstGeom>
                  </pic:spPr>
                </pic:pic>
              </a:graphicData>
            </a:graphic>
          </wp:inline>
        </w:drawing>
      </w:r>
      <w:r w:rsidRPr="009E6817">
        <w:rPr>
          <w:rFonts w:ascii="Arial" w:hAnsi="Arial" w:eastAsia="Arial" w:cs="Arial"/>
          <w:b/>
          <w:noProof/>
          <w:color w:val="FF0000"/>
          <w:sz w:val="22"/>
          <w:szCs w:val="22"/>
        </w:rPr>
        <w:t xml:space="preserve"> </w:t>
      </w:r>
    </w:p>
    <w:p w:rsidRPr="00D47686" w:rsidR="00D47686" w:rsidP="00B80E06" w:rsidRDefault="00D47686" w14:paraId="3BD409FB" w14:textId="77777777">
      <w:pPr>
        <w:pStyle w:val="ListParagraph"/>
        <w:numPr>
          <w:ilvl w:val="0"/>
          <w:numId w:val="11"/>
        </w:numPr>
        <w:spacing w:before="100" w:beforeAutospacing="1" w:after="100" w:afterAutospacing="1" w:line="240" w:lineRule="auto"/>
        <w:ind w:right="0"/>
        <w:contextualSpacing w:val="0"/>
        <w:jc w:val="left"/>
        <w:rPr>
          <w:rFonts w:eastAsia="Times New Roman"/>
          <w:vanish/>
          <w:color w:val="auto"/>
          <w:sz w:val="20"/>
          <w:szCs w:val="20"/>
        </w:rPr>
      </w:pPr>
    </w:p>
    <w:p w:rsidRPr="00D47686" w:rsidR="00D47686" w:rsidP="00B80E06" w:rsidRDefault="00D47686" w14:paraId="3518E4C2" w14:textId="77777777">
      <w:pPr>
        <w:pStyle w:val="ListParagraph"/>
        <w:numPr>
          <w:ilvl w:val="1"/>
          <w:numId w:val="11"/>
        </w:numPr>
        <w:spacing w:before="100" w:beforeAutospacing="1" w:after="100" w:afterAutospacing="1" w:line="240" w:lineRule="auto"/>
        <w:ind w:right="0"/>
        <w:contextualSpacing w:val="0"/>
        <w:jc w:val="left"/>
        <w:rPr>
          <w:rFonts w:eastAsia="Times New Roman"/>
          <w:vanish/>
          <w:color w:val="auto"/>
          <w:sz w:val="20"/>
          <w:szCs w:val="20"/>
        </w:rPr>
      </w:pPr>
    </w:p>
    <w:p w:rsidRPr="00D47686" w:rsidR="00D47686" w:rsidP="00B80E06" w:rsidRDefault="00D47686" w14:paraId="5DBC664C" w14:textId="77777777">
      <w:pPr>
        <w:pStyle w:val="ListParagraph"/>
        <w:numPr>
          <w:ilvl w:val="1"/>
          <w:numId w:val="11"/>
        </w:numPr>
        <w:spacing w:before="100" w:beforeAutospacing="1" w:after="100" w:afterAutospacing="1" w:line="240" w:lineRule="auto"/>
        <w:ind w:right="0"/>
        <w:contextualSpacing w:val="0"/>
        <w:jc w:val="left"/>
        <w:rPr>
          <w:rFonts w:eastAsia="Times New Roman"/>
          <w:vanish/>
          <w:color w:val="auto"/>
          <w:sz w:val="20"/>
          <w:szCs w:val="20"/>
        </w:rPr>
      </w:pPr>
    </w:p>
    <w:p w:rsidRPr="00D47686" w:rsidR="00D47686" w:rsidP="00B80E06" w:rsidRDefault="00D47686" w14:paraId="57C99A37" w14:textId="77777777">
      <w:pPr>
        <w:pStyle w:val="ListParagraph"/>
        <w:numPr>
          <w:ilvl w:val="1"/>
          <w:numId w:val="11"/>
        </w:numPr>
        <w:spacing w:before="100" w:beforeAutospacing="1" w:after="100" w:afterAutospacing="1" w:line="240" w:lineRule="auto"/>
        <w:ind w:right="0"/>
        <w:contextualSpacing w:val="0"/>
        <w:jc w:val="left"/>
        <w:rPr>
          <w:rFonts w:eastAsia="Times New Roman"/>
          <w:vanish/>
          <w:color w:val="auto"/>
          <w:sz w:val="20"/>
          <w:szCs w:val="20"/>
        </w:rPr>
      </w:pPr>
    </w:p>
    <w:p w:rsidRPr="00D47686" w:rsidR="00D47686" w:rsidP="00B80E06" w:rsidRDefault="00D47686" w14:paraId="3C52B970" w14:textId="77777777">
      <w:pPr>
        <w:pStyle w:val="ListParagraph"/>
        <w:numPr>
          <w:ilvl w:val="1"/>
          <w:numId w:val="11"/>
        </w:numPr>
        <w:spacing w:before="100" w:beforeAutospacing="1" w:after="100" w:afterAutospacing="1" w:line="240" w:lineRule="auto"/>
        <w:ind w:right="0"/>
        <w:contextualSpacing w:val="0"/>
        <w:jc w:val="left"/>
        <w:rPr>
          <w:rFonts w:eastAsia="Times New Roman"/>
          <w:vanish/>
          <w:color w:val="auto"/>
          <w:sz w:val="20"/>
          <w:szCs w:val="20"/>
        </w:rPr>
      </w:pPr>
    </w:p>
    <w:p w:rsidRPr="00D47686" w:rsidR="00D47686" w:rsidP="00B80E06" w:rsidRDefault="00D47686" w14:paraId="4FB2FC26" w14:textId="77777777">
      <w:pPr>
        <w:pStyle w:val="ListParagraph"/>
        <w:numPr>
          <w:ilvl w:val="1"/>
          <w:numId w:val="11"/>
        </w:numPr>
        <w:spacing w:before="100" w:beforeAutospacing="1" w:after="100" w:afterAutospacing="1" w:line="240" w:lineRule="auto"/>
        <w:ind w:right="0"/>
        <w:contextualSpacing w:val="0"/>
        <w:jc w:val="left"/>
        <w:rPr>
          <w:rFonts w:eastAsia="Times New Roman"/>
          <w:vanish/>
          <w:color w:val="auto"/>
          <w:sz w:val="20"/>
          <w:szCs w:val="20"/>
        </w:rPr>
      </w:pPr>
    </w:p>
    <w:p w:rsidRPr="00BB4BCC" w:rsidR="00BB4BCC" w:rsidP="00BB4BCC" w:rsidRDefault="00BB4BCC" w14:paraId="24CBF12D" w14:textId="1ED2DF3B">
      <w:pPr>
        <w:pStyle w:val="ListParagraph"/>
        <w:spacing w:before="100" w:beforeAutospacing="1" w:after="100" w:afterAutospacing="1" w:line="240" w:lineRule="auto"/>
        <w:ind w:left="1080" w:firstLine="0"/>
        <w:rPr>
          <w:rFonts w:eastAsia="Times New Roman"/>
          <w:sz w:val="22"/>
        </w:rPr>
      </w:pPr>
      <w:r w:rsidRPr="00BB4BCC">
        <w:rPr>
          <w:rFonts w:eastAsia="Times New Roman"/>
          <w:sz w:val="22"/>
        </w:rPr>
        <w:t xml:space="preserve">ELFT data indicates a 17% reduction in referrals to Children’s Social Care (CSC) in 2024-25 (348 referrals) compared to the previous financial year (420 referrals in 2023-24). This decline is partly attributed to challenges in accurately recording and capturing referral data within ELFT’s electronic systems, particularly when submissions are made directly </w:t>
      </w:r>
      <w:r w:rsidRPr="00BB4BCC">
        <w:rPr>
          <w:rFonts w:eastAsia="Times New Roman"/>
          <w:sz w:val="22"/>
        </w:rPr>
        <w:t xml:space="preserve">via Local Authority portals and not consistently recorded on </w:t>
      </w:r>
      <w:proofErr w:type="spellStart"/>
      <w:r w:rsidRPr="00BB4BCC">
        <w:rPr>
          <w:rFonts w:eastAsia="Times New Roman"/>
          <w:sz w:val="22"/>
        </w:rPr>
        <w:t>RiO</w:t>
      </w:r>
      <w:proofErr w:type="spellEnd"/>
      <w:r w:rsidRPr="00BB4BCC">
        <w:rPr>
          <w:rFonts w:eastAsia="Times New Roman"/>
          <w:sz w:val="22"/>
        </w:rPr>
        <w:t>. The use of multiple electronic patient record systems further complicates data collection.</w:t>
      </w:r>
    </w:p>
    <w:p w:rsidRPr="00BB4BCC" w:rsidR="00BB4BCC" w:rsidP="00BB4BCC" w:rsidRDefault="00BB4BCC" w14:paraId="1ACAAE35" w14:textId="77777777">
      <w:pPr>
        <w:pStyle w:val="ListParagraph"/>
        <w:spacing w:before="100" w:beforeAutospacing="1" w:after="100" w:afterAutospacing="1" w:line="240" w:lineRule="auto"/>
        <w:ind w:left="1080" w:firstLine="0"/>
        <w:rPr>
          <w:rFonts w:eastAsia="Times New Roman"/>
          <w:sz w:val="22"/>
        </w:rPr>
      </w:pPr>
    </w:p>
    <w:p w:rsidR="00BB4BCC" w:rsidP="00BB4BCC" w:rsidRDefault="00BB4BCC" w14:paraId="3EF00C50" w14:textId="25593978">
      <w:pPr>
        <w:pStyle w:val="ListParagraph"/>
        <w:spacing w:before="100" w:beforeAutospacing="1" w:after="100" w:afterAutospacing="1" w:line="240" w:lineRule="auto"/>
        <w:ind w:left="1080" w:firstLine="0"/>
        <w:rPr>
          <w:rFonts w:eastAsia="Times New Roman"/>
          <w:sz w:val="22"/>
        </w:rPr>
      </w:pPr>
      <w:r w:rsidRPr="00BB4BCC">
        <w:rPr>
          <w:rFonts w:eastAsia="Times New Roman"/>
          <w:sz w:val="22"/>
        </w:rPr>
        <w:t xml:space="preserve">To address these issues and enhance accountability, the Trust has implemented an improved reporting process for CSC referrals. From 1 April 2025, all staff are mandated to complete an </w:t>
      </w:r>
      <w:proofErr w:type="spellStart"/>
      <w:proofErr w:type="gramStart"/>
      <w:r w:rsidRPr="00BB4BCC">
        <w:rPr>
          <w:rFonts w:eastAsia="Times New Roman"/>
          <w:sz w:val="22"/>
        </w:rPr>
        <w:t>InPhase</w:t>
      </w:r>
      <w:proofErr w:type="spellEnd"/>
      <w:proofErr w:type="gramEnd"/>
      <w:r w:rsidRPr="00BB4BCC">
        <w:rPr>
          <w:rFonts w:eastAsia="Times New Roman"/>
          <w:sz w:val="22"/>
        </w:rPr>
        <w:t xml:space="preserve"> incident report form concurrently with any child protection referral to CSC. This measure will enable timely </w:t>
      </w:r>
      <w:r w:rsidR="00B05C18">
        <w:rPr>
          <w:rFonts w:eastAsia="Times New Roman"/>
          <w:sz w:val="22"/>
        </w:rPr>
        <w:t xml:space="preserve">and accurate data capture, effective </w:t>
      </w:r>
      <w:r w:rsidRPr="00BB4BCC">
        <w:rPr>
          <w:rFonts w:eastAsia="Times New Roman"/>
          <w:sz w:val="22"/>
        </w:rPr>
        <w:t>oversight by the safeguarding team and prompt, effective intervention.</w:t>
      </w:r>
    </w:p>
    <w:p w:rsidRPr="00BB4BCC" w:rsidR="00BB4BCC" w:rsidP="00BB4BCC" w:rsidRDefault="00BB4BCC" w14:paraId="290ABBB6" w14:textId="77777777">
      <w:pPr>
        <w:pStyle w:val="ListParagraph"/>
        <w:spacing w:before="100" w:beforeAutospacing="1" w:after="100" w:afterAutospacing="1" w:line="240" w:lineRule="auto"/>
        <w:ind w:left="1080" w:firstLine="0"/>
        <w:rPr>
          <w:rFonts w:eastAsia="Times New Roman"/>
          <w:sz w:val="22"/>
        </w:rPr>
      </w:pPr>
    </w:p>
    <w:p w:rsidRPr="00B36900" w:rsidR="007B066E" w:rsidP="00485AAF" w:rsidRDefault="00B36900" w14:paraId="48FB8DFA" w14:textId="01D5D949">
      <w:pPr>
        <w:pStyle w:val="ListParagraph"/>
        <w:spacing w:before="100" w:beforeAutospacing="1" w:after="100" w:afterAutospacing="1" w:line="240" w:lineRule="auto"/>
        <w:ind w:left="567" w:right="0" w:hanging="567"/>
        <w:rPr>
          <w:b/>
          <w:color w:val="auto"/>
          <w:sz w:val="22"/>
        </w:rPr>
      </w:pPr>
      <w:r>
        <w:rPr>
          <w:b/>
          <w:color w:val="auto"/>
          <w:sz w:val="22"/>
        </w:rPr>
        <w:t xml:space="preserve">6.0 </w:t>
      </w:r>
      <w:r w:rsidR="00485AAF">
        <w:rPr>
          <w:b/>
          <w:color w:val="auto"/>
          <w:sz w:val="22"/>
        </w:rPr>
        <w:tab/>
      </w:r>
      <w:r w:rsidRPr="00B36900" w:rsidR="007B066E">
        <w:rPr>
          <w:b/>
          <w:color w:val="auto"/>
          <w:sz w:val="22"/>
        </w:rPr>
        <w:t>Looked After Children (Children in Care)</w:t>
      </w:r>
    </w:p>
    <w:p w:rsidRPr="00BB4BCC" w:rsidR="00BB4BCC" w:rsidP="00BB4BCC" w:rsidRDefault="00BB4BCC" w14:paraId="4D3C6E53" w14:textId="010A4F85">
      <w:pPr>
        <w:spacing w:before="100" w:beforeAutospacing="1" w:after="100" w:afterAutospacing="1" w:line="240" w:lineRule="auto"/>
        <w:ind w:left="567" w:firstLine="0"/>
        <w:rPr>
          <w:rFonts w:eastAsia="Times New Roman"/>
          <w:sz w:val="22"/>
        </w:rPr>
      </w:pPr>
      <w:r w:rsidRPr="00BB4BCC">
        <w:rPr>
          <w:rFonts w:eastAsia="Times New Roman"/>
          <w:sz w:val="22"/>
        </w:rPr>
        <w:t>The Children in Care (CIC) health team is responsible for assessing and meeting the health needs of all looked after children and young people from Newham, whether residing within the borough or placed out of area. The team also assesses the health needs of children from other authorities placed in Newham upon request. A child ceases to be "Looked After" upon adoption, return</w:t>
      </w:r>
      <w:r w:rsidR="009960E4">
        <w:rPr>
          <w:rFonts w:eastAsia="Times New Roman"/>
          <w:sz w:val="22"/>
        </w:rPr>
        <w:t>ing</w:t>
      </w:r>
      <w:r w:rsidRPr="00BB4BCC">
        <w:rPr>
          <w:rFonts w:eastAsia="Times New Roman"/>
          <w:sz w:val="22"/>
        </w:rPr>
        <w:t xml:space="preserve"> home, or reaching 18 years of age. Social care also maintains responsibility for Care Leavers up to 25 years, irrespective of educational status. The Newham CIC team continues to support </w:t>
      </w:r>
      <w:r w:rsidRPr="00BB4BCC" w:rsidR="007F3A31">
        <w:rPr>
          <w:rFonts w:eastAsia="Times New Roman"/>
          <w:sz w:val="22"/>
        </w:rPr>
        <w:t>18–25</w:t>
      </w:r>
      <w:r w:rsidR="007F3A31">
        <w:rPr>
          <w:rFonts w:eastAsia="Times New Roman"/>
          <w:sz w:val="22"/>
        </w:rPr>
        <w:t xml:space="preserve"> </w:t>
      </w:r>
      <w:r w:rsidRPr="00BB4BCC" w:rsidR="007F3A31">
        <w:rPr>
          <w:rFonts w:eastAsia="Times New Roman"/>
          <w:sz w:val="22"/>
        </w:rPr>
        <w:t>year-olds</w:t>
      </w:r>
      <w:r w:rsidRPr="00BB4BCC">
        <w:rPr>
          <w:rFonts w:eastAsia="Times New Roman"/>
          <w:sz w:val="22"/>
        </w:rPr>
        <w:t xml:space="preserve"> through the Leaving Care Nurse.</w:t>
      </w:r>
    </w:p>
    <w:p w:rsidRPr="00BB4BCC" w:rsidR="00BB4BCC" w:rsidP="00BB4BCC" w:rsidRDefault="00BB4BCC" w14:paraId="2261501A" w14:textId="77777777">
      <w:pPr>
        <w:spacing w:before="100" w:beforeAutospacing="1" w:after="100" w:afterAutospacing="1" w:line="240" w:lineRule="auto"/>
        <w:ind w:left="567" w:firstLine="0"/>
        <w:rPr>
          <w:rFonts w:eastAsia="Times New Roman"/>
          <w:sz w:val="22"/>
        </w:rPr>
      </w:pPr>
      <w:r w:rsidRPr="00BB4BCC">
        <w:rPr>
          <w:rFonts w:eastAsia="Times New Roman"/>
          <w:sz w:val="22"/>
        </w:rPr>
        <w:t>Children in Care often enter the care system with poorer health outcomes due to factors such as poverty, inadequate parenting, abuse, and neglect. These young people frequently originate from chaotic home environments or via the criminal justice system.</w:t>
      </w:r>
    </w:p>
    <w:p w:rsidRPr="00BB4BCC" w:rsidR="00BB4BCC" w:rsidP="00BB4BCC" w:rsidRDefault="00BB4BCC" w14:paraId="0A4AC925" w14:textId="3D0849DF">
      <w:pPr>
        <w:spacing w:before="100" w:beforeAutospacing="1" w:after="100" w:afterAutospacing="1" w:line="240" w:lineRule="auto"/>
        <w:ind w:left="567" w:firstLine="0"/>
        <w:rPr>
          <w:rFonts w:eastAsia="Times New Roman"/>
          <w:sz w:val="22"/>
        </w:rPr>
      </w:pPr>
      <w:r w:rsidRPr="00BB4BCC">
        <w:rPr>
          <w:rFonts w:eastAsia="Times New Roman"/>
          <w:sz w:val="22"/>
        </w:rPr>
        <w:t>As of March 2025, Newham looked after 706 children, representing a 38% increase from March 2024. For children living outside Newham, the CIC team sees those within a 20-mile boundary, beyond which care is requested from the host Local Authority and health provider. In specific cases, the Newham CIC team conducts home visits. In 2024-2025, 236 children newly entered care in Newham, consistent with the previous year's figures.</w:t>
      </w:r>
    </w:p>
    <w:p w:rsidRPr="00BB4BCC" w:rsidR="00BB4BCC" w:rsidP="00BB4BCC" w:rsidRDefault="00BB4BCC" w14:paraId="46F09543" w14:textId="77777777">
      <w:pPr>
        <w:spacing w:before="100" w:beforeAutospacing="1" w:after="100" w:afterAutospacing="1" w:line="240" w:lineRule="auto"/>
        <w:rPr>
          <w:rFonts w:eastAsia="Times New Roman"/>
          <w:sz w:val="22"/>
        </w:rPr>
      </w:pPr>
      <w:r w:rsidRPr="00BB4BCC">
        <w:rPr>
          <w:rFonts w:eastAsia="Times New Roman"/>
          <w:b/>
          <w:bCs/>
          <w:sz w:val="22"/>
        </w:rPr>
        <w:t>Health Assessments and Reviews:</w:t>
      </w:r>
    </w:p>
    <w:p w:rsidRPr="00BB4BCC" w:rsidR="00BB4BCC" w:rsidP="00BB4BCC" w:rsidRDefault="00BB4BCC" w14:paraId="169B0A21" w14:textId="77777777">
      <w:pPr>
        <w:pStyle w:val="ListParagraph"/>
        <w:numPr>
          <w:ilvl w:val="0"/>
          <w:numId w:val="53"/>
        </w:numPr>
        <w:spacing w:before="100" w:beforeAutospacing="1" w:after="100" w:afterAutospacing="1" w:line="240" w:lineRule="auto"/>
        <w:ind w:right="0"/>
        <w:jc w:val="left"/>
        <w:rPr>
          <w:rFonts w:eastAsia="Times New Roman"/>
          <w:sz w:val="22"/>
        </w:rPr>
      </w:pPr>
      <w:r w:rsidRPr="00BB4BCC">
        <w:rPr>
          <w:rFonts w:eastAsia="Times New Roman"/>
          <w:b/>
          <w:bCs/>
          <w:sz w:val="22"/>
        </w:rPr>
        <w:t>Initial Health Assessments (IHAs):</w:t>
      </w:r>
      <w:r w:rsidRPr="00BB4BCC">
        <w:rPr>
          <w:rFonts w:eastAsia="Times New Roman"/>
          <w:sz w:val="22"/>
        </w:rPr>
        <w:t> 63.5% of IHAs were completed within the 20-working-day timeframe in 2024-2025, a 13.1% increase from the previous year. The national average target for IHA completion is 85%. Breaches of the statutory timeframe and 'did not attends' are reported weekly to NEL ICB. Main reasons for breaches include late receipt of paperwork, clinic slot unavailability, and young person refusal.</w:t>
      </w:r>
    </w:p>
    <w:p w:rsidRPr="00BB4BCC" w:rsidR="00BB4BCC" w:rsidP="00BB4BCC" w:rsidRDefault="00BB4BCC" w14:paraId="54E03ED9" w14:textId="77777777">
      <w:pPr>
        <w:pStyle w:val="ListParagraph"/>
        <w:numPr>
          <w:ilvl w:val="0"/>
          <w:numId w:val="53"/>
        </w:numPr>
        <w:spacing w:before="100" w:beforeAutospacing="1" w:after="100" w:afterAutospacing="1" w:line="240" w:lineRule="auto"/>
        <w:ind w:right="0"/>
        <w:jc w:val="left"/>
        <w:rPr>
          <w:rFonts w:eastAsia="Times New Roman"/>
          <w:sz w:val="22"/>
        </w:rPr>
      </w:pPr>
      <w:r w:rsidRPr="00BB4BCC">
        <w:rPr>
          <w:rFonts w:eastAsia="Times New Roman"/>
          <w:b/>
          <w:bCs/>
          <w:sz w:val="22"/>
        </w:rPr>
        <w:t>Under 5yr Review Health Assessments (RHAs):</w:t>
      </w:r>
      <w:r w:rsidRPr="00BB4BCC">
        <w:rPr>
          <w:rFonts w:eastAsia="Times New Roman"/>
          <w:sz w:val="22"/>
        </w:rPr>
        <w:t> 75.1% of under 5s RHAs were completed within the set timeframe in 2024-2025, an 8% increase from the previous year. The national average target for under 5yr RHAs is 90%.</w:t>
      </w:r>
    </w:p>
    <w:p w:rsidRPr="00BB4BCC" w:rsidR="00BB4BCC" w:rsidP="00BB4BCC" w:rsidRDefault="00BB4BCC" w14:paraId="39D7E0C7" w14:textId="77777777">
      <w:pPr>
        <w:pStyle w:val="ListParagraph"/>
        <w:numPr>
          <w:ilvl w:val="0"/>
          <w:numId w:val="53"/>
        </w:numPr>
        <w:spacing w:before="100" w:beforeAutospacing="1" w:after="100" w:afterAutospacing="1" w:line="240" w:lineRule="auto"/>
        <w:ind w:right="0"/>
        <w:jc w:val="left"/>
        <w:rPr>
          <w:rFonts w:eastAsia="Times New Roman"/>
          <w:sz w:val="22"/>
        </w:rPr>
      </w:pPr>
      <w:r w:rsidRPr="00BB4BCC">
        <w:rPr>
          <w:rFonts w:eastAsia="Times New Roman"/>
          <w:b/>
          <w:bCs/>
          <w:sz w:val="22"/>
        </w:rPr>
        <w:t>5yr - 18yr Review Health Assessments:</w:t>
      </w:r>
      <w:r w:rsidRPr="00BB4BCC">
        <w:rPr>
          <w:rFonts w:eastAsia="Times New Roman"/>
          <w:sz w:val="22"/>
        </w:rPr>
        <w:t> 73% of over 5s RHAs were completed within the set timeframe, a 5.8% increase from the previous year. The national average is 90%. Reasons for non-completion include appointments cancelled by carers, young person refusal, and lack of consent from social worker. All cases of incomplete reviews are escalated to the child/young person’s social worker.</w:t>
      </w:r>
    </w:p>
    <w:p w:rsidRPr="00BB4BCC" w:rsidR="00BB4BCC" w:rsidP="00BB4BCC" w:rsidRDefault="00BB4BCC" w14:paraId="29D6F2E2" w14:textId="77777777">
      <w:pPr>
        <w:pStyle w:val="ListParagraph"/>
        <w:numPr>
          <w:ilvl w:val="0"/>
          <w:numId w:val="53"/>
        </w:numPr>
        <w:spacing w:before="100" w:beforeAutospacing="1" w:after="100" w:afterAutospacing="1" w:line="240" w:lineRule="auto"/>
        <w:ind w:right="0"/>
        <w:jc w:val="left"/>
        <w:rPr>
          <w:rFonts w:eastAsia="Times New Roman"/>
          <w:sz w:val="22"/>
        </w:rPr>
      </w:pPr>
      <w:r w:rsidRPr="00BB4BCC">
        <w:rPr>
          <w:rFonts w:eastAsia="Times New Roman"/>
          <w:sz w:val="22"/>
        </w:rPr>
        <w:t>ELFT CIC ensures all children and young people leaving care at 18 years have a completed Care Leaver’s health summary. In 2024-2025, 74% of care leavers had a completed health summary.</w:t>
      </w:r>
    </w:p>
    <w:p w:rsidRPr="00BB4BCC" w:rsidR="00BB4BCC" w:rsidP="00BB4BCC" w:rsidRDefault="00BB4BCC" w14:paraId="3630919B" w14:textId="77777777">
      <w:pPr>
        <w:spacing w:before="100" w:beforeAutospacing="1" w:after="100" w:afterAutospacing="1" w:line="240" w:lineRule="auto"/>
        <w:rPr>
          <w:rFonts w:eastAsia="Times New Roman"/>
          <w:sz w:val="22"/>
        </w:rPr>
      </w:pPr>
      <w:r w:rsidRPr="00BB4BCC">
        <w:rPr>
          <w:rFonts w:eastAsia="Times New Roman"/>
          <w:b/>
          <w:bCs/>
          <w:sz w:val="22"/>
        </w:rPr>
        <w:t>Unaccompanied Asylum-Seeking Young People (UASC):</w:t>
      </w:r>
    </w:p>
    <w:p w:rsidRPr="00BB4BCC" w:rsidR="00BB4BCC" w:rsidP="00BB4BCC" w:rsidRDefault="00BB4BCC" w14:paraId="004EC86B" w14:textId="77777777">
      <w:pPr>
        <w:spacing w:before="100" w:beforeAutospacing="1" w:after="100" w:afterAutospacing="1" w:line="240" w:lineRule="auto"/>
        <w:ind w:left="567" w:firstLine="0"/>
        <w:rPr>
          <w:rFonts w:eastAsia="Times New Roman"/>
          <w:sz w:val="22"/>
        </w:rPr>
      </w:pPr>
      <w:r w:rsidRPr="00BB4BCC">
        <w:rPr>
          <w:rFonts w:eastAsia="Times New Roman"/>
          <w:sz w:val="22"/>
        </w:rPr>
        <w:t>33 UASC were seen in the integrated health care pathway in 2024-2025, a slight decrease from 34 in the previous year.</w:t>
      </w:r>
    </w:p>
    <w:p w:rsidRPr="00BB4BCC" w:rsidR="00BB4BCC" w:rsidP="00BB4BCC" w:rsidRDefault="00BB4BCC" w14:paraId="0C819FBF" w14:textId="77777777">
      <w:pPr>
        <w:spacing w:before="100" w:beforeAutospacing="1" w:after="100" w:afterAutospacing="1" w:line="240" w:lineRule="auto"/>
        <w:rPr>
          <w:rFonts w:eastAsia="Times New Roman"/>
          <w:sz w:val="22"/>
        </w:rPr>
      </w:pPr>
      <w:r w:rsidRPr="00BB4BCC">
        <w:rPr>
          <w:rFonts w:eastAsia="Times New Roman"/>
          <w:b/>
          <w:bCs/>
          <w:sz w:val="22"/>
        </w:rPr>
        <w:t>Children from Other Local Authorities:</w:t>
      </w:r>
    </w:p>
    <w:p w:rsidRPr="00BB4BCC" w:rsidR="00BB4BCC" w:rsidP="00BB4BCC" w:rsidRDefault="00BB4BCC" w14:paraId="63DA2B5D" w14:textId="77777777">
      <w:pPr>
        <w:spacing w:before="100" w:beforeAutospacing="1" w:after="100" w:afterAutospacing="1" w:line="240" w:lineRule="auto"/>
        <w:ind w:left="567" w:firstLine="0"/>
        <w:rPr>
          <w:rFonts w:eastAsia="Times New Roman"/>
          <w:sz w:val="22"/>
        </w:rPr>
      </w:pPr>
      <w:r w:rsidRPr="00BB4BCC">
        <w:rPr>
          <w:rFonts w:eastAsia="Times New Roman"/>
          <w:sz w:val="22"/>
        </w:rPr>
        <w:t>By March 2025, the Newham Children in Care Health Team saw 116 children from other local authorities for IHAs and RHAs. This represents a decrease of 110 appointments from the previous year, primarily due to capacity constraints within the Newham CIC team.</w:t>
      </w:r>
    </w:p>
    <w:p w:rsidRPr="00BB4BCC" w:rsidR="00BB4BCC" w:rsidP="00BB4BCC" w:rsidRDefault="00BB4BCC" w14:paraId="43BE8BD7" w14:textId="77777777">
      <w:pPr>
        <w:spacing w:before="100" w:beforeAutospacing="1" w:after="100" w:afterAutospacing="1" w:line="240" w:lineRule="auto"/>
        <w:rPr>
          <w:rFonts w:eastAsia="Times New Roman"/>
          <w:sz w:val="22"/>
        </w:rPr>
      </w:pPr>
      <w:r w:rsidRPr="00BB4BCC">
        <w:rPr>
          <w:rFonts w:eastAsia="Times New Roman"/>
          <w:b/>
          <w:bCs/>
          <w:sz w:val="22"/>
        </w:rPr>
        <w:t>Adoption Medicals:</w:t>
      </w:r>
    </w:p>
    <w:p w:rsidRPr="00BB4BCC" w:rsidR="00BB4BCC" w:rsidP="00BB4BCC" w:rsidRDefault="00BB4BCC" w14:paraId="00079705" w14:textId="77777777">
      <w:pPr>
        <w:spacing w:before="100" w:beforeAutospacing="1" w:after="100" w:afterAutospacing="1" w:line="240" w:lineRule="auto"/>
        <w:ind w:left="567" w:firstLine="0"/>
        <w:rPr>
          <w:rFonts w:eastAsia="Times New Roman"/>
          <w:sz w:val="22"/>
        </w:rPr>
      </w:pPr>
      <w:r w:rsidRPr="00BB4BCC">
        <w:rPr>
          <w:rFonts w:eastAsia="Times New Roman"/>
          <w:sz w:val="22"/>
        </w:rPr>
        <w:t>Our medical advisor for adoption and fostering conducted medical assessments for 34 children in 2024-2025 prior to proposed adoptions, a 50% increase from the previous year.</w:t>
      </w:r>
    </w:p>
    <w:p w:rsidRPr="00BB4BCC" w:rsidR="00BB4BCC" w:rsidP="00BB4BCC" w:rsidRDefault="00BB4BCC" w14:paraId="3E393B1C" w14:textId="77777777">
      <w:pPr>
        <w:spacing w:before="100" w:beforeAutospacing="1" w:after="100" w:afterAutospacing="1" w:line="240" w:lineRule="auto"/>
        <w:rPr>
          <w:rFonts w:eastAsia="Times New Roman"/>
          <w:sz w:val="22"/>
        </w:rPr>
      </w:pPr>
      <w:r w:rsidRPr="00BB4BCC">
        <w:rPr>
          <w:rFonts w:eastAsia="Times New Roman"/>
          <w:b/>
          <w:bCs/>
          <w:sz w:val="22"/>
        </w:rPr>
        <w:t>CIC Governance and Reporting Arrangements:</w:t>
      </w:r>
    </w:p>
    <w:p w:rsidRPr="00BB4BCC" w:rsidR="00BB4BCC" w:rsidP="00BB4BCC" w:rsidRDefault="00BB4BCC" w14:paraId="349D8607" w14:textId="77777777">
      <w:pPr>
        <w:spacing w:before="100" w:beforeAutospacing="1" w:after="100" w:afterAutospacing="1" w:line="240" w:lineRule="auto"/>
        <w:rPr>
          <w:rFonts w:eastAsia="Times New Roman"/>
          <w:sz w:val="22"/>
        </w:rPr>
      </w:pPr>
      <w:r w:rsidRPr="00BB4BCC">
        <w:rPr>
          <w:rFonts w:eastAsia="Times New Roman"/>
          <w:sz w:val="22"/>
        </w:rPr>
        <w:t>The CIC health team actively participates in various governance and reporting forums:</w:t>
      </w:r>
    </w:p>
    <w:p w:rsidRPr="00BB4BCC" w:rsidR="00BB4BCC" w:rsidP="00BB4BCC" w:rsidRDefault="00BB4BCC" w14:paraId="1A2B8E64"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Attends Newham Joint Health Sub Group.</w:t>
      </w:r>
    </w:p>
    <w:p w:rsidRPr="00BB4BCC" w:rsidR="00BB4BCC" w:rsidP="00BB4BCC" w:rsidRDefault="00BB4BCC" w14:paraId="14024F9F"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Named Nurse attends the Newham Corporate Parenting Board, Corporate Parenting Board Operational Group, joint CIC and LBN meeting, and quarterly Foster Panel.</w:t>
      </w:r>
    </w:p>
    <w:p w:rsidRPr="00BB4BCC" w:rsidR="00BB4BCC" w:rsidP="00BB4BCC" w:rsidRDefault="00BB4BCC" w14:paraId="37B55091"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Named Nurse attends the Clinical Governance meeting for Specialist Children’s and Young Peoples Services (SCYPS).</w:t>
      </w:r>
    </w:p>
    <w:p w:rsidRPr="00BB4BCC" w:rsidR="00BB4BCC" w:rsidP="00BB4BCC" w:rsidRDefault="00BB4BCC" w14:paraId="41E0A14B"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Named Nurse submits monthly KPI data to NEL ICB.</w:t>
      </w:r>
    </w:p>
    <w:p w:rsidRPr="00BB4BCC" w:rsidR="00BB4BCC" w:rsidP="00BB4BCC" w:rsidRDefault="00BB4BCC" w14:paraId="6198932F"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The clinical team undertakes quarterly essential audits in record keeping and infection control.</w:t>
      </w:r>
    </w:p>
    <w:p w:rsidRPr="00BB4BCC" w:rsidR="00BB4BCC" w:rsidP="00BB4BCC" w:rsidRDefault="00BB4BCC" w14:paraId="35536338"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The Named Nurse conducts an annual RHA audit with the Designated Nurse for CIC on behalf of NEL ICB.</w:t>
      </w:r>
    </w:p>
    <w:p w:rsidRPr="00BB4BCC" w:rsidR="00BB4BCC" w:rsidP="00BB4BCC" w:rsidRDefault="00BB4BCC" w14:paraId="5B121975" w14:textId="77777777">
      <w:pPr>
        <w:pStyle w:val="ListParagraph"/>
        <w:numPr>
          <w:ilvl w:val="0"/>
          <w:numId w:val="54"/>
        </w:numPr>
        <w:spacing w:before="100" w:beforeAutospacing="1" w:after="100" w:afterAutospacing="1" w:line="240" w:lineRule="auto"/>
        <w:ind w:right="0"/>
        <w:jc w:val="left"/>
        <w:rPr>
          <w:rFonts w:eastAsia="Times New Roman"/>
          <w:sz w:val="22"/>
        </w:rPr>
      </w:pPr>
      <w:r w:rsidRPr="00BB4BCC">
        <w:rPr>
          <w:rFonts w:eastAsia="Times New Roman"/>
          <w:sz w:val="22"/>
        </w:rPr>
        <w:t>The Named and Designate Doctors conduct an annual IHA audit on behalf of NEL ICB.</w:t>
      </w:r>
    </w:p>
    <w:p w:rsidR="00416422" w:rsidP="00BB4BCC" w:rsidRDefault="00416422" w14:paraId="29C14722" w14:textId="0C031A9D">
      <w:pPr>
        <w:pStyle w:val="NormalWeb"/>
        <w:shd w:val="clear" w:color="auto" w:fill="FFFFFF"/>
        <w:spacing w:before="0" w:beforeAutospacing="0" w:after="0" w:afterAutospacing="0"/>
        <w:ind w:left="1843" w:right="318"/>
        <w:jc w:val="both"/>
        <w:textAlignment w:val="baseline"/>
        <w:rPr>
          <w:rFonts w:ascii="Arial" w:hAnsi="Arial" w:cs="Arial"/>
          <w:sz w:val="20"/>
          <w:szCs w:val="20"/>
        </w:rPr>
      </w:pPr>
    </w:p>
    <w:p w:rsidRPr="00C1760E" w:rsidR="00486583" w:rsidP="00C1760E" w:rsidRDefault="00C1760E" w14:paraId="1277B7CC" w14:textId="74A2F9DC">
      <w:pPr>
        <w:spacing w:before="100" w:beforeAutospacing="1" w:after="100" w:afterAutospacing="1" w:line="240" w:lineRule="auto"/>
        <w:ind w:left="567" w:right="0" w:hanging="567"/>
        <w:rPr>
          <w:b/>
          <w:sz w:val="22"/>
        </w:rPr>
      </w:pPr>
      <w:r>
        <w:rPr>
          <w:b/>
          <w:sz w:val="22"/>
          <w:bdr w:val="none" w:color="auto" w:sz="0" w:space="0" w:frame="1"/>
        </w:rPr>
        <w:t xml:space="preserve">7.0 </w:t>
      </w:r>
      <w:r>
        <w:rPr>
          <w:b/>
          <w:sz w:val="22"/>
          <w:bdr w:val="none" w:color="auto" w:sz="0" w:space="0" w:frame="1"/>
        </w:rPr>
        <w:tab/>
      </w:r>
      <w:r w:rsidRPr="00C1760E" w:rsidR="009F0E17">
        <w:rPr>
          <w:b/>
          <w:sz w:val="22"/>
          <w:bdr w:val="none" w:color="auto" w:sz="0" w:space="0" w:frame="1"/>
        </w:rPr>
        <w:t>Safeguarding</w:t>
      </w:r>
      <w:r w:rsidRPr="00C1760E" w:rsidR="009F0E17">
        <w:rPr>
          <w:b/>
          <w:sz w:val="22"/>
        </w:rPr>
        <w:t xml:space="preserve"> </w:t>
      </w:r>
      <w:r w:rsidRPr="00C1760E" w:rsidR="009F0E17">
        <w:rPr>
          <w:b/>
          <w:sz w:val="22"/>
          <w:bdr w:val="none" w:color="auto" w:sz="0" w:space="0" w:frame="1"/>
        </w:rPr>
        <w:t>Audit</w:t>
      </w:r>
      <w:r w:rsidR="00202122">
        <w:rPr>
          <w:b/>
          <w:sz w:val="22"/>
          <w:bdr w:val="none" w:color="auto" w:sz="0" w:space="0" w:frame="1"/>
        </w:rPr>
        <w:t>s</w:t>
      </w:r>
    </w:p>
    <w:p w:rsidRPr="0043090E" w:rsidR="0043090E" w:rsidP="0043090E" w:rsidRDefault="0043090E" w14:paraId="3BAF9520" w14:textId="77777777">
      <w:pPr>
        <w:spacing w:before="100" w:beforeAutospacing="1" w:after="100" w:afterAutospacing="1" w:line="240" w:lineRule="auto"/>
        <w:ind w:left="567" w:firstLine="0"/>
        <w:rPr>
          <w:rFonts w:eastAsia="Times New Roman"/>
          <w:sz w:val="22"/>
        </w:rPr>
      </w:pPr>
      <w:r w:rsidRPr="0043090E">
        <w:rPr>
          <w:rFonts w:eastAsia="Times New Roman"/>
          <w:sz w:val="22"/>
        </w:rPr>
        <w:t>In 2024-25, the safeguarding team conducted several multi-agency and Trust-wide audits. Findings, learnings, and recommendations were reported to individual staff members, managers, and the Trust Safeguarding Committee. These audits were initiated in response to learning from local and/or national case reviews or internal reviews. Audit outcomes are presented to the Safeguarding Committee for assurance and to ensure relevant learning is disseminated across directorates to improve or change practice.</w:t>
      </w:r>
    </w:p>
    <w:p w:rsidRPr="00943399" w:rsidR="00290D5D" w:rsidP="00523696" w:rsidRDefault="00290D5D" w14:paraId="2EEE29BF" w14:textId="77777777">
      <w:pPr>
        <w:pStyle w:val="BodyText"/>
        <w:numPr>
          <w:ilvl w:val="0"/>
          <w:numId w:val="0"/>
        </w:numPr>
        <w:ind w:left="1276"/>
        <w:rPr>
          <w:rFonts w:cs="Arial"/>
          <w:b/>
          <w:sz w:val="20"/>
          <w:szCs w:val="20"/>
          <w:lang w:val="en-GB"/>
        </w:rPr>
      </w:pPr>
    </w:p>
    <w:p w:rsidR="00290D5D" w:rsidP="00523696" w:rsidRDefault="00290D5D" w14:paraId="01C44880" w14:textId="7A1026A9">
      <w:pPr>
        <w:pStyle w:val="BodyText"/>
        <w:numPr>
          <w:ilvl w:val="0"/>
          <w:numId w:val="0"/>
        </w:numPr>
        <w:ind w:left="1276"/>
        <w:rPr>
          <w:rFonts w:cs="Arial"/>
          <w:lang w:val="en-GB"/>
        </w:rPr>
      </w:pPr>
      <w:r w:rsidRPr="0043090E">
        <w:rPr>
          <w:rFonts w:cs="Arial"/>
          <w:lang w:val="en-GB"/>
        </w:rPr>
        <w:t>The table below shows the audits undertaken in 2024/25 by the safeguarding team:</w:t>
      </w:r>
    </w:p>
    <w:p w:rsidR="00A647AC" w:rsidP="00523696" w:rsidRDefault="00A647AC" w14:paraId="58A81FF2" w14:textId="44DE7F2D">
      <w:pPr>
        <w:pStyle w:val="BodyText"/>
        <w:numPr>
          <w:ilvl w:val="0"/>
          <w:numId w:val="0"/>
        </w:numPr>
        <w:ind w:left="1276"/>
        <w:rPr>
          <w:rFonts w:cs="Arial"/>
          <w:lang w:val="en-GB"/>
        </w:rPr>
      </w:pPr>
    </w:p>
    <w:tbl>
      <w:tblPr>
        <w:tblStyle w:val="TableGrid6"/>
        <w:tblW w:w="9609" w:type="dxa"/>
        <w:tblInd w:w="421" w:type="dxa"/>
        <w:tblLook w:val="04A0" w:firstRow="1" w:lastRow="0" w:firstColumn="1" w:lastColumn="0" w:noHBand="0" w:noVBand="1"/>
      </w:tblPr>
      <w:tblGrid>
        <w:gridCol w:w="544"/>
        <w:gridCol w:w="1622"/>
        <w:gridCol w:w="2511"/>
        <w:gridCol w:w="3119"/>
        <w:gridCol w:w="1813"/>
      </w:tblGrid>
      <w:tr w:rsidRPr="009C33D4" w:rsidR="009C33D4" w:rsidTr="00DD39B8" w14:paraId="1AC64B78" w14:textId="77777777">
        <w:tc>
          <w:tcPr>
            <w:tcW w:w="544" w:type="dxa"/>
          </w:tcPr>
          <w:p w:rsidRPr="009C33D4" w:rsidR="009C33D4" w:rsidP="009C33D4" w:rsidRDefault="009C33D4" w14:paraId="49C71F0C" w14:textId="77777777">
            <w:pPr>
              <w:spacing w:after="0" w:line="240" w:lineRule="auto"/>
              <w:ind w:left="0" w:right="0" w:firstLine="0"/>
              <w:jc w:val="left"/>
              <w:rPr>
                <w:rFonts w:eastAsiaTheme="minorHAnsi"/>
                <w:color w:val="auto"/>
                <w:sz w:val="22"/>
              </w:rPr>
            </w:pPr>
            <w:r w:rsidRPr="009C33D4">
              <w:rPr>
                <w:rFonts w:eastAsiaTheme="minorHAnsi"/>
                <w:color w:val="auto"/>
                <w:sz w:val="22"/>
              </w:rPr>
              <w:t>No</w:t>
            </w:r>
          </w:p>
        </w:tc>
        <w:tc>
          <w:tcPr>
            <w:tcW w:w="1622" w:type="dxa"/>
          </w:tcPr>
          <w:p w:rsidRPr="009C33D4" w:rsidR="009C33D4" w:rsidP="009C33D4" w:rsidRDefault="009C33D4" w14:paraId="76FEF436" w14:textId="77777777">
            <w:pPr>
              <w:spacing w:after="0" w:line="240" w:lineRule="auto"/>
              <w:ind w:left="0" w:right="0" w:firstLine="0"/>
              <w:jc w:val="left"/>
              <w:rPr>
                <w:rFonts w:eastAsiaTheme="minorHAnsi"/>
                <w:color w:val="auto"/>
                <w:sz w:val="22"/>
              </w:rPr>
            </w:pPr>
            <w:r w:rsidRPr="009C33D4">
              <w:rPr>
                <w:rFonts w:eastAsiaTheme="minorHAnsi"/>
                <w:color w:val="auto"/>
                <w:sz w:val="22"/>
              </w:rPr>
              <w:t>Audit Type</w:t>
            </w:r>
          </w:p>
        </w:tc>
        <w:tc>
          <w:tcPr>
            <w:tcW w:w="2511" w:type="dxa"/>
          </w:tcPr>
          <w:p w:rsidRPr="009C33D4" w:rsidR="009C33D4" w:rsidP="009C33D4" w:rsidRDefault="009C33D4" w14:paraId="2DEBA831" w14:textId="77777777">
            <w:pPr>
              <w:spacing w:after="0" w:line="240" w:lineRule="auto"/>
              <w:ind w:left="0" w:right="0" w:firstLine="0"/>
              <w:jc w:val="left"/>
              <w:rPr>
                <w:rFonts w:eastAsiaTheme="minorHAnsi"/>
                <w:color w:val="auto"/>
                <w:sz w:val="22"/>
              </w:rPr>
            </w:pPr>
            <w:r w:rsidRPr="009C33D4">
              <w:rPr>
                <w:rFonts w:eastAsiaTheme="minorHAnsi"/>
                <w:color w:val="auto"/>
                <w:sz w:val="22"/>
              </w:rPr>
              <w:t>Audit Findings</w:t>
            </w:r>
          </w:p>
        </w:tc>
        <w:tc>
          <w:tcPr>
            <w:tcW w:w="3119" w:type="dxa"/>
          </w:tcPr>
          <w:p w:rsidRPr="009C33D4" w:rsidR="009C33D4" w:rsidP="009C33D4" w:rsidRDefault="009C33D4" w14:paraId="44A01AEB" w14:textId="77777777">
            <w:pPr>
              <w:spacing w:after="0" w:line="240" w:lineRule="auto"/>
              <w:ind w:left="0" w:right="0" w:firstLine="0"/>
              <w:jc w:val="left"/>
              <w:rPr>
                <w:rFonts w:eastAsiaTheme="minorHAnsi"/>
                <w:color w:val="auto"/>
                <w:sz w:val="22"/>
              </w:rPr>
            </w:pPr>
            <w:r w:rsidRPr="009C33D4">
              <w:rPr>
                <w:rFonts w:eastAsiaTheme="minorHAnsi"/>
                <w:color w:val="auto"/>
                <w:sz w:val="22"/>
              </w:rPr>
              <w:t>Actions Taken</w:t>
            </w:r>
          </w:p>
        </w:tc>
        <w:tc>
          <w:tcPr>
            <w:tcW w:w="1813" w:type="dxa"/>
          </w:tcPr>
          <w:p w:rsidRPr="009C33D4" w:rsidR="009C33D4" w:rsidP="009C33D4" w:rsidRDefault="009C33D4" w14:paraId="4D358F46" w14:textId="77777777">
            <w:pPr>
              <w:spacing w:after="0" w:line="240" w:lineRule="auto"/>
              <w:ind w:left="0" w:right="0" w:firstLine="0"/>
              <w:jc w:val="left"/>
              <w:rPr>
                <w:rFonts w:eastAsiaTheme="minorHAnsi"/>
                <w:color w:val="auto"/>
                <w:sz w:val="22"/>
              </w:rPr>
            </w:pPr>
            <w:r w:rsidRPr="009C33D4">
              <w:rPr>
                <w:rFonts w:eastAsiaTheme="minorHAnsi"/>
                <w:color w:val="auto"/>
                <w:sz w:val="22"/>
              </w:rPr>
              <w:t>Progress</w:t>
            </w:r>
          </w:p>
        </w:tc>
      </w:tr>
      <w:tr w:rsidRPr="009C33D4" w:rsidR="009C33D4" w:rsidTr="00DD39B8" w14:paraId="698191C8" w14:textId="77777777">
        <w:tc>
          <w:tcPr>
            <w:tcW w:w="544" w:type="dxa"/>
          </w:tcPr>
          <w:p w:rsidRPr="009C33D4" w:rsidR="009C33D4" w:rsidP="009C33D4" w:rsidRDefault="009C33D4" w14:paraId="444A08AB" w14:textId="77777777">
            <w:pPr>
              <w:spacing w:after="0" w:line="240" w:lineRule="auto"/>
              <w:ind w:left="0" w:right="0" w:firstLine="0"/>
              <w:jc w:val="left"/>
              <w:rPr>
                <w:rFonts w:eastAsiaTheme="minorHAnsi"/>
                <w:color w:val="auto"/>
                <w:sz w:val="22"/>
              </w:rPr>
            </w:pPr>
            <w:r w:rsidRPr="009C33D4">
              <w:rPr>
                <w:rFonts w:eastAsiaTheme="minorHAnsi"/>
                <w:color w:val="auto"/>
                <w:sz w:val="22"/>
              </w:rPr>
              <w:t>1</w:t>
            </w:r>
          </w:p>
        </w:tc>
        <w:tc>
          <w:tcPr>
            <w:tcW w:w="1622" w:type="dxa"/>
          </w:tcPr>
          <w:p w:rsidRPr="009C33D4" w:rsidR="009C33D4" w:rsidP="009C33D4" w:rsidRDefault="009C33D4" w14:paraId="673B6C4C" w14:textId="77777777">
            <w:pPr>
              <w:spacing w:after="0" w:line="240" w:lineRule="auto"/>
              <w:ind w:left="0" w:right="81" w:firstLine="0"/>
              <w:jc w:val="left"/>
              <w:rPr>
                <w:rFonts w:eastAsiaTheme="minorHAnsi"/>
                <w:b/>
                <w:color w:val="auto"/>
                <w:sz w:val="22"/>
              </w:rPr>
            </w:pPr>
            <w:r w:rsidRPr="009C33D4">
              <w:rPr>
                <w:rFonts w:eastAsia="Times New Roman"/>
                <w:b/>
                <w:color w:val="auto"/>
                <w:sz w:val="22"/>
              </w:rPr>
              <w:t>Think Family Approach</w:t>
            </w:r>
          </w:p>
        </w:tc>
        <w:tc>
          <w:tcPr>
            <w:tcW w:w="2511" w:type="dxa"/>
          </w:tcPr>
          <w:p w:rsidRPr="009C33D4" w:rsidR="009C33D4" w:rsidP="009C33D4" w:rsidRDefault="009C33D4" w14:paraId="6DB69A31"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Good examples of family-inclusive practice identified.</w:t>
            </w:r>
          </w:p>
          <w:p w:rsidRPr="009C33D4" w:rsidR="009C33D4" w:rsidP="009C33D4" w:rsidRDefault="009C33D4" w14:paraId="114629F0"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 xml:space="preserve">Gaps remain in recording the </w:t>
            </w:r>
            <w:r w:rsidRPr="009C33D4">
              <w:rPr>
                <w:rFonts w:eastAsiaTheme="minorHAnsi"/>
                <w:color w:val="auto"/>
                <w:sz w:val="22"/>
              </w:rPr>
              <w:t>child’s lived experience, particularly where domestic abuse is a concern.</w:t>
            </w:r>
          </w:p>
          <w:p w:rsidRPr="009C33D4" w:rsidR="009C33D4" w:rsidP="009C33D4" w:rsidRDefault="009C33D4" w14:paraId="4BC39176"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Inconsistent recording of family members, especially non-resident or ‘invisible’ males.</w:t>
            </w:r>
          </w:p>
          <w:p w:rsidRPr="009C33D4" w:rsidR="009C33D4" w:rsidP="009C33D4" w:rsidRDefault="009C33D4" w14:paraId="28B03B54" w14:textId="77777777">
            <w:pPr>
              <w:spacing w:after="0" w:line="240" w:lineRule="auto"/>
              <w:ind w:left="0" w:right="0" w:firstLine="0"/>
              <w:jc w:val="left"/>
              <w:rPr>
                <w:rFonts w:eastAsiaTheme="minorHAnsi"/>
                <w:color w:val="auto"/>
                <w:sz w:val="22"/>
              </w:rPr>
            </w:pPr>
          </w:p>
        </w:tc>
        <w:tc>
          <w:tcPr>
            <w:tcW w:w="3119" w:type="dxa"/>
          </w:tcPr>
          <w:p w:rsidRPr="009C33D4" w:rsidR="009C33D4" w:rsidP="009C33D4" w:rsidRDefault="009C33D4" w14:paraId="0BE0C8BB"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Safeguarding supervision now includes prompts to review family demographics and ensure accurate referral data.</w:t>
            </w:r>
          </w:p>
          <w:p w:rsidRPr="009C33D4" w:rsidR="009C33D4" w:rsidP="009C33D4" w:rsidRDefault="009C33D4" w14:paraId="49815EC9"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Practitioners reminded to use the Safeguarding Alert system and tools such as “Day in the Life”, Domestic Abuse Stalking, Harassment and Honour Based Violence Assessment (DASH), and the Pan-Beds Neglect Toolkit.</w:t>
            </w:r>
          </w:p>
          <w:p w:rsidRPr="009C33D4" w:rsidR="009C33D4" w:rsidP="009C33D4" w:rsidRDefault="009C33D4" w14:paraId="031E2F59"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The safeguarding children policy has been updated.</w:t>
            </w:r>
          </w:p>
          <w:p w:rsidRPr="009C33D4" w:rsidR="009C33D4" w:rsidP="009C33D4" w:rsidRDefault="009C33D4" w14:paraId="380B1325"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A follow-up audit is scheduled for 2025–26 to include a larger sample across both adult and child records.</w:t>
            </w:r>
          </w:p>
        </w:tc>
        <w:tc>
          <w:tcPr>
            <w:tcW w:w="1813" w:type="dxa"/>
          </w:tcPr>
          <w:p w:rsidRPr="009C33D4" w:rsidR="009C33D4" w:rsidP="009C33D4" w:rsidRDefault="009C33D4" w14:paraId="1BEA338F"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 xml:space="preserve">Ongoing. Policy review completed; re-audit planned. Staff </w:t>
            </w:r>
            <w:r w:rsidRPr="009C33D4">
              <w:rPr>
                <w:rFonts w:eastAsiaTheme="minorHAnsi"/>
                <w:color w:val="auto"/>
                <w:sz w:val="22"/>
              </w:rPr>
              <w:t>engagement continues through supervision and newsletter updates.</w:t>
            </w:r>
          </w:p>
          <w:p w:rsidRPr="009C33D4" w:rsidR="009C33D4" w:rsidP="009C33D4" w:rsidRDefault="009C33D4" w14:paraId="02C8B983" w14:textId="77777777">
            <w:pPr>
              <w:spacing w:after="0" w:line="240" w:lineRule="auto"/>
              <w:ind w:left="0" w:right="0" w:firstLine="0"/>
              <w:jc w:val="left"/>
              <w:rPr>
                <w:rFonts w:eastAsiaTheme="minorHAnsi"/>
                <w:color w:val="auto"/>
                <w:sz w:val="22"/>
              </w:rPr>
            </w:pPr>
          </w:p>
        </w:tc>
      </w:tr>
      <w:tr w:rsidRPr="009C33D4" w:rsidR="009C33D4" w:rsidTr="00DD39B8" w14:paraId="690F57EA" w14:textId="77777777">
        <w:tc>
          <w:tcPr>
            <w:tcW w:w="544" w:type="dxa"/>
          </w:tcPr>
          <w:p w:rsidRPr="009C33D4" w:rsidR="009C33D4" w:rsidP="009C33D4" w:rsidRDefault="009C33D4" w14:paraId="2AC29288" w14:textId="77777777">
            <w:pPr>
              <w:spacing w:after="0" w:line="240" w:lineRule="auto"/>
              <w:ind w:left="0" w:right="0" w:firstLine="0"/>
              <w:jc w:val="left"/>
              <w:rPr>
                <w:rFonts w:eastAsiaTheme="minorHAnsi"/>
                <w:color w:val="auto"/>
                <w:sz w:val="22"/>
              </w:rPr>
            </w:pPr>
            <w:r w:rsidRPr="009C33D4">
              <w:rPr>
                <w:rFonts w:eastAsiaTheme="minorHAnsi"/>
                <w:color w:val="auto"/>
                <w:sz w:val="22"/>
              </w:rPr>
              <w:t>2</w:t>
            </w:r>
          </w:p>
        </w:tc>
        <w:tc>
          <w:tcPr>
            <w:tcW w:w="1622" w:type="dxa"/>
          </w:tcPr>
          <w:p w:rsidRPr="009C33D4" w:rsidR="009C33D4" w:rsidP="009C33D4" w:rsidRDefault="009C33D4" w14:paraId="057C32F7" w14:textId="77777777">
            <w:pPr>
              <w:spacing w:after="0" w:line="240" w:lineRule="auto"/>
              <w:ind w:left="0" w:right="0" w:firstLine="0"/>
              <w:jc w:val="left"/>
              <w:rPr>
                <w:rFonts w:eastAsiaTheme="minorHAnsi"/>
                <w:b/>
                <w:color w:val="auto"/>
                <w:sz w:val="22"/>
              </w:rPr>
            </w:pPr>
            <w:r w:rsidRPr="009C33D4">
              <w:rPr>
                <w:rFonts w:eastAsia="Times New Roman"/>
                <w:b/>
                <w:color w:val="auto"/>
                <w:sz w:val="22"/>
              </w:rPr>
              <w:t>Voice of the Child in Adult Services</w:t>
            </w:r>
          </w:p>
        </w:tc>
        <w:tc>
          <w:tcPr>
            <w:tcW w:w="2511" w:type="dxa"/>
          </w:tcPr>
          <w:p w:rsidRPr="009C33D4" w:rsidR="009C33D4" w:rsidP="009C33D4" w:rsidRDefault="009C33D4" w14:paraId="08BBF31E"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Limited evidence of the child’s voice or safeguarding concerns being recorded in adult inpatient records.</w:t>
            </w:r>
          </w:p>
          <w:p w:rsidRPr="009C33D4" w:rsidR="009C33D4" w:rsidP="009C33D4" w:rsidRDefault="009C33D4" w14:paraId="2D6A8105"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Discharge planning did not always reflect safeguarding action or parental responsibility arrangements.</w:t>
            </w:r>
          </w:p>
          <w:p w:rsidRPr="009C33D4" w:rsidR="009C33D4" w:rsidP="009C33D4" w:rsidRDefault="009C33D4" w14:paraId="69E45C5A" w14:textId="77777777">
            <w:pPr>
              <w:spacing w:after="0" w:line="240" w:lineRule="auto"/>
              <w:ind w:left="0" w:right="0" w:firstLine="0"/>
              <w:jc w:val="left"/>
              <w:rPr>
                <w:rFonts w:eastAsiaTheme="minorHAnsi"/>
                <w:color w:val="auto"/>
                <w:sz w:val="22"/>
              </w:rPr>
            </w:pPr>
          </w:p>
        </w:tc>
        <w:tc>
          <w:tcPr>
            <w:tcW w:w="3119" w:type="dxa"/>
          </w:tcPr>
          <w:p w:rsidRPr="009C33D4" w:rsidR="009C33D4" w:rsidP="009C33D4" w:rsidRDefault="009C33D4" w14:paraId="78B7EA18"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Audit tool updated to include child-focused prompts.</w:t>
            </w:r>
          </w:p>
          <w:p w:rsidRPr="009C33D4" w:rsidR="009C33D4" w:rsidP="009C33D4" w:rsidRDefault="009C33D4" w14:paraId="429C8F28"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Inpatient teams engaged via away days and supervision to promote correct safeguarding referrals.</w:t>
            </w:r>
          </w:p>
          <w:p w:rsidRPr="009C33D4" w:rsidR="009C33D4" w:rsidP="009C33D4" w:rsidRDefault="009C33D4" w14:paraId="0B2CD5DD"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Operational leads reminded to update family demographics.</w:t>
            </w:r>
          </w:p>
          <w:p w:rsidRPr="009C33D4" w:rsidR="009C33D4" w:rsidP="009C33D4" w:rsidRDefault="009C33D4" w14:paraId="52153B14"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Signposting to neglect tools, threshold documents, and escalation policy reinforced.</w:t>
            </w:r>
          </w:p>
        </w:tc>
        <w:tc>
          <w:tcPr>
            <w:tcW w:w="1813" w:type="dxa"/>
          </w:tcPr>
          <w:p w:rsidRPr="009C33D4" w:rsidR="009C33D4" w:rsidP="009C33D4" w:rsidRDefault="009C33D4" w14:paraId="13884629"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Partially implemented. Training and operational reminders in progress. Full impact expected following actions planned for 2025–26.</w:t>
            </w:r>
          </w:p>
          <w:p w:rsidRPr="009C33D4" w:rsidR="009C33D4" w:rsidP="009C33D4" w:rsidRDefault="009C33D4" w14:paraId="6DF848D7" w14:textId="77777777">
            <w:pPr>
              <w:spacing w:after="0" w:line="240" w:lineRule="auto"/>
              <w:ind w:left="0" w:right="0" w:firstLine="0"/>
              <w:jc w:val="left"/>
              <w:rPr>
                <w:rFonts w:eastAsiaTheme="minorHAnsi"/>
                <w:color w:val="auto"/>
                <w:sz w:val="22"/>
              </w:rPr>
            </w:pPr>
          </w:p>
        </w:tc>
      </w:tr>
      <w:tr w:rsidRPr="009C33D4" w:rsidR="009C33D4" w:rsidTr="00DD39B8" w14:paraId="1638E2CC" w14:textId="77777777">
        <w:tc>
          <w:tcPr>
            <w:tcW w:w="544" w:type="dxa"/>
          </w:tcPr>
          <w:p w:rsidRPr="009C33D4" w:rsidR="009C33D4" w:rsidP="009C33D4" w:rsidRDefault="009C33D4" w14:paraId="0CAC96EF" w14:textId="77777777">
            <w:pPr>
              <w:spacing w:after="0" w:line="240" w:lineRule="auto"/>
              <w:ind w:left="0" w:right="0" w:firstLine="0"/>
              <w:jc w:val="left"/>
              <w:rPr>
                <w:rFonts w:eastAsiaTheme="minorHAnsi"/>
                <w:color w:val="auto"/>
                <w:sz w:val="22"/>
              </w:rPr>
            </w:pPr>
            <w:r w:rsidRPr="009C33D4">
              <w:rPr>
                <w:rFonts w:eastAsiaTheme="minorHAnsi"/>
                <w:color w:val="auto"/>
                <w:sz w:val="22"/>
              </w:rPr>
              <w:t>3</w:t>
            </w:r>
          </w:p>
        </w:tc>
        <w:tc>
          <w:tcPr>
            <w:tcW w:w="1622" w:type="dxa"/>
          </w:tcPr>
          <w:p w:rsidRPr="009C33D4" w:rsidR="009C33D4" w:rsidP="009C33D4" w:rsidRDefault="009C33D4" w14:paraId="54270A04" w14:textId="77777777">
            <w:pPr>
              <w:spacing w:after="0" w:line="240" w:lineRule="auto"/>
              <w:ind w:left="0" w:right="0" w:firstLine="0"/>
              <w:jc w:val="left"/>
              <w:rPr>
                <w:rFonts w:eastAsiaTheme="minorHAnsi"/>
                <w:b/>
                <w:color w:val="auto"/>
                <w:sz w:val="22"/>
              </w:rPr>
            </w:pPr>
            <w:r w:rsidRPr="009C33D4">
              <w:rPr>
                <w:rFonts w:eastAsia="Times New Roman"/>
                <w:b/>
                <w:color w:val="auto"/>
                <w:sz w:val="22"/>
              </w:rPr>
              <w:t>Domestic Abuse (DA) Practice and Reporting</w:t>
            </w:r>
          </w:p>
        </w:tc>
        <w:tc>
          <w:tcPr>
            <w:tcW w:w="2511" w:type="dxa"/>
          </w:tcPr>
          <w:p w:rsidRPr="009C33D4" w:rsidR="009C33D4" w:rsidP="009C33D4" w:rsidRDefault="009C33D4" w14:paraId="78B82852"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 xml:space="preserve">DA concerns not consistently logged on </w:t>
            </w:r>
            <w:proofErr w:type="spellStart"/>
            <w:r w:rsidRPr="009C33D4">
              <w:rPr>
                <w:rFonts w:eastAsiaTheme="minorHAnsi"/>
                <w:color w:val="auto"/>
                <w:sz w:val="22"/>
              </w:rPr>
              <w:t>InPhase</w:t>
            </w:r>
            <w:proofErr w:type="spellEnd"/>
            <w:r w:rsidRPr="009C33D4">
              <w:rPr>
                <w:rFonts w:eastAsiaTheme="minorHAnsi"/>
                <w:color w:val="auto"/>
                <w:sz w:val="22"/>
              </w:rPr>
              <w:t>.</w:t>
            </w:r>
          </w:p>
          <w:p w:rsidRPr="009C33D4" w:rsidR="009C33D4" w:rsidP="009C33D4" w:rsidRDefault="009C33D4" w14:paraId="4BEFCF12"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Discrepancies between DA data recorded in incidents and formal safeguarding reporting.</w:t>
            </w:r>
          </w:p>
          <w:p w:rsidRPr="009C33D4" w:rsidR="009C33D4" w:rsidP="009C33D4" w:rsidRDefault="009C33D4" w14:paraId="49E7B3FD" w14:textId="77777777">
            <w:pPr>
              <w:spacing w:after="0" w:line="240" w:lineRule="auto"/>
              <w:ind w:left="0" w:right="0" w:firstLine="0"/>
              <w:jc w:val="left"/>
              <w:rPr>
                <w:rFonts w:eastAsiaTheme="minorHAnsi"/>
                <w:color w:val="auto"/>
                <w:sz w:val="22"/>
              </w:rPr>
            </w:pPr>
          </w:p>
        </w:tc>
        <w:tc>
          <w:tcPr>
            <w:tcW w:w="3119" w:type="dxa"/>
          </w:tcPr>
          <w:p w:rsidRPr="009C33D4" w:rsidR="009C33D4" w:rsidP="009C33D4" w:rsidRDefault="009C33D4" w14:paraId="58F0D191" w14:textId="77777777">
            <w:pPr>
              <w:numPr>
                <w:ilvl w:val="0"/>
                <w:numId w:val="56"/>
              </w:numPr>
              <w:spacing w:before="100" w:beforeAutospacing="1" w:after="100" w:afterAutospacing="1" w:line="240" w:lineRule="auto"/>
              <w:ind w:left="315" w:right="0" w:hanging="283"/>
              <w:jc w:val="left"/>
              <w:rPr>
                <w:rFonts w:eastAsiaTheme="minorHAnsi"/>
                <w:color w:val="auto"/>
                <w:sz w:val="22"/>
              </w:rPr>
            </w:pPr>
            <w:proofErr w:type="spellStart"/>
            <w:r w:rsidRPr="009C33D4">
              <w:rPr>
                <w:rFonts w:eastAsiaTheme="minorHAnsi"/>
                <w:color w:val="auto"/>
                <w:sz w:val="22"/>
              </w:rPr>
              <w:t>InPhase</w:t>
            </w:r>
            <w:proofErr w:type="spellEnd"/>
            <w:r w:rsidRPr="009C33D4">
              <w:rPr>
                <w:rFonts w:eastAsiaTheme="minorHAnsi"/>
                <w:color w:val="auto"/>
                <w:sz w:val="22"/>
              </w:rPr>
              <w:t xml:space="preserve"> entries reviewed and reclassified to improve DA categorisation.</w:t>
            </w:r>
          </w:p>
          <w:p w:rsidRPr="009C33D4" w:rsidR="009C33D4" w:rsidP="009C33D4" w:rsidRDefault="009C33D4" w14:paraId="29A48DA8"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Targeted training sessions underway to address recording inconsistencies.</w:t>
            </w:r>
          </w:p>
          <w:p w:rsidRPr="009C33D4" w:rsidR="009C33D4" w:rsidP="009C33D4" w:rsidRDefault="009C33D4" w14:paraId="28DB21AD"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Domestic Abuse newsletter and safeguarding intranet launched to improve staff awareness.</w:t>
            </w:r>
          </w:p>
          <w:p w:rsidRPr="009C33D4" w:rsidR="009C33D4" w:rsidP="009C33D4" w:rsidRDefault="009C33D4" w14:paraId="79A7B3CC"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 xml:space="preserve">Structured risk assessments promoted to </w:t>
            </w:r>
            <w:r w:rsidRPr="009C33D4">
              <w:rPr>
                <w:rFonts w:eastAsiaTheme="minorHAnsi"/>
                <w:color w:val="auto"/>
                <w:sz w:val="22"/>
              </w:rPr>
              <w:t>support earlier identification of concerns.</w:t>
            </w:r>
          </w:p>
        </w:tc>
        <w:tc>
          <w:tcPr>
            <w:tcW w:w="1813" w:type="dxa"/>
          </w:tcPr>
          <w:p w:rsidRPr="009C33D4" w:rsidR="009C33D4" w:rsidP="009C33D4" w:rsidRDefault="009C33D4" w14:paraId="31A9A407"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Actions ongoing. Training and communication activities in place; formal review of impact scheduled for 2025–26.</w:t>
            </w:r>
          </w:p>
          <w:p w:rsidRPr="009C33D4" w:rsidR="009C33D4" w:rsidP="009C33D4" w:rsidRDefault="009C33D4" w14:paraId="54067164" w14:textId="77777777">
            <w:pPr>
              <w:spacing w:after="0" w:line="240" w:lineRule="auto"/>
              <w:ind w:left="0" w:right="0" w:firstLine="0"/>
              <w:jc w:val="left"/>
              <w:rPr>
                <w:rFonts w:eastAsiaTheme="minorHAnsi"/>
                <w:color w:val="auto"/>
                <w:sz w:val="22"/>
              </w:rPr>
            </w:pPr>
          </w:p>
        </w:tc>
      </w:tr>
      <w:tr w:rsidRPr="009C33D4" w:rsidR="009C33D4" w:rsidTr="00DD39B8" w14:paraId="01AC1A29" w14:textId="77777777">
        <w:trPr>
          <w:trHeight w:val="3346"/>
        </w:trPr>
        <w:tc>
          <w:tcPr>
            <w:tcW w:w="544" w:type="dxa"/>
          </w:tcPr>
          <w:p w:rsidRPr="009C33D4" w:rsidR="009C33D4" w:rsidP="009C33D4" w:rsidRDefault="009C33D4" w14:paraId="1F615AF1" w14:textId="77777777">
            <w:pPr>
              <w:spacing w:after="0" w:line="240" w:lineRule="auto"/>
              <w:ind w:left="0" w:right="0" w:firstLine="0"/>
              <w:jc w:val="left"/>
              <w:rPr>
                <w:rFonts w:eastAsiaTheme="minorHAnsi"/>
                <w:color w:val="auto"/>
                <w:sz w:val="22"/>
              </w:rPr>
            </w:pPr>
            <w:r w:rsidRPr="009C33D4">
              <w:rPr>
                <w:rFonts w:eastAsiaTheme="minorHAnsi"/>
                <w:color w:val="auto"/>
                <w:sz w:val="22"/>
              </w:rPr>
              <w:t>4</w:t>
            </w:r>
          </w:p>
        </w:tc>
        <w:tc>
          <w:tcPr>
            <w:tcW w:w="1622" w:type="dxa"/>
          </w:tcPr>
          <w:p w:rsidRPr="009C33D4" w:rsidR="009C33D4" w:rsidP="009C33D4" w:rsidRDefault="009C33D4" w14:paraId="74EA972E" w14:textId="77777777">
            <w:pPr>
              <w:spacing w:after="0" w:line="240" w:lineRule="auto"/>
              <w:ind w:left="0" w:right="0" w:firstLine="0"/>
              <w:jc w:val="left"/>
              <w:rPr>
                <w:rFonts w:eastAsiaTheme="minorHAnsi"/>
                <w:b/>
                <w:color w:val="auto"/>
                <w:sz w:val="22"/>
              </w:rPr>
            </w:pPr>
            <w:r w:rsidRPr="009C33D4">
              <w:rPr>
                <w:rFonts w:eastAsia="Times New Roman"/>
                <w:b/>
                <w:color w:val="auto"/>
                <w:sz w:val="22"/>
              </w:rPr>
              <w:t>Child Neglect</w:t>
            </w:r>
          </w:p>
        </w:tc>
        <w:tc>
          <w:tcPr>
            <w:tcW w:w="2511" w:type="dxa"/>
          </w:tcPr>
          <w:p w:rsidRPr="009C33D4" w:rsidR="009C33D4" w:rsidP="009C33D4" w:rsidRDefault="009C33D4" w14:paraId="66B6B26D"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Neglect concerns were under-recorded or misclassified.</w:t>
            </w:r>
          </w:p>
          <w:p w:rsidRPr="009C33D4" w:rsidR="009C33D4" w:rsidP="009C33D4" w:rsidRDefault="009C33D4" w14:paraId="09E7DD09"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Application of the Think Family approach inconsistent across services.</w:t>
            </w:r>
          </w:p>
          <w:p w:rsidRPr="009C33D4" w:rsidR="009C33D4" w:rsidP="009C33D4" w:rsidRDefault="009C33D4" w14:paraId="1F176927" w14:textId="77777777">
            <w:pPr>
              <w:spacing w:after="0" w:line="240" w:lineRule="auto"/>
              <w:ind w:left="360" w:right="0" w:firstLine="0"/>
              <w:contextualSpacing/>
              <w:jc w:val="left"/>
              <w:rPr>
                <w:rFonts w:eastAsiaTheme="minorHAnsi"/>
                <w:color w:val="auto"/>
                <w:sz w:val="22"/>
              </w:rPr>
            </w:pPr>
          </w:p>
        </w:tc>
        <w:tc>
          <w:tcPr>
            <w:tcW w:w="3119" w:type="dxa"/>
          </w:tcPr>
          <w:p w:rsidRPr="009C33D4" w:rsidR="009C33D4" w:rsidP="009C33D4" w:rsidRDefault="009C33D4" w14:paraId="6029D090"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Safeguarding reporting forms updated to reduce misclassification.</w:t>
            </w:r>
          </w:p>
          <w:p w:rsidRPr="009C33D4" w:rsidR="009C33D4" w:rsidP="009C33D4" w:rsidRDefault="009C33D4" w14:paraId="3F330485"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Neglect screening tools standardised and shared via supervision.</w:t>
            </w:r>
          </w:p>
          <w:p w:rsidRPr="009C33D4" w:rsidR="009C33D4" w:rsidP="009C33D4" w:rsidRDefault="009C33D4" w14:paraId="234144D9"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Annual audits planned with findings disseminated to teams.</w:t>
            </w:r>
          </w:p>
          <w:p w:rsidRPr="009C33D4" w:rsidR="009C33D4" w:rsidP="009C33D4" w:rsidRDefault="009C33D4" w14:paraId="19FB0D34"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Staff encouraged to document lived experience and inter-agency activity.</w:t>
            </w:r>
          </w:p>
        </w:tc>
        <w:tc>
          <w:tcPr>
            <w:tcW w:w="1813" w:type="dxa"/>
          </w:tcPr>
          <w:p w:rsidRPr="009C33D4" w:rsidR="009C33D4" w:rsidP="009C33D4" w:rsidRDefault="009C33D4" w14:paraId="4F364B99"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Improved clarity in documentation and reporting. Further system updates scheduled for Q2–Q3 2025–26.</w:t>
            </w:r>
          </w:p>
          <w:p w:rsidRPr="009C33D4" w:rsidR="009C33D4" w:rsidP="009C33D4" w:rsidRDefault="009C33D4" w14:paraId="70FEFFE6" w14:textId="77777777">
            <w:pPr>
              <w:spacing w:after="0" w:line="240" w:lineRule="auto"/>
              <w:ind w:left="0" w:right="0" w:firstLine="0"/>
              <w:jc w:val="left"/>
              <w:rPr>
                <w:rFonts w:eastAsiaTheme="minorHAnsi"/>
                <w:color w:val="auto"/>
                <w:sz w:val="22"/>
              </w:rPr>
            </w:pPr>
          </w:p>
        </w:tc>
      </w:tr>
      <w:tr w:rsidRPr="009C33D4" w:rsidR="009C33D4" w:rsidTr="00DD39B8" w14:paraId="62D4090F" w14:textId="77777777">
        <w:tc>
          <w:tcPr>
            <w:tcW w:w="544" w:type="dxa"/>
          </w:tcPr>
          <w:p w:rsidRPr="009C33D4" w:rsidR="009C33D4" w:rsidP="009C33D4" w:rsidRDefault="009C33D4" w14:paraId="42745742" w14:textId="77777777">
            <w:pPr>
              <w:spacing w:after="0" w:line="240" w:lineRule="auto"/>
              <w:ind w:left="0" w:right="0" w:firstLine="0"/>
              <w:jc w:val="left"/>
              <w:rPr>
                <w:rFonts w:eastAsiaTheme="minorHAnsi"/>
                <w:color w:val="auto"/>
                <w:sz w:val="22"/>
              </w:rPr>
            </w:pPr>
            <w:r w:rsidRPr="009C33D4">
              <w:rPr>
                <w:rFonts w:eastAsiaTheme="minorHAnsi"/>
                <w:color w:val="auto"/>
                <w:sz w:val="22"/>
              </w:rPr>
              <w:t>5</w:t>
            </w:r>
          </w:p>
        </w:tc>
        <w:tc>
          <w:tcPr>
            <w:tcW w:w="1622" w:type="dxa"/>
          </w:tcPr>
          <w:p w:rsidRPr="009C33D4" w:rsidR="009C33D4" w:rsidP="009C33D4" w:rsidRDefault="009C33D4" w14:paraId="044459F2" w14:textId="77777777">
            <w:pPr>
              <w:spacing w:after="0" w:line="240" w:lineRule="auto"/>
              <w:ind w:left="0" w:right="0" w:firstLine="0"/>
              <w:jc w:val="left"/>
              <w:rPr>
                <w:rFonts w:eastAsiaTheme="minorHAnsi"/>
                <w:b/>
                <w:color w:val="auto"/>
                <w:sz w:val="22"/>
              </w:rPr>
            </w:pPr>
            <w:r w:rsidRPr="009C33D4">
              <w:rPr>
                <w:rFonts w:eastAsia="Times New Roman"/>
                <w:b/>
                <w:color w:val="auto"/>
                <w:sz w:val="22"/>
              </w:rPr>
              <w:t>Self-Neglect – City &amp; Hackney</w:t>
            </w:r>
          </w:p>
        </w:tc>
        <w:tc>
          <w:tcPr>
            <w:tcW w:w="2511" w:type="dxa"/>
          </w:tcPr>
          <w:p w:rsidRPr="009C33D4" w:rsidR="009C33D4" w:rsidP="009C33D4" w:rsidRDefault="009C33D4" w14:paraId="4D3B50A9"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Self-neglect safeguarding referrals have reduced, but the rationale is unclear.</w:t>
            </w:r>
          </w:p>
          <w:p w:rsidRPr="009C33D4" w:rsidR="009C33D4" w:rsidP="009C33D4" w:rsidRDefault="009C33D4" w14:paraId="779242A0"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Further quality assurance of enquiry practice was required.</w:t>
            </w:r>
          </w:p>
          <w:p w:rsidRPr="009C33D4" w:rsidR="009C33D4" w:rsidP="009C33D4" w:rsidRDefault="009C33D4" w14:paraId="4112EF28" w14:textId="77777777">
            <w:pPr>
              <w:spacing w:after="0" w:line="240" w:lineRule="auto"/>
              <w:ind w:left="360" w:right="0" w:firstLine="0"/>
              <w:contextualSpacing/>
              <w:jc w:val="left"/>
              <w:rPr>
                <w:rFonts w:eastAsiaTheme="minorHAnsi"/>
                <w:color w:val="auto"/>
                <w:sz w:val="22"/>
              </w:rPr>
            </w:pPr>
          </w:p>
        </w:tc>
        <w:tc>
          <w:tcPr>
            <w:tcW w:w="3119" w:type="dxa"/>
          </w:tcPr>
          <w:p w:rsidRPr="009C33D4" w:rsidR="009C33D4" w:rsidP="009C33D4" w:rsidRDefault="009C33D4" w14:paraId="0E6DB544"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Bespoke training developed and delivered on self-neglect, including use of the clutter scale.</w:t>
            </w:r>
          </w:p>
          <w:p w:rsidRPr="009C33D4" w:rsidR="009C33D4" w:rsidP="009C33D4" w:rsidRDefault="009C33D4" w14:paraId="21CF9C1D"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Training compliance checks for Safeguarding Adult Managers (SAMs) and enquiry officers introduced.</w:t>
            </w:r>
          </w:p>
          <w:p w:rsidRPr="009C33D4" w:rsidR="009C33D4" w:rsidP="009C33D4" w:rsidRDefault="009C33D4" w14:paraId="34A4D708"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Modular training package added to ELFT Learning Academy (ELA) platform.</w:t>
            </w:r>
          </w:p>
          <w:p w:rsidRPr="009C33D4" w:rsidR="009C33D4" w:rsidP="009C33D4" w:rsidRDefault="009C33D4" w14:paraId="32DA2739"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Audit findings shared during safeguarding supervision.</w:t>
            </w:r>
          </w:p>
        </w:tc>
        <w:tc>
          <w:tcPr>
            <w:tcW w:w="1813" w:type="dxa"/>
          </w:tcPr>
          <w:p w:rsidRPr="009C33D4" w:rsidR="009C33D4" w:rsidP="009C33D4" w:rsidRDefault="009C33D4" w14:paraId="761F7CF6"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Majority of actions complete. Training and compliance monitoring continue to support sustained improvement.</w:t>
            </w:r>
          </w:p>
          <w:p w:rsidRPr="009C33D4" w:rsidR="009C33D4" w:rsidP="009C33D4" w:rsidRDefault="009C33D4" w14:paraId="3109DF9B" w14:textId="77777777">
            <w:pPr>
              <w:spacing w:after="0" w:line="240" w:lineRule="auto"/>
              <w:ind w:left="0" w:right="0" w:firstLine="0"/>
              <w:jc w:val="left"/>
              <w:rPr>
                <w:rFonts w:eastAsiaTheme="minorHAnsi"/>
                <w:color w:val="auto"/>
                <w:sz w:val="22"/>
              </w:rPr>
            </w:pPr>
          </w:p>
        </w:tc>
      </w:tr>
      <w:tr w:rsidRPr="009C33D4" w:rsidR="009C33D4" w:rsidTr="00DD39B8" w14:paraId="5C3F023B" w14:textId="77777777">
        <w:tc>
          <w:tcPr>
            <w:tcW w:w="544" w:type="dxa"/>
          </w:tcPr>
          <w:p w:rsidRPr="009C33D4" w:rsidR="009C33D4" w:rsidP="009C33D4" w:rsidRDefault="009C33D4" w14:paraId="7B6C76C9" w14:textId="77777777">
            <w:pPr>
              <w:spacing w:after="0" w:line="240" w:lineRule="auto"/>
              <w:ind w:left="0" w:right="0" w:firstLine="0"/>
              <w:jc w:val="left"/>
              <w:rPr>
                <w:rFonts w:eastAsiaTheme="minorHAnsi"/>
                <w:color w:val="auto"/>
                <w:sz w:val="22"/>
              </w:rPr>
            </w:pPr>
            <w:r w:rsidRPr="009C33D4">
              <w:rPr>
                <w:rFonts w:eastAsiaTheme="minorHAnsi"/>
                <w:color w:val="auto"/>
                <w:sz w:val="22"/>
              </w:rPr>
              <w:t>6</w:t>
            </w:r>
          </w:p>
        </w:tc>
        <w:tc>
          <w:tcPr>
            <w:tcW w:w="1622" w:type="dxa"/>
          </w:tcPr>
          <w:p w:rsidRPr="009C33D4" w:rsidR="009C33D4" w:rsidP="009C33D4" w:rsidRDefault="009C33D4" w14:paraId="0B160445" w14:textId="77777777">
            <w:pPr>
              <w:spacing w:after="0" w:line="240" w:lineRule="auto"/>
              <w:ind w:left="0" w:right="0" w:firstLine="0"/>
              <w:jc w:val="left"/>
              <w:rPr>
                <w:rFonts w:eastAsia="Times New Roman"/>
                <w:b/>
                <w:color w:val="auto"/>
                <w:sz w:val="22"/>
              </w:rPr>
            </w:pPr>
            <w:r w:rsidRPr="009C33D4">
              <w:rPr>
                <w:rFonts w:eastAsia="Times New Roman"/>
                <w:b/>
                <w:color w:val="auto"/>
                <w:sz w:val="22"/>
              </w:rPr>
              <w:t>Forensic Services – Safeguarding Deep Dive</w:t>
            </w:r>
          </w:p>
        </w:tc>
        <w:tc>
          <w:tcPr>
            <w:tcW w:w="2511" w:type="dxa"/>
          </w:tcPr>
          <w:p w:rsidRPr="009C33D4" w:rsidR="009C33D4" w:rsidP="009C33D4" w:rsidRDefault="009C33D4" w14:paraId="66AE794C"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Safeguarding practice had improved since the previous audit, though sustainability of improvements needed validation.</w:t>
            </w:r>
          </w:p>
          <w:p w:rsidRPr="009C33D4" w:rsidR="009C33D4" w:rsidP="009C33D4" w:rsidRDefault="009C33D4" w14:paraId="4E703538" w14:textId="77777777">
            <w:pPr>
              <w:numPr>
                <w:ilvl w:val="0"/>
                <w:numId w:val="55"/>
              </w:numPr>
              <w:spacing w:before="100" w:beforeAutospacing="1" w:after="100" w:afterAutospacing="1" w:line="240" w:lineRule="auto"/>
              <w:ind w:right="0"/>
              <w:jc w:val="left"/>
              <w:rPr>
                <w:rFonts w:eastAsiaTheme="minorHAnsi"/>
                <w:color w:val="auto"/>
                <w:sz w:val="22"/>
              </w:rPr>
            </w:pPr>
            <w:r w:rsidRPr="009C33D4">
              <w:rPr>
                <w:rFonts w:eastAsiaTheme="minorHAnsi"/>
                <w:color w:val="auto"/>
                <w:sz w:val="22"/>
              </w:rPr>
              <w:t>Some inconsistency remained in enquiry recording and training compliance.</w:t>
            </w:r>
          </w:p>
          <w:p w:rsidRPr="009C33D4" w:rsidR="009C33D4" w:rsidP="009C33D4" w:rsidRDefault="009C33D4" w14:paraId="41B692AA" w14:textId="77777777">
            <w:pPr>
              <w:spacing w:before="100" w:beforeAutospacing="1" w:after="100" w:afterAutospacing="1" w:line="240" w:lineRule="auto"/>
              <w:ind w:left="360" w:right="0" w:firstLine="0"/>
              <w:jc w:val="left"/>
              <w:rPr>
                <w:rFonts w:eastAsiaTheme="minorHAnsi"/>
                <w:color w:val="auto"/>
                <w:sz w:val="22"/>
              </w:rPr>
            </w:pPr>
          </w:p>
        </w:tc>
        <w:tc>
          <w:tcPr>
            <w:tcW w:w="3119" w:type="dxa"/>
          </w:tcPr>
          <w:p w:rsidRPr="009C33D4" w:rsidR="009C33D4" w:rsidP="009C33D4" w:rsidRDefault="009C33D4" w14:paraId="14255E20"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Deep dive completed to assess impact of previous recommendations.</w:t>
            </w:r>
          </w:p>
          <w:p w:rsidRPr="009C33D4" w:rsidR="009C33D4" w:rsidP="009C33D4" w:rsidRDefault="009C33D4" w14:paraId="7898A758"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Monthly safeguarding audits introduced at Directorate Management Team (DMT) level.</w:t>
            </w:r>
          </w:p>
          <w:p w:rsidRPr="009C33D4" w:rsidR="009C33D4" w:rsidP="009C33D4" w:rsidRDefault="009C33D4" w14:paraId="1358E43E"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SAM and enquiry officer training compliance tracked monthly.</w:t>
            </w:r>
          </w:p>
          <w:p w:rsidRPr="009C33D4" w:rsidR="009C33D4" w:rsidP="009C33D4" w:rsidRDefault="009C33D4" w14:paraId="5438C902" w14:textId="77777777">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Bespoke training delivered, including guidance on RIO form completion and PIPOT.</w:t>
            </w:r>
          </w:p>
          <w:p w:rsidRPr="009C33D4" w:rsidR="009C33D4" w:rsidP="00DD39B8" w:rsidRDefault="009C33D4" w14:paraId="6679CBFE" w14:textId="6CED048F">
            <w:pPr>
              <w:numPr>
                <w:ilvl w:val="0"/>
                <w:numId w:val="56"/>
              </w:numPr>
              <w:spacing w:before="100" w:beforeAutospacing="1" w:after="100" w:afterAutospacing="1" w:line="240" w:lineRule="auto"/>
              <w:ind w:left="315" w:right="0" w:hanging="283"/>
              <w:jc w:val="left"/>
              <w:rPr>
                <w:rFonts w:eastAsiaTheme="minorHAnsi"/>
                <w:color w:val="auto"/>
                <w:sz w:val="22"/>
              </w:rPr>
            </w:pPr>
            <w:r w:rsidRPr="009C33D4">
              <w:rPr>
                <w:rFonts w:eastAsiaTheme="minorHAnsi"/>
                <w:color w:val="auto"/>
                <w:sz w:val="22"/>
              </w:rPr>
              <w:t xml:space="preserve">Audit findings embedded into supervision and </w:t>
            </w:r>
            <w:r w:rsidRPr="009C33D4">
              <w:rPr>
                <w:rFonts w:eastAsiaTheme="minorHAnsi"/>
                <w:color w:val="auto"/>
                <w:sz w:val="22"/>
              </w:rPr>
              <w:t>monitored via forensic social work leadership.</w:t>
            </w:r>
          </w:p>
        </w:tc>
        <w:tc>
          <w:tcPr>
            <w:tcW w:w="1813" w:type="dxa"/>
          </w:tcPr>
          <w:p w:rsidRPr="009C33D4" w:rsidR="009C33D4" w:rsidP="009C33D4" w:rsidRDefault="009C33D4" w14:paraId="6993BD44" w14:textId="77777777">
            <w:pPr>
              <w:spacing w:before="100" w:beforeAutospacing="1" w:after="100" w:afterAutospacing="1" w:line="240" w:lineRule="auto"/>
              <w:ind w:left="0" w:right="0" w:firstLine="0"/>
              <w:jc w:val="left"/>
              <w:rPr>
                <w:rFonts w:eastAsiaTheme="minorHAnsi"/>
                <w:color w:val="auto"/>
                <w:sz w:val="22"/>
              </w:rPr>
            </w:pPr>
            <w:r w:rsidRPr="009C33D4">
              <w:rPr>
                <w:rFonts w:eastAsiaTheme="minorHAnsi"/>
                <w:color w:val="auto"/>
                <w:sz w:val="22"/>
              </w:rPr>
              <w:t>Sustained improvement evident. Ongoing collaboration with forensic leadership. Monitoring and reporting now embedded into governance structures.</w:t>
            </w:r>
          </w:p>
          <w:p w:rsidRPr="009C33D4" w:rsidR="009C33D4" w:rsidP="009C33D4" w:rsidRDefault="009C33D4" w14:paraId="63D0CC6B" w14:textId="77777777">
            <w:pPr>
              <w:spacing w:before="100" w:beforeAutospacing="1" w:after="100" w:afterAutospacing="1" w:line="240" w:lineRule="auto"/>
              <w:ind w:left="0" w:right="0" w:firstLine="0"/>
              <w:jc w:val="left"/>
              <w:rPr>
                <w:rFonts w:eastAsiaTheme="minorHAnsi"/>
                <w:color w:val="auto"/>
                <w:sz w:val="22"/>
              </w:rPr>
            </w:pPr>
          </w:p>
        </w:tc>
      </w:tr>
    </w:tbl>
    <w:p w:rsidR="00A647AC" w:rsidP="009C33D4" w:rsidRDefault="00A647AC" w14:paraId="26C1A948" w14:textId="6E87F104">
      <w:pPr>
        <w:pStyle w:val="BodyText"/>
        <w:numPr>
          <w:ilvl w:val="0"/>
          <w:numId w:val="0"/>
        </w:numPr>
        <w:ind w:left="1276" w:hanging="1276"/>
        <w:rPr>
          <w:rFonts w:cs="Arial"/>
          <w:lang w:val="en-GB"/>
        </w:rPr>
      </w:pPr>
    </w:p>
    <w:p w:rsidRPr="0023137F" w:rsidR="0023137F" w:rsidP="0023137F" w:rsidRDefault="0023137F" w14:paraId="4FA14938" w14:textId="77777777">
      <w:pPr>
        <w:spacing w:before="100" w:beforeAutospacing="1" w:after="100" w:afterAutospacing="1" w:line="240" w:lineRule="auto"/>
        <w:ind w:left="0" w:right="0" w:firstLine="0"/>
        <w:jc w:val="left"/>
        <w:outlineLvl w:val="2"/>
        <w:rPr>
          <w:rFonts w:eastAsia="Times New Roman"/>
          <w:b/>
          <w:bCs/>
          <w:color w:val="auto"/>
          <w:sz w:val="22"/>
        </w:rPr>
      </w:pPr>
      <w:r w:rsidRPr="0023137F">
        <w:rPr>
          <w:rFonts w:eastAsia="Times New Roman"/>
          <w:b/>
          <w:bCs/>
          <w:color w:val="auto"/>
          <w:sz w:val="22"/>
        </w:rPr>
        <w:t>Key Themes Identified Across Audits</w:t>
      </w:r>
    </w:p>
    <w:p w:rsidRPr="0023137F" w:rsidR="0023137F" w:rsidP="0023137F" w:rsidRDefault="0023137F" w14:paraId="7982DA8F" w14:textId="77777777">
      <w:pPr>
        <w:numPr>
          <w:ilvl w:val="0"/>
          <w:numId w:val="57"/>
        </w:numPr>
        <w:spacing w:before="100" w:beforeAutospacing="1" w:after="100" w:afterAutospacing="1" w:line="240" w:lineRule="auto"/>
        <w:ind w:right="0"/>
        <w:jc w:val="left"/>
        <w:rPr>
          <w:rFonts w:eastAsiaTheme="minorHAnsi"/>
          <w:color w:val="auto"/>
          <w:sz w:val="22"/>
        </w:rPr>
      </w:pPr>
      <w:r w:rsidRPr="0023137F">
        <w:rPr>
          <w:rFonts w:eastAsiaTheme="minorHAnsi"/>
          <w:color w:val="auto"/>
          <w:sz w:val="22"/>
        </w:rPr>
        <w:t>Training &amp; Supervision: Targeted efforts across all directorates to increase safeguarding competence and compliance.</w:t>
      </w:r>
    </w:p>
    <w:p w:rsidRPr="0023137F" w:rsidR="0023137F" w:rsidP="0023137F" w:rsidRDefault="0023137F" w14:paraId="2C078B66" w14:textId="77777777">
      <w:pPr>
        <w:numPr>
          <w:ilvl w:val="0"/>
          <w:numId w:val="57"/>
        </w:numPr>
        <w:spacing w:before="100" w:beforeAutospacing="1" w:after="100" w:afterAutospacing="1" w:line="240" w:lineRule="auto"/>
        <w:ind w:right="0"/>
        <w:jc w:val="left"/>
        <w:rPr>
          <w:rFonts w:eastAsiaTheme="minorHAnsi"/>
          <w:color w:val="auto"/>
          <w:sz w:val="22"/>
        </w:rPr>
      </w:pPr>
      <w:r w:rsidRPr="0023137F">
        <w:rPr>
          <w:rFonts w:eastAsiaTheme="minorHAnsi"/>
          <w:color w:val="auto"/>
          <w:sz w:val="22"/>
        </w:rPr>
        <w:t xml:space="preserve">Data Quality: Enhanced </w:t>
      </w:r>
      <w:proofErr w:type="spellStart"/>
      <w:r w:rsidRPr="0023137F">
        <w:rPr>
          <w:rFonts w:eastAsiaTheme="minorHAnsi"/>
          <w:color w:val="auto"/>
          <w:sz w:val="22"/>
        </w:rPr>
        <w:t>InPhase</w:t>
      </w:r>
      <w:proofErr w:type="spellEnd"/>
      <w:r w:rsidRPr="0023137F">
        <w:rPr>
          <w:rFonts w:eastAsiaTheme="minorHAnsi"/>
          <w:color w:val="auto"/>
          <w:sz w:val="22"/>
        </w:rPr>
        <w:t xml:space="preserve"> reporting and audit tools introduced to improve accuracy and clarity.</w:t>
      </w:r>
    </w:p>
    <w:p w:rsidRPr="0023137F" w:rsidR="0023137F" w:rsidP="0023137F" w:rsidRDefault="0023137F" w14:paraId="387B8DD0" w14:textId="77777777">
      <w:pPr>
        <w:numPr>
          <w:ilvl w:val="0"/>
          <w:numId w:val="57"/>
        </w:numPr>
        <w:spacing w:before="100" w:beforeAutospacing="1" w:after="100" w:afterAutospacing="1" w:line="240" w:lineRule="auto"/>
        <w:ind w:right="0"/>
        <w:jc w:val="left"/>
        <w:rPr>
          <w:rFonts w:eastAsiaTheme="minorHAnsi"/>
          <w:color w:val="auto"/>
          <w:sz w:val="22"/>
        </w:rPr>
      </w:pPr>
      <w:r w:rsidRPr="0023137F">
        <w:rPr>
          <w:rFonts w:eastAsiaTheme="minorHAnsi"/>
          <w:color w:val="auto"/>
          <w:sz w:val="22"/>
        </w:rPr>
        <w:t>Child-Centred Practice: Renewed emphasis on capturing the voice and lived experience of children.</w:t>
      </w:r>
    </w:p>
    <w:p w:rsidR="0023137F" w:rsidRDefault="0023137F" w14:paraId="40FCB9C2" w14:textId="5CDEAC7F">
      <w:pPr>
        <w:numPr>
          <w:ilvl w:val="0"/>
          <w:numId w:val="57"/>
        </w:numPr>
        <w:spacing w:before="100" w:beforeAutospacing="1" w:after="100" w:afterAutospacing="1" w:line="240" w:lineRule="auto"/>
        <w:ind w:right="0"/>
        <w:jc w:val="left"/>
        <w:rPr>
          <w:rFonts w:eastAsiaTheme="minorHAnsi"/>
          <w:color w:val="auto"/>
          <w:sz w:val="22"/>
        </w:rPr>
      </w:pPr>
      <w:r w:rsidRPr="0023137F">
        <w:rPr>
          <w:rFonts w:eastAsiaTheme="minorHAnsi"/>
          <w:color w:val="auto"/>
          <w:sz w:val="22"/>
        </w:rPr>
        <w:t>Policy Alignment: Updated safeguarding policies to reflect Think Family and Domestic Abuse guidance.</w:t>
      </w:r>
    </w:p>
    <w:p w:rsidRPr="00DD39B8" w:rsidR="00A647AC" w:rsidP="00EA37DD" w:rsidRDefault="0023137F" w14:paraId="703619B1" w14:textId="04A0ED11">
      <w:pPr>
        <w:numPr>
          <w:ilvl w:val="0"/>
          <w:numId w:val="57"/>
        </w:numPr>
        <w:spacing w:before="100" w:beforeAutospacing="1" w:line="240" w:lineRule="auto"/>
        <w:ind w:right="0"/>
        <w:jc w:val="left"/>
        <w:rPr>
          <w:rFonts w:eastAsiaTheme="minorHAnsi"/>
        </w:rPr>
      </w:pPr>
      <w:r w:rsidRPr="00DD39B8">
        <w:rPr>
          <w:rFonts w:eastAsiaTheme="minorHAnsi"/>
        </w:rPr>
        <w:t>Continuous Learning: Use of repeat audits, supervision, and newsletters to drive quality improvement</w:t>
      </w:r>
    </w:p>
    <w:p w:rsidRPr="00B36900" w:rsidR="00243D88" w:rsidP="00B80E06" w:rsidRDefault="00340E70" w14:paraId="15D6E8A4" w14:textId="5114D9FB">
      <w:pPr>
        <w:pStyle w:val="ListParagraph"/>
        <w:numPr>
          <w:ilvl w:val="0"/>
          <w:numId w:val="27"/>
        </w:numPr>
        <w:spacing w:before="100" w:beforeAutospacing="1" w:after="100" w:afterAutospacing="1" w:line="240" w:lineRule="auto"/>
        <w:ind w:left="567" w:right="0" w:hanging="567"/>
        <w:rPr>
          <w:b/>
          <w:sz w:val="22"/>
        </w:rPr>
      </w:pPr>
      <w:r w:rsidRPr="00B36900">
        <w:rPr>
          <w:b/>
          <w:sz w:val="22"/>
        </w:rPr>
        <w:t xml:space="preserve">Safeguarding Training </w:t>
      </w:r>
      <w:r w:rsidRPr="00B36900" w:rsidR="00855BDF">
        <w:rPr>
          <w:b/>
          <w:sz w:val="22"/>
        </w:rPr>
        <w:t>Compliance</w:t>
      </w:r>
    </w:p>
    <w:p w:rsidRPr="0043090E" w:rsidR="00BA642F" w:rsidP="00B36900" w:rsidRDefault="0043090E" w14:paraId="708CA3C6" w14:textId="19CB0790">
      <w:pPr>
        <w:spacing w:after="160" w:line="259" w:lineRule="auto"/>
        <w:ind w:left="567" w:right="0" w:firstLine="0"/>
        <w:rPr>
          <w:color w:val="auto"/>
          <w:sz w:val="22"/>
          <w:lang w:eastAsia="en-US"/>
        </w:rPr>
      </w:pPr>
      <w:r>
        <w:rPr>
          <w:color w:val="auto"/>
          <w:sz w:val="22"/>
          <w:lang w:eastAsia="en-US"/>
        </w:rPr>
        <w:t xml:space="preserve">The Trust operates under </w:t>
      </w:r>
      <w:r w:rsidRPr="0043090E" w:rsidR="00BA642F">
        <w:rPr>
          <w:color w:val="auto"/>
          <w:sz w:val="22"/>
          <w:lang w:eastAsia="en-US"/>
        </w:rPr>
        <w:t xml:space="preserve">a Safeguarding Training Strategy and Training Needs </w:t>
      </w:r>
      <w:r>
        <w:rPr>
          <w:color w:val="auto"/>
          <w:sz w:val="22"/>
          <w:lang w:eastAsia="en-US"/>
        </w:rPr>
        <w:t>Analysis</w:t>
      </w:r>
      <w:r w:rsidRPr="0043090E" w:rsidR="00B36900">
        <w:rPr>
          <w:color w:val="auto"/>
          <w:sz w:val="22"/>
          <w:lang w:eastAsia="en-US"/>
        </w:rPr>
        <w:t xml:space="preserve">, based on the </w:t>
      </w:r>
      <w:r w:rsidRPr="0043090E" w:rsidR="00BA642F">
        <w:rPr>
          <w:color w:val="auto"/>
          <w:sz w:val="22"/>
          <w:lang w:eastAsia="en-US"/>
        </w:rPr>
        <w:t>Intercollegiate Document, Safeguarding Children and Young People: Roles and Competencies for Health Care Staff. Fourth edition (2019) and Adult Safeguarding: Roles and Competencies for Health care Staff. Second edition: July 2024</w:t>
      </w:r>
      <w:r w:rsidRPr="0043090E" w:rsidR="00BA642F">
        <w:rPr>
          <w:sz w:val="22"/>
        </w:rPr>
        <w:t xml:space="preserve"> </w:t>
      </w:r>
    </w:p>
    <w:p w:rsidR="00406D5D" w:rsidP="00C1760E" w:rsidRDefault="009E6817" w14:paraId="776A8D17" w14:textId="7DCA22B2">
      <w:pPr>
        <w:pStyle w:val="Heading1"/>
        <w:numPr>
          <w:ilvl w:val="0"/>
          <w:numId w:val="0"/>
        </w:numPr>
        <w:ind w:left="1440" w:hanging="731"/>
        <w:jc w:val="center"/>
        <w:rPr>
          <w:b w:val="0"/>
          <w:color w:val="auto"/>
          <w:sz w:val="20"/>
          <w:szCs w:val="20"/>
          <w:lang w:eastAsia="en-US"/>
        </w:rPr>
      </w:pPr>
      <w:r w:rsidRPr="009E6817">
        <w:rPr>
          <w:noProof/>
        </w:rPr>
        <w:drawing>
          <wp:inline distT="0" distB="0" distL="0" distR="0" wp14:anchorId="742D424E" wp14:editId="1E8B7A19">
            <wp:extent cx="5452281" cy="306690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2281" cy="3066909"/>
                    </a:xfrm>
                    <a:prstGeom prst="rect">
                      <a:avLst/>
                    </a:prstGeom>
                  </pic:spPr>
                </pic:pic>
              </a:graphicData>
            </a:graphic>
          </wp:inline>
        </w:drawing>
      </w:r>
    </w:p>
    <w:p w:rsidR="00C53216" w:rsidP="00C53216" w:rsidRDefault="00C53216" w14:paraId="28ED25AB" w14:textId="5D4AF2B8">
      <w:pPr>
        <w:rPr>
          <w:lang w:eastAsia="en-US"/>
        </w:rPr>
      </w:pPr>
    </w:p>
    <w:p w:rsidRPr="0043090E" w:rsidR="00C53216" w:rsidP="00C53216" w:rsidRDefault="00C53216" w14:paraId="4E4040FE" w14:textId="75C7C1CB">
      <w:pPr>
        <w:rPr>
          <w:sz w:val="22"/>
          <w:lang w:eastAsia="en-US"/>
        </w:rPr>
      </w:pPr>
      <w:r w:rsidRPr="0043090E">
        <w:rPr>
          <w:b/>
          <w:color w:val="auto"/>
          <w:sz w:val="22"/>
          <w:lang w:eastAsia="en-US"/>
        </w:rPr>
        <w:t>Safeguarding Training Compliance and Delivery</w:t>
      </w:r>
    </w:p>
    <w:p w:rsidRPr="0043090E" w:rsidR="00406D5D" w:rsidP="00B80E06" w:rsidRDefault="00406D5D" w14:paraId="7F4DEFC3" w14:textId="47850C84">
      <w:pPr>
        <w:pStyle w:val="NormalWeb"/>
        <w:numPr>
          <w:ilvl w:val="0"/>
          <w:numId w:val="22"/>
        </w:numPr>
        <w:ind w:left="993" w:hanging="426"/>
        <w:jc w:val="both"/>
        <w:rPr>
          <w:rFonts w:ascii="Arial" w:hAnsi="Arial" w:eastAsia="Arial" w:cs="Arial"/>
          <w:sz w:val="22"/>
          <w:szCs w:val="22"/>
          <w:lang w:eastAsia="en-US"/>
        </w:rPr>
      </w:pPr>
      <w:r w:rsidRPr="0043090E">
        <w:rPr>
          <w:rFonts w:ascii="Arial" w:hAnsi="Arial" w:eastAsia="Arial" w:cs="Arial"/>
          <w:sz w:val="22"/>
          <w:szCs w:val="22"/>
          <w:lang w:eastAsia="en-US"/>
        </w:rPr>
        <w:t xml:space="preserve">The Trust has demonstrated strong improvement in safeguarding training compliance across </w:t>
      </w:r>
      <w:r w:rsidR="004F6070">
        <w:rPr>
          <w:rFonts w:ascii="Arial" w:hAnsi="Arial" w:eastAsia="Arial" w:cs="Arial"/>
          <w:sz w:val="22"/>
          <w:szCs w:val="22"/>
          <w:lang w:eastAsia="en-US"/>
        </w:rPr>
        <w:t xml:space="preserve">both children and adult safeguarding in </w:t>
      </w:r>
      <w:r w:rsidRPr="0043090E">
        <w:rPr>
          <w:rFonts w:ascii="Arial" w:hAnsi="Arial" w:eastAsia="Arial" w:cs="Arial"/>
          <w:sz w:val="22"/>
          <w:szCs w:val="22"/>
          <w:lang w:eastAsia="en-US"/>
        </w:rPr>
        <w:t>2024/25:</w:t>
      </w:r>
    </w:p>
    <w:p w:rsidRPr="0043090E" w:rsidR="00406D5D" w:rsidP="00B80E06" w:rsidRDefault="00406D5D" w14:paraId="6BF41974" w14:textId="77777777">
      <w:pPr>
        <w:pStyle w:val="NormalWeb"/>
        <w:numPr>
          <w:ilvl w:val="0"/>
          <w:numId w:val="31"/>
        </w:numPr>
        <w:jc w:val="both"/>
        <w:rPr>
          <w:rFonts w:ascii="Arial" w:hAnsi="Arial" w:eastAsia="Arial" w:cs="Arial"/>
          <w:sz w:val="22"/>
          <w:szCs w:val="22"/>
          <w:lang w:eastAsia="en-US"/>
        </w:rPr>
      </w:pPr>
      <w:r w:rsidRPr="0043090E">
        <w:rPr>
          <w:rFonts w:ascii="Arial" w:hAnsi="Arial" w:eastAsia="Arial" w:cs="Arial"/>
          <w:sz w:val="22"/>
          <w:szCs w:val="22"/>
          <w:lang w:eastAsia="en-US"/>
        </w:rPr>
        <w:t>Level 3 Safeguarding Children training compliance rose to 89%, up from 83% in 2023/24 – a 6.7% increase year-on-year.</w:t>
      </w:r>
    </w:p>
    <w:p w:rsidRPr="0043090E" w:rsidR="00243D88" w:rsidP="00B80E06" w:rsidRDefault="00406D5D" w14:paraId="259A70A3" w14:textId="77777777">
      <w:pPr>
        <w:pStyle w:val="NormalWeb"/>
        <w:numPr>
          <w:ilvl w:val="0"/>
          <w:numId w:val="31"/>
        </w:numPr>
        <w:jc w:val="both"/>
        <w:rPr>
          <w:rFonts w:ascii="Arial" w:hAnsi="Arial" w:eastAsia="Arial" w:cs="Arial"/>
          <w:sz w:val="22"/>
          <w:szCs w:val="22"/>
          <w:lang w:eastAsia="en-US"/>
        </w:rPr>
      </w:pPr>
      <w:r w:rsidRPr="0043090E">
        <w:rPr>
          <w:rFonts w:ascii="Arial" w:hAnsi="Arial" w:eastAsia="Arial" w:cs="Arial"/>
          <w:sz w:val="22"/>
          <w:szCs w:val="22"/>
          <w:lang w:eastAsia="en-US"/>
        </w:rPr>
        <w:t>Level 3 Adult Safeguarding training compliance saw a substantial rise from 62.3% to 89%, reflecting a 26.7% improvement over the reporting period.</w:t>
      </w:r>
    </w:p>
    <w:p w:rsidRPr="0043090E" w:rsidR="00243D88" w:rsidP="00C1760E" w:rsidRDefault="00243D88" w14:paraId="4E13598A" w14:textId="6C6A968F">
      <w:pPr>
        <w:pStyle w:val="ListParagraph"/>
        <w:spacing w:before="100" w:beforeAutospacing="1" w:after="100" w:afterAutospacing="1" w:line="240" w:lineRule="auto"/>
        <w:ind w:left="567" w:right="0" w:firstLine="0"/>
        <w:rPr>
          <w:sz w:val="22"/>
          <w:lang w:eastAsia="en-US"/>
        </w:rPr>
      </w:pPr>
      <w:r w:rsidRPr="0043090E">
        <w:rPr>
          <w:sz w:val="22"/>
        </w:rPr>
        <w:t>T</w:t>
      </w:r>
      <w:r w:rsidRPr="0043090E" w:rsidR="00406D5D">
        <w:rPr>
          <w:sz w:val="22"/>
        </w:rPr>
        <w:t>he</w:t>
      </w:r>
      <w:r w:rsidRPr="0043090E" w:rsidR="00406D5D">
        <w:rPr>
          <w:color w:val="auto"/>
          <w:sz w:val="22"/>
          <w:lang w:eastAsia="en-US"/>
        </w:rPr>
        <w:t xml:space="preserve"> Safeguarding Team delivered 45 Level 3 training sessions for both adult and children’s safeguarding, training 2,763 staff members in 2024/25. While this is a 21% decrease in attendance compared to 3,485 staff in 2023/24, overall compliance improved due to more targeted training delivery aligned to strategic priorities.</w:t>
      </w:r>
    </w:p>
    <w:p w:rsidRPr="0043090E" w:rsidR="00416422" w:rsidP="00C1760E" w:rsidRDefault="00416422" w14:paraId="501ECBC8" w14:textId="77777777">
      <w:pPr>
        <w:pStyle w:val="ListParagraph"/>
        <w:spacing w:before="100" w:beforeAutospacing="1" w:after="100" w:afterAutospacing="1" w:line="240" w:lineRule="auto"/>
        <w:ind w:left="567" w:right="0" w:firstLine="0"/>
        <w:rPr>
          <w:sz w:val="22"/>
          <w:lang w:eastAsia="en-US"/>
        </w:rPr>
      </w:pPr>
    </w:p>
    <w:p w:rsidRPr="0043090E" w:rsidR="00243D88" w:rsidP="00C1760E" w:rsidRDefault="00406D5D" w14:paraId="60F29DF0" w14:textId="77777777">
      <w:pPr>
        <w:pStyle w:val="ListParagraph"/>
        <w:spacing w:before="100" w:beforeAutospacing="1" w:after="100" w:afterAutospacing="1" w:line="240" w:lineRule="auto"/>
        <w:ind w:left="567" w:right="0" w:firstLine="0"/>
        <w:rPr>
          <w:sz w:val="22"/>
          <w:lang w:eastAsia="en-US"/>
        </w:rPr>
      </w:pPr>
      <w:r w:rsidRPr="0043090E">
        <w:rPr>
          <w:sz w:val="22"/>
        </w:rPr>
        <w:t>Combined</w:t>
      </w:r>
      <w:r w:rsidRPr="0043090E">
        <w:rPr>
          <w:color w:val="auto"/>
          <w:sz w:val="22"/>
          <w:lang w:eastAsia="en-US"/>
        </w:rPr>
        <w:t xml:space="preserve"> safeguarding training compliance for adults and children exceeded 88%, evidencing a well-coordinated and effective training approach that supports the Trust’s statutory obligations and quality standards.</w:t>
      </w:r>
    </w:p>
    <w:p w:rsidRPr="0043090E" w:rsidR="00FA49A3" w:rsidP="00C1760E" w:rsidRDefault="00406D5D" w14:paraId="7B32C435" w14:textId="3FDA1D34">
      <w:pPr>
        <w:pStyle w:val="NormalWeb"/>
        <w:ind w:firstLine="567"/>
        <w:jc w:val="both"/>
        <w:rPr>
          <w:rFonts w:ascii="Arial" w:hAnsi="Arial" w:eastAsia="Arial" w:cs="Arial"/>
          <w:b/>
          <w:sz w:val="22"/>
          <w:szCs w:val="22"/>
          <w:lang w:eastAsia="en-US"/>
        </w:rPr>
      </w:pPr>
      <w:r w:rsidRPr="0043090E">
        <w:rPr>
          <w:rFonts w:ascii="Arial" w:hAnsi="Arial" w:cs="Arial"/>
          <w:b/>
          <w:sz w:val="22"/>
          <w:szCs w:val="22"/>
        </w:rPr>
        <w:t>Training</w:t>
      </w:r>
      <w:r w:rsidRPr="0043090E">
        <w:rPr>
          <w:rFonts w:ascii="Arial" w:hAnsi="Arial" w:cs="Arial"/>
          <w:b/>
          <w:sz w:val="22"/>
          <w:szCs w:val="22"/>
          <w:lang w:eastAsia="en-US"/>
        </w:rPr>
        <w:t xml:space="preserve"> Feedback</w:t>
      </w:r>
    </w:p>
    <w:p w:rsidRPr="0043090E" w:rsidR="00406D5D" w:rsidP="00C1760E" w:rsidRDefault="00406D5D" w14:paraId="6059E2C2" w14:textId="77777777">
      <w:pPr>
        <w:pStyle w:val="BodyText"/>
        <w:numPr>
          <w:ilvl w:val="0"/>
          <w:numId w:val="7"/>
        </w:numPr>
        <w:ind w:left="993" w:hanging="426"/>
        <w:jc w:val="both"/>
        <w:rPr>
          <w:rFonts w:cs="Arial"/>
          <w:lang w:val="en-GB"/>
        </w:rPr>
      </w:pPr>
      <w:r w:rsidRPr="0043090E">
        <w:rPr>
          <w:rFonts w:cs="Arial"/>
          <w:lang w:val="en-GB"/>
        </w:rPr>
        <w:t>96% of staff rated their confidence and knowledge as 4 or 5 out of 5 after attending Level 3 training.</w:t>
      </w:r>
    </w:p>
    <w:p w:rsidRPr="0043090E" w:rsidR="00FA49A3" w:rsidP="00243D88" w:rsidRDefault="00FA49A3" w14:paraId="1272C24B" w14:textId="77777777">
      <w:pPr>
        <w:pStyle w:val="BodyText"/>
        <w:numPr>
          <w:ilvl w:val="0"/>
          <w:numId w:val="0"/>
        </w:numPr>
        <w:jc w:val="both"/>
        <w:rPr>
          <w:rFonts w:cs="Arial"/>
          <w:lang w:val="en-GB"/>
        </w:rPr>
      </w:pPr>
    </w:p>
    <w:p w:rsidR="00D2137D" w:rsidP="00243D88" w:rsidRDefault="00A54692" w14:paraId="00F7AEF8" w14:textId="44253E0D">
      <w:pPr>
        <w:ind w:left="1810"/>
        <w:rPr>
          <w:rFonts w:ascii="Calibri" w:hAnsi="Calibri" w:cs="Calibri" w:eastAsiaTheme="minorHAnsi"/>
          <w:color w:val="C00000"/>
          <w:sz w:val="22"/>
        </w:rPr>
      </w:pPr>
      <w:r>
        <w:rPr>
          <w:noProof/>
        </w:rPr>
        <w:drawing>
          <wp:inline distT="0" distB="0" distL="0" distR="0" wp14:anchorId="25474A1F" wp14:editId="4341D1D9">
            <wp:extent cx="5554601" cy="10875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37829" cy="1103895"/>
                    </a:xfrm>
                    <a:prstGeom prst="rect">
                      <a:avLst/>
                    </a:prstGeom>
                  </pic:spPr>
                </pic:pic>
              </a:graphicData>
            </a:graphic>
          </wp:inline>
        </w:drawing>
      </w:r>
    </w:p>
    <w:p w:rsidR="00D2137D" w:rsidP="00E5550A" w:rsidRDefault="00D2137D" w14:paraId="449BE595" w14:textId="497C8831">
      <w:pPr>
        <w:rPr>
          <w:rFonts w:ascii="Calibri" w:hAnsi="Calibri" w:cs="Calibri" w:eastAsiaTheme="minorHAnsi"/>
          <w:color w:val="C00000"/>
          <w:sz w:val="22"/>
        </w:rPr>
      </w:pPr>
    </w:p>
    <w:p w:rsidRPr="00416422" w:rsidR="00D2137D" w:rsidP="00C1760E" w:rsidRDefault="00D2137D" w14:paraId="204333A5" w14:textId="7FC49970">
      <w:pPr>
        <w:pStyle w:val="ListParagraph"/>
        <w:spacing w:before="100" w:beforeAutospacing="1" w:after="100" w:afterAutospacing="1" w:line="240" w:lineRule="auto"/>
        <w:ind w:left="1850" w:right="0" w:firstLine="0"/>
        <w:rPr>
          <w:b/>
          <w:sz w:val="22"/>
        </w:rPr>
      </w:pPr>
      <w:r w:rsidRPr="00416422">
        <w:rPr>
          <w:b/>
          <w:sz w:val="22"/>
        </w:rPr>
        <w:t>Prevent Training (Basic Awareness Prevent – BAP)</w:t>
      </w:r>
    </w:p>
    <w:p w:rsidRPr="0043090E" w:rsidR="00E40FDE" w:rsidP="74D63591" w:rsidRDefault="00C53216" w14:paraId="47C77E87" w14:textId="05C339CB">
      <w:pPr>
        <w:pStyle w:val="NormalWeb"/>
        <w:ind w:left="1429"/>
        <w:rPr>
          <w:rFonts w:ascii="Arial" w:hAnsi="Arial" w:cs="Arial"/>
          <w:sz w:val="22"/>
          <w:szCs w:val="22"/>
        </w:rPr>
      </w:pPr>
      <w:r w:rsidR="009E6817">
        <w:drawing>
          <wp:inline wp14:editId="1837A097" wp14:anchorId="2E84CA63">
            <wp:extent cx="5340350" cy="2858156"/>
            <wp:effectExtent l="0" t="0" r="0" b="0"/>
            <wp:docPr id="11" name="Picture 1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5369900" cy="2873971"/>
                    </a:xfrm>
                    <a:prstGeom prst="rect">
                      <a:avLst/>
                    </a:prstGeom>
                  </pic:spPr>
                </pic:pic>
              </a:graphicData>
            </a:graphic>
          </wp:inline>
        </w:drawing>
      </w:r>
      <w:r w:rsidRPr="74D63591" w:rsidR="009E6817">
        <w:rPr>
          <w:b w:val="1"/>
          <w:bCs w:val="1"/>
          <w:color w:val="C00000"/>
        </w:rPr>
        <w:t xml:space="preserve"> </w:t>
      </w:r>
    </w:p>
    <w:p w:rsidRPr="0043090E" w:rsidR="00E40FDE" w:rsidP="74D63591" w:rsidRDefault="00C53216" w14:textId="7B158A4D" w14:paraId="63D2BEC0">
      <w:pPr>
        <w:pStyle w:val="NormalWeb"/>
        <w:ind w:left="1429"/>
        <w:rPr>
          <w:rFonts w:ascii="Arial" w:hAnsi="Arial" w:cs="Arial"/>
          <w:sz w:val="22"/>
          <w:szCs w:val="22"/>
        </w:rPr>
      </w:pPr>
      <w:r w:rsidRPr="0043090E" w:rsidR="00E40FDE">
        <w:rPr>
          <w:rFonts w:ascii="Arial" w:hAnsi="Arial" w:cs="Arial"/>
          <w:sz w:val="22"/>
          <w:szCs w:val="22"/>
        </w:rPr>
        <w:t>BAP Level 1 compliance remained consistently above the 90% target throughout 2024/25.</w:t>
      </w:r>
    </w:p>
    <w:p w:rsidRPr="0043090E" w:rsidR="00E40FDE" w:rsidP="74D63591" w:rsidRDefault="00C53216" w14:paraId="77BC9D7B" w14:textId="3D7DA294">
      <w:pPr>
        <w:pStyle w:val="NormalWeb"/>
        <w:ind w:left="1429"/>
        <w:rPr>
          <w:rFonts w:ascii="Arial" w:hAnsi="Arial" w:cs="Arial"/>
          <w:sz w:val="22"/>
          <w:szCs w:val="22"/>
        </w:rPr>
      </w:pPr>
      <w:r w:rsidRPr="74D63591" w:rsidR="00D2137D">
        <w:rPr>
          <w:rFonts w:ascii="Arial" w:hAnsi="Arial" w:cs="Arial"/>
          <w:sz w:val="22"/>
          <w:szCs w:val="22"/>
        </w:rPr>
        <w:t>BAP Level 3 experienced a temporary decline due to a national change requiring refresher</w:t>
      </w:r>
    </w:p>
    <w:p w:rsidRPr="0043090E" w:rsidR="00E40FDE" w:rsidP="74D63591" w:rsidRDefault="00C53216" w14:paraId="74FEA75D" w14:textId="189E4C06">
      <w:pPr>
        <w:pStyle w:val="NormalWeb"/>
        <w:ind w:left="1429"/>
        <w:rPr>
          <w:rFonts w:ascii="Arial" w:hAnsi="Arial" w:cs="Arial"/>
          <w:sz w:val="22"/>
          <w:szCs w:val="22"/>
        </w:rPr>
      </w:pPr>
      <w:r w:rsidRPr="74D63591" w:rsidR="0F0F70E5">
        <w:rPr>
          <w:rFonts w:ascii="Arial" w:hAnsi="Arial" w:cs="Arial"/>
          <w:sz w:val="22"/>
          <w:szCs w:val="22"/>
        </w:rPr>
        <w:t>t</w:t>
      </w:r>
      <w:r w:rsidRPr="74D63591" w:rsidR="00D2137D">
        <w:rPr>
          <w:rFonts w:ascii="Arial" w:hAnsi="Arial" w:cs="Arial"/>
          <w:sz w:val="22"/>
          <w:szCs w:val="22"/>
        </w:rPr>
        <w:t>raining every three years. This adjustment led to a drop in compliance from 94% to 54% between Q4 2023/24 and Q1 2024/25. Recovery efforts have been effective, with compliance now at 83% and on track to reach the 90% target in Q1 2025/26.</w:t>
      </w:r>
    </w:p>
    <w:p w:rsidRPr="00C53216" w:rsidR="00595235" w:rsidP="00B80E06" w:rsidRDefault="00C86AEA" w14:paraId="199CF13B" w14:textId="4E8A517A">
      <w:pPr>
        <w:pStyle w:val="ListParagraph"/>
        <w:numPr>
          <w:ilvl w:val="0"/>
          <w:numId w:val="27"/>
        </w:numPr>
        <w:spacing w:before="100" w:beforeAutospacing="1" w:after="100" w:afterAutospacing="1" w:line="240" w:lineRule="auto"/>
        <w:ind w:left="567" w:right="0" w:hanging="567"/>
        <w:rPr>
          <w:sz w:val="22"/>
        </w:rPr>
      </w:pPr>
      <w:r w:rsidRPr="00C53216">
        <w:rPr>
          <w:b/>
          <w:sz w:val="22"/>
        </w:rPr>
        <w:t>S</w:t>
      </w:r>
      <w:r w:rsidRPr="00C53216" w:rsidR="00855BDF">
        <w:rPr>
          <w:b/>
          <w:sz w:val="22"/>
        </w:rPr>
        <w:t>afeguarding Supervision</w:t>
      </w:r>
    </w:p>
    <w:p w:rsidRPr="0043090E" w:rsidR="00CC78C4" w:rsidP="00C1760E" w:rsidRDefault="00CC78C4" w14:paraId="49DE103E" w14:textId="5D61B942">
      <w:pPr>
        <w:pStyle w:val="NormalWeb"/>
        <w:ind w:left="567"/>
        <w:jc w:val="both"/>
        <w:rPr>
          <w:rFonts w:ascii="Arial" w:hAnsi="Arial" w:cs="Arial"/>
          <w:sz w:val="22"/>
          <w:szCs w:val="22"/>
        </w:rPr>
      </w:pPr>
      <w:r w:rsidRPr="0043090E">
        <w:rPr>
          <w:rFonts w:ascii="Arial" w:hAnsi="Arial" w:cs="Arial"/>
          <w:sz w:val="22"/>
          <w:szCs w:val="22"/>
        </w:rPr>
        <w:t>Safeguarding supervision for both adults and children continues to be delivered in line with Trust policies, reinforcing our commitment to high-quality safeguarding practice. Supervision remains a key mechanism for assurance, reflective practice, and professional development. It provides a structured forum for learning, supports practitioners in managing emotional demands, and enables critical analysis of complex safeguarding concerns.</w:t>
      </w:r>
    </w:p>
    <w:p w:rsidRPr="0043090E" w:rsidR="00CC78C4" w:rsidP="003D3F6F" w:rsidRDefault="00CC78C4" w14:paraId="6721E7C6" w14:textId="1CEDD93C">
      <w:pPr>
        <w:spacing w:before="100" w:beforeAutospacing="1" w:after="100" w:afterAutospacing="1" w:line="240" w:lineRule="auto"/>
        <w:ind w:left="567" w:right="0" w:firstLine="10"/>
        <w:rPr>
          <w:sz w:val="22"/>
        </w:rPr>
      </w:pPr>
      <w:r w:rsidRPr="0043090E">
        <w:rPr>
          <w:sz w:val="22"/>
        </w:rPr>
        <w:t xml:space="preserve">In 2024–25, there </w:t>
      </w:r>
      <w:r w:rsidR="00406069">
        <w:rPr>
          <w:sz w:val="22"/>
        </w:rPr>
        <w:t xml:space="preserve">was </w:t>
      </w:r>
      <w:r w:rsidRPr="0043090E">
        <w:rPr>
          <w:sz w:val="22"/>
        </w:rPr>
        <w:t>a marked increase in both planned and ad hoc supervision activity across the Trust. Several services achieved 100% compliance, reflecting sustained engagement with the safeguarding supervision framework. Supervision is now well-integrated across service lines, delivered through face-to-face sessions, group work, 1:1 meetings, and telephone consultations.</w:t>
      </w:r>
    </w:p>
    <w:p w:rsidRPr="0043090E" w:rsidR="00CC78C4" w:rsidP="003D3F6F" w:rsidRDefault="00C86AEA" w14:paraId="1AC57B30" w14:textId="2A3A3E7C">
      <w:pPr>
        <w:pStyle w:val="NormalWeb"/>
        <w:ind w:left="851" w:hanging="284"/>
        <w:rPr>
          <w:rFonts w:ascii="Arial" w:hAnsi="Arial" w:cs="Arial"/>
          <w:sz w:val="22"/>
          <w:szCs w:val="22"/>
        </w:rPr>
      </w:pPr>
      <w:r w:rsidRPr="0043090E">
        <w:rPr>
          <w:rFonts w:ascii="Arial" w:hAnsi="Arial" w:cs="Arial"/>
          <w:sz w:val="22"/>
          <w:szCs w:val="22"/>
        </w:rPr>
        <w:t>T</w:t>
      </w:r>
      <w:r w:rsidRPr="0043090E" w:rsidR="00CC78C4">
        <w:rPr>
          <w:rFonts w:ascii="Arial" w:hAnsi="Arial" w:cs="Arial"/>
          <w:sz w:val="22"/>
          <w:szCs w:val="22"/>
        </w:rPr>
        <w:t>he safeguarding supervision platform has evolved into a multi-functional tool for:</w:t>
      </w:r>
    </w:p>
    <w:p w:rsidRPr="0043090E" w:rsidR="00CC78C4" w:rsidP="003D3F6F" w:rsidRDefault="00CC78C4" w14:paraId="25139544" w14:textId="77777777">
      <w:pPr>
        <w:pStyle w:val="NormalWeb"/>
        <w:numPr>
          <w:ilvl w:val="2"/>
          <w:numId w:val="7"/>
        </w:numPr>
        <w:ind w:left="851" w:hanging="284"/>
        <w:rPr>
          <w:rFonts w:ascii="Arial" w:hAnsi="Arial" w:cs="Arial"/>
          <w:sz w:val="22"/>
          <w:szCs w:val="22"/>
        </w:rPr>
      </w:pPr>
      <w:r w:rsidRPr="0043090E">
        <w:rPr>
          <w:rFonts w:ascii="Arial" w:hAnsi="Arial" w:cs="Arial"/>
          <w:sz w:val="22"/>
          <w:szCs w:val="22"/>
        </w:rPr>
        <w:t>Delivering bespoke training by Named Professionals</w:t>
      </w:r>
    </w:p>
    <w:p w:rsidRPr="0043090E" w:rsidR="00CC78C4" w:rsidP="003D3F6F" w:rsidRDefault="00CC78C4" w14:paraId="7B520759" w14:textId="77777777">
      <w:pPr>
        <w:pStyle w:val="NormalWeb"/>
        <w:numPr>
          <w:ilvl w:val="2"/>
          <w:numId w:val="7"/>
        </w:numPr>
        <w:ind w:left="851" w:hanging="284"/>
        <w:rPr>
          <w:rFonts w:ascii="Arial" w:hAnsi="Arial" w:cs="Arial"/>
          <w:sz w:val="22"/>
          <w:szCs w:val="22"/>
        </w:rPr>
      </w:pPr>
      <w:r w:rsidRPr="0043090E">
        <w:rPr>
          <w:rFonts w:ascii="Arial" w:hAnsi="Arial" w:cs="Arial"/>
          <w:sz w:val="22"/>
          <w:szCs w:val="22"/>
        </w:rPr>
        <w:t>Disseminating learning from local and national reviews</w:t>
      </w:r>
    </w:p>
    <w:p w:rsidRPr="0043090E" w:rsidR="00CC78C4" w:rsidP="003D3F6F" w:rsidRDefault="00CC78C4" w14:paraId="14F0E3A3" w14:textId="77777777">
      <w:pPr>
        <w:pStyle w:val="NormalWeb"/>
        <w:numPr>
          <w:ilvl w:val="2"/>
          <w:numId w:val="7"/>
        </w:numPr>
        <w:ind w:left="851" w:hanging="284"/>
        <w:rPr>
          <w:rFonts w:ascii="Arial" w:hAnsi="Arial" w:cs="Arial"/>
          <w:sz w:val="22"/>
          <w:szCs w:val="22"/>
        </w:rPr>
      </w:pPr>
      <w:r w:rsidRPr="0043090E">
        <w:rPr>
          <w:rFonts w:ascii="Arial" w:hAnsi="Arial" w:cs="Arial"/>
          <w:sz w:val="22"/>
          <w:szCs w:val="22"/>
        </w:rPr>
        <w:t>Sharing findings from audit activity and thematic analysis</w:t>
      </w:r>
    </w:p>
    <w:p w:rsidRPr="0043090E" w:rsidR="00CC78C4" w:rsidP="003D3F6F" w:rsidRDefault="00CC78C4" w14:paraId="785992E4" w14:textId="34B248D4">
      <w:pPr>
        <w:pStyle w:val="NormalWeb"/>
        <w:ind w:left="567"/>
        <w:jc w:val="both"/>
        <w:rPr>
          <w:rFonts w:ascii="Arial" w:hAnsi="Arial" w:cs="Arial"/>
          <w:sz w:val="22"/>
          <w:szCs w:val="22"/>
        </w:rPr>
      </w:pPr>
      <w:r w:rsidRPr="0043090E">
        <w:rPr>
          <w:rFonts w:ascii="Arial" w:hAnsi="Arial" w:cs="Arial"/>
          <w:sz w:val="22"/>
          <w:szCs w:val="22"/>
        </w:rPr>
        <w:t>Named Professionals played a key role in multidisciplinary forums such as High-Risk Panels, Complex Case Panels, MARAC, and Channel Panel, offering expert safeguarding advice and co-developing safety plans for complex cases.</w:t>
      </w:r>
    </w:p>
    <w:p w:rsidRPr="0043090E" w:rsidR="00EB6A72" w:rsidP="003D3F6F" w:rsidRDefault="00CC78C4" w14:paraId="1F653B40" w14:textId="0D3E53AB">
      <w:pPr>
        <w:pStyle w:val="NormalWeb"/>
        <w:ind w:left="567"/>
        <w:jc w:val="both"/>
        <w:rPr>
          <w:rFonts w:ascii="Arial" w:hAnsi="Arial" w:cs="Arial"/>
          <w:sz w:val="22"/>
          <w:szCs w:val="22"/>
        </w:rPr>
      </w:pPr>
      <w:r w:rsidRPr="0043090E">
        <w:rPr>
          <w:rFonts w:ascii="Arial" w:hAnsi="Arial" w:cs="Arial"/>
          <w:sz w:val="22"/>
          <w:szCs w:val="22"/>
        </w:rPr>
        <w:t xml:space="preserve">The safeguarding team was contacted </w:t>
      </w:r>
      <w:r w:rsidRPr="0043090E" w:rsidR="005D476E">
        <w:rPr>
          <w:rFonts w:ascii="Arial" w:hAnsi="Arial" w:cs="Arial"/>
          <w:sz w:val="22"/>
          <w:szCs w:val="22"/>
        </w:rPr>
        <w:t xml:space="preserve">2240 </w:t>
      </w:r>
      <w:r w:rsidRPr="0043090E">
        <w:rPr>
          <w:rFonts w:ascii="Arial" w:hAnsi="Arial" w:cs="Arial"/>
          <w:sz w:val="22"/>
          <w:szCs w:val="22"/>
        </w:rPr>
        <w:t>times for a</w:t>
      </w:r>
      <w:r w:rsidRPr="0043090E" w:rsidR="00DE1012">
        <w:rPr>
          <w:rFonts w:ascii="Arial" w:hAnsi="Arial" w:cs="Arial"/>
          <w:sz w:val="22"/>
          <w:szCs w:val="22"/>
        </w:rPr>
        <w:t>d hoc supervision, and provided</w:t>
      </w:r>
      <w:r w:rsidRPr="0043090E">
        <w:rPr>
          <w:rFonts w:ascii="Arial" w:hAnsi="Arial" w:cs="Arial"/>
          <w:sz w:val="22"/>
          <w:szCs w:val="22"/>
        </w:rPr>
        <w:t xml:space="preserve"> </w:t>
      </w:r>
      <w:r w:rsidRPr="0043090E" w:rsidR="005D476E">
        <w:rPr>
          <w:rFonts w:ascii="Arial" w:hAnsi="Arial" w:cs="Arial"/>
          <w:sz w:val="22"/>
          <w:szCs w:val="22"/>
        </w:rPr>
        <w:t xml:space="preserve">958 </w:t>
      </w:r>
      <w:r w:rsidRPr="0043090E">
        <w:rPr>
          <w:rFonts w:ascii="Arial" w:hAnsi="Arial" w:cs="Arial"/>
          <w:sz w:val="22"/>
          <w:szCs w:val="22"/>
        </w:rPr>
        <w:t>planned supervision sessions, demonstrating a high level of demand. A data improvement project is underway to better capture the volume and complexity of supervision contacts, as current metrics underreport activity (one advice form per case, despite multiple interactions).</w:t>
      </w:r>
    </w:p>
    <w:p w:rsidR="00CC78C4" w:rsidP="003D3F6F" w:rsidRDefault="003D3F6F" w14:paraId="099EDAFF" w14:textId="46F046F6">
      <w:pPr>
        <w:spacing w:before="100" w:beforeAutospacing="1" w:after="100" w:afterAutospacing="1" w:line="240" w:lineRule="auto"/>
        <w:ind w:left="567" w:right="0" w:firstLine="0"/>
        <w:rPr>
          <w:b/>
          <w:sz w:val="22"/>
        </w:rPr>
      </w:pPr>
      <w:r w:rsidRPr="001B2E64">
        <w:rPr>
          <w:noProof/>
        </w:rPr>
        <w:drawing>
          <wp:anchor distT="0" distB="0" distL="114300" distR="114300" simplePos="0" relativeHeight="251661312" behindDoc="1" locked="0" layoutInCell="1" allowOverlap="1" wp14:anchorId="713692AB" wp14:editId="7DC9A882">
            <wp:simplePos x="0" y="0"/>
            <wp:positionH relativeFrom="column">
              <wp:posOffset>808258</wp:posOffset>
            </wp:positionH>
            <wp:positionV relativeFrom="paragraph">
              <wp:posOffset>228405</wp:posOffset>
            </wp:positionV>
            <wp:extent cx="5389685" cy="3031698"/>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389685" cy="3031698"/>
                    </a:xfrm>
                    <a:prstGeom prst="rect">
                      <a:avLst/>
                    </a:prstGeom>
                  </pic:spPr>
                </pic:pic>
              </a:graphicData>
            </a:graphic>
          </wp:anchor>
        </w:drawing>
      </w:r>
      <w:r w:rsidRPr="00C53216" w:rsidR="00CC78C4">
        <w:rPr>
          <w:b/>
          <w:sz w:val="22"/>
        </w:rPr>
        <w:t>Children’s</w:t>
      </w:r>
      <w:r w:rsidRPr="00C53216" w:rsidR="00CC78C4">
        <w:rPr>
          <w:rFonts w:eastAsia="Times New Roman"/>
          <w:color w:val="auto"/>
          <w:sz w:val="20"/>
          <w:szCs w:val="20"/>
        </w:rPr>
        <w:t xml:space="preserve"> </w:t>
      </w:r>
      <w:r w:rsidRPr="00C53216" w:rsidR="00CC78C4">
        <w:rPr>
          <w:b/>
          <w:sz w:val="22"/>
        </w:rPr>
        <w:t>Safeguarding Supervision</w:t>
      </w:r>
    </w:p>
    <w:p w:rsidR="00DA3B9B" w:rsidP="003D3F6F" w:rsidRDefault="00DA3B9B" w14:paraId="4043D630" w14:textId="77777777">
      <w:pPr>
        <w:spacing w:before="100" w:beforeAutospacing="1" w:after="100" w:afterAutospacing="1" w:line="240" w:lineRule="auto"/>
        <w:ind w:left="567" w:right="0" w:firstLine="0"/>
        <w:rPr>
          <w:b/>
          <w:sz w:val="22"/>
        </w:rPr>
      </w:pPr>
    </w:p>
    <w:p w:rsidR="00DA3B9B" w:rsidP="003D3F6F" w:rsidRDefault="00DA3B9B" w14:paraId="1CB8D7B2" w14:textId="77777777">
      <w:pPr>
        <w:spacing w:before="100" w:beforeAutospacing="1" w:after="100" w:afterAutospacing="1" w:line="240" w:lineRule="auto"/>
        <w:ind w:left="567" w:right="0" w:firstLine="0"/>
        <w:rPr>
          <w:b/>
          <w:sz w:val="22"/>
        </w:rPr>
      </w:pPr>
    </w:p>
    <w:p w:rsidR="00DA3B9B" w:rsidP="003D3F6F" w:rsidRDefault="00DA3B9B" w14:paraId="68D29CFF" w14:textId="77777777">
      <w:pPr>
        <w:spacing w:before="100" w:beforeAutospacing="1" w:after="100" w:afterAutospacing="1" w:line="240" w:lineRule="auto"/>
        <w:ind w:left="567" w:right="0" w:firstLine="0"/>
        <w:rPr>
          <w:b/>
          <w:sz w:val="22"/>
        </w:rPr>
      </w:pPr>
    </w:p>
    <w:p w:rsidR="00DA3B9B" w:rsidP="003D3F6F" w:rsidRDefault="00DA3B9B" w14:paraId="44B32B05" w14:textId="77777777">
      <w:pPr>
        <w:spacing w:before="100" w:beforeAutospacing="1" w:after="100" w:afterAutospacing="1" w:line="240" w:lineRule="auto"/>
        <w:ind w:left="567" w:right="0" w:firstLine="0"/>
        <w:rPr>
          <w:b/>
          <w:sz w:val="22"/>
        </w:rPr>
      </w:pPr>
    </w:p>
    <w:p w:rsidRPr="00C53216" w:rsidR="00DA3B9B" w:rsidP="003D3F6F" w:rsidRDefault="00DA3B9B" w14:paraId="22B2D3DA" w14:textId="77777777">
      <w:pPr>
        <w:spacing w:before="100" w:beforeAutospacing="1" w:after="100" w:afterAutospacing="1" w:line="240" w:lineRule="auto"/>
        <w:ind w:left="567" w:right="0" w:firstLine="0"/>
        <w:rPr>
          <w:rFonts w:eastAsia="Times New Roman"/>
          <w:color w:val="auto"/>
          <w:sz w:val="20"/>
          <w:szCs w:val="20"/>
        </w:rPr>
      </w:pPr>
    </w:p>
    <w:p w:rsidR="003D3F6F" w:rsidP="00416422" w:rsidRDefault="003D3F6F" w14:paraId="763E8D72" w14:textId="29C29B1E">
      <w:pPr>
        <w:ind w:left="1886" w:hanging="446"/>
      </w:pPr>
    </w:p>
    <w:p w:rsidR="003D3F6F" w:rsidP="00416422" w:rsidRDefault="003D3F6F" w14:paraId="347C6F1D" w14:textId="55F94005">
      <w:pPr>
        <w:ind w:left="1886" w:hanging="446"/>
      </w:pPr>
    </w:p>
    <w:p w:rsidR="003D3F6F" w:rsidP="00416422" w:rsidRDefault="003D3F6F" w14:paraId="7E7FAD0A" w14:textId="5851A0E3">
      <w:pPr>
        <w:ind w:left="1886" w:hanging="446"/>
      </w:pPr>
    </w:p>
    <w:p w:rsidR="003D3F6F" w:rsidP="00416422" w:rsidRDefault="003D3F6F" w14:paraId="4E96153B" w14:textId="7A02FA8A">
      <w:pPr>
        <w:ind w:left="1886" w:hanging="446"/>
      </w:pPr>
    </w:p>
    <w:p w:rsidR="003D3F6F" w:rsidP="00416422" w:rsidRDefault="003D3F6F" w14:paraId="5F52735F" w14:textId="5F74A1C1">
      <w:pPr>
        <w:ind w:left="1886" w:hanging="446"/>
      </w:pPr>
    </w:p>
    <w:p w:rsidR="003D3F6F" w:rsidP="00416422" w:rsidRDefault="003D3F6F" w14:paraId="186E4A4C" w14:textId="2BA529E3">
      <w:pPr>
        <w:ind w:left="1886" w:hanging="446"/>
      </w:pPr>
    </w:p>
    <w:p w:rsidR="003D3F6F" w:rsidP="00416422" w:rsidRDefault="003D3F6F" w14:paraId="7A44B836" w14:textId="6A95D1FF">
      <w:pPr>
        <w:ind w:left="1886" w:hanging="446"/>
      </w:pPr>
    </w:p>
    <w:p w:rsidR="003D3F6F" w:rsidP="00416422" w:rsidRDefault="003D3F6F" w14:paraId="10A60EB7" w14:textId="19DAD74E">
      <w:pPr>
        <w:ind w:left="1886" w:hanging="446"/>
      </w:pPr>
    </w:p>
    <w:p w:rsidR="003D3F6F" w:rsidP="00416422" w:rsidRDefault="003D3F6F" w14:paraId="7B828A7F" w14:textId="3567142D">
      <w:pPr>
        <w:ind w:left="1886" w:hanging="446"/>
      </w:pPr>
    </w:p>
    <w:p w:rsidRPr="0043090E" w:rsidR="00CC78C4" w:rsidP="00B80E06" w:rsidRDefault="00CC78C4" w14:paraId="2E442CD3" w14:textId="3F0C5829">
      <w:pPr>
        <w:pStyle w:val="NormalWeb"/>
        <w:numPr>
          <w:ilvl w:val="0"/>
          <w:numId w:val="32"/>
        </w:numPr>
        <w:ind w:hanging="666"/>
        <w:rPr>
          <w:rFonts w:ascii="Arial" w:hAnsi="Arial" w:cs="Arial"/>
          <w:sz w:val="22"/>
          <w:szCs w:val="22"/>
        </w:rPr>
      </w:pPr>
      <w:r w:rsidRPr="0043090E">
        <w:rPr>
          <w:rFonts w:ascii="Arial" w:hAnsi="Arial" w:cs="Arial"/>
          <w:sz w:val="22"/>
          <w:szCs w:val="22"/>
        </w:rPr>
        <w:t>Ad hoc contacts: 9</w:t>
      </w:r>
      <w:r w:rsidRPr="0043090E" w:rsidR="000654B1">
        <w:rPr>
          <w:rFonts w:ascii="Arial" w:hAnsi="Arial" w:cs="Arial"/>
          <w:sz w:val="22"/>
          <w:szCs w:val="22"/>
        </w:rPr>
        <w:t>19</w:t>
      </w:r>
      <w:r w:rsidRPr="0043090E">
        <w:rPr>
          <w:rFonts w:ascii="Arial" w:hAnsi="Arial" w:cs="Arial"/>
          <w:sz w:val="22"/>
          <w:szCs w:val="22"/>
        </w:rPr>
        <w:t xml:space="preserve"> in 2024–2</w:t>
      </w:r>
      <w:r w:rsidRPr="0043090E" w:rsidR="000654B1">
        <w:rPr>
          <w:rFonts w:ascii="Arial" w:hAnsi="Arial" w:cs="Arial"/>
          <w:sz w:val="22"/>
          <w:szCs w:val="22"/>
        </w:rPr>
        <w:t>5 (up from 873 in 2023–24) — 5.3</w:t>
      </w:r>
      <w:r w:rsidRPr="0043090E">
        <w:rPr>
          <w:rFonts w:ascii="Arial" w:hAnsi="Arial" w:cs="Arial"/>
          <w:sz w:val="22"/>
          <w:szCs w:val="22"/>
        </w:rPr>
        <w:t>% increase</w:t>
      </w:r>
    </w:p>
    <w:p w:rsidRPr="0043090E" w:rsidR="00CC78C4" w:rsidP="00B80E06" w:rsidRDefault="00CC78C4" w14:paraId="0878595F" w14:textId="77777777">
      <w:pPr>
        <w:pStyle w:val="NormalWeb"/>
        <w:numPr>
          <w:ilvl w:val="0"/>
          <w:numId w:val="32"/>
        </w:numPr>
        <w:ind w:hanging="666"/>
        <w:rPr>
          <w:rFonts w:ascii="Arial" w:hAnsi="Arial" w:cs="Arial"/>
          <w:sz w:val="22"/>
          <w:szCs w:val="22"/>
        </w:rPr>
      </w:pPr>
      <w:r w:rsidRPr="0043090E">
        <w:rPr>
          <w:rFonts w:ascii="Arial" w:hAnsi="Arial" w:cs="Arial"/>
          <w:sz w:val="22"/>
          <w:szCs w:val="22"/>
        </w:rPr>
        <w:t>Planned supervision sessions: 451 teams supported (up from 395) — 14% increase</w:t>
      </w:r>
    </w:p>
    <w:p w:rsidR="00EB6A72" w:rsidP="00B80E06" w:rsidRDefault="00CC78C4" w14:paraId="0C094644" w14:textId="73318385">
      <w:pPr>
        <w:pStyle w:val="NormalWeb"/>
        <w:numPr>
          <w:ilvl w:val="0"/>
          <w:numId w:val="32"/>
        </w:numPr>
        <w:ind w:hanging="666"/>
        <w:rPr>
          <w:rFonts w:ascii="Arial" w:hAnsi="Arial" w:cs="Arial"/>
          <w:sz w:val="22"/>
          <w:szCs w:val="22"/>
        </w:rPr>
      </w:pPr>
      <w:r w:rsidRPr="0043090E">
        <w:rPr>
          <w:rFonts w:ascii="Arial" w:hAnsi="Arial" w:cs="Arial"/>
          <w:sz w:val="22"/>
          <w:szCs w:val="22"/>
        </w:rPr>
        <w:t>Top themes: parenting capacity &amp; mental illness, domestic abuse — consistent with previous year</w:t>
      </w:r>
    </w:p>
    <w:p w:rsidR="00DA3B9B" w:rsidP="003D3F6F" w:rsidRDefault="00DA3B9B" w14:paraId="502D6153" w14:textId="77777777">
      <w:pPr>
        <w:pStyle w:val="ListParagraph"/>
        <w:spacing w:before="100" w:beforeAutospacing="1" w:after="100" w:afterAutospacing="1" w:line="240" w:lineRule="auto"/>
        <w:ind w:left="2160" w:right="0" w:hanging="1593"/>
        <w:rPr>
          <w:b/>
          <w:sz w:val="22"/>
        </w:rPr>
      </w:pPr>
    </w:p>
    <w:p w:rsidRPr="00C86AEA" w:rsidR="00CC78C4" w:rsidP="003D3F6F" w:rsidRDefault="00E83E10" w14:paraId="5AD94D62" w14:textId="2825E0CA">
      <w:pPr>
        <w:pStyle w:val="ListParagraph"/>
        <w:spacing w:before="100" w:beforeAutospacing="1" w:after="100" w:afterAutospacing="1" w:line="240" w:lineRule="auto"/>
        <w:ind w:left="2160" w:right="0" w:hanging="1593"/>
        <w:rPr>
          <w:rFonts w:eastAsia="Times New Roman"/>
          <w:color w:val="auto"/>
          <w:sz w:val="20"/>
          <w:szCs w:val="20"/>
        </w:rPr>
      </w:pPr>
      <w:r w:rsidRPr="00416422">
        <w:rPr>
          <w:b/>
          <w:sz w:val="22"/>
        </w:rPr>
        <w:t>Adult</w:t>
      </w:r>
      <w:r w:rsidRPr="00C86AEA" w:rsidR="00CC78C4">
        <w:rPr>
          <w:rFonts w:eastAsia="Times New Roman"/>
          <w:color w:val="auto"/>
          <w:sz w:val="20"/>
          <w:szCs w:val="20"/>
        </w:rPr>
        <w:t xml:space="preserve"> </w:t>
      </w:r>
      <w:r w:rsidRPr="00994CDB" w:rsidR="00CC78C4">
        <w:rPr>
          <w:b/>
          <w:sz w:val="22"/>
        </w:rPr>
        <w:t>Safeguarding Supervision</w:t>
      </w:r>
      <w:r w:rsidRPr="00C86AEA" w:rsidR="00065641">
        <w:rPr>
          <w:rFonts w:eastAsia="Times New Roman"/>
          <w:color w:val="auto"/>
          <w:sz w:val="20"/>
          <w:szCs w:val="20"/>
        </w:rPr>
        <w:t xml:space="preserve"> </w:t>
      </w:r>
    </w:p>
    <w:p w:rsidRPr="00C25B18" w:rsidR="00C25B18" w:rsidP="00416422" w:rsidRDefault="00C25B18" w14:paraId="7ED48D58" w14:textId="1AAC42C4">
      <w:pPr>
        <w:ind w:left="2170"/>
      </w:pPr>
      <w:r w:rsidRPr="001B2E64">
        <w:rPr>
          <w:noProof/>
        </w:rPr>
        <w:drawing>
          <wp:inline distT="0" distB="0" distL="0" distR="0" wp14:anchorId="51D70FC8" wp14:editId="5F2C18A8">
            <wp:extent cx="5547049" cy="31202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4184" cy="3129854"/>
                    </a:xfrm>
                    <a:prstGeom prst="rect">
                      <a:avLst/>
                    </a:prstGeom>
                  </pic:spPr>
                </pic:pic>
              </a:graphicData>
            </a:graphic>
          </wp:inline>
        </w:drawing>
      </w:r>
    </w:p>
    <w:p w:rsidRPr="0043090E" w:rsidR="00CC78C4" w:rsidP="00B80E06" w:rsidRDefault="00CC78C4" w14:paraId="5D7A88A8" w14:textId="5BBD37F1">
      <w:pPr>
        <w:pStyle w:val="NormalWeb"/>
        <w:numPr>
          <w:ilvl w:val="0"/>
          <w:numId w:val="19"/>
        </w:numPr>
        <w:ind w:left="1701" w:hanging="567"/>
        <w:rPr>
          <w:rFonts w:ascii="Arial" w:hAnsi="Arial" w:cs="Arial"/>
          <w:sz w:val="22"/>
          <w:szCs w:val="22"/>
        </w:rPr>
      </w:pPr>
      <w:r w:rsidRPr="0043090E">
        <w:rPr>
          <w:rFonts w:ascii="Arial" w:hAnsi="Arial" w:cs="Arial"/>
          <w:sz w:val="22"/>
          <w:szCs w:val="22"/>
        </w:rPr>
        <w:t xml:space="preserve">Ad hoc contacts:  </w:t>
      </w:r>
      <w:r w:rsidRPr="0043090E" w:rsidR="000654B1">
        <w:rPr>
          <w:rFonts w:ascii="Arial" w:hAnsi="Arial" w:cs="Arial"/>
          <w:sz w:val="22"/>
          <w:szCs w:val="22"/>
        </w:rPr>
        <w:t xml:space="preserve">1321 </w:t>
      </w:r>
      <w:r w:rsidRPr="0043090E">
        <w:rPr>
          <w:rFonts w:ascii="Arial" w:hAnsi="Arial" w:cs="Arial"/>
          <w:sz w:val="22"/>
          <w:szCs w:val="22"/>
        </w:rPr>
        <w:t xml:space="preserve">in 2024–25 (up from 789) —  </w:t>
      </w:r>
      <w:r w:rsidRPr="0043090E" w:rsidR="005D476E">
        <w:rPr>
          <w:rFonts w:ascii="Arial" w:hAnsi="Arial" w:cs="Arial"/>
          <w:sz w:val="22"/>
          <w:szCs w:val="22"/>
        </w:rPr>
        <w:t xml:space="preserve">40% </w:t>
      </w:r>
      <w:r w:rsidRPr="0043090E">
        <w:rPr>
          <w:rFonts w:ascii="Arial" w:hAnsi="Arial" w:cs="Arial"/>
          <w:sz w:val="22"/>
          <w:szCs w:val="22"/>
        </w:rPr>
        <w:t>increase</w:t>
      </w:r>
    </w:p>
    <w:p w:rsidRPr="0043090E" w:rsidR="00CC78C4" w:rsidP="00B80E06" w:rsidRDefault="00CC78C4" w14:paraId="40D98FFD" w14:textId="3BBC2F12">
      <w:pPr>
        <w:pStyle w:val="NormalWeb"/>
        <w:numPr>
          <w:ilvl w:val="0"/>
          <w:numId w:val="19"/>
        </w:numPr>
        <w:ind w:left="1701" w:hanging="567"/>
        <w:rPr>
          <w:rFonts w:ascii="Arial" w:hAnsi="Arial" w:cs="Arial"/>
          <w:sz w:val="22"/>
          <w:szCs w:val="22"/>
        </w:rPr>
      </w:pPr>
      <w:r w:rsidRPr="0043090E">
        <w:rPr>
          <w:rFonts w:ascii="Arial" w:hAnsi="Arial" w:cs="Arial"/>
          <w:sz w:val="22"/>
          <w:szCs w:val="22"/>
        </w:rPr>
        <w:t>Planned supervision sessions:</w:t>
      </w:r>
      <w:r w:rsidRPr="0043090E">
        <w:rPr>
          <w:rFonts w:ascii="Arial" w:hAnsi="Arial" w:cs="Arial"/>
          <w:color w:val="FF0000"/>
          <w:sz w:val="22"/>
          <w:szCs w:val="22"/>
        </w:rPr>
        <w:t xml:space="preserve"> </w:t>
      </w:r>
      <w:r w:rsidRPr="0043090E" w:rsidR="000654B1">
        <w:rPr>
          <w:rFonts w:ascii="Arial" w:hAnsi="Arial" w:cs="Arial"/>
          <w:sz w:val="22"/>
          <w:szCs w:val="22"/>
        </w:rPr>
        <w:t>507</w:t>
      </w:r>
      <w:r w:rsidRPr="0043090E" w:rsidR="000654B1">
        <w:rPr>
          <w:rFonts w:ascii="Arial" w:hAnsi="Arial" w:cs="Arial"/>
          <w:color w:val="FF0000"/>
          <w:sz w:val="22"/>
          <w:szCs w:val="22"/>
        </w:rPr>
        <w:t xml:space="preserve"> </w:t>
      </w:r>
      <w:r w:rsidRPr="0043090E">
        <w:rPr>
          <w:rFonts w:ascii="Arial" w:hAnsi="Arial" w:cs="Arial"/>
          <w:sz w:val="22"/>
          <w:szCs w:val="22"/>
        </w:rPr>
        <w:t xml:space="preserve">delivered (up from 461) — </w:t>
      </w:r>
      <w:r w:rsidRPr="0043090E" w:rsidR="005D476E">
        <w:rPr>
          <w:rFonts w:ascii="Arial" w:hAnsi="Arial" w:cs="Arial"/>
          <w:sz w:val="22"/>
          <w:szCs w:val="22"/>
        </w:rPr>
        <w:t>10%</w:t>
      </w:r>
      <w:r w:rsidRPr="0043090E">
        <w:rPr>
          <w:rFonts w:ascii="Arial" w:hAnsi="Arial" w:cs="Arial"/>
          <w:sz w:val="22"/>
          <w:szCs w:val="22"/>
        </w:rPr>
        <w:t xml:space="preserve"> increase</w:t>
      </w:r>
    </w:p>
    <w:p w:rsidRPr="0043090E" w:rsidR="00CC78C4" w:rsidP="00B80E06" w:rsidRDefault="00CC78C4" w14:paraId="7575B985" w14:textId="77777777">
      <w:pPr>
        <w:pStyle w:val="NormalWeb"/>
        <w:numPr>
          <w:ilvl w:val="0"/>
          <w:numId w:val="19"/>
        </w:numPr>
        <w:ind w:left="1701" w:hanging="567"/>
        <w:rPr>
          <w:rFonts w:ascii="Arial" w:hAnsi="Arial" w:cs="Arial"/>
          <w:sz w:val="22"/>
          <w:szCs w:val="22"/>
        </w:rPr>
      </w:pPr>
      <w:r w:rsidRPr="0043090E">
        <w:rPr>
          <w:rFonts w:ascii="Arial" w:hAnsi="Arial" w:cs="Arial"/>
          <w:sz w:val="22"/>
          <w:szCs w:val="22"/>
        </w:rPr>
        <w:t>Some sessions were postponed due to staffing constraints</w:t>
      </w:r>
    </w:p>
    <w:p w:rsidRPr="0043090E" w:rsidR="00CC78C4" w:rsidP="00B80E06" w:rsidRDefault="00CC78C4" w14:paraId="405B10A3" w14:textId="77777777">
      <w:pPr>
        <w:pStyle w:val="NormalWeb"/>
        <w:numPr>
          <w:ilvl w:val="0"/>
          <w:numId w:val="19"/>
        </w:numPr>
        <w:ind w:left="1701" w:hanging="567"/>
        <w:rPr>
          <w:rFonts w:ascii="Arial" w:hAnsi="Arial" w:cs="Arial"/>
          <w:sz w:val="22"/>
          <w:szCs w:val="22"/>
        </w:rPr>
      </w:pPr>
      <w:r w:rsidRPr="0043090E">
        <w:rPr>
          <w:rFonts w:ascii="Arial" w:hAnsi="Arial" w:cs="Arial"/>
          <w:sz w:val="22"/>
          <w:szCs w:val="22"/>
        </w:rPr>
        <w:t>Top themes: domestic abuse, self-neglect, and neglect/acts of omission — consistent across years</w:t>
      </w:r>
    </w:p>
    <w:p w:rsidRPr="0043090E" w:rsidR="003D3F6F" w:rsidP="003D3F6F" w:rsidRDefault="00CC78C4" w14:paraId="467A00FB" w14:textId="77777777">
      <w:pPr>
        <w:pStyle w:val="ListParagraph"/>
        <w:spacing w:before="100" w:beforeAutospacing="1" w:after="100" w:afterAutospacing="1" w:line="240" w:lineRule="auto"/>
        <w:ind w:left="567" w:right="0" w:firstLine="0"/>
        <w:rPr>
          <w:sz w:val="22"/>
        </w:rPr>
      </w:pPr>
      <w:r w:rsidRPr="0043090E">
        <w:rPr>
          <w:sz w:val="22"/>
        </w:rPr>
        <w:t>Supervision remains central to embedding a “Think Family” approach. Integrated safeguarding conversations ensure staff consider the broader familial impact of presenting issues, especially where parental needs affect child or adult safety. The development of new data tools will enhance insight into emerging supervision themes, driving proactive safeguarding across all services.</w:t>
      </w:r>
    </w:p>
    <w:p w:rsidRPr="0043090E" w:rsidR="003D3F6F" w:rsidP="003D3F6F" w:rsidRDefault="003D3F6F" w14:paraId="49AE2936" w14:textId="77777777">
      <w:pPr>
        <w:pStyle w:val="ListParagraph"/>
        <w:spacing w:before="100" w:beforeAutospacing="1" w:after="100" w:afterAutospacing="1" w:line="240" w:lineRule="auto"/>
        <w:ind w:left="567" w:right="0" w:firstLine="0"/>
        <w:rPr>
          <w:sz w:val="22"/>
        </w:rPr>
      </w:pPr>
    </w:p>
    <w:p w:rsidRPr="0043090E" w:rsidR="000628B2" w:rsidP="003D3F6F" w:rsidRDefault="00406AD5" w14:paraId="20F58AF1" w14:textId="4CC8AD53">
      <w:pPr>
        <w:pStyle w:val="ListParagraph"/>
        <w:spacing w:before="100" w:beforeAutospacing="1" w:after="100" w:afterAutospacing="1" w:line="240" w:lineRule="auto"/>
        <w:ind w:left="567" w:right="0" w:firstLine="0"/>
        <w:rPr>
          <w:sz w:val="22"/>
        </w:rPr>
      </w:pPr>
      <w:r w:rsidRPr="0043090E">
        <w:rPr>
          <w:sz w:val="22"/>
        </w:rPr>
        <w:t>The</w:t>
      </w:r>
      <w:r w:rsidRPr="0043090E" w:rsidR="000628B2">
        <w:rPr>
          <w:sz w:val="22"/>
        </w:rPr>
        <w:t xml:space="preserve"> most common themes discussed during safeguarding supervision are as follows:</w:t>
      </w:r>
    </w:p>
    <w:tbl>
      <w:tblPr>
        <w:tblStyle w:val="TableGrid"/>
        <w:tblW w:w="9281" w:type="dxa"/>
        <w:tblInd w:w="704" w:type="dxa"/>
        <w:tblLook w:val="04A0" w:firstRow="1" w:lastRow="0" w:firstColumn="1" w:lastColumn="0" w:noHBand="0" w:noVBand="1"/>
      </w:tblPr>
      <w:tblGrid>
        <w:gridCol w:w="4678"/>
        <w:gridCol w:w="4603"/>
      </w:tblGrid>
      <w:tr w:rsidRPr="0043090E" w:rsidR="0018208D" w:rsidTr="003D3F6F" w14:paraId="6F9A760B" w14:textId="77777777">
        <w:tc>
          <w:tcPr>
            <w:tcW w:w="4678" w:type="dxa"/>
            <w:shd w:val="clear" w:color="auto" w:fill="D9D9D9" w:themeFill="background1" w:themeFillShade="D9"/>
          </w:tcPr>
          <w:p w:rsidRPr="0043090E" w:rsidR="0018208D" w:rsidP="00D04EEA" w:rsidRDefault="00D04EEA" w14:paraId="483E6C62" w14:textId="4B4568F4">
            <w:pPr>
              <w:ind w:left="0" w:firstLine="0"/>
              <w:jc w:val="center"/>
              <w:rPr>
                <w:sz w:val="22"/>
              </w:rPr>
            </w:pPr>
            <w:r w:rsidRPr="0043090E">
              <w:rPr>
                <w:b/>
                <w:sz w:val="22"/>
              </w:rPr>
              <w:t>Safeguarding Adults</w:t>
            </w:r>
          </w:p>
        </w:tc>
        <w:tc>
          <w:tcPr>
            <w:tcW w:w="4603" w:type="dxa"/>
            <w:shd w:val="clear" w:color="auto" w:fill="D9D9D9" w:themeFill="background1" w:themeFillShade="D9"/>
          </w:tcPr>
          <w:p w:rsidRPr="0043090E" w:rsidR="0018208D" w:rsidP="00D04EEA" w:rsidRDefault="00D04EEA" w14:paraId="1DD0D57A" w14:textId="3CF1F81C">
            <w:pPr>
              <w:ind w:left="0" w:firstLine="0"/>
              <w:jc w:val="center"/>
              <w:rPr>
                <w:sz w:val="22"/>
              </w:rPr>
            </w:pPr>
            <w:r w:rsidRPr="0043090E">
              <w:rPr>
                <w:b/>
                <w:sz w:val="22"/>
              </w:rPr>
              <w:t>Safeguarding Children</w:t>
            </w:r>
          </w:p>
        </w:tc>
      </w:tr>
      <w:tr w:rsidRPr="0043090E" w:rsidR="00D04EEA" w:rsidTr="003D3F6F" w14:paraId="52BA8E2C" w14:textId="77777777">
        <w:tc>
          <w:tcPr>
            <w:tcW w:w="4678" w:type="dxa"/>
            <w:shd w:val="clear" w:color="auto" w:fill="auto"/>
          </w:tcPr>
          <w:p w:rsidRPr="0043090E" w:rsidR="00D04EEA" w:rsidP="00E71169" w:rsidRDefault="00D04EEA" w14:paraId="55B5FF46" w14:textId="77777777">
            <w:pPr>
              <w:pStyle w:val="BodyText"/>
              <w:numPr>
                <w:ilvl w:val="0"/>
                <w:numId w:val="0"/>
              </w:numPr>
              <w:jc w:val="both"/>
              <w:rPr>
                <w:rFonts w:cs="Arial"/>
                <w:lang w:val="en-GB"/>
              </w:rPr>
            </w:pPr>
            <w:r w:rsidRPr="0043090E">
              <w:rPr>
                <w:rFonts w:cs="Arial"/>
                <w:lang w:val="en-GB"/>
              </w:rPr>
              <w:t xml:space="preserve">Section 42 cases </w:t>
            </w:r>
          </w:p>
          <w:p w:rsidRPr="0043090E" w:rsidR="00D04EEA" w:rsidP="00D04EEA" w:rsidRDefault="00D04EEA" w14:paraId="131FCB19" w14:textId="77777777">
            <w:pPr>
              <w:ind w:left="567" w:firstLine="0"/>
              <w:jc w:val="left"/>
              <w:rPr>
                <w:b/>
                <w:sz w:val="22"/>
              </w:rPr>
            </w:pPr>
          </w:p>
        </w:tc>
        <w:tc>
          <w:tcPr>
            <w:tcW w:w="4603" w:type="dxa"/>
            <w:shd w:val="clear" w:color="auto" w:fill="auto"/>
          </w:tcPr>
          <w:p w:rsidRPr="0043090E" w:rsidR="00D04EEA" w:rsidP="00D04EEA" w:rsidRDefault="00D04EEA" w14:paraId="45BF30A9" w14:textId="6BDC8FBF">
            <w:pPr>
              <w:ind w:left="0" w:firstLine="0"/>
              <w:jc w:val="left"/>
              <w:rPr>
                <w:b/>
                <w:sz w:val="22"/>
              </w:rPr>
            </w:pPr>
            <w:r w:rsidRPr="0043090E">
              <w:rPr>
                <w:sz w:val="22"/>
              </w:rPr>
              <w:t>Parenting Capacity with mental health issues</w:t>
            </w:r>
          </w:p>
        </w:tc>
      </w:tr>
      <w:tr w:rsidRPr="0043090E" w:rsidR="00D04EEA" w:rsidTr="003D3F6F" w14:paraId="14E124B0" w14:textId="77777777">
        <w:tc>
          <w:tcPr>
            <w:tcW w:w="4678" w:type="dxa"/>
            <w:shd w:val="clear" w:color="auto" w:fill="auto"/>
          </w:tcPr>
          <w:p w:rsidRPr="0043090E" w:rsidR="00D04EEA" w:rsidP="00E71169" w:rsidRDefault="00D04EEA" w14:paraId="3E416A6F" w14:textId="249B0395">
            <w:pPr>
              <w:pStyle w:val="BodyText"/>
              <w:numPr>
                <w:ilvl w:val="0"/>
                <w:numId w:val="0"/>
              </w:numPr>
              <w:jc w:val="both"/>
              <w:rPr>
                <w:rFonts w:cs="Arial"/>
                <w:lang w:val="en-GB"/>
              </w:rPr>
            </w:pPr>
            <w:r w:rsidRPr="0043090E">
              <w:rPr>
                <w:rFonts w:cs="Arial"/>
                <w:lang w:val="en-GB"/>
              </w:rPr>
              <w:t>Complex cases involving safeguarding, mental capacity and potential criminal allegations.</w:t>
            </w:r>
          </w:p>
        </w:tc>
        <w:tc>
          <w:tcPr>
            <w:tcW w:w="4603" w:type="dxa"/>
            <w:shd w:val="clear" w:color="auto" w:fill="auto"/>
          </w:tcPr>
          <w:p w:rsidRPr="0043090E" w:rsidR="00D04EEA" w:rsidP="00D04EEA" w:rsidRDefault="00D04EEA" w14:paraId="6E9CEA9B" w14:textId="4AF10C7C">
            <w:pPr>
              <w:ind w:left="0" w:firstLine="0"/>
              <w:jc w:val="left"/>
              <w:rPr>
                <w:sz w:val="22"/>
              </w:rPr>
            </w:pPr>
            <w:r w:rsidRPr="0043090E">
              <w:rPr>
                <w:sz w:val="22"/>
              </w:rPr>
              <w:t>Domestic Abuse</w:t>
            </w:r>
          </w:p>
        </w:tc>
      </w:tr>
      <w:tr w:rsidRPr="0043090E" w:rsidR="00D04EEA" w:rsidTr="003D3F6F" w14:paraId="29430C29" w14:textId="77777777">
        <w:tc>
          <w:tcPr>
            <w:tcW w:w="4678" w:type="dxa"/>
            <w:shd w:val="clear" w:color="auto" w:fill="auto"/>
          </w:tcPr>
          <w:p w:rsidRPr="0043090E" w:rsidR="00D04EEA" w:rsidP="00243D88" w:rsidRDefault="00D04EEA" w14:paraId="18ECAFF3" w14:textId="1C524BA3">
            <w:pPr>
              <w:pStyle w:val="BodyText"/>
              <w:numPr>
                <w:ilvl w:val="0"/>
                <w:numId w:val="0"/>
              </w:numPr>
              <w:jc w:val="both"/>
              <w:rPr>
                <w:rFonts w:cs="Arial"/>
                <w:lang w:val="en-GB"/>
              </w:rPr>
            </w:pPr>
            <w:r w:rsidRPr="0043090E">
              <w:rPr>
                <w:rFonts w:cs="Arial"/>
                <w:lang w:val="en-GB"/>
              </w:rPr>
              <w:t>Domestic Abuse and responding to high level risk</w:t>
            </w:r>
          </w:p>
        </w:tc>
        <w:tc>
          <w:tcPr>
            <w:tcW w:w="4603" w:type="dxa"/>
            <w:shd w:val="clear" w:color="auto" w:fill="auto"/>
          </w:tcPr>
          <w:p w:rsidRPr="0043090E" w:rsidR="00D04EEA" w:rsidP="00D04EEA" w:rsidRDefault="00D04EEA" w14:paraId="4B26C43C" w14:textId="4AEC745B">
            <w:pPr>
              <w:ind w:left="0" w:firstLine="0"/>
              <w:jc w:val="left"/>
              <w:rPr>
                <w:sz w:val="22"/>
              </w:rPr>
            </w:pPr>
            <w:r w:rsidRPr="0043090E">
              <w:rPr>
                <w:sz w:val="22"/>
              </w:rPr>
              <w:t>Neglect</w:t>
            </w:r>
          </w:p>
        </w:tc>
      </w:tr>
      <w:tr w:rsidRPr="0043090E" w:rsidR="00D04EEA" w:rsidTr="003D3F6F" w14:paraId="21B11F73" w14:textId="77777777">
        <w:tc>
          <w:tcPr>
            <w:tcW w:w="4678" w:type="dxa"/>
            <w:shd w:val="clear" w:color="auto" w:fill="auto"/>
          </w:tcPr>
          <w:p w:rsidRPr="0043090E" w:rsidR="00D04EEA" w:rsidP="00243D88" w:rsidRDefault="00D04EEA" w14:paraId="1488B49A" w14:textId="6BCD6C30">
            <w:pPr>
              <w:pStyle w:val="BodyText"/>
              <w:numPr>
                <w:ilvl w:val="0"/>
                <w:numId w:val="0"/>
              </w:numPr>
              <w:jc w:val="both"/>
              <w:rPr>
                <w:rFonts w:cs="Arial"/>
                <w:lang w:val="en-GB"/>
              </w:rPr>
            </w:pPr>
            <w:r w:rsidRPr="0043090E">
              <w:rPr>
                <w:rFonts w:cs="Arial"/>
                <w:lang w:val="en-GB"/>
              </w:rPr>
              <w:t>Self-Neglect and hoarding issues</w:t>
            </w:r>
          </w:p>
        </w:tc>
        <w:tc>
          <w:tcPr>
            <w:tcW w:w="4603" w:type="dxa"/>
            <w:shd w:val="clear" w:color="auto" w:fill="auto"/>
          </w:tcPr>
          <w:p w:rsidRPr="0043090E" w:rsidR="00D04EEA" w:rsidP="00D04EEA" w:rsidRDefault="00D04EEA" w14:paraId="5B853E3A" w14:textId="7395D596">
            <w:pPr>
              <w:ind w:left="0" w:firstLine="0"/>
              <w:jc w:val="left"/>
              <w:rPr>
                <w:sz w:val="22"/>
              </w:rPr>
            </w:pPr>
            <w:r w:rsidRPr="0043090E">
              <w:rPr>
                <w:sz w:val="22"/>
              </w:rPr>
              <w:t>Non-recent abuse</w:t>
            </w:r>
          </w:p>
        </w:tc>
      </w:tr>
      <w:tr w:rsidRPr="0043090E" w:rsidR="00D04EEA" w:rsidTr="003D3F6F" w14:paraId="2F60AE30" w14:textId="77777777">
        <w:tc>
          <w:tcPr>
            <w:tcW w:w="4678" w:type="dxa"/>
            <w:shd w:val="clear" w:color="auto" w:fill="auto"/>
          </w:tcPr>
          <w:p w:rsidRPr="0043090E" w:rsidR="00D04EEA" w:rsidP="00243D88" w:rsidRDefault="00D04EEA" w14:paraId="249229E5" w14:textId="7F8F7252">
            <w:pPr>
              <w:pStyle w:val="BodyText"/>
              <w:numPr>
                <w:ilvl w:val="0"/>
                <w:numId w:val="0"/>
              </w:numPr>
              <w:jc w:val="both"/>
              <w:rPr>
                <w:rFonts w:cs="Arial"/>
                <w:lang w:val="en-GB"/>
              </w:rPr>
            </w:pPr>
            <w:r w:rsidRPr="0043090E">
              <w:rPr>
                <w:rFonts w:cs="Arial"/>
                <w:lang w:val="en-GB"/>
              </w:rPr>
              <w:t>Non-recent abuse and information sharing</w:t>
            </w:r>
          </w:p>
        </w:tc>
        <w:tc>
          <w:tcPr>
            <w:tcW w:w="4603" w:type="dxa"/>
            <w:shd w:val="clear" w:color="auto" w:fill="auto"/>
          </w:tcPr>
          <w:p w:rsidRPr="0043090E" w:rsidR="00D04EEA" w:rsidP="00243D88" w:rsidRDefault="00D04EEA" w14:paraId="165E0133" w14:textId="000CFDC5">
            <w:pPr>
              <w:pStyle w:val="BodyText"/>
              <w:numPr>
                <w:ilvl w:val="0"/>
                <w:numId w:val="0"/>
              </w:numPr>
              <w:rPr>
                <w:rFonts w:cs="Arial"/>
              </w:rPr>
            </w:pPr>
            <w:r w:rsidRPr="0043090E">
              <w:rPr>
                <w:rFonts w:cs="Arial"/>
              </w:rPr>
              <w:t xml:space="preserve">Children mental health, sexual abuse risk </w:t>
            </w:r>
          </w:p>
        </w:tc>
      </w:tr>
      <w:tr w:rsidRPr="0043090E" w:rsidR="00D04EEA" w:rsidTr="003D3F6F" w14:paraId="5493E7E8" w14:textId="77777777">
        <w:tc>
          <w:tcPr>
            <w:tcW w:w="4678" w:type="dxa"/>
            <w:shd w:val="clear" w:color="auto" w:fill="auto"/>
          </w:tcPr>
          <w:p w:rsidRPr="0043090E" w:rsidR="00D04EEA" w:rsidP="00243D88" w:rsidRDefault="00D04EEA" w14:paraId="7E49F8E6" w14:textId="3C3F65C1">
            <w:pPr>
              <w:pStyle w:val="BodyText"/>
              <w:numPr>
                <w:ilvl w:val="0"/>
                <w:numId w:val="0"/>
              </w:numPr>
              <w:jc w:val="both"/>
              <w:rPr>
                <w:rFonts w:cs="Arial"/>
                <w:lang w:val="en-GB"/>
              </w:rPr>
            </w:pPr>
            <w:r w:rsidRPr="0043090E">
              <w:rPr>
                <w:rFonts w:cs="Arial"/>
                <w:lang w:val="en-GB"/>
              </w:rPr>
              <w:t>Person in position of trust (</w:t>
            </w:r>
            <w:proofErr w:type="spellStart"/>
            <w:r w:rsidRPr="0043090E">
              <w:rPr>
                <w:rFonts w:cs="Arial"/>
                <w:lang w:val="en-GB"/>
              </w:rPr>
              <w:t>PiPOT</w:t>
            </w:r>
            <w:proofErr w:type="spellEnd"/>
            <w:r w:rsidRPr="0043090E">
              <w:rPr>
                <w:rFonts w:cs="Arial"/>
                <w:lang w:val="en-GB"/>
              </w:rPr>
              <w:t>) – how to report and respond</w:t>
            </w:r>
          </w:p>
        </w:tc>
        <w:tc>
          <w:tcPr>
            <w:tcW w:w="4603" w:type="dxa"/>
            <w:shd w:val="clear" w:color="auto" w:fill="auto"/>
          </w:tcPr>
          <w:p w:rsidRPr="0043090E" w:rsidR="00D04EEA" w:rsidP="00243D88" w:rsidRDefault="00D04EEA" w14:paraId="76DE98AC" w14:textId="390EC499">
            <w:pPr>
              <w:pStyle w:val="BodyText"/>
              <w:numPr>
                <w:ilvl w:val="0"/>
                <w:numId w:val="0"/>
              </w:numPr>
              <w:rPr>
                <w:rFonts w:cs="Arial"/>
              </w:rPr>
            </w:pPr>
            <w:r w:rsidRPr="0043090E">
              <w:rPr>
                <w:rFonts w:cs="Arial"/>
              </w:rPr>
              <w:t>LADO (Local Authority Designated Officer) issues</w:t>
            </w:r>
          </w:p>
        </w:tc>
      </w:tr>
      <w:tr w:rsidRPr="0043090E" w:rsidR="00D04EEA" w:rsidTr="003D3F6F" w14:paraId="4EF15A39" w14:textId="77777777">
        <w:tc>
          <w:tcPr>
            <w:tcW w:w="4678" w:type="dxa"/>
            <w:shd w:val="clear" w:color="auto" w:fill="auto"/>
          </w:tcPr>
          <w:p w:rsidRPr="0043090E" w:rsidR="00D04EEA" w:rsidP="00243D88" w:rsidRDefault="00D04EEA" w14:paraId="6A1D1AFD" w14:textId="77777777">
            <w:pPr>
              <w:pStyle w:val="BodyText"/>
              <w:numPr>
                <w:ilvl w:val="0"/>
                <w:numId w:val="0"/>
              </w:numPr>
              <w:jc w:val="both"/>
              <w:rPr>
                <w:rFonts w:cs="Arial"/>
                <w:lang w:val="en-GB"/>
              </w:rPr>
            </w:pPr>
            <w:r w:rsidRPr="0043090E">
              <w:rPr>
                <w:rFonts w:cs="Arial"/>
                <w:lang w:val="en-GB"/>
              </w:rPr>
              <w:t xml:space="preserve">Mental Capacity and </w:t>
            </w:r>
            <w:proofErr w:type="spellStart"/>
            <w:r w:rsidRPr="0043090E">
              <w:rPr>
                <w:rFonts w:cs="Arial"/>
                <w:lang w:val="en-GB"/>
              </w:rPr>
              <w:t>DoL’s</w:t>
            </w:r>
            <w:proofErr w:type="spellEnd"/>
            <w:r w:rsidRPr="0043090E">
              <w:rPr>
                <w:rFonts w:cs="Arial"/>
                <w:lang w:val="en-GB"/>
              </w:rPr>
              <w:t xml:space="preserve"> related practice issues.</w:t>
            </w:r>
          </w:p>
          <w:p w:rsidRPr="0043090E" w:rsidR="003D3F6F" w:rsidP="00243D88" w:rsidRDefault="003D3F6F" w14:paraId="1EB74DCC" w14:textId="2660C973">
            <w:pPr>
              <w:pStyle w:val="BodyText"/>
              <w:numPr>
                <w:ilvl w:val="0"/>
                <w:numId w:val="0"/>
              </w:numPr>
              <w:jc w:val="both"/>
              <w:rPr>
                <w:rFonts w:cs="Arial"/>
                <w:lang w:val="en-GB"/>
              </w:rPr>
            </w:pPr>
          </w:p>
        </w:tc>
        <w:tc>
          <w:tcPr>
            <w:tcW w:w="4603" w:type="dxa"/>
            <w:shd w:val="clear" w:color="auto" w:fill="auto"/>
          </w:tcPr>
          <w:p w:rsidRPr="0043090E" w:rsidR="00D04EEA" w:rsidP="00243D88" w:rsidRDefault="00D04EEA" w14:paraId="793059C9" w14:textId="77777777">
            <w:pPr>
              <w:pStyle w:val="BodyText"/>
              <w:numPr>
                <w:ilvl w:val="0"/>
                <w:numId w:val="0"/>
              </w:numPr>
              <w:rPr>
                <w:rFonts w:cs="Arial"/>
              </w:rPr>
            </w:pPr>
          </w:p>
        </w:tc>
      </w:tr>
    </w:tbl>
    <w:p w:rsidRPr="00DA3B9B" w:rsidR="00DA3B9B" w:rsidP="00DA3B9B" w:rsidRDefault="00DA3B9B" w14:paraId="33037ED8" w14:textId="77777777">
      <w:pPr>
        <w:pStyle w:val="ListParagraph"/>
        <w:spacing w:before="100" w:beforeAutospacing="1" w:after="100" w:afterAutospacing="1" w:line="240" w:lineRule="auto"/>
        <w:ind w:left="567" w:right="0" w:firstLine="0"/>
        <w:rPr>
          <w:sz w:val="22"/>
        </w:rPr>
      </w:pPr>
    </w:p>
    <w:p w:rsidRPr="00642D41" w:rsidR="003B141D" w:rsidP="00B80E06" w:rsidRDefault="00C86AEA" w14:paraId="374611FB" w14:textId="6B839BF9">
      <w:pPr>
        <w:pStyle w:val="ListParagraph"/>
        <w:numPr>
          <w:ilvl w:val="0"/>
          <w:numId w:val="27"/>
        </w:numPr>
        <w:spacing w:before="100" w:beforeAutospacing="1" w:after="100" w:afterAutospacing="1" w:line="240" w:lineRule="auto"/>
        <w:ind w:left="567" w:right="0" w:hanging="567"/>
        <w:rPr>
          <w:sz w:val="22"/>
        </w:rPr>
      </w:pPr>
      <w:r w:rsidRPr="00D5404B">
        <w:rPr>
          <w:b/>
          <w:sz w:val="22"/>
        </w:rPr>
        <w:t>S</w:t>
      </w:r>
      <w:r w:rsidRPr="00D5404B" w:rsidR="003B141D">
        <w:rPr>
          <w:b/>
          <w:sz w:val="22"/>
        </w:rPr>
        <w:t>afeguarding</w:t>
      </w:r>
      <w:r w:rsidRPr="00642D41" w:rsidR="003B141D">
        <w:rPr>
          <w:sz w:val="22"/>
        </w:rPr>
        <w:t xml:space="preserve"> </w:t>
      </w:r>
      <w:r w:rsidRPr="00D5404B" w:rsidR="003B141D">
        <w:rPr>
          <w:b/>
          <w:sz w:val="22"/>
        </w:rPr>
        <w:t>Reviews</w:t>
      </w:r>
      <w:r w:rsidR="00065641">
        <w:rPr>
          <w:sz w:val="22"/>
        </w:rPr>
        <w:t xml:space="preserve"> </w:t>
      </w:r>
    </w:p>
    <w:p w:rsidRPr="00284700" w:rsidR="00D7306D" w:rsidP="002C72FE" w:rsidRDefault="00D7306D" w14:paraId="46A0AE41" w14:textId="77777777">
      <w:pPr>
        <w:ind w:left="567" w:firstLine="0"/>
        <w:rPr>
          <w:sz w:val="22"/>
        </w:rPr>
      </w:pPr>
      <w:r w:rsidRPr="00284700">
        <w:rPr>
          <w:sz w:val="22"/>
        </w:rPr>
        <w:t xml:space="preserve">The safeguarding team have contributed to </w:t>
      </w:r>
      <w:r w:rsidRPr="00284700" w:rsidR="3B6A1846">
        <w:rPr>
          <w:sz w:val="22"/>
        </w:rPr>
        <w:t>several</w:t>
      </w:r>
      <w:r w:rsidRPr="00284700">
        <w:rPr>
          <w:sz w:val="22"/>
        </w:rPr>
        <w:t xml:space="preserve"> statutory reviews within the time frame of the annual report. This includes providing reports base</w:t>
      </w:r>
      <w:r w:rsidRPr="00284700" w:rsidR="00445F67">
        <w:rPr>
          <w:sz w:val="22"/>
        </w:rPr>
        <w:t>d</w:t>
      </w:r>
      <w:r w:rsidRPr="00284700">
        <w:rPr>
          <w:sz w:val="22"/>
        </w:rPr>
        <w:t xml:space="preserve"> on agreed terms of reference regarding children and adults in the family home and their contact with Trust services. There is also a requirement to attend panel meetings, practitioner learning events, provide </w:t>
      </w:r>
      <w:r w:rsidRPr="00284700" w:rsidR="4150E99D">
        <w:rPr>
          <w:sz w:val="22"/>
        </w:rPr>
        <w:t>feedback</w:t>
      </w:r>
      <w:r w:rsidRPr="00284700">
        <w:rPr>
          <w:sz w:val="22"/>
        </w:rPr>
        <w:t xml:space="preserve"> to draft reports, sign off panel to agree final reports and meetings about publication and publicity arrangements.</w:t>
      </w:r>
    </w:p>
    <w:p w:rsidRPr="00284700" w:rsidR="00C86AEA" w:rsidP="002C72FE" w:rsidRDefault="003B141D" w14:paraId="0AE36D08" w14:textId="77777777">
      <w:pPr>
        <w:spacing w:before="100" w:beforeAutospacing="1" w:after="100" w:afterAutospacing="1" w:line="240" w:lineRule="auto"/>
        <w:ind w:right="0" w:hanging="720"/>
        <w:rPr>
          <w:b/>
          <w:sz w:val="22"/>
        </w:rPr>
      </w:pPr>
      <w:r w:rsidRPr="00284700">
        <w:rPr>
          <w:b/>
          <w:sz w:val="22"/>
        </w:rPr>
        <w:t>Safeguarding Adults Review</w:t>
      </w:r>
      <w:r w:rsidRPr="00284700" w:rsidR="00CF702C">
        <w:rPr>
          <w:b/>
          <w:sz w:val="22"/>
        </w:rPr>
        <w:t xml:space="preserve"> (SARs)</w:t>
      </w:r>
    </w:p>
    <w:p w:rsidRPr="00DA3B9B" w:rsidR="00CF702C" w:rsidP="00D5404B" w:rsidRDefault="00CF702C" w14:paraId="5EA12842" w14:textId="4517D942">
      <w:pPr>
        <w:ind w:left="1440" w:firstLine="0"/>
        <w:rPr>
          <w:b/>
          <w:bCs/>
          <w:sz w:val="22"/>
        </w:rPr>
      </w:pPr>
      <w:r w:rsidRPr="00DA3B9B">
        <w:rPr>
          <w:b/>
          <w:bCs/>
          <w:color w:val="auto"/>
          <w:sz w:val="22"/>
          <w:u w:val="single"/>
        </w:rPr>
        <w:t>Safeguarding Adult Reviews 2024–25</w:t>
      </w:r>
    </w:p>
    <w:p w:rsidRPr="00284700" w:rsidR="00CF702C" w:rsidP="00CF702C" w:rsidRDefault="00CF702C" w14:paraId="67924344" w14:textId="77777777">
      <w:pPr>
        <w:rPr>
          <w:sz w:val="22"/>
        </w:rPr>
      </w:pPr>
    </w:p>
    <w:tbl>
      <w:tblPr>
        <w:tblStyle w:val="TableGrid"/>
        <w:tblW w:w="9355" w:type="dxa"/>
        <w:tblInd w:w="395" w:type="dxa"/>
        <w:tblLayout w:type="fixed"/>
        <w:tblLook w:val="04A0" w:firstRow="1" w:lastRow="0" w:firstColumn="1" w:lastColumn="0" w:noHBand="0" w:noVBand="1"/>
      </w:tblPr>
      <w:tblGrid>
        <w:gridCol w:w="3442"/>
        <w:gridCol w:w="2410"/>
        <w:gridCol w:w="3503"/>
      </w:tblGrid>
      <w:tr w:rsidRPr="00284700" w:rsidR="00CF702C" w:rsidTr="002C72FE" w14:paraId="621CAAA6" w14:textId="77777777">
        <w:tc>
          <w:tcPr>
            <w:tcW w:w="3442" w:type="dxa"/>
            <w:shd w:val="clear" w:color="auto" w:fill="FFD966" w:themeFill="accent4" w:themeFillTint="99"/>
          </w:tcPr>
          <w:p w:rsidRPr="00284700" w:rsidR="00CF702C" w:rsidP="00EC1072" w:rsidRDefault="00CF702C" w14:paraId="712B78FE" w14:textId="77777777">
            <w:pPr>
              <w:ind w:left="0" w:firstLine="0"/>
              <w:jc w:val="center"/>
              <w:rPr>
                <w:sz w:val="22"/>
              </w:rPr>
            </w:pPr>
            <w:r w:rsidRPr="00284700">
              <w:rPr>
                <w:sz w:val="22"/>
              </w:rPr>
              <w:t>Identifier</w:t>
            </w:r>
          </w:p>
        </w:tc>
        <w:tc>
          <w:tcPr>
            <w:tcW w:w="2410" w:type="dxa"/>
            <w:shd w:val="clear" w:color="auto" w:fill="FFD966" w:themeFill="accent4" w:themeFillTint="99"/>
          </w:tcPr>
          <w:p w:rsidRPr="00284700" w:rsidR="00CF702C" w:rsidP="00EC1072" w:rsidRDefault="00EC1072" w14:paraId="2BCD9AB1" w14:textId="2474474E">
            <w:pPr>
              <w:ind w:left="0" w:firstLine="0"/>
              <w:jc w:val="center"/>
              <w:rPr>
                <w:b/>
                <w:sz w:val="22"/>
              </w:rPr>
            </w:pPr>
            <w:r w:rsidRPr="00284700">
              <w:rPr>
                <w:b/>
                <w:sz w:val="22"/>
              </w:rPr>
              <w:t>Review Type</w:t>
            </w:r>
          </w:p>
        </w:tc>
        <w:tc>
          <w:tcPr>
            <w:tcW w:w="3503" w:type="dxa"/>
            <w:shd w:val="clear" w:color="auto" w:fill="FFD966" w:themeFill="accent4" w:themeFillTint="99"/>
          </w:tcPr>
          <w:p w:rsidRPr="00284700" w:rsidR="00CF702C" w:rsidP="00EC1072" w:rsidRDefault="00CF702C" w14:paraId="09B439DE" w14:textId="77777777">
            <w:pPr>
              <w:jc w:val="center"/>
              <w:rPr>
                <w:b/>
                <w:sz w:val="22"/>
              </w:rPr>
            </w:pPr>
            <w:r w:rsidRPr="00284700">
              <w:rPr>
                <w:b/>
                <w:sz w:val="22"/>
              </w:rPr>
              <w:t>Link</w:t>
            </w:r>
          </w:p>
        </w:tc>
      </w:tr>
      <w:tr w:rsidRPr="00284700" w:rsidR="00CF702C" w:rsidTr="002C72FE" w14:paraId="1CA9CE26" w14:textId="77777777">
        <w:tc>
          <w:tcPr>
            <w:tcW w:w="3442" w:type="dxa"/>
          </w:tcPr>
          <w:p w:rsidRPr="00284700" w:rsidR="00CF702C" w:rsidP="000C48BF" w:rsidRDefault="00CF702C" w14:paraId="00CB9A92" w14:textId="3E7DCB95">
            <w:pPr>
              <w:ind w:left="0" w:firstLine="0"/>
              <w:rPr>
                <w:sz w:val="22"/>
              </w:rPr>
            </w:pPr>
            <w:r w:rsidRPr="00284700">
              <w:rPr>
                <w:sz w:val="22"/>
              </w:rPr>
              <w:t>Joe</w:t>
            </w:r>
            <w:r w:rsidRPr="00284700" w:rsidR="001B7FF0">
              <w:rPr>
                <w:sz w:val="22"/>
              </w:rPr>
              <w:t xml:space="preserve"> </w:t>
            </w:r>
            <w:r w:rsidRPr="00284700">
              <w:rPr>
                <w:sz w:val="22"/>
              </w:rPr>
              <w:t>-</w:t>
            </w:r>
            <w:r w:rsidRPr="00284700" w:rsidR="001B7FF0">
              <w:rPr>
                <w:sz w:val="22"/>
              </w:rPr>
              <w:t xml:space="preserve"> </w:t>
            </w:r>
            <w:r w:rsidRPr="00284700">
              <w:rPr>
                <w:sz w:val="22"/>
              </w:rPr>
              <w:t>Bedfordshire</w:t>
            </w:r>
          </w:p>
        </w:tc>
        <w:tc>
          <w:tcPr>
            <w:tcW w:w="2410" w:type="dxa"/>
          </w:tcPr>
          <w:p w:rsidRPr="00284700" w:rsidR="00CF702C" w:rsidP="00CF702C" w:rsidRDefault="00CF702C" w14:paraId="1DF5749C" w14:textId="77777777">
            <w:pPr>
              <w:jc w:val="left"/>
              <w:rPr>
                <w:sz w:val="22"/>
              </w:rPr>
            </w:pPr>
            <w:r w:rsidRPr="00284700">
              <w:rPr>
                <w:sz w:val="22"/>
              </w:rPr>
              <w:t>SAR</w:t>
            </w:r>
          </w:p>
        </w:tc>
        <w:tc>
          <w:tcPr>
            <w:tcW w:w="3503" w:type="dxa"/>
          </w:tcPr>
          <w:p w:rsidRPr="00284700" w:rsidR="00CF702C" w:rsidP="00EC1072" w:rsidRDefault="00CF702C" w14:paraId="6C874688" w14:textId="40E80EC7">
            <w:pPr>
              <w:ind w:left="0" w:firstLine="0"/>
              <w:jc w:val="left"/>
              <w:rPr>
                <w:sz w:val="22"/>
              </w:rPr>
            </w:pPr>
            <w:r w:rsidRPr="00284700">
              <w:rPr>
                <w:sz w:val="22"/>
              </w:rPr>
              <w:t xml:space="preserve">Published September 2024 - </w:t>
            </w:r>
            <w:hyperlink w:history="1" r:id="rId20">
              <w:r w:rsidRPr="00284700" w:rsidR="001B7FF0">
                <w:rPr>
                  <w:rStyle w:val="Hyperlink"/>
                  <w:sz w:val="22"/>
                </w:rPr>
                <w:t>Click here</w:t>
              </w:r>
            </w:hyperlink>
          </w:p>
        </w:tc>
      </w:tr>
      <w:tr w:rsidRPr="00284700" w:rsidR="00CF702C" w:rsidTr="002C72FE" w14:paraId="52960B6F" w14:textId="77777777">
        <w:tc>
          <w:tcPr>
            <w:tcW w:w="3442" w:type="dxa"/>
          </w:tcPr>
          <w:p w:rsidRPr="00284700" w:rsidR="00CF702C" w:rsidP="000C48BF" w:rsidRDefault="00CF702C" w14:paraId="395657E7" w14:textId="1915640C">
            <w:pPr>
              <w:ind w:left="0" w:firstLine="0"/>
              <w:rPr>
                <w:b/>
                <w:bCs/>
                <w:sz w:val="22"/>
              </w:rPr>
            </w:pPr>
            <w:r w:rsidRPr="00284700">
              <w:rPr>
                <w:sz w:val="22"/>
              </w:rPr>
              <w:t>Steve</w:t>
            </w:r>
            <w:r w:rsidRPr="00284700" w:rsidR="001B7FF0">
              <w:rPr>
                <w:sz w:val="22"/>
              </w:rPr>
              <w:t xml:space="preserve"> </w:t>
            </w:r>
            <w:r w:rsidRPr="00284700">
              <w:rPr>
                <w:sz w:val="22"/>
              </w:rPr>
              <w:t xml:space="preserve">- </w:t>
            </w:r>
            <w:r w:rsidRPr="00284700">
              <w:rPr>
                <w:bCs/>
                <w:sz w:val="22"/>
              </w:rPr>
              <w:t>City and Hackney</w:t>
            </w:r>
          </w:p>
          <w:p w:rsidRPr="00284700" w:rsidR="00CF702C" w:rsidP="00D42E64" w:rsidRDefault="00CF702C" w14:paraId="4077196D" w14:textId="77777777">
            <w:pPr>
              <w:rPr>
                <w:sz w:val="22"/>
              </w:rPr>
            </w:pPr>
          </w:p>
        </w:tc>
        <w:tc>
          <w:tcPr>
            <w:tcW w:w="2410" w:type="dxa"/>
          </w:tcPr>
          <w:p w:rsidRPr="00284700" w:rsidR="00CF702C" w:rsidP="00CF702C" w:rsidRDefault="00CF702C" w14:paraId="341742A4" w14:textId="77777777">
            <w:pPr>
              <w:jc w:val="left"/>
              <w:rPr>
                <w:sz w:val="22"/>
              </w:rPr>
            </w:pPr>
            <w:r w:rsidRPr="00284700">
              <w:rPr>
                <w:sz w:val="22"/>
              </w:rPr>
              <w:t>SAR</w:t>
            </w:r>
          </w:p>
        </w:tc>
        <w:tc>
          <w:tcPr>
            <w:tcW w:w="3503" w:type="dxa"/>
          </w:tcPr>
          <w:p w:rsidRPr="00284700" w:rsidR="00CF702C" w:rsidP="00EC1072" w:rsidRDefault="00CF702C" w14:paraId="7B645176" w14:textId="73A6DF4F">
            <w:pPr>
              <w:ind w:left="0" w:firstLine="0"/>
              <w:jc w:val="left"/>
              <w:rPr>
                <w:sz w:val="22"/>
              </w:rPr>
            </w:pPr>
            <w:r w:rsidRPr="00284700">
              <w:rPr>
                <w:sz w:val="22"/>
              </w:rPr>
              <w:t>Published November 2024 -  </w:t>
            </w:r>
            <w:hyperlink w:history="1" r:id="rId21">
              <w:r w:rsidRPr="00284700" w:rsidR="001B7FF0">
                <w:rPr>
                  <w:rStyle w:val="Hyperlink"/>
                  <w:sz w:val="22"/>
                </w:rPr>
                <w:t>Click here</w:t>
              </w:r>
            </w:hyperlink>
          </w:p>
        </w:tc>
      </w:tr>
      <w:tr w:rsidRPr="00284700" w:rsidR="00CF702C" w:rsidTr="002C72FE" w14:paraId="713E03AD" w14:textId="77777777">
        <w:tc>
          <w:tcPr>
            <w:tcW w:w="3442" w:type="dxa"/>
          </w:tcPr>
          <w:p w:rsidRPr="00284700" w:rsidR="00CF702C" w:rsidP="00D42E64" w:rsidRDefault="00CF702C" w14:paraId="61418CFF" w14:textId="77777777">
            <w:pPr>
              <w:ind w:left="0" w:firstLine="0"/>
              <w:rPr>
                <w:sz w:val="22"/>
              </w:rPr>
            </w:pPr>
            <w:r w:rsidRPr="00284700">
              <w:rPr>
                <w:sz w:val="22"/>
              </w:rPr>
              <w:t xml:space="preserve">JL- </w:t>
            </w:r>
            <w:r w:rsidRPr="00284700">
              <w:rPr>
                <w:bCs/>
                <w:sz w:val="22"/>
              </w:rPr>
              <w:t>City and Hackney</w:t>
            </w:r>
          </w:p>
        </w:tc>
        <w:tc>
          <w:tcPr>
            <w:tcW w:w="2410" w:type="dxa"/>
          </w:tcPr>
          <w:p w:rsidRPr="00284700" w:rsidR="00CF702C" w:rsidP="00CF702C" w:rsidRDefault="00CF702C" w14:paraId="2ACAED27" w14:textId="77777777">
            <w:pPr>
              <w:jc w:val="left"/>
              <w:rPr>
                <w:sz w:val="22"/>
              </w:rPr>
            </w:pPr>
            <w:r w:rsidRPr="00284700">
              <w:rPr>
                <w:sz w:val="22"/>
              </w:rPr>
              <w:t>SAR</w:t>
            </w:r>
          </w:p>
        </w:tc>
        <w:tc>
          <w:tcPr>
            <w:tcW w:w="3503" w:type="dxa"/>
          </w:tcPr>
          <w:p w:rsidRPr="00284700" w:rsidR="00CF702C" w:rsidP="00EC1072" w:rsidRDefault="00CF702C" w14:paraId="45F8B4D4" w14:textId="15C2C1AE">
            <w:pPr>
              <w:ind w:left="0" w:firstLine="0"/>
              <w:jc w:val="left"/>
              <w:rPr>
                <w:sz w:val="22"/>
              </w:rPr>
            </w:pPr>
            <w:r w:rsidRPr="00284700">
              <w:rPr>
                <w:sz w:val="22"/>
              </w:rPr>
              <w:t>Published September 2024 -  </w:t>
            </w:r>
            <w:hyperlink w:history="1" r:id="rId22">
              <w:r w:rsidRPr="00284700" w:rsidR="001B7FF0">
                <w:rPr>
                  <w:rStyle w:val="Hyperlink"/>
                  <w:sz w:val="22"/>
                </w:rPr>
                <w:t>Click here</w:t>
              </w:r>
            </w:hyperlink>
          </w:p>
        </w:tc>
      </w:tr>
      <w:tr w:rsidRPr="00284700" w:rsidR="00CF702C" w:rsidTr="002C72FE" w14:paraId="0F2D4B50" w14:textId="77777777">
        <w:tc>
          <w:tcPr>
            <w:tcW w:w="3442" w:type="dxa"/>
          </w:tcPr>
          <w:p w:rsidRPr="00284700" w:rsidR="00CF702C" w:rsidP="000C48BF" w:rsidRDefault="000C48BF" w14:paraId="731FFBCE" w14:textId="523D1D14">
            <w:pPr>
              <w:ind w:left="0" w:firstLine="0"/>
              <w:rPr>
                <w:sz w:val="22"/>
              </w:rPr>
            </w:pPr>
            <w:r w:rsidRPr="00284700">
              <w:rPr>
                <w:sz w:val="22"/>
              </w:rPr>
              <w:t>Thematic</w:t>
            </w:r>
            <w:r w:rsidRPr="00284700" w:rsidR="00CF702C">
              <w:rPr>
                <w:sz w:val="22"/>
              </w:rPr>
              <w:t xml:space="preserve"> Self-Neglect- Luton</w:t>
            </w:r>
          </w:p>
        </w:tc>
        <w:tc>
          <w:tcPr>
            <w:tcW w:w="2410" w:type="dxa"/>
          </w:tcPr>
          <w:p w:rsidRPr="00284700" w:rsidR="00CF702C" w:rsidP="00CF702C" w:rsidRDefault="00CF702C" w14:paraId="2D0C06B2" w14:textId="77777777">
            <w:pPr>
              <w:jc w:val="left"/>
              <w:rPr>
                <w:sz w:val="22"/>
              </w:rPr>
            </w:pPr>
            <w:r w:rsidRPr="00284700">
              <w:rPr>
                <w:sz w:val="22"/>
              </w:rPr>
              <w:t>SAR</w:t>
            </w:r>
          </w:p>
        </w:tc>
        <w:tc>
          <w:tcPr>
            <w:tcW w:w="3503" w:type="dxa"/>
          </w:tcPr>
          <w:p w:rsidRPr="00284700" w:rsidR="00CF702C" w:rsidP="00243D88" w:rsidRDefault="00D42E64" w14:paraId="4169B40E" w14:textId="33BA8364">
            <w:pPr>
              <w:ind w:left="0" w:firstLine="0"/>
              <w:jc w:val="left"/>
              <w:rPr>
                <w:sz w:val="22"/>
              </w:rPr>
            </w:pPr>
            <w:r w:rsidRPr="00284700">
              <w:rPr>
                <w:sz w:val="22"/>
              </w:rPr>
              <w:t xml:space="preserve">Published: </w:t>
            </w:r>
            <w:hyperlink w:tooltip="Final LSAB Thematic SAR Self-Neglect" w:history="1" r:id="rId23">
              <w:r w:rsidRPr="00284700" w:rsidR="00CF702C">
                <w:rPr>
                  <w:rStyle w:val="Hyperlink"/>
                  <w:sz w:val="22"/>
                </w:rPr>
                <w:t>Final LSAB Thematic SAR Self-Neglect</w:t>
              </w:r>
            </w:hyperlink>
            <w:r w:rsidRPr="00284700" w:rsidR="00CF702C">
              <w:rPr>
                <w:sz w:val="22"/>
              </w:rPr>
              <w:t> alongside an </w:t>
            </w:r>
            <w:hyperlink w:tooltip="Executive Summary Thematic SAR Self Neglect" w:history="1" r:id="rId24">
              <w:r w:rsidRPr="00284700" w:rsidR="00CF702C">
                <w:rPr>
                  <w:rStyle w:val="Hyperlink"/>
                  <w:sz w:val="22"/>
                </w:rPr>
                <w:t>Executive Summary Thematic SAR Self Neglect</w:t>
              </w:r>
            </w:hyperlink>
            <w:r w:rsidRPr="00284700" w:rsidR="00CF702C">
              <w:rPr>
                <w:sz w:val="22"/>
              </w:rPr>
              <w:t>.</w:t>
            </w:r>
          </w:p>
        </w:tc>
      </w:tr>
      <w:tr w:rsidRPr="00284700" w:rsidR="00CF702C" w:rsidTr="002C72FE" w14:paraId="4B0F3B11" w14:textId="77777777">
        <w:tc>
          <w:tcPr>
            <w:tcW w:w="3442" w:type="dxa"/>
          </w:tcPr>
          <w:p w:rsidRPr="00284700" w:rsidR="00CF702C" w:rsidP="000C48BF" w:rsidRDefault="00CF702C" w14:paraId="57AF07D0" w14:textId="77777777">
            <w:pPr>
              <w:ind w:left="0" w:firstLine="0"/>
              <w:rPr>
                <w:sz w:val="22"/>
              </w:rPr>
            </w:pPr>
            <w:r w:rsidRPr="00284700">
              <w:rPr>
                <w:sz w:val="22"/>
              </w:rPr>
              <w:t>Family T</w:t>
            </w:r>
          </w:p>
        </w:tc>
        <w:tc>
          <w:tcPr>
            <w:tcW w:w="2410" w:type="dxa"/>
          </w:tcPr>
          <w:p w:rsidRPr="00284700" w:rsidR="00CF702C" w:rsidP="00EC1072" w:rsidRDefault="00CF702C" w14:paraId="70CBA8E7" w14:textId="77777777">
            <w:pPr>
              <w:ind w:left="0" w:firstLine="0"/>
              <w:jc w:val="center"/>
              <w:rPr>
                <w:sz w:val="22"/>
              </w:rPr>
            </w:pPr>
            <w:r w:rsidRPr="00284700">
              <w:rPr>
                <w:sz w:val="22"/>
              </w:rPr>
              <w:t>Integrated Safeguarding Review</w:t>
            </w:r>
          </w:p>
        </w:tc>
        <w:tc>
          <w:tcPr>
            <w:tcW w:w="3503" w:type="dxa"/>
          </w:tcPr>
          <w:p w:rsidRPr="00284700" w:rsidR="00CF702C" w:rsidP="00EC1072" w:rsidRDefault="00D42E64" w14:paraId="501B86CD" w14:textId="2C87B25A">
            <w:pPr>
              <w:ind w:left="0" w:firstLine="0"/>
              <w:jc w:val="left"/>
              <w:rPr>
                <w:sz w:val="22"/>
              </w:rPr>
            </w:pPr>
            <w:r w:rsidRPr="00284700">
              <w:rPr>
                <w:sz w:val="22"/>
              </w:rPr>
              <w:t>Published</w:t>
            </w:r>
            <w:r w:rsidRPr="00284700" w:rsidR="00CF702C">
              <w:rPr>
                <w:sz w:val="22"/>
              </w:rPr>
              <w:t>: </w:t>
            </w:r>
            <w:hyperlink w:tooltip="LSCP/LSAB Integrated Safeguarding Review Family T" w:history="1" r:id="rId25">
              <w:r w:rsidRPr="00284700" w:rsidR="001B7FF0">
                <w:rPr>
                  <w:rStyle w:val="Hyperlink"/>
                  <w:sz w:val="22"/>
                </w:rPr>
                <w:t>Click here</w:t>
              </w:r>
            </w:hyperlink>
          </w:p>
        </w:tc>
      </w:tr>
      <w:tr w:rsidRPr="00284700" w:rsidR="00CF702C" w:rsidTr="002C72FE" w14:paraId="6CAD1C54" w14:textId="77777777">
        <w:tc>
          <w:tcPr>
            <w:tcW w:w="3442" w:type="dxa"/>
          </w:tcPr>
          <w:p w:rsidRPr="00284700" w:rsidR="00CF702C" w:rsidP="000C48BF" w:rsidRDefault="00CF702C" w14:paraId="2259D7CA" w14:textId="44D583AC">
            <w:pPr>
              <w:ind w:left="0" w:firstLine="0"/>
              <w:rPr>
                <w:sz w:val="22"/>
              </w:rPr>
            </w:pPr>
            <w:r w:rsidRPr="00284700">
              <w:rPr>
                <w:sz w:val="22"/>
              </w:rPr>
              <w:t>Lilian</w:t>
            </w:r>
            <w:r w:rsidRPr="00284700" w:rsidR="00930386">
              <w:rPr>
                <w:sz w:val="22"/>
              </w:rPr>
              <w:t xml:space="preserve"> </w:t>
            </w:r>
            <w:r w:rsidRPr="00284700">
              <w:rPr>
                <w:sz w:val="22"/>
              </w:rPr>
              <w:t>- Newham</w:t>
            </w:r>
          </w:p>
        </w:tc>
        <w:tc>
          <w:tcPr>
            <w:tcW w:w="2410" w:type="dxa"/>
          </w:tcPr>
          <w:p w:rsidRPr="00284700" w:rsidR="00CF702C" w:rsidP="00EC1072" w:rsidRDefault="00CF702C" w14:paraId="6BB82756" w14:textId="77777777">
            <w:pPr>
              <w:ind w:left="730"/>
              <w:jc w:val="center"/>
              <w:rPr>
                <w:sz w:val="22"/>
              </w:rPr>
            </w:pPr>
            <w:r w:rsidRPr="00284700">
              <w:rPr>
                <w:sz w:val="22"/>
              </w:rPr>
              <w:t>SAR</w:t>
            </w:r>
          </w:p>
        </w:tc>
        <w:tc>
          <w:tcPr>
            <w:tcW w:w="3503" w:type="dxa"/>
          </w:tcPr>
          <w:p w:rsidRPr="00284700" w:rsidR="00CF702C" w:rsidP="00EC1072" w:rsidRDefault="00CF702C" w14:paraId="12CA0EF9" w14:textId="3790D4EF">
            <w:pPr>
              <w:ind w:left="730"/>
              <w:jc w:val="left"/>
              <w:rPr>
                <w:sz w:val="22"/>
              </w:rPr>
            </w:pPr>
            <w:r w:rsidRPr="00284700">
              <w:rPr>
                <w:sz w:val="22"/>
              </w:rPr>
              <w:t xml:space="preserve">Published April 2024 </w:t>
            </w:r>
            <w:r w:rsidRPr="00284700" w:rsidR="00EC1072">
              <w:rPr>
                <w:sz w:val="22"/>
              </w:rPr>
              <w:t>–</w:t>
            </w:r>
            <w:r w:rsidRPr="00284700">
              <w:rPr>
                <w:sz w:val="22"/>
              </w:rPr>
              <w:t xml:space="preserve"> </w:t>
            </w:r>
            <w:hyperlink w:history="1" r:id="rId26">
              <w:r w:rsidRPr="00284700" w:rsidR="001B7FF0">
                <w:rPr>
                  <w:rStyle w:val="Hyperlink"/>
                  <w:sz w:val="22"/>
                </w:rPr>
                <w:t>Click here</w:t>
              </w:r>
            </w:hyperlink>
          </w:p>
        </w:tc>
      </w:tr>
      <w:tr w:rsidRPr="00284700" w:rsidR="00CF702C" w:rsidTr="002C72FE" w14:paraId="4AD17444" w14:textId="77777777">
        <w:tc>
          <w:tcPr>
            <w:tcW w:w="3442" w:type="dxa"/>
          </w:tcPr>
          <w:p w:rsidRPr="00284700" w:rsidR="00CF702C" w:rsidP="000C48BF" w:rsidRDefault="00CF702C" w14:paraId="4824B35C" w14:textId="1D0B6827">
            <w:pPr>
              <w:ind w:left="0" w:firstLine="0"/>
              <w:rPr>
                <w:sz w:val="22"/>
              </w:rPr>
            </w:pPr>
            <w:r w:rsidRPr="00284700">
              <w:rPr>
                <w:bCs/>
                <w:sz w:val="22"/>
              </w:rPr>
              <w:t xml:space="preserve">Tower </w:t>
            </w:r>
            <w:r w:rsidRPr="00284700" w:rsidR="00D42E64">
              <w:rPr>
                <w:bCs/>
                <w:sz w:val="22"/>
              </w:rPr>
              <w:t>H</w:t>
            </w:r>
            <w:r w:rsidRPr="00284700">
              <w:rPr>
                <w:bCs/>
                <w:sz w:val="22"/>
              </w:rPr>
              <w:t>amlets</w:t>
            </w:r>
          </w:p>
          <w:p w:rsidRPr="00284700" w:rsidR="00CF702C" w:rsidP="00D42E64" w:rsidRDefault="00CF702C" w14:paraId="4301992D" w14:textId="77777777">
            <w:pPr>
              <w:rPr>
                <w:sz w:val="22"/>
              </w:rPr>
            </w:pPr>
          </w:p>
        </w:tc>
        <w:tc>
          <w:tcPr>
            <w:tcW w:w="2410" w:type="dxa"/>
          </w:tcPr>
          <w:p w:rsidRPr="00284700" w:rsidR="00CF702C" w:rsidP="00CF702C" w:rsidRDefault="00CF702C" w14:paraId="2F5E3B80" w14:textId="77777777">
            <w:pPr>
              <w:jc w:val="left"/>
              <w:rPr>
                <w:sz w:val="22"/>
              </w:rPr>
            </w:pPr>
          </w:p>
        </w:tc>
        <w:tc>
          <w:tcPr>
            <w:tcW w:w="3503" w:type="dxa"/>
          </w:tcPr>
          <w:p w:rsidRPr="00284700" w:rsidR="00CF702C" w:rsidP="00930386" w:rsidRDefault="00F74176" w14:paraId="7B7B78AD" w14:textId="2108C586">
            <w:pPr>
              <w:ind w:left="0" w:firstLine="0"/>
              <w:jc w:val="left"/>
              <w:rPr>
                <w:sz w:val="22"/>
              </w:rPr>
            </w:pPr>
            <w:r w:rsidRPr="00284700">
              <w:rPr>
                <w:sz w:val="22"/>
              </w:rPr>
              <w:t>No published</w:t>
            </w:r>
            <w:r w:rsidRPr="00284700" w:rsidR="00930386">
              <w:rPr>
                <w:sz w:val="22"/>
              </w:rPr>
              <w:t xml:space="preserve"> SARs this financial year. </w:t>
            </w:r>
          </w:p>
        </w:tc>
      </w:tr>
    </w:tbl>
    <w:p w:rsidRPr="00284700" w:rsidR="002C72FE" w:rsidP="002C72FE" w:rsidRDefault="002C72FE" w14:paraId="04BA7E69" w14:textId="77777777">
      <w:pPr>
        <w:pStyle w:val="ListParagraph"/>
        <w:spacing w:before="100" w:beforeAutospacing="1" w:after="100" w:afterAutospacing="1" w:line="240" w:lineRule="auto"/>
        <w:ind w:left="1657" w:right="0" w:hanging="1090"/>
        <w:rPr>
          <w:b/>
          <w:sz w:val="22"/>
        </w:rPr>
      </w:pPr>
    </w:p>
    <w:p w:rsidRPr="00284700" w:rsidR="00F74176" w:rsidP="002C72FE" w:rsidRDefault="003B141D" w14:paraId="0538B91D" w14:textId="1CFBD8D7">
      <w:pPr>
        <w:pStyle w:val="ListParagraph"/>
        <w:spacing w:before="100" w:beforeAutospacing="1" w:after="100" w:afterAutospacing="1" w:line="240" w:lineRule="auto"/>
        <w:ind w:left="1657" w:right="0" w:hanging="1090"/>
        <w:rPr>
          <w:b/>
          <w:sz w:val="22"/>
        </w:rPr>
      </w:pPr>
      <w:r w:rsidRPr="00284700">
        <w:rPr>
          <w:b/>
          <w:sz w:val="22"/>
        </w:rPr>
        <w:t>Safeguarding Childre</w:t>
      </w:r>
      <w:r w:rsidRPr="00284700" w:rsidR="00D5404B">
        <w:rPr>
          <w:b/>
          <w:sz w:val="22"/>
        </w:rPr>
        <w:t>n</w:t>
      </w:r>
      <w:r w:rsidRPr="00284700">
        <w:rPr>
          <w:b/>
          <w:sz w:val="22"/>
        </w:rPr>
        <w:t xml:space="preserve"> Practice Reviews</w:t>
      </w:r>
      <w:r w:rsidRPr="00284700" w:rsidR="00F5692F">
        <w:rPr>
          <w:b/>
          <w:sz w:val="22"/>
        </w:rPr>
        <w:t xml:space="preserve"> (CSPRs)</w:t>
      </w:r>
      <w:r w:rsidRPr="00284700" w:rsidR="00C86AEA">
        <w:rPr>
          <w:b/>
          <w:sz w:val="22"/>
        </w:rPr>
        <w:t xml:space="preserve"> </w:t>
      </w:r>
      <w:r w:rsidRPr="00284700" w:rsidR="00F74176">
        <w:rPr>
          <w:b/>
          <w:sz w:val="22"/>
        </w:rPr>
        <w:t>- 2024–25</w:t>
      </w:r>
    </w:p>
    <w:tbl>
      <w:tblPr>
        <w:tblStyle w:val="TableGrid"/>
        <w:tblW w:w="9554" w:type="dxa"/>
        <w:tblInd w:w="350" w:type="dxa"/>
        <w:tblLayout w:type="fixed"/>
        <w:tblLook w:val="04A0" w:firstRow="1" w:lastRow="0" w:firstColumn="1" w:lastColumn="0" w:noHBand="0" w:noVBand="1"/>
      </w:tblPr>
      <w:tblGrid>
        <w:gridCol w:w="3742"/>
        <w:gridCol w:w="2353"/>
        <w:gridCol w:w="57"/>
        <w:gridCol w:w="3402"/>
      </w:tblGrid>
      <w:tr w:rsidRPr="00284700" w:rsidR="00F74176" w:rsidTr="002C72FE" w14:paraId="1C0D8B80" w14:textId="77777777">
        <w:tc>
          <w:tcPr>
            <w:tcW w:w="3742" w:type="dxa"/>
            <w:shd w:val="clear" w:color="auto" w:fill="FFD966" w:themeFill="accent4" w:themeFillTint="99"/>
          </w:tcPr>
          <w:p w:rsidRPr="00284700" w:rsidR="00F74176" w:rsidP="00EC1072" w:rsidRDefault="00F74176" w14:paraId="6C223C37" w14:textId="77777777">
            <w:pPr>
              <w:jc w:val="center"/>
              <w:rPr>
                <w:b/>
                <w:sz w:val="22"/>
              </w:rPr>
            </w:pPr>
            <w:r w:rsidRPr="00284700">
              <w:rPr>
                <w:b/>
                <w:sz w:val="22"/>
              </w:rPr>
              <w:t>Identifier</w:t>
            </w:r>
          </w:p>
        </w:tc>
        <w:tc>
          <w:tcPr>
            <w:tcW w:w="2410" w:type="dxa"/>
            <w:gridSpan w:val="2"/>
            <w:shd w:val="clear" w:color="auto" w:fill="FFD966" w:themeFill="accent4" w:themeFillTint="99"/>
          </w:tcPr>
          <w:p w:rsidRPr="00284700" w:rsidR="00F74176" w:rsidP="00EC1072" w:rsidRDefault="00EC1072" w14:paraId="786CEA09" w14:textId="05568958">
            <w:pPr>
              <w:ind w:left="1025"/>
              <w:rPr>
                <w:b/>
                <w:sz w:val="22"/>
              </w:rPr>
            </w:pPr>
            <w:r w:rsidRPr="00284700">
              <w:rPr>
                <w:b/>
                <w:sz w:val="22"/>
              </w:rPr>
              <w:t>Type of Review</w:t>
            </w:r>
          </w:p>
        </w:tc>
        <w:tc>
          <w:tcPr>
            <w:tcW w:w="3402" w:type="dxa"/>
            <w:shd w:val="clear" w:color="auto" w:fill="FFD966" w:themeFill="accent4" w:themeFillTint="99"/>
          </w:tcPr>
          <w:p w:rsidRPr="00284700" w:rsidR="00F74176" w:rsidP="00EC1072" w:rsidRDefault="00F74176" w14:paraId="055B5661" w14:textId="77777777">
            <w:pPr>
              <w:ind w:left="0" w:right="1041" w:firstLine="0"/>
              <w:jc w:val="center"/>
              <w:rPr>
                <w:b/>
                <w:sz w:val="22"/>
              </w:rPr>
            </w:pPr>
            <w:r w:rsidRPr="00284700">
              <w:rPr>
                <w:b/>
                <w:sz w:val="22"/>
              </w:rPr>
              <w:t>Link</w:t>
            </w:r>
          </w:p>
        </w:tc>
      </w:tr>
      <w:tr w:rsidRPr="00284700" w:rsidR="00F74176" w:rsidTr="002C72FE" w14:paraId="74D17F76" w14:textId="77777777">
        <w:tc>
          <w:tcPr>
            <w:tcW w:w="3742" w:type="dxa"/>
            <w:shd w:val="clear" w:color="auto" w:fill="FFFFFF" w:themeFill="background1"/>
          </w:tcPr>
          <w:p w:rsidRPr="00284700" w:rsidR="00F74176" w:rsidP="00EC1072" w:rsidRDefault="00F74176" w14:paraId="4EAD732F" w14:textId="0863714D">
            <w:pPr>
              <w:ind w:left="0" w:firstLine="0"/>
              <w:rPr>
                <w:sz w:val="22"/>
              </w:rPr>
            </w:pPr>
            <w:r w:rsidRPr="00284700">
              <w:rPr>
                <w:sz w:val="22"/>
              </w:rPr>
              <w:t>Isabella</w:t>
            </w:r>
            <w:r w:rsidRPr="00284700" w:rsidR="00AA32AA">
              <w:rPr>
                <w:sz w:val="22"/>
              </w:rPr>
              <w:t xml:space="preserve"> </w:t>
            </w:r>
            <w:r w:rsidRPr="00284700">
              <w:rPr>
                <w:sz w:val="22"/>
              </w:rPr>
              <w:t>- Central Bedfordshire, Suffolk and Norfolk</w:t>
            </w:r>
          </w:p>
        </w:tc>
        <w:tc>
          <w:tcPr>
            <w:tcW w:w="2410" w:type="dxa"/>
            <w:gridSpan w:val="2"/>
            <w:shd w:val="clear" w:color="auto" w:fill="FFFFFF" w:themeFill="background1"/>
          </w:tcPr>
          <w:p w:rsidRPr="00284700" w:rsidR="00F74176" w:rsidP="00EC1072" w:rsidRDefault="00F74176" w14:paraId="6F28A910" w14:textId="77777777">
            <w:pPr>
              <w:ind w:left="0" w:firstLine="0"/>
              <w:rPr>
                <w:sz w:val="22"/>
              </w:rPr>
            </w:pPr>
            <w:r w:rsidRPr="00284700">
              <w:rPr>
                <w:sz w:val="22"/>
              </w:rPr>
              <w:t>Published CSPR</w:t>
            </w:r>
          </w:p>
        </w:tc>
        <w:tc>
          <w:tcPr>
            <w:tcW w:w="3402" w:type="dxa"/>
            <w:shd w:val="clear" w:color="auto" w:fill="FFFFFF" w:themeFill="background1"/>
          </w:tcPr>
          <w:p w:rsidRPr="00284700" w:rsidR="00AA32AA" w:rsidP="00AA32AA" w:rsidRDefault="00CC4271" w14:paraId="6A7672F3" w14:textId="685EA635">
            <w:pPr>
              <w:ind w:left="35" w:right="1041" w:firstLine="0"/>
              <w:rPr>
                <w:color w:val="auto"/>
                <w:sz w:val="22"/>
                <w:lang w:val="en-US" w:eastAsia="en-US"/>
              </w:rPr>
            </w:pPr>
            <w:hyperlink w:history="1" r:id="rId27">
              <w:r w:rsidRPr="00284700" w:rsidR="00AA32AA">
                <w:rPr>
                  <w:rStyle w:val="Hyperlink"/>
                  <w:sz w:val="22"/>
                  <w:lang w:val="en-US" w:eastAsia="en-US"/>
                </w:rPr>
                <w:t>Click Here</w:t>
              </w:r>
            </w:hyperlink>
          </w:p>
          <w:p w:rsidRPr="00284700" w:rsidR="00AA32AA" w:rsidP="00EC1072" w:rsidRDefault="00AA32AA" w14:paraId="2E01DBC4" w14:textId="77777777">
            <w:pPr>
              <w:ind w:right="1041"/>
              <w:rPr>
                <w:color w:val="auto"/>
                <w:sz w:val="22"/>
                <w:lang w:val="en-US" w:eastAsia="en-US"/>
              </w:rPr>
            </w:pPr>
          </w:p>
          <w:p w:rsidRPr="00284700" w:rsidR="00F74176" w:rsidP="00EC1072" w:rsidRDefault="00F74176" w14:paraId="1AD191C2" w14:textId="39377B0A">
            <w:pPr>
              <w:ind w:right="1041"/>
              <w:rPr>
                <w:sz w:val="22"/>
              </w:rPr>
            </w:pPr>
          </w:p>
        </w:tc>
      </w:tr>
      <w:tr w:rsidRPr="00284700" w:rsidR="00F74176" w:rsidTr="002C72FE" w14:paraId="3B9BB33D" w14:textId="77777777">
        <w:trPr>
          <w:trHeight w:val="572"/>
        </w:trPr>
        <w:tc>
          <w:tcPr>
            <w:tcW w:w="3742" w:type="dxa"/>
            <w:shd w:val="clear" w:color="auto" w:fill="FFFFFF" w:themeFill="background1"/>
          </w:tcPr>
          <w:p w:rsidRPr="00284700" w:rsidR="00F74176" w:rsidP="00D5404B" w:rsidRDefault="00F74176" w14:paraId="15FA4C1A" w14:textId="0A38F91B">
            <w:pPr>
              <w:pStyle w:val="BodyText"/>
              <w:numPr>
                <w:ilvl w:val="0"/>
                <w:numId w:val="0"/>
              </w:numPr>
              <w:rPr>
                <w:rFonts w:cs="Arial"/>
                <w:lang w:val="en-GB"/>
              </w:rPr>
            </w:pPr>
            <w:r w:rsidRPr="00284700">
              <w:rPr>
                <w:rFonts w:cs="Arial"/>
                <w:lang w:val="en-GB"/>
              </w:rPr>
              <w:t>Child A</w:t>
            </w:r>
            <w:r w:rsidRPr="00284700" w:rsidR="00AA32AA">
              <w:rPr>
                <w:rFonts w:cs="Arial"/>
                <w:lang w:val="en-GB"/>
              </w:rPr>
              <w:t xml:space="preserve"> </w:t>
            </w:r>
            <w:r w:rsidRPr="00284700">
              <w:rPr>
                <w:rFonts w:cs="Arial"/>
                <w:lang w:val="en-GB"/>
              </w:rPr>
              <w:t>- City and Hackney</w:t>
            </w:r>
          </w:p>
        </w:tc>
        <w:tc>
          <w:tcPr>
            <w:tcW w:w="2410" w:type="dxa"/>
            <w:gridSpan w:val="2"/>
            <w:shd w:val="clear" w:color="auto" w:fill="FFFFFF" w:themeFill="background1"/>
          </w:tcPr>
          <w:p w:rsidRPr="00284700" w:rsidR="00F74176" w:rsidP="00EC1072" w:rsidRDefault="00F74176" w14:paraId="3E463C6A" w14:textId="77777777">
            <w:pPr>
              <w:ind w:left="730"/>
              <w:rPr>
                <w:sz w:val="22"/>
              </w:rPr>
            </w:pPr>
            <w:r w:rsidRPr="00284700">
              <w:rPr>
                <w:sz w:val="22"/>
              </w:rPr>
              <w:t>Published CSPR</w:t>
            </w:r>
          </w:p>
        </w:tc>
        <w:tc>
          <w:tcPr>
            <w:tcW w:w="3402" w:type="dxa"/>
            <w:shd w:val="clear" w:color="auto" w:fill="FFFFFF" w:themeFill="background1"/>
          </w:tcPr>
          <w:p w:rsidRPr="00284700" w:rsidR="00EC1072" w:rsidP="00AA32AA" w:rsidRDefault="00CC4271" w14:paraId="6DE258A5" w14:textId="44AB4249">
            <w:pPr>
              <w:ind w:left="0" w:firstLine="14"/>
              <w:rPr>
                <w:color w:val="auto"/>
                <w:sz w:val="22"/>
              </w:rPr>
            </w:pPr>
            <w:hyperlink w:history="1" r:id="rId28">
              <w:r w:rsidRPr="00284700" w:rsidR="00AA32AA">
                <w:rPr>
                  <w:rStyle w:val="Hyperlink"/>
                  <w:sz w:val="22"/>
                </w:rPr>
                <w:t>Click Here</w:t>
              </w:r>
            </w:hyperlink>
          </w:p>
          <w:p w:rsidRPr="00284700" w:rsidR="00F74176" w:rsidP="00930386" w:rsidRDefault="00EC1072" w14:paraId="12A35B78" w14:textId="345BF364">
            <w:pPr>
              <w:tabs>
                <w:tab w:val="left" w:pos="3557"/>
              </w:tabs>
              <w:ind w:left="0" w:firstLine="0"/>
              <w:rPr>
                <w:sz w:val="22"/>
              </w:rPr>
            </w:pPr>
            <w:r w:rsidRPr="00284700">
              <w:rPr>
                <w:sz w:val="22"/>
              </w:rPr>
              <w:tab/>
            </w:r>
          </w:p>
        </w:tc>
      </w:tr>
      <w:tr w:rsidRPr="00284700" w:rsidR="00F74176" w:rsidTr="002C72FE" w14:paraId="54E6BCEB" w14:textId="77777777">
        <w:tc>
          <w:tcPr>
            <w:tcW w:w="3742" w:type="dxa"/>
            <w:shd w:val="clear" w:color="auto" w:fill="FFFFFF" w:themeFill="background1"/>
          </w:tcPr>
          <w:p w:rsidRPr="00284700" w:rsidR="00F74176" w:rsidP="00EC1072" w:rsidRDefault="00F74176" w14:paraId="5F37F87C" w14:textId="77777777">
            <w:pPr>
              <w:pStyle w:val="BodyText"/>
              <w:numPr>
                <w:ilvl w:val="0"/>
                <w:numId w:val="0"/>
              </w:numPr>
              <w:rPr>
                <w:rFonts w:cs="Arial"/>
                <w:lang w:val="en-GB"/>
              </w:rPr>
            </w:pPr>
            <w:r w:rsidRPr="00284700">
              <w:rPr>
                <w:rFonts w:cs="Arial"/>
                <w:lang w:val="en-GB"/>
              </w:rPr>
              <w:t>Extra Familiar Harm and intra familiar abuse thematic review- Newham</w:t>
            </w:r>
          </w:p>
          <w:p w:rsidRPr="00284700" w:rsidR="00F74176" w:rsidP="002159F1" w:rsidRDefault="00F74176" w14:paraId="01449846" w14:textId="77777777">
            <w:pPr>
              <w:rPr>
                <w:sz w:val="22"/>
              </w:rPr>
            </w:pPr>
          </w:p>
        </w:tc>
        <w:tc>
          <w:tcPr>
            <w:tcW w:w="2410" w:type="dxa"/>
            <w:gridSpan w:val="2"/>
            <w:shd w:val="clear" w:color="auto" w:fill="FFFFFF" w:themeFill="background1"/>
          </w:tcPr>
          <w:p w:rsidRPr="00284700" w:rsidR="00F74176" w:rsidP="00EC1072" w:rsidRDefault="00F74176" w14:paraId="3F926622" w14:textId="77777777">
            <w:pPr>
              <w:ind w:left="730"/>
              <w:rPr>
                <w:sz w:val="22"/>
              </w:rPr>
            </w:pPr>
            <w:r w:rsidRPr="00284700">
              <w:rPr>
                <w:sz w:val="22"/>
              </w:rPr>
              <w:t>Published CSPR</w:t>
            </w:r>
          </w:p>
        </w:tc>
        <w:tc>
          <w:tcPr>
            <w:tcW w:w="3402" w:type="dxa"/>
            <w:shd w:val="clear" w:color="auto" w:fill="FFFFFF" w:themeFill="background1"/>
          </w:tcPr>
          <w:p w:rsidRPr="00284700" w:rsidR="00F74176" w:rsidP="00EC1072" w:rsidRDefault="00F74176" w14:paraId="6E6502BD" w14:textId="523933F3">
            <w:pPr>
              <w:ind w:left="0" w:firstLine="0"/>
              <w:rPr>
                <w:color w:val="1F497D"/>
                <w:sz w:val="22"/>
              </w:rPr>
            </w:pPr>
            <w:r w:rsidRPr="00284700">
              <w:rPr>
                <w:sz w:val="22"/>
                <w:bdr w:val="none" w:color="auto" w:sz="0" w:space="0" w:frame="1"/>
              </w:rPr>
              <w:t>Concerns of serious youth violence</w:t>
            </w:r>
            <w:r w:rsidRPr="00284700" w:rsidR="00AA32AA">
              <w:rPr>
                <w:sz w:val="22"/>
                <w:bdr w:val="none" w:color="auto" w:sz="0" w:space="0" w:frame="1"/>
              </w:rPr>
              <w:t xml:space="preserve"> </w:t>
            </w:r>
            <w:r w:rsidRPr="00284700">
              <w:rPr>
                <w:sz w:val="22"/>
                <w:bdr w:val="none" w:color="auto" w:sz="0" w:space="0" w:frame="1"/>
              </w:rPr>
              <w:t xml:space="preserve">- </w:t>
            </w:r>
            <w:r w:rsidRPr="00284700">
              <w:rPr>
                <w:color w:val="1F497D"/>
                <w:sz w:val="22"/>
              </w:rPr>
              <w:t xml:space="preserve"> </w:t>
            </w:r>
            <w:hyperlink w:history="1" r:id="rId29">
              <w:r w:rsidRPr="00284700" w:rsidR="00AA32AA">
                <w:rPr>
                  <w:rStyle w:val="Hyperlink"/>
                  <w:sz w:val="22"/>
                </w:rPr>
                <w:t>Click here</w:t>
              </w:r>
            </w:hyperlink>
          </w:p>
          <w:p w:rsidRPr="00284700" w:rsidR="00F74176" w:rsidP="002159F1" w:rsidRDefault="00F74176" w14:paraId="3426F08A" w14:textId="77777777">
            <w:pPr>
              <w:rPr>
                <w:sz w:val="22"/>
              </w:rPr>
            </w:pPr>
          </w:p>
        </w:tc>
      </w:tr>
      <w:tr w:rsidRPr="00284700" w:rsidR="00F74176" w:rsidTr="002C72FE" w14:paraId="54AA6259" w14:textId="77777777">
        <w:tc>
          <w:tcPr>
            <w:tcW w:w="3742" w:type="dxa"/>
            <w:shd w:val="clear" w:color="auto" w:fill="FFFFFF" w:themeFill="background1"/>
          </w:tcPr>
          <w:p w:rsidRPr="00284700" w:rsidR="00F74176" w:rsidP="000C48BF" w:rsidRDefault="000C48BF" w14:paraId="32EA5498" w14:textId="15BEE648">
            <w:pPr>
              <w:ind w:left="0" w:firstLine="0"/>
              <w:rPr>
                <w:sz w:val="22"/>
              </w:rPr>
            </w:pPr>
            <w:r w:rsidRPr="00284700">
              <w:rPr>
                <w:sz w:val="22"/>
              </w:rPr>
              <w:t>Child</w:t>
            </w:r>
            <w:r w:rsidRPr="00284700" w:rsidR="00F74176">
              <w:rPr>
                <w:sz w:val="22"/>
              </w:rPr>
              <w:t xml:space="preserve"> H - Newham</w:t>
            </w:r>
          </w:p>
        </w:tc>
        <w:tc>
          <w:tcPr>
            <w:tcW w:w="2353" w:type="dxa"/>
            <w:shd w:val="clear" w:color="auto" w:fill="FFFFFF" w:themeFill="background1"/>
          </w:tcPr>
          <w:p w:rsidRPr="00284700" w:rsidR="00F74176" w:rsidP="00AA32AA" w:rsidRDefault="00AA32AA" w14:paraId="62BC2129" w14:textId="69918AA2">
            <w:pPr>
              <w:ind w:left="0" w:firstLine="0"/>
              <w:rPr>
                <w:sz w:val="22"/>
              </w:rPr>
            </w:pPr>
            <w:r w:rsidRPr="00284700">
              <w:rPr>
                <w:sz w:val="22"/>
              </w:rPr>
              <w:t xml:space="preserve">Published </w:t>
            </w:r>
            <w:r w:rsidRPr="00284700" w:rsidR="00F74176">
              <w:rPr>
                <w:sz w:val="22"/>
              </w:rPr>
              <w:t>CSPR</w:t>
            </w:r>
          </w:p>
        </w:tc>
        <w:tc>
          <w:tcPr>
            <w:tcW w:w="3459" w:type="dxa"/>
            <w:gridSpan w:val="2"/>
            <w:shd w:val="clear" w:color="auto" w:fill="FFFFFF" w:themeFill="background1"/>
          </w:tcPr>
          <w:p w:rsidRPr="00284700" w:rsidR="00F74176" w:rsidP="00AA32AA" w:rsidRDefault="00F74176" w14:paraId="665108D8" w14:textId="0C948C7B">
            <w:pPr>
              <w:pStyle w:val="BodyText"/>
              <w:numPr>
                <w:ilvl w:val="0"/>
                <w:numId w:val="0"/>
              </w:numPr>
              <w:rPr>
                <w:rFonts w:cs="Arial"/>
                <w:bdr w:val="none" w:color="auto" w:sz="0" w:space="0" w:frame="1"/>
              </w:rPr>
            </w:pPr>
            <w:r w:rsidRPr="00284700">
              <w:rPr>
                <w:rFonts w:cs="Arial"/>
                <w:bdr w:val="none" w:color="auto" w:sz="0" w:space="0" w:frame="1"/>
              </w:rPr>
              <w:t>Concerns of neglect, Concerns</w:t>
            </w:r>
            <w:r w:rsidRPr="00284700" w:rsidR="00E81848">
              <w:rPr>
                <w:rFonts w:cs="Arial"/>
                <w:bdr w:val="none" w:color="auto" w:sz="0" w:space="0" w:frame="1"/>
              </w:rPr>
              <w:t xml:space="preserve"> of neglect, parental and </w:t>
            </w:r>
            <w:proofErr w:type="spellStart"/>
            <w:r w:rsidRPr="00284700" w:rsidR="00E81848">
              <w:rPr>
                <w:rFonts w:cs="Arial"/>
                <w:bdr w:val="none" w:color="auto" w:sz="0" w:space="0" w:frame="1"/>
              </w:rPr>
              <w:t>carer</w:t>
            </w:r>
            <w:proofErr w:type="spellEnd"/>
            <w:r w:rsidRPr="00284700" w:rsidR="00E81848">
              <w:rPr>
                <w:rFonts w:cs="Arial"/>
                <w:bdr w:val="none" w:color="auto" w:sz="0" w:space="0" w:frame="1"/>
              </w:rPr>
              <w:t xml:space="preserve"> </w:t>
            </w:r>
            <w:r w:rsidRPr="00284700">
              <w:rPr>
                <w:rFonts w:cs="Arial"/>
                <w:bdr w:val="none" w:color="auto" w:sz="0" w:space="0" w:frame="1"/>
              </w:rPr>
              <w:t xml:space="preserve">responsibility  </w:t>
            </w:r>
          </w:p>
          <w:p w:rsidRPr="00284700" w:rsidR="00E81848" w:rsidP="00D5404B" w:rsidRDefault="00CC4271" w14:paraId="4DCD3656" w14:textId="1EAE680D">
            <w:pPr>
              <w:ind w:left="0" w:hanging="50"/>
              <w:rPr>
                <w:sz w:val="22"/>
              </w:rPr>
            </w:pPr>
            <w:hyperlink w:history="1" r:id="rId30">
              <w:r w:rsidRPr="00284700" w:rsidR="00E81848">
                <w:rPr>
                  <w:rStyle w:val="Hyperlink"/>
                  <w:sz w:val="22"/>
                  <w:lang w:val="en-US" w:eastAsia="en-US"/>
                </w:rPr>
                <w:t>Click Here</w:t>
              </w:r>
            </w:hyperlink>
          </w:p>
        </w:tc>
      </w:tr>
    </w:tbl>
    <w:p w:rsidRPr="00284700" w:rsidR="004A4D2A" w:rsidP="00EC1072" w:rsidRDefault="004A4D2A" w14:paraId="5E613F9E" w14:textId="77777777">
      <w:pPr>
        <w:pStyle w:val="BodyText"/>
        <w:numPr>
          <w:ilvl w:val="0"/>
          <w:numId w:val="0"/>
        </w:numPr>
        <w:ind w:left="2313"/>
        <w:rPr>
          <w:rFonts w:cs="Arial"/>
          <w:b/>
          <w:color w:val="000000"/>
          <w:lang w:val="en-GB" w:eastAsia="en-GB"/>
        </w:rPr>
      </w:pPr>
    </w:p>
    <w:p w:rsidRPr="00284700" w:rsidR="00930386" w:rsidP="00EC1072" w:rsidRDefault="00930386" w14:paraId="0AC89789" w14:textId="1AE961EB">
      <w:pPr>
        <w:pStyle w:val="BodyText"/>
        <w:numPr>
          <w:ilvl w:val="0"/>
          <w:numId w:val="0"/>
        </w:numPr>
        <w:ind w:left="2313"/>
        <w:rPr>
          <w:rFonts w:cs="Arial"/>
          <w:b/>
          <w:lang w:val="en-GB"/>
        </w:rPr>
      </w:pPr>
    </w:p>
    <w:p w:rsidRPr="00284700" w:rsidR="00CF7884" w:rsidP="002C72FE" w:rsidRDefault="003B141D" w14:paraId="123A2528" w14:textId="714A81F4">
      <w:pPr>
        <w:spacing w:before="100" w:beforeAutospacing="1" w:after="100" w:afterAutospacing="1" w:line="240" w:lineRule="auto"/>
        <w:ind w:right="0" w:hanging="720"/>
        <w:rPr>
          <w:b/>
          <w:sz w:val="22"/>
        </w:rPr>
      </w:pPr>
      <w:r w:rsidRPr="00284700">
        <w:rPr>
          <w:b/>
          <w:sz w:val="22"/>
        </w:rPr>
        <w:t>Domestic</w:t>
      </w:r>
      <w:r w:rsidRPr="00284700" w:rsidR="00CF702C">
        <w:rPr>
          <w:b/>
          <w:sz w:val="22"/>
        </w:rPr>
        <w:t xml:space="preserve"> Abuse Related Death</w:t>
      </w:r>
      <w:r w:rsidRPr="00284700">
        <w:rPr>
          <w:b/>
          <w:sz w:val="22"/>
        </w:rPr>
        <w:t xml:space="preserve"> Reviews (D</w:t>
      </w:r>
      <w:r w:rsidRPr="00284700" w:rsidR="00CF702C">
        <w:rPr>
          <w:b/>
          <w:sz w:val="22"/>
        </w:rPr>
        <w:t>ARD</w:t>
      </w:r>
      <w:r w:rsidRPr="00284700">
        <w:rPr>
          <w:b/>
          <w:sz w:val="22"/>
        </w:rPr>
        <w:t>R</w:t>
      </w:r>
      <w:r w:rsidRPr="00284700" w:rsidR="00CF702C">
        <w:rPr>
          <w:b/>
          <w:sz w:val="22"/>
        </w:rPr>
        <w:t>s</w:t>
      </w:r>
      <w:r w:rsidRPr="00284700" w:rsidR="00D2137D">
        <w:rPr>
          <w:b/>
          <w:sz w:val="22"/>
        </w:rPr>
        <w:t>) -</w:t>
      </w:r>
      <w:r w:rsidRPr="00284700" w:rsidR="000570E3">
        <w:rPr>
          <w:b/>
          <w:sz w:val="22"/>
        </w:rPr>
        <w:t xml:space="preserve"> 2024-25</w:t>
      </w:r>
    </w:p>
    <w:tbl>
      <w:tblPr>
        <w:tblStyle w:val="TableGrid"/>
        <w:tblW w:w="9027" w:type="dxa"/>
        <w:tblInd w:w="561" w:type="dxa"/>
        <w:tblLook w:val="04A0" w:firstRow="1" w:lastRow="0" w:firstColumn="1" w:lastColumn="0" w:noHBand="0" w:noVBand="1"/>
      </w:tblPr>
      <w:tblGrid>
        <w:gridCol w:w="3317"/>
        <w:gridCol w:w="3310"/>
        <w:gridCol w:w="2400"/>
      </w:tblGrid>
      <w:tr w:rsidRPr="00284700" w:rsidR="000570E3" w:rsidTr="002C72FE" w14:paraId="5AFE7A8B" w14:textId="77777777">
        <w:tc>
          <w:tcPr>
            <w:tcW w:w="3317" w:type="dxa"/>
            <w:shd w:val="clear" w:color="auto" w:fill="FFD966" w:themeFill="accent4" w:themeFillTint="99"/>
          </w:tcPr>
          <w:p w:rsidRPr="00284700" w:rsidR="000570E3" w:rsidP="002159F1" w:rsidRDefault="000570E3" w14:paraId="153D2C3B" w14:textId="77777777">
            <w:pPr>
              <w:rPr>
                <w:color w:val="auto"/>
                <w:sz w:val="22"/>
              </w:rPr>
            </w:pPr>
            <w:r w:rsidRPr="00284700">
              <w:rPr>
                <w:color w:val="auto"/>
                <w:sz w:val="22"/>
              </w:rPr>
              <w:t>Identifier</w:t>
            </w:r>
          </w:p>
        </w:tc>
        <w:tc>
          <w:tcPr>
            <w:tcW w:w="3310" w:type="dxa"/>
            <w:shd w:val="clear" w:color="auto" w:fill="FFD966" w:themeFill="accent4" w:themeFillTint="99"/>
          </w:tcPr>
          <w:p w:rsidRPr="00284700" w:rsidR="000570E3" w:rsidP="002159F1" w:rsidRDefault="000570E3" w14:paraId="66D6991E" w14:textId="77777777">
            <w:pPr>
              <w:rPr>
                <w:color w:val="auto"/>
                <w:sz w:val="22"/>
              </w:rPr>
            </w:pPr>
            <w:r w:rsidRPr="00284700">
              <w:rPr>
                <w:color w:val="auto"/>
                <w:sz w:val="22"/>
              </w:rPr>
              <w:t>Type of Review</w:t>
            </w:r>
          </w:p>
        </w:tc>
        <w:tc>
          <w:tcPr>
            <w:tcW w:w="2400" w:type="dxa"/>
            <w:shd w:val="clear" w:color="auto" w:fill="FFD966" w:themeFill="accent4" w:themeFillTint="99"/>
          </w:tcPr>
          <w:p w:rsidRPr="00284700" w:rsidR="000570E3" w:rsidP="002159F1" w:rsidRDefault="000570E3" w14:paraId="51BD01E4" w14:textId="77777777">
            <w:pPr>
              <w:rPr>
                <w:color w:val="auto"/>
                <w:sz w:val="22"/>
              </w:rPr>
            </w:pPr>
            <w:r w:rsidRPr="00284700">
              <w:rPr>
                <w:color w:val="auto"/>
                <w:sz w:val="22"/>
              </w:rPr>
              <w:t>Link</w:t>
            </w:r>
          </w:p>
        </w:tc>
      </w:tr>
      <w:tr w:rsidRPr="00284700" w:rsidR="000570E3" w:rsidTr="002C72FE" w14:paraId="35BE2197" w14:textId="77777777">
        <w:trPr>
          <w:trHeight w:val="507"/>
        </w:trPr>
        <w:tc>
          <w:tcPr>
            <w:tcW w:w="3317" w:type="dxa"/>
            <w:shd w:val="clear" w:color="auto" w:fill="FFFFFF" w:themeFill="background1"/>
          </w:tcPr>
          <w:p w:rsidRPr="00284700" w:rsidR="000570E3" w:rsidP="004A4D2A" w:rsidRDefault="00D2137D" w14:paraId="04BFF4E0" w14:textId="3C57F264">
            <w:pPr>
              <w:ind w:left="730"/>
              <w:jc w:val="left"/>
              <w:rPr>
                <w:sz w:val="22"/>
              </w:rPr>
            </w:pPr>
            <w:r w:rsidRPr="00284700">
              <w:rPr>
                <w:sz w:val="22"/>
              </w:rPr>
              <w:t>Jane</w:t>
            </w:r>
            <w:r w:rsidRPr="00284700" w:rsidR="00E81848">
              <w:rPr>
                <w:sz w:val="22"/>
              </w:rPr>
              <w:t xml:space="preserve"> </w:t>
            </w:r>
            <w:r w:rsidRPr="00284700">
              <w:rPr>
                <w:sz w:val="22"/>
              </w:rPr>
              <w:t>- Central B</w:t>
            </w:r>
            <w:r w:rsidRPr="00284700" w:rsidR="004A4D2A">
              <w:rPr>
                <w:sz w:val="22"/>
              </w:rPr>
              <w:t>ed</w:t>
            </w:r>
            <w:r w:rsidRPr="00284700">
              <w:rPr>
                <w:sz w:val="22"/>
              </w:rPr>
              <w:t>fordshire</w:t>
            </w:r>
          </w:p>
        </w:tc>
        <w:tc>
          <w:tcPr>
            <w:tcW w:w="3310" w:type="dxa"/>
            <w:shd w:val="clear" w:color="auto" w:fill="FFFFFF" w:themeFill="background1"/>
          </w:tcPr>
          <w:p w:rsidRPr="00284700" w:rsidR="000570E3" w:rsidP="002159F1" w:rsidRDefault="000570E3" w14:paraId="5321EC72" w14:textId="3B262D47">
            <w:pPr>
              <w:rPr>
                <w:sz w:val="22"/>
              </w:rPr>
            </w:pPr>
            <w:r w:rsidRPr="00284700">
              <w:rPr>
                <w:sz w:val="22"/>
              </w:rPr>
              <w:t>DARDR</w:t>
            </w:r>
          </w:p>
        </w:tc>
        <w:tc>
          <w:tcPr>
            <w:tcW w:w="2400" w:type="dxa"/>
            <w:shd w:val="clear" w:color="auto" w:fill="FFFFFF" w:themeFill="background1"/>
          </w:tcPr>
          <w:p w:rsidRPr="00284700" w:rsidR="004A4D2A" w:rsidP="004A4D2A" w:rsidRDefault="00CC4271" w14:paraId="3AFA6BD2" w14:textId="675FA13E">
            <w:pPr>
              <w:pStyle w:val="BodyText"/>
              <w:numPr>
                <w:ilvl w:val="0"/>
                <w:numId w:val="0"/>
              </w:numPr>
              <w:ind w:right="-87"/>
              <w:rPr>
                <w:rFonts w:cs="Arial"/>
              </w:rPr>
            </w:pPr>
            <w:hyperlink w:history="1" r:id="rId31">
              <w:r w:rsidRPr="00284700" w:rsidR="004A4D2A">
                <w:rPr>
                  <w:rStyle w:val="Hyperlink"/>
                  <w:rFonts w:cs="Arial"/>
                </w:rPr>
                <w:t>Click Here</w:t>
              </w:r>
            </w:hyperlink>
          </w:p>
          <w:p w:rsidRPr="00284700" w:rsidR="000570E3" w:rsidP="004A4D2A" w:rsidRDefault="000570E3" w14:paraId="4E372CCA" w14:textId="3F04ECBA">
            <w:pPr>
              <w:pStyle w:val="BodyText"/>
              <w:numPr>
                <w:ilvl w:val="0"/>
                <w:numId w:val="0"/>
              </w:numPr>
              <w:ind w:right="-87"/>
              <w:rPr>
                <w:rFonts w:cs="Arial"/>
              </w:rPr>
            </w:pPr>
          </w:p>
        </w:tc>
      </w:tr>
    </w:tbl>
    <w:p w:rsidR="00930386" w:rsidP="00930386" w:rsidRDefault="00930386" w14:paraId="6858EF01" w14:textId="77777777">
      <w:pPr>
        <w:ind w:left="703" w:firstLine="0"/>
        <w:rPr>
          <w:b/>
          <w:sz w:val="22"/>
        </w:rPr>
      </w:pPr>
    </w:p>
    <w:p w:rsidRPr="00DD39B8" w:rsidR="00930386" w:rsidP="00930386" w:rsidRDefault="008F4657" w14:paraId="0B9EB24C" w14:textId="4790F8C1">
      <w:pPr>
        <w:ind w:left="703" w:firstLine="0"/>
        <w:rPr>
          <w:bCs/>
          <w:sz w:val="22"/>
        </w:rPr>
      </w:pPr>
      <w:r w:rsidRPr="00DD39B8">
        <w:rPr>
          <w:bCs/>
          <w:sz w:val="22"/>
        </w:rPr>
        <w:t xml:space="preserve">The safeguarding </w:t>
      </w:r>
      <w:r>
        <w:rPr>
          <w:bCs/>
          <w:sz w:val="22"/>
        </w:rPr>
        <w:t>committee receives updates and learning from these reviews and monitors any actions put in place to address any systems gaps or issues identified from the reviews.</w:t>
      </w:r>
    </w:p>
    <w:p w:rsidRPr="00930386" w:rsidR="00095BF9" w:rsidP="00B80E06" w:rsidRDefault="00340E70" w14:paraId="5888124F" w14:textId="13FDD345">
      <w:pPr>
        <w:pStyle w:val="ListParagraph"/>
        <w:numPr>
          <w:ilvl w:val="0"/>
          <w:numId w:val="27"/>
        </w:numPr>
        <w:spacing w:before="100" w:beforeAutospacing="1" w:after="100" w:afterAutospacing="1" w:line="240" w:lineRule="auto"/>
        <w:ind w:left="567" w:right="0" w:hanging="567"/>
        <w:rPr>
          <w:b/>
          <w:sz w:val="22"/>
        </w:rPr>
      </w:pPr>
      <w:r w:rsidRPr="00930386">
        <w:rPr>
          <w:b/>
          <w:sz w:val="22"/>
        </w:rPr>
        <w:t xml:space="preserve">PREVENT </w:t>
      </w:r>
      <w:r w:rsidRPr="00930386" w:rsidR="00855BDF">
        <w:rPr>
          <w:b/>
          <w:sz w:val="22"/>
        </w:rPr>
        <w:t>Duty</w:t>
      </w:r>
    </w:p>
    <w:p w:rsidRPr="002345F3" w:rsidR="00930386" w:rsidP="00930386" w:rsidRDefault="00930386" w14:paraId="38AEB532" w14:textId="77777777">
      <w:pPr>
        <w:pStyle w:val="ListParagraph"/>
        <w:ind w:left="1063" w:firstLine="0"/>
        <w:rPr>
          <w:b/>
          <w:sz w:val="22"/>
        </w:rPr>
      </w:pPr>
    </w:p>
    <w:p w:rsidRPr="00284700" w:rsidR="00C85CD9" w:rsidP="002C72FE" w:rsidRDefault="00CF66C6" w14:paraId="42B4B890" w14:textId="5C74F3FD">
      <w:pPr>
        <w:ind w:left="567" w:firstLine="0"/>
        <w:rPr>
          <w:sz w:val="22"/>
        </w:rPr>
      </w:pPr>
      <w:r w:rsidRPr="00284700">
        <w:rPr>
          <w:sz w:val="22"/>
        </w:rPr>
        <w:t>T</w:t>
      </w:r>
      <w:r w:rsidRPr="00284700" w:rsidR="00C85CD9">
        <w:rPr>
          <w:sz w:val="22"/>
        </w:rPr>
        <w:t xml:space="preserve">he </w:t>
      </w:r>
      <w:r w:rsidRPr="00284700" w:rsidR="00146D11">
        <w:rPr>
          <w:sz w:val="22"/>
        </w:rPr>
        <w:t>T</w:t>
      </w:r>
      <w:r w:rsidRPr="00284700" w:rsidR="00C85CD9">
        <w:rPr>
          <w:sz w:val="22"/>
        </w:rPr>
        <w:t xml:space="preserve">rust responded to </w:t>
      </w:r>
      <w:r w:rsidRPr="00284700" w:rsidR="00D82C78">
        <w:rPr>
          <w:sz w:val="22"/>
        </w:rPr>
        <w:t>30</w:t>
      </w:r>
      <w:r w:rsidRPr="00284700">
        <w:rPr>
          <w:sz w:val="22"/>
        </w:rPr>
        <w:t xml:space="preserve"> P</w:t>
      </w:r>
      <w:r w:rsidRPr="00284700" w:rsidR="00D82C78">
        <w:rPr>
          <w:sz w:val="22"/>
        </w:rPr>
        <w:t>revent related concerns in 2024-</w:t>
      </w:r>
      <w:r w:rsidRPr="00284700" w:rsidR="000A33F9">
        <w:rPr>
          <w:sz w:val="22"/>
        </w:rPr>
        <w:t xml:space="preserve">25. </w:t>
      </w:r>
      <w:r w:rsidRPr="00284700" w:rsidR="00C85CD9">
        <w:rPr>
          <w:sz w:val="22"/>
        </w:rPr>
        <w:t>Th</w:t>
      </w:r>
      <w:r w:rsidRPr="00284700" w:rsidR="00707231">
        <w:rPr>
          <w:sz w:val="22"/>
        </w:rPr>
        <w:t>e</w:t>
      </w:r>
      <w:r w:rsidRPr="00284700" w:rsidR="00C85CD9">
        <w:rPr>
          <w:sz w:val="22"/>
        </w:rPr>
        <w:t>s</w:t>
      </w:r>
      <w:r w:rsidRPr="00284700" w:rsidR="00707231">
        <w:rPr>
          <w:sz w:val="22"/>
        </w:rPr>
        <w:t>e</w:t>
      </w:r>
      <w:r w:rsidRPr="00284700" w:rsidR="00C85CD9">
        <w:rPr>
          <w:sz w:val="22"/>
        </w:rPr>
        <w:t xml:space="preserve"> range from general enquiries to request by Channel Panel from assessm</w:t>
      </w:r>
      <w:r w:rsidRPr="00284700" w:rsidR="00580E2E">
        <w:rPr>
          <w:sz w:val="22"/>
        </w:rPr>
        <w:t>ents of people’s mental health.</w:t>
      </w:r>
      <w:r w:rsidRPr="00284700" w:rsidR="00284700">
        <w:rPr>
          <w:sz w:val="22"/>
        </w:rPr>
        <w:t xml:space="preserve"> </w:t>
      </w:r>
    </w:p>
    <w:p w:rsidRPr="00284700" w:rsidR="00580E2E" w:rsidP="002C72FE" w:rsidRDefault="00580E2E" w14:paraId="4CD87745" w14:textId="77777777">
      <w:pPr>
        <w:pStyle w:val="ListParagraph"/>
        <w:ind w:left="567" w:firstLine="0"/>
        <w:rPr>
          <w:sz w:val="22"/>
        </w:rPr>
      </w:pPr>
    </w:p>
    <w:p w:rsidRPr="00284700" w:rsidR="00C85CD9" w:rsidP="002C72FE" w:rsidRDefault="000C48BF" w14:paraId="2A19355F" w14:textId="2E295CBB">
      <w:pPr>
        <w:ind w:left="567" w:firstLine="0"/>
        <w:rPr>
          <w:sz w:val="22"/>
        </w:rPr>
      </w:pPr>
      <w:r w:rsidRPr="00284700">
        <w:rPr>
          <w:sz w:val="22"/>
        </w:rPr>
        <w:t>In 2024</w:t>
      </w:r>
      <w:r w:rsidRPr="00284700" w:rsidR="00D82C78">
        <w:rPr>
          <w:sz w:val="22"/>
        </w:rPr>
        <w:t xml:space="preserve">-25 the Trust made 7 Prevent </w:t>
      </w:r>
      <w:r w:rsidRPr="00284700">
        <w:rPr>
          <w:sz w:val="22"/>
        </w:rPr>
        <w:t>referral</w:t>
      </w:r>
      <w:r w:rsidR="00406069">
        <w:rPr>
          <w:sz w:val="22"/>
        </w:rPr>
        <w:t>s</w:t>
      </w:r>
      <w:r w:rsidRPr="00284700">
        <w:rPr>
          <w:sz w:val="22"/>
        </w:rPr>
        <w:t xml:space="preserve"> which</w:t>
      </w:r>
      <w:r w:rsidRPr="00284700" w:rsidR="00D82C78">
        <w:rPr>
          <w:sz w:val="22"/>
        </w:rPr>
        <w:t xml:space="preserve"> is a slight </w:t>
      </w:r>
      <w:r w:rsidRPr="00284700">
        <w:rPr>
          <w:sz w:val="22"/>
        </w:rPr>
        <w:t>increase compared</w:t>
      </w:r>
      <w:r w:rsidRPr="00284700" w:rsidR="00D82C78">
        <w:rPr>
          <w:sz w:val="22"/>
        </w:rPr>
        <w:t xml:space="preserve"> to three Prevent referral</w:t>
      </w:r>
      <w:r w:rsidR="00406069">
        <w:rPr>
          <w:sz w:val="22"/>
        </w:rPr>
        <w:t>s</w:t>
      </w:r>
      <w:r w:rsidRPr="00284700" w:rsidR="00D82C78">
        <w:rPr>
          <w:sz w:val="22"/>
        </w:rPr>
        <w:t xml:space="preserve"> in 2023-24 which is consistent with the national picture</w:t>
      </w:r>
      <w:r w:rsidRPr="00284700" w:rsidR="00C85CD9">
        <w:rPr>
          <w:sz w:val="22"/>
        </w:rPr>
        <w:t>.</w:t>
      </w:r>
      <w:r w:rsidRPr="00284700" w:rsidR="00D82C78">
        <w:rPr>
          <w:sz w:val="22"/>
        </w:rPr>
        <w:t xml:space="preserve"> </w:t>
      </w:r>
    </w:p>
    <w:p w:rsidRPr="00284700" w:rsidR="00C85CD9" w:rsidP="002C72FE" w:rsidRDefault="00C85CD9" w14:paraId="3F71A8D5" w14:textId="77777777">
      <w:pPr>
        <w:pStyle w:val="ListParagraph"/>
        <w:ind w:left="567" w:firstLine="0"/>
        <w:rPr>
          <w:sz w:val="22"/>
        </w:rPr>
      </w:pPr>
    </w:p>
    <w:p w:rsidRPr="00284700" w:rsidR="00C85CD9" w:rsidP="002C72FE" w:rsidRDefault="00C85CD9" w14:paraId="2DB6D33A" w14:textId="3C904419">
      <w:pPr>
        <w:pStyle w:val="ListParagraph"/>
        <w:spacing w:before="100" w:beforeAutospacing="1" w:after="100" w:afterAutospacing="1" w:line="240" w:lineRule="auto"/>
        <w:ind w:left="567" w:right="0" w:firstLine="0"/>
        <w:rPr>
          <w:sz w:val="22"/>
        </w:rPr>
      </w:pPr>
      <w:r w:rsidRPr="00284700">
        <w:rPr>
          <w:sz w:val="22"/>
        </w:rPr>
        <w:t xml:space="preserve">The </w:t>
      </w:r>
      <w:r w:rsidRPr="00284700" w:rsidR="00866C82">
        <w:rPr>
          <w:sz w:val="22"/>
        </w:rPr>
        <w:t>T</w:t>
      </w:r>
      <w:r w:rsidRPr="00284700">
        <w:rPr>
          <w:sz w:val="22"/>
        </w:rPr>
        <w:t>rust</w:t>
      </w:r>
      <w:r w:rsidRPr="00284700" w:rsidR="00866C82">
        <w:rPr>
          <w:sz w:val="22"/>
        </w:rPr>
        <w:t>’</w:t>
      </w:r>
      <w:r w:rsidRPr="00284700">
        <w:rPr>
          <w:sz w:val="22"/>
        </w:rPr>
        <w:t>s Safeguarding team and operational teams attend Channel Panel meeting every month and contributes to the discussions for the panel to make informed decision on cases.</w:t>
      </w:r>
    </w:p>
    <w:p w:rsidRPr="00284700" w:rsidR="00C85CD9" w:rsidP="002C72FE" w:rsidRDefault="00C85CD9" w14:paraId="703344EB" w14:textId="77777777">
      <w:pPr>
        <w:pStyle w:val="ListParagraph"/>
        <w:ind w:left="567" w:firstLine="0"/>
        <w:rPr>
          <w:sz w:val="22"/>
        </w:rPr>
      </w:pPr>
    </w:p>
    <w:p w:rsidRPr="00284700" w:rsidR="00C85CD9" w:rsidP="002C72FE" w:rsidRDefault="00C85CD9" w14:paraId="79E7D218" w14:textId="77777777">
      <w:pPr>
        <w:pStyle w:val="ListParagraph"/>
        <w:spacing w:before="100" w:beforeAutospacing="1" w:after="100" w:afterAutospacing="1" w:line="240" w:lineRule="auto"/>
        <w:ind w:left="567" w:right="0" w:firstLine="0"/>
        <w:rPr>
          <w:sz w:val="22"/>
        </w:rPr>
      </w:pPr>
      <w:r w:rsidRPr="00284700">
        <w:rPr>
          <w:sz w:val="22"/>
        </w:rPr>
        <w:t>The Trust continues to attend and participate in Prevent workshops and events in East of England and London.</w:t>
      </w:r>
    </w:p>
    <w:p w:rsidRPr="00284700" w:rsidR="00C85CD9" w:rsidP="002C72FE" w:rsidRDefault="00C85CD9" w14:paraId="4D73E41F" w14:textId="77777777">
      <w:pPr>
        <w:pStyle w:val="ListParagraph"/>
        <w:ind w:left="567" w:firstLine="0"/>
        <w:rPr>
          <w:sz w:val="22"/>
        </w:rPr>
      </w:pPr>
    </w:p>
    <w:p w:rsidRPr="00284700" w:rsidR="00C85CD9" w:rsidP="002C72FE" w:rsidRDefault="00C85CD9" w14:paraId="72034769" w14:textId="31315E64">
      <w:pPr>
        <w:pStyle w:val="ListParagraph"/>
        <w:spacing w:before="100" w:beforeAutospacing="1" w:after="100" w:afterAutospacing="1" w:line="240" w:lineRule="auto"/>
        <w:ind w:left="567" w:right="0" w:firstLine="0"/>
        <w:rPr>
          <w:sz w:val="22"/>
        </w:rPr>
      </w:pPr>
      <w:r w:rsidRPr="00284700">
        <w:rPr>
          <w:sz w:val="22"/>
        </w:rPr>
        <w:t xml:space="preserve">The Associate Director of Safeguarding and the Lead Professionals for </w:t>
      </w:r>
      <w:r w:rsidRPr="00284700" w:rsidR="4731BEC9">
        <w:rPr>
          <w:sz w:val="22"/>
        </w:rPr>
        <w:t>Safeguarding attend</w:t>
      </w:r>
      <w:r w:rsidRPr="00284700">
        <w:rPr>
          <w:sz w:val="22"/>
        </w:rPr>
        <w:t xml:space="preserve"> the PREVENT and CONTEST boards to update them of the work done by the trust and provide inputs to their work plan</w:t>
      </w:r>
    </w:p>
    <w:p w:rsidRPr="00284700" w:rsidR="00867D0B" w:rsidP="002C72FE" w:rsidRDefault="00867D0B" w14:paraId="5A338C45" w14:textId="77777777">
      <w:pPr>
        <w:pStyle w:val="ListParagraph"/>
        <w:ind w:left="567" w:firstLine="0"/>
        <w:rPr>
          <w:sz w:val="22"/>
        </w:rPr>
      </w:pPr>
    </w:p>
    <w:p w:rsidRPr="00284700" w:rsidR="00C85CD9" w:rsidP="002C72FE" w:rsidRDefault="00867D0B" w14:paraId="02D7724C" w14:textId="462C4AA4">
      <w:pPr>
        <w:pStyle w:val="ListParagraph"/>
        <w:spacing w:before="100" w:beforeAutospacing="1" w:after="100" w:afterAutospacing="1" w:line="240" w:lineRule="auto"/>
        <w:ind w:left="567" w:right="0" w:firstLine="0"/>
        <w:rPr>
          <w:sz w:val="22"/>
        </w:rPr>
      </w:pPr>
      <w:r w:rsidRPr="00284700">
        <w:rPr>
          <w:sz w:val="22"/>
        </w:rPr>
        <w:t>On 26</w:t>
      </w:r>
      <w:r w:rsidRPr="00284700">
        <w:rPr>
          <w:sz w:val="22"/>
          <w:vertAlign w:val="superscript"/>
        </w:rPr>
        <w:t>th</w:t>
      </w:r>
      <w:r w:rsidRPr="00284700">
        <w:rPr>
          <w:sz w:val="22"/>
        </w:rPr>
        <w:t xml:space="preserve"> March 2025, the Trust hosted the Safeguarding Prevent Confer</w:t>
      </w:r>
      <w:r w:rsidR="00F04FD5">
        <w:rPr>
          <w:sz w:val="22"/>
        </w:rPr>
        <w:t>ence in partnership with Tower H</w:t>
      </w:r>
      <w:r w:rsidRPr="00284700">
        <w:rPr>
          <w:sz w:val="22"/>
        </w:rPr>
        <w:t>amlets Prevent team to raise awareness of Prevent. The training was</w:t>
      </w:r>
      <w:r w:rsidRPr="00284700" w:rsidR="000C48BF">
        <w:rPr>
          <w:sz w:val="22"/>
        </w:rPr>
        <w:t xml:space="preserve"> open to other partners across the East London and Luton landscape</w:t>
      </w:r>
      <w:r w:rsidR="00447D9E">
        <w:rPr>
          <w:sz w:val="22"/>
        </w:rPr>
        <w:t>, and was attended by 202</w:t>
      </w:r>
      <w:r w:rsidR="00406069">
        <w:rPr>
          <w:sz w:val="22"/>
        </w:rPr>
        <w:t xml:space="preserve"> people</w:t>
      </w:r>
      <w:r w:rsidRPr="00284700" w:rsidR="000C48BF">
        <w:rPr>
          <w:sz w:val="22"/>
        </w:rPr>
        <w:t>.</w:t>
      </w:r>
      <w:r w:rsidRPr="00284700">
        <w:rPr>
          <w:sz w:val="22"/>
        </w:rPr>
        <w:t xml:space="preserve"> </w:t>
      </w:r>
    </w:p>
    <w:p w:rsidR="00C85CD9" w:rsidP="00C85CD9" w:rsidRDefault="00C85CD9" w14:paraId="1E48777F" w14:textId="77777777">
      <w:pPr>
        <w:pStyle w:val="ListParagraph"/>
        <w:rPr>
          <w:sz w:val="20"/>
          <w:szCs w:val="20"/>
        </w:rPr>
      </w:pPr>
    </w:p>
    <w:p w:rsidRPr="008C6371" w:rsidR="00DA3B9B" w:rsidP="00C85CD9" w:rsidRDefault="00DA3B9B" w14:paraId="09427B42" w14:textId="77777777">
      <w:pPr>
        <w:pStyle w:val="ListParagraph"/>
        <w:rPr>
          <w:sz w:val="20"/>
          <w:szCs w:val="20"/>
        </w:rPr>
      </w:pPr>
    </w:p>
    <w:p w:rsidRPr="00C53216" w:rsidR="00FC74BB" w:rsidP="00B80E06" w:rsidRDefault="00340E70" w14:paraId="5D1D0B38" w14:textId="46FF3278">
      <w:pPr>
        <w:pStyle w:val="ListParagraph"/>
        <w:numPr>
          <w:ilvl w:val="0"/>
          <w:numId w:val="27"/>
        </w:numPr>
        <w:spacing w:before="100" w:beforeAutospacing="1" w:after="100" w:afterAutospacing="1" w:line="240" w:lineRule="auto"/>
        <w:ind w:left="567" w:right="0" w:hanging="567"/>
        <w:rPr>
          <w:sz w:val="22"/>
        </w:rPr>
      </w:pPr>
      <w:r w:rsidRPr="002345F3">
        <w:rPr>
          <w:b/>
          <w:sz w:val="22"/>
        </w:rPr>
        <w:t>Domestic Abuse</w:t>
      </w:r>
      <w:r w:rsidRPr="002345F3" w:rsidR="00D201F5">
        <w:rPr>
          <w:b/>
          <w:sz w:val="22"/>
        </w:rPr>
        <w:t xml:space="preserve"> </w:t>
      </w:r>
    </w:p>
    <w:p w:rsidRPr="00284700" w:rsidR="00F26BCC" w:rsidP="002C72FE" w:rsidRDefault="00F26BCC" w14:paraId="37A39D1E" w14:textId="78FDB364">
      <w:pPr>
        <w:spacing w:before="100" w:beforeAutospacing="1" w:after="100" w:afterAutospacing="1" w:line="240" w:lineRule="auto"/>
        <w:ind w:left="567" w:right="0" w:firstLine="0"/>
        <w:rPr>
          <w:b/>
          <w:sz w:val="22"/>
        </w:rPr>
      </w:pPr>
      <w:r w:rsidRPr="00284700">
        <w:rPr>
          <w:sz w:val="22"/>
        </w:rPr>
        <w:t>There continues to be Trust representation at the local Multi Agency Risk Assessment Conference meetings (MARAC), at the respective Community Safety Partnerships and at the Domestic Abuse Strategic Leaders group.</w:t>
      </w:r>
    </w:p>
    <w:p w:rsidRPr="00284700" w:rsidR="004A4D2A" w:rsidP="002C72FE" w:rsidRDefault="00F26BCC" w14:paraId="26BEC505" w14:textId="4AEE6AAF">
      <w:pPr>
        <w:spacing w:before="100" w:beforeAutospacing="1" w:after="100" w:afterAutospacing="1" w:line="240" w:lineRule="auto"/>
        <w:ind w:left="567" w:right="0" w:firstLine="0"/>
        <w:rPr>
          <w:sz w:val="22"/>
        </w:rPr>
      </w:pPr>
      <w:r w:rsidRPr="00284700">
        <w:rPr>
          <w:sz w:val="22"/>
        </w:rPr>
        <w:t>The Trust has seen a sharp increase in the number of Domestic</w:t>
      </w:r>
      <w:r w:rsidRPr="00284700" w:rsidR="00D201F5">
        <w:rPr>
          <w:sz w:val="22"/>
        </w:rPr>
        <w:t xml:space="preserve"> Abuse Related Death Reviews (DARD</w:t>
      </w:r>
      <w:r w:rsidRPr="00284700">
        <w:rPr>
          <w:sz w:val="22"/>
        </w:rPr>
        <w:t>R</w:t>
      </w:r>
      <w:r w:rsidRPr="00284700" w:rsidR="00D201F5">
        <w:rPr>
          <w:sz w:val="22"/>
        </w:rPr>
        <w:t>’s</w:t>
      </w:r>
      <w:r w:rsidRPr="00284700">
        <w:rPr>
          <w:sz w:val="22"/>
        </w:rPr>
        <w:t>) and the Safeguarding team h</w:t>
      </w:r>
      <w:r w:rsidRPr="00284700" w:rsidR="00D201F5">
        <w:rPr>
          <w:sz w:val="22"/>
        </w:rPr>
        <w:t>ave been involved in about 22 ongoing DARDR’</w:t>
      </w:r>
      <w:r w:rsidRPr="00284700" w:rsidR="004A4D2A">
        <w:rPr>
          <w:sz w:val="22"/>
        </w:rPr>
        <w:t>s across the T</w:t>
      </w:r>
      <w:r w:rsidRPr="00284700">
        <w:rPr>
          <w:sz w:val="22"/>
        </w:rPr>
        <w:t>rust.</w:t>
      </w:r>
    </w:p>
    <w:p w:rsidRPr="00284700" w:rsidR="004A4D2A" w:rsidP="002C72FE" w:rsidRDefault="00F26BCC" w14:paraId="53A8EF2E" w14:textId="7B07D26E">
      <w:pPr>
        <w:spacing w:before="100" w:beforeAutospacing="1" w:after="100" w:afterAutospacing="1" w:line="240" w:lineRule="auto"/>
        <w:ind w:left="567" w:right="0" w:firstLine="0"/>
        <w:rPr>
          <w:sz w:val="22"/>
        </w:rPr>
      </w:pPr>
      <w:r w:rsidRPr="00284700">
        <w:rPr>
          <w:sz w:val="22"/>
        </w:rPr>
        <w:t xml:space="preserve">The </w:t>
      </w:r>
      <w:r w:rsidR="00F04FD5">
        <w:rPr>
          <w:sz w:val="22"/>
        </w:rPr>
        <w:t>C</w:t>
      </w:r>
      <w:r w:rsidR="00406069">
        <w:rPr>
          <w:sz w:val="22"/>
        </w:rPr>
        <w:t>orporate</w:t>
      </w:r>
      <w:r w:rsidR="00F04FD5">
        <w:rPr>
          <w:sz w:val="22"/>
        </w:rPr>
        <w:t xml:space="preserve"> S</w:t>
      </w:r>
      <w:r w:rsidRPr="00284700">
        <w:rPr>
          <w:sz w:val="22"/>
        </w:rPr>
        <w:t xml:space="preserve">afeguarding team has developed and rolled out a number of Domestic Abuse training sessions throughout the year for the staff to raise awareness and to ensure early identification of domestic abuse among patients and staff members. </w:t>
      </w:r>
    </w:p>
    <w:p w:rsidRPr="00284700" w:rsidR="00CC769C" w:rsidP="002C72FE" w:rsidRDefault="00D201F5" w14:paraId="4A9C0255" w14:textId="1A63BCBC">
      <w:pPr>
        <w:spacing w:before="100" w:beforeAutospacing="1" w:after="100" w:afterAutospacing="1" w:line="240" w:lineRule="auto"/>
        <w:ind w:left="567" w:right="0" w:firstLine="0"/>
        <w:rPr>
          <w:sz w:val="22"/>
        </w:rPr>
      </w:pPr>
      <w:r w:rsidRPr="00284700">
        <w:rPr>
          <w:sz w:val="22"/>
        </w:rPr>
        <w:t xml:space="preserve">The Corporate Safeguarding team is doing a Routine Enquiry QI </w:t>
      </w:r>
      <w:r w:rsidRPr="00284700" w:rsidR="00CC769C">
        <w:rPr>
          <w:sz w:val="22"/>
        </w:rPr>
        <w:t>project. This project seeks to strengthen the trust’s approach to routine enquiry for domestic abuse by embedding a robust, proactive, and patient-centred framework</w:t>
      </w:r>
      <w:r w:rsidR="00406069">
        <w:rPr>
          <w:sz w:val="22"/>
        </w:rPr>
        <w:t>. T</w:t>
      </w:r>
      <w:r w:rsidRPr="00284700" w:rsidR="00CC769C">
        <w:rPr>
          <w:sz w:val="22"/>
        </w:rPr>
        <w:t xml:space="preserve">he objectives </w:t>
      </w:r>
      <w:r w:rsidR="00406069">
        <w:rPr>
          <w:sz w:val="22"/>
        </w:rPr>
        <w:t xml:space="preserve">are to </w:t>
      </w:r>
      <w:r w:rsidRPr="00284700" w:rsidR="00CC769C">
        <w:rPr>
          <w:sz w:val="22"/>
        </w:rPr>
        <w:t>improv</w:t>
      </w:r>
      <w:r w:rsidR="00406069">
        <w:rPr>
          <w:sz w:val="22"/>
        </w:rPr>
        <w:t>e</w:t>
      </w:r>
      <w:r w:rsidRPr="00284700" w:rsidR="00CC769C">
        <w:rPr>
          <w:sz w:val="22"/>
        </w:rPr>
        <w:t xml:space="preserve"> identification of domestic abuse experienced by our patients and optimis</w:t>
      </w:r>
      <w:r w:rsidR="00BB46A4">
        <w:rPr>
          <w:sz w:val="22"/>
        </w:rPr>
        <w:t>e</w:t>
      </w:r>
      <w:r w:rsidRPr="00284700" w:rsidR="00CC769C">
        <w:rPr>
          <w:sz w:val="22"/>
        </w:rPr>
        <w:t xml:space="preserve"> response to provide a more compassionate, effective and trauma-informed approach for patients experiencing domestic abuse. The project is in its early stages and is receiving positive feedback where staff have introduced routine enquiry process.</w:t>
      </w:r>
    </w:p>
    <w:p w:rsidRPr="00284700" w:rsidR="004A4D2A" w:rsidP="002C72FE" w:rsidRDefault="00F26BCC" w14:paraId="6A381BD5" w14:textId="3324DA34">
      <w:pPr>
        <w:spacing w:before="100" w:beforeAutospacing="1" w:after="100" w:afterAutospacing="1" w:line="240" w:lineRule="auto"/>
        <w:ind w:left="567" w:right="0" w:firstLine="0"/>
        <w:rPr>
          <w:sz w:val="22"/>
        </w:rPr>
      </w:pPr>
      <w:r w:rsidRPr="00284700">
        <w:rPr>
          <w:sz w:val="22"/>
        </w:rPr>
        <w:t xml:space="preserve">The </w:t>
      </w:r>
      <w:r w:rsidRPr="00284700" w:rsidR="00866C82">
        <w:rPr>
          <w:sz w:val="22"/>
        </w:rPr>
        <w:t>T</w:t>
      </w:r>
      <w:r w:rsidRPr="00284700">
        <w:rPr>
          <w:sz w:val="22"/>
        </w:rPr>
        <w:t>rust “Domestic Abuse St</w:t>
      </w:r>
      <w:r w:rsidRPr="00284700" w:rsidR="00D201F5">
        <w:rPr>
          <w:sz w:val="22"/>
        </w:rPr>
        <w:t>eering” group meets bi-monthly</w:t>
      </w:r>
      <w:r w:rsidRPr="00284700">
        <w:rPr>
          <w:sz w:val="22"/>
        </w:rPr>
        <w:t xml:space="preserve"> to plan and identify areas of work that needs strengthening within the organisation to appropriately respond to concerns of domestic abuse. The meeting is chaired by the Associate Director of Safegua</w:t>
      </w:r>
      <w:r w:rsidRPr="00284700" w:rsidR="00D201F5">
        <w:rPr>
          <w:sz w:val="22"/>
        </w:rPr>
        <w:t>rding and is attended by the Corporate Safeguarding team, the Named doctors and the Public Health team</w:t>
      </w:r>
      <w:r w:rsidRPr="00284700">
        <w:rPr>
          <w:sz w:val="22"/>
        </w:rPr>
        <w:t>.</w:t>
      </w:r>
      <w:r w:rsidRPr="00284700" w:rsidR="002C72FE">
        <w:rPr>
          <w:sz w:val="22"/>
        </w:rPr>
        <w:t xml:space="preserve"> The group has a</w:t>
      </w:r>
      <w:r w:rsidRPr="00284700" w:rsidR="007B066E">
        <w:rPr>
          <w:sz w:val="22"/>
        </w:rPr>
        <w:t xml:space="preserve"> DA action plan to support the work</w:t>
      </w:r>
      <w:r w:rsidR="00BB46A4">
        <w:rPr>
          <w:sz w:val="22"/>
        </w:rPr>
        <w:t xml:space="preserve">, and reports into the </w:t>
      </w:r>
      <w:r w:rsidR="00F04FD5">
        <w:rPr>
          <w:sz w:val="22"/>
        </w:rPr>
        <w:t>Trust</w:t>
      </w:r>
      <w:r w:rsidR="00BB46A4">
        <w:rPr>
          <w:sz w:val="22"/>
        </w:rPr>
        <w:t xml:space="preserve"> Safeguarding Committee</w:t>
      </w:r>
      <w:r w:rsidRPr="00284700" w:rsidR="007B066E">
        <w:rPr>
          <w:sz w:val="22"/>
        </w:rPr>
        <w:t>.</w:t>
      </w:r>
    </w:p>
    <w:p w:rsidRPr="00876F95" w:rsidR="00876F95" w:rsidP="00876F95" w:rsidRDefault="00876F95" w14:paraId="784C47F4" w14:textId="2761392B">
      <w:pPr>
        <w:spacing w:before="100" w:beforeAutospacing="1" w:after="100" w:afterAutospacing="1"/>
        <w:ind w:left="567" w:firstLine="0"/>
        <w:rPr>
          <w:rFonts w:ascii="Times New Roman" w:hAnsi="Times New Roman" w:cs="Times New Roman" w:eastAsiaTheme="minorHAnsi"/>
          <w:color w:val="auto"/>
          <w:sz w:val="22"/>
        </w:rPr>
      </w:pPr>
      <w:r>
        <w:rPr>
          <w:sz w:val="22"/>
        </w:rPr>
        <w:t>The Safeguarding team organised 16 days of action to raise a</w:t>
      </w:r>
      <w:r w:rsidR="009D7717">
        <w:rPr>
          <w:sz w:val="22"/>
        </w:rPr>
        <w:t>wareness of Domestic Abuse and </w:t>
      </w:r>
      <w:r>
        <w:rPr>
          <w:sz w:val="22"/>
        </w:rPr>
        <w:t>also shared learnings from published DHRs.</w:t>
      </w:r>
    </w:p>
    <w:p w:rsidR="00F26BCC" w:rsidP="00876F95" w:rsidRDefault="00F26BCC" w14:paraId="4A5273C2" w14:textId="7E28A4EE">
      <w:pPr>
        <w:spacing w:before="100" w:beforeAutospacing="1" w:after="100" w:afterAutospacing="1" w:line="240" w:lineRule="auto"/>
        <w:ind w:left="567" w:right="0" w:firstLine="0"/>
        <w:rPr>
          <w:sz w:val="22"/>
        </w:rPr>
      </w:pPr>
      <w:r w:rsidRPr="00284700">
        <w:rPr>
          <w:sz w:val="22"/>
        </w:rPr>
        <w:t>To support the victims of Domestic Abuse, Trust has acquired organisational membership with Respect, a Domestic Abuse charity.</w:t>
      </w:r>
    </w:p>
    <w:p w:rsidRPr="002345F3" w:rsidR="00FC74BB" w:rsidP="00B80E06" w:rsidRDefault="006C5A38" w14:paraId="4E16DD6F" w14:textId="19F0030E">
      <w:pPr>
        <w:pStyle w:val="ListParagraph"/>
        <w:numPr>
          <w:ilvl w:val="0"/>
          <w:numId w:val="27"/>
        </w:numPr>
        <w:spacing w:before="100" w:beforeAutospacing="1" w:after="100" w:afterAutospacing="1" w:line="240" w:lineRule="auto"/>
        <w:ind w:left="567" w:right="0" w:hanging="567"/>
        <w:rPr>
          <w:b/>
          <w:sz w:val="22"/>
        </w:rPr>
      </w:pPr>
      <w:proofErr w:type="spellStart"/>
      <w:r w:rsidRPr="00E21F8A">
        <w:rPr>
          <w:b/>
          <w:sz w:val="22"/>
        </w:rPr>
        <w:t>InPhase</w:t>
      </w:r>
      <w:proofErr w:type="spellEnd"/>
      <w:r w:rsidRPr="002345F3">
        <w:rPr>
          <w:b/>
          <w:color w:val="auto"/>
          <w:sz w:val="22"/>
        </w:rPr>
        <w:t xml:space="preserve"> </w:t>
      </w:r>
      <w:r w:rsidRPr="002345F3" w:rsidR="00D15635">
        <w:rPr>
          <w:b/>
          <w:color w:val="auto"/>
          <w:sz w:val="22"/>
        </w:rPr>
        <w:t>reported incidents (202</w:t>
      </w:r>
      <w:r w:rsidRPr="002345F3" w:rsidR="003E3D87">
        <w:rPr>
          <w:b/>
          <w:color w:val="auto"/>
          <w:sz w:val="22"/>
        </w:rPr>
        <w:t>4</w:t>
      </w:r>
      <w:r w:rsidRPr="002345F3" w:rsidR="00D15635">
        <w:rPr>
          <w:b/>
          <w:color w:val="auto"/>
          <w:sz w:val="22"/>
        </w:rPr>
        <w:t>-2</w:t>
      </w:r>
      <w:r w:rsidRPr="002345F3" w:rsidR="003E3D87">
        <w:rPr>
          <w:b/>
          <w:color w:val="auto"/>
          <w:sz w:val="22"/>
        </w:rPr>
        <w:t>5</w:t>
      </w:r>
      <w:r w:rsidRPr="002345F3" w:rsidR="00340E70">
        <w:rPr>
          <w:b/>
          <w:color w:val="auto"/>
          <w:sz w:val="22"/>
        </w:rPr>
        <w:t>)</w:t>
      </w:r>
    </w:p>
    <w:p w:rsidRPr="00D63C54" w:rsidR="00F26BCC" w:rsidP="002C72FE" w:rsidRDefault="00F26BCC" w14:paraId="14B59172" w14:textId="77777777">
      <w:pPr>
        <w:pStyle w:val="ListParagraph"/>
        <w:ind w:left="567" w:firstLine="0"/>
        <w:rPr>
          <w:b/>
          <w:color w:val="FF0000"/>
          <w:sz w:val="22"/>
        </w:rPr>
      </w:pPr>
    </w:p>
    <w:p w:rsidRPr="00284700" w:rsidR="00A44EC8" w:rsidP="002C72FE" w:rsidRDefault="00A44EC8" w14:paraId="35C2D7D9" w14:textId="7F4C3AFB">
      <w:pPr>
        <w:ind w:left="567" w:firstLine="0"/>
        <w:rPr>
          <w:sz w:val="22"/>
        </w:rPr>
      </w:pPr>
      <w:r w:rsidRPr="00284700">
        <w:rPr>
          <w:sz w:val="22"/>
        </w:rPr>
        <w:t xml:space="preserve">All patient safety incidents reported via </w:t>
      </w:r>
      <w:proofErr w:type="spellStart"/>
      <w:r w:rsidRPr="00284700">
        <w:rPr>
          <w:sz w:val="22"/>
        </w:rPr>
        <w:t>InPhase</w:t>
      </w:r>
      <w:proofErr w:type="spellEnd"/>
      <w:r w:rsidRPr="00284700">
        <w:rPr>
          <w:sz w:val="22"/>
        </w:rPr>
        <w:t xml:space="preserve"> are reviewed by the Corporate Safeguarding team to identify indicators of abuse, neglect, or poor care. This process supports frontline decision-making and strengthens safeguarding vigilance across the Trust. </w:t>
      </w:r>
    </w:p>
    <w:p w:rsidRPr="00284700" w:rsidR="00A44EC8" w:rsidP="002C72FE" w:rsidRDefault="00A44EC8" w14:paraId="21B41953" w14:textId="77777777">
      <w:pPr>
        <w:pStyle w:val="ListParagraph"/>
        <w:ind w:left="567" w:firstLine="0"/>
        <w:rPr>
          <w:sz w:val="22"/>
        </w:rPr>
      </w:pPr>
    </w:p>
    <w:p w:rsidRPr="00284700" w:rsidR="00A44EC8" w:rsidP="002C72FE" w:rsidRDefault="00A44EC8" w14:paraId="6AF885C0" w14:textId="517DF99B">
      <w:pPr>
        <w:ind w:left="567" w:firstLine="0"/>
        <w:rPr>
          <w:sz w:val="22"/>
        </w:rPr>
      </w:pPr>
      <w:r w:rsidRPr="00284700">
        <w:rPr>
          <w:sz w:val="22"/>
        </w:rPr>
        <w:t>In 2024–25, the Trust saw a substantial rise in reported safeguarding incidents, underlining improved awareness and reporting but also highlighting key thematic challenges.</w:t>
      </w:r>
    </w:p>
    <w:p w:rsidRPr="00284700" w:rsidR="00A44EC8" w:rsidP="00E21F8A" w:rsidRDefault="00A44EC8" w14:paraId="18FEF2DE" w14:textId="77777777">
      <w:pPr>
        <w:pStyle w:val="ListParagraph"/>
        <w:ind w:left="1512"/>
        <w:rPr>
          <w:sz w:val="22"/>
        </w:rPr>
      </w:pPr>
    </w:p>
    <w:p w:rsidR="00DA3B9B" w:rsidP="002C72FE" w:rsidRDefault="00DA3B9B" w14:paraId="5BABF605" w14:textId="77777777">
      <w:pPr>
        <w:pStyle w:val="ListParagraph"/>
        <w:spacing w:before="100" w:beforeAutospacing="1" w:after="100" w:afterAutospacing="1" w:line="240" w:lineRule="auto"/>
        <w:ind w:left="1657" w:right="0" w:firstLine="0"/>
        <w:rPr>
          <w:b/>
          <w:sz w:val="22"/>
        </w:rPr>
      </w:pPr>
    </w:p>
    <w:p w:rsidR="00DA3B9B" w:rsidP="002C72FE" w:rsidRDefault="00DA3B9B" w14:paraId="6C85B8AB" w14:textId="77777777">
      <w:pPr>
        <w:pStyle w:val="ListParagraph"/>
        <w:spacing w:before="100" w:beforeAutospacing="1" w:after="100" w:afterAutospacing="1" w:line="240" w:lineRule="auto"/>
        <w:ind w:left="1657" w:right="0" w:firstLine="0"/>
        <w:rPr>
          <w:b/>
          <w:sz w:val="22"/>
        </w:rPr>
      </w:pPr>
    </w:p>
    <w:p w:rsidR="00DA3B9B" w:rsidP="002C72FE" w:rsidRDefault="00DA3B9B" w14:paraId="64BA9351" w14:textId="77777777">
      <w:pPr>
        <w:pStyle w:val="ListParagraph"/>
        <w:spacing w:before="100" w:beforeAutospacing="1" w:after="100" w:afterAutospacing="1" w:line="240" w:lineRule="auto"/>
        <w:ind w:left="1657" w:right="0" w:firstLine="0"/>
        <w:rPr>
          <w:b/>
          <w:sz w:val="22"/>
        </w:rPr>
      </w:pPr>
    </w:p>
    <w:p w:rsidR="00DA3B9B" w:rsidP="002C72FE" w:rsidRDefault="00DA3B9B" w14:paraId="2FB6BD16" w14:textId="77777777">
      <w:pPr>
        <w:pStyle w:val="ListParagraph"/>
        <w:spacing w:before="100" w:beforeAutospacing="1" w:after="100" w:afterAutospacing="1" w:line="240" w:lineRule="auto"/>
        <w:ind w:left="1657" w:right="0" w:firstLine="0"/>
        <w:rPr>
          <w:b/>
          <w:sz w:val="22"/>
        </w:rPr>
      </w:pPr>
    </w:p>
    <w:p w:rsidR="00DA3B9B" w:rsidP="002C72FE" w:rsidRDefault="00DA3B9B" w14:paraId="35191AC1" w14:textId="77777777">
      <w:pPr>
        <w:pStyle w:val="ListParagraph"/>
        <w:spacing w:before="100" w:beforeAutospacing="1" w:after="100" w:afterAutospacing="1" w:line="240" w:lineRule="auto"/>
        <w:ind w:left="1657" w:right="0" w:firstLine="0"/>
        <w:rPr>
          <w:b/>
          <w:sz w:val="22"/>
        </w:rPr>
      </w:pPr>
    </w:p>
    <w:p w:rsidR="00DA3B9B" w:rsidP="002C72FE" w:rsidRDefault="00DA3B9B" w14:paraId="4B527F83" w14:textId="77777777">
      <w:pPr>
        <w:pStyle w:val="ListParagraph"/>
        <w:spacing w:before="100" w:beforeAutospacing="1" w:after="100" w:afterAutospacing="1" w:line="240" w:lineRule="auto"/>
        <w:ind w:left="1657" w:right="0" w:firstLine="0"/>
        <w:rPr>
          <w:b/>
          <w:sz w:val="22"/>
        </w:rPr>
      </w:pPr>
    </w:p>
    <w:p w:rsidR="00DA3B9B" w:rsidP="002C72FE" w:rsidRDefault="00DA3B9B" w14:paraId="13A39FEC" w14:textId="77777777">
      <w:pPr>
        <w:pStyle w:val="ListParagraph"/>
        <w:spacing w:before="100" w:beforeAutospacing="1" w:after="100" w:afterAutospacing="1" w:line="240" w:lineRule="auto"/>
        <w:ind w:left="1657" w:right="0" w:firstLine="0"/>
        <w:rPr>
          <w:b/>
          <w:sz w:val="22"/>
        </w:rPr>
      </w:pPr>
    </w:p>
    <w:p w:rsidR="00DA3B9B" w:rsidP="002C72FE" w:rsidRDefault="00DA3B9B" w14:paraId="7808807C" w14:textId="77777777">
      <w:pPr>
        <w:pStyle w:val="ListParagraph"/>
        <w:spacing w:before="100" w:beforeAutospacing="1" w:after="100" w:afterAutospacing="1" w:line="240" w:lineRule="auto"/>
        <w:ind w:left="1657" w:right="0" w:firstLine="0"/>
        <w:rPr>
          <w:b/>
          <w:sz w:val="22"/>
        </w:rPr>
      </w:pPr>
    </w:p>
    <w:p w:rsidR="00DA3B9B" w:rsidP="002C72FE" w:rsidRDefault="00DA3B9B" w14:paraId="272294BB" w14:textId="77777777">
      <w:pPr>
        <w:pStyle w:val="ListParagraph"/>
        <w:spacing w:before="100" w:beforeAutospacing="1" w:after="100" w:afterAutospacing="1" w:line="240" w:lineRule="auto"/>
        <w:ind w:left="1657" w:right="0" w:firstLine="0"/>
        <w:rPr>
          <w:b/>
          <w:sz w:val="22"/>
        </w:rPr>
      </w:pPr>
    </w:p>
    <w:p w:rsidR="00DA3B9B" w:rsidP="002C72FE" w:rsidRDefault="00DA3B9B" w14:paraId="34ECD29B" w14:textId="77777777">
      <w:pPr>
        <w:pStyle w:val="ListParagraph"/>
        <w:spacing w:before="100" w:beforeAutospacing="1" w:after="100" w:afterAutospacing="1" w:line="240" w:lineRule="auto"/>
        <w:ind w:left="1657" w:right="0" w:firstLine="0"/>
        <w:rPr>
          <w:b/>
          <w:sz w:val="22"/>
        </w:rPr>
      </w:pPr>
    </w:p>
    <w:p w:rsidR="00DA3B9B" w:rsidP="002C72FE" w:rsidRDefault="00DA3B9B" w14:paraId="64A22F2A" w14:textId="77777777">
      <w:pPr>
        <w:pStyle w:val="ListParagraph"/>
        <w:spacing w:before="100" w:beforeAutospacing="1" w:after="100" w:afterAutospacing="1" w:line="240" w:lineRule="auto"/>
        <w:ind w:left="1657" w:right="0" w:firstLine="0"/>
        <w:rPr>
          <w:b/>
          <w:sz w:val="22"/>
        </w:rPr>
      </w:pPr>
    </w:p>
    <w:p w:rsidR="00DA3B9B" w:rsidP="002C72FE" w:rsidRDefault="00DA3B9B" w14:paraId="1DAEB92A" w14:textId="77777777">
      <w:pPr>
        <w:pStyle w:val="ListParagraph"/>
        <w:spacing w:before="100" w:beforeAutospacing="1" w:after="100" w:afterAutospacing="1" w:line="240" w:lineRule="auto"/>
        <w:ind w:left="1657" w:right="0" w:firstLine="0"/>
        <w:rPr>
          <w:b/>
          <w:sz w:val="22"/>
        </w:rPr>
      </w:pPr>
    </w:p>
    <w:p w:rsidR="00DA3B9B" w:rsidP="002C72FE" w:rsidRDefault="00DA3B9B" w14:paraId="192826B6" w14:textId="77777777">
      <w:pPr>
        <w:pStyle w:val="ListParagraph"/>
        <w:spacing w:before="100" w:beforeAutospacing="1" w:after="100" w:afterAutospacing="1" w:line="240" w:lineRule="auto"/>
        <w:ind w:left="1657" w:right="0" w:firstLine="0"/>
        <w:rPr>
          <w:b/>
          <w:sz w:val="22"/>
        </w:rPr>
      </w:pPr>
    </w:p>
    <w:p w:rsidR="00DA3B9B" w:rsidP="002C72FE" w:rsidRDefault="00DA3B9B" w14:paraId="25586DB9" w14:textId="77777777">
      <w:pPr>
        <w:pStyle w:val="ListParagraph"/>
        <w:spacing w:before="100" w:beforeAutospacing="1" w:after="100" w:afterAutospacing="1" w:line="240" w:lineRule="auto"/>
        <w:ind w:left="1657" w:right="0" w:firstLine="0"/>
        <w:rPr>
          <w:b/>
          <w:sz w:val="22"/>
        </w:rPr>
      </w:pPr>
    </w:p>
    <w:p w:rsidRPr="00284700" w:rsidR="00A44EC8" w:rsidP="002C72FE" w:rsidRDefault="00A44EC8" w14:paraId="68DD9A27" w14:textId="3461C1E6">
      <w:pPr>
        <w:pStyle w:val="ListParagraph"/>
        <w:spacing w:before="100" w:beforeAutospacing="1" w:after="100" w:afterAutospacing="1" w:line="240" w:lineRule="auto"/>
        <w:ind w:left="1657" w:right="0" w:firstLine="0"/>
        <w:rPr>
          <w:sz w:val="22"/>
        </w:rPr>
      </w:pPr>
      <w:r w:rsidRPr="00284700">
        <w:rPr>
          <w:b/>
          <w:sz w:val="22"/>
        </w:rPr>
        <w:t>Adult</w:t>
      </w:r>
      <w:r w:rsidRPr="00284700">
        <w:rPr>
          <w:rFonts w:eastAsia="Times New Roman"/>
          <w:sz w:val="22"/>
        </w:rPr>
        <w:t xml:space="preserve"> </w:t>
      </w:r>
      <w:r w:rsidRPr="00284700">
        <w:rPr>
          <w:b/>
          <w:sz w:val="22"/>
        </w:rPr>
        <w:t>Safeguarding: Volume and Patterns</w:t>
      </w:r>
    </w:p>
    <w:p w:rsidR="005A2376" w:rsidP="005A2376" w:rsidRDefault="002C72FE" w14:paraId="664A048E" w14:textId="475B6F71">
      <w:pPr>
        <w:rPr>
          <w:sz w:val="20"/>
          <w:szCs w:val="20"/>
        </w:rPr>
      </w:pPr>
      <w:r w:rsidRPr="00EB6A72">
        <w:rPr>
          <w:noProof/>
          <w:color w:val="FF0000"/>
          <w:sz w:val="20"/>
          <w:szCs w:val="20"/>
        </w:rPr>
        <w:drawing>
          <wp:inline distT="0" distB="0" distL="0" distR="0" wp14:anchorId="19CF1094" wp14:editId="7BE0D332">
            <wp:extent cx="5827853" cy="3278167"/>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71180" cy="3358788"/>
                    </a:xfrm>
                    <a:prstGeom prst="rect">
                      <a:avLst/>
                    </a:prstGeom>
                  </pic:spPr>
                </pic:pic>
              </a:graphicData>
            </a:graphic>
          </wp:inline>
        </w:drawing>
      </w:r>
    </w:p>
    <w:p w:rsidR="005A2376" w:rsidP="00E21F8A" w:rsidRDefault="005A2376" w14:paraId="62C5A804" w14:textId="43049AC2">
      <w:pPr>
        <w:ind w:left="2170"/>
        <w:rPr>
          <w:sz w:val="20"/>
          <w:szCs w:val="20"/>
        </w:rPr>
      </w:pPr>
    </w:p>
    <w:p w:rsidRPr="00284700" w:rsidR="00830DC3" w:rsidP="00B80E06" w:rsidRDefault="00D40AC6" w14:paraId="7BE1E931" w14:textId="2968E9A2">
      <w:pPr>
        <w:pStyle w:val="NormalWeb"/>
        <w:numPr>
          <w:ilvl w:val="0"/>
          <w:numId w:val="20"/>
        </w:numPr>
        <w:rPr>
          <w:rFonts w:ascii="Arial" w:hAnsi="Arial" w:cs="Arial"/>
          <w:sz w:val="22"/>
          <w:szCs w:val="22"/>
        </w:rPr>
      </w:pPr>
      <w:r>
        <w:rPr>
          <w:rFonts w:ascii="Arial" w:hAnsi="Arial" w:cs="Arial"/>
          <w:sz w:val="22"/>
          <w:szCs w:val="22"/>
        </w:rPr>
        <w:t>A total of 2,204 A</w:t>
      </w:r>
      <w:r w:rsidRPr="00284700" w:rsidR="00A44EC8">
        <w:rPr>
          <w:rFonts w:ascii="Arial" w:hAnsi="Arial" w:cs="Arial"/>
          <w:sz w:val="22"/>
          <w:szCs w:val="22"/>
        </w:rPr>
        <w:t>dult safeguarding incidents were reported in 2024–25, up from 1,115 in 2023–24—an increase of 97%.</w:t>
      </w:r>
      <w:r w:rsidRPr="00284700" w:rsidR="00830DC3">
        <w:rPr>
          <w:rFonts w:ascii="Arial" w:hAnsi="Arial" w:cs="Arial"/>
          <w:sz w:val="22"/>
          <w:szCs w:val="22"/>
        </w:rPr>
        <w:t xml:space="preserve"> </w:t>
      </w:r>
    </w:p>
    <w:p w:rsidRPr="00284700" w:rsidR="00A44EC8" w:rsidP="00B80E06" w:rsidRDefault="00A44EC8" w14:paraId="61D9E35E" w14:textId="49AFE49B">
      <w:pPr>
        <w:pStyle w:val="NormalWeb"/>
        <w:numPr>
          <w:ilvl w:val="0"/>
          <w:numId w:val="20"/>
        </w:numPr>
        <w:rPr>
          <w:rFonts w:ascii="Arial" w:hAnsi="Arial" w:cs="Arial"/>
          <w:sz w:val="22"/>
          <w:szCs w:val="22"/>
        </w:rPr>
      </w:pPr>
      <w:r w:rsidRPr="00284700">
        <w:rPr>
          <w:rFonts w:ascii="Arial" w:hAnsi="Arial" w:cs="Arial"/>
          <w:sz w:val="22"/>
          <w:szCs w:val="22"/>
        </w:rPr>
        <w:t>The majority were reported by Mental Health services (1,408 incidents), followed by Community Health services (689 incidents).</w:t>
      </w:r>
    </w:p>
    <w:p w:rsidRPr="00284700" w:rsidR="00A44EC8" w:rsidP="00B80E06" w:rsidRDefault="00A44EC8" w14:paraId="7EF48029" w14:textId="77777777">
      <w:pPr>
        <w:pStyle w:val="NormalWeb"/>
        <w:numPr>
          <w:ilvl w:val="0"/>
          <w:numId w:val="20"/>
        </w:numPr>
        <w:rPr>
          <w:rFonts w:ascii="Arial" w:hAnsi="Arial" w:cs="Arial"/>
          <w:sz w:val="22"/>
          <w:szCs w:val="22"/>
        </w:rPr>
      </w:pPr>
      <w:r w:rsidRPr="00284700">
        <w:rPr>
          <w:rFonts w:ascii="Arial" w:hAnsi="Arial" w:cs="Arial"/>
          <w:sz w:val="22"/>
          <w:szCs w:val="22"/>
        </w:rPr>
        <w:t>Highest reporting came from:</w:t>
      </w:r>
    </w:p>
    <w:p w:rsidRPr="00284700" w:rsidR="00A44EC8" w:rsidP="00B80E06" w:rsidRDefault="00A44EC8" w14:paraId="04E59E22" w14:textId="77777777">
      <w:pPr>
        <w:pStyle w:val="NormalWeb"/>
        <w:numPr>
          <w:ilvl w:val="0"/>
          <w:numId w:val="20"/>
        </w:numPr>
        <w:rPr>
          <w:rFonts w:ascii="Arial" w:hAnsi="Arial" w:cs="Arial"/>
          <w:sz w:val="22"/>
          <w:szCs w:val="22"/>
        </w:rPr>
      </w:pPr>
      <w:r w:rsidRPr="00284700">
        <w:rPr>
          <w:rFonts w:ascii="Arial" w:hAnsi="Arial" w:cs="Arial"/>
          <w:sz w:val="22"/>
          <w:szCs w:val="22"/>
        </w:rPr>
        <w:t>Tower Hamlets Mental Health: 484 incidents</w:t>
      </w:r>
    </w:p>
    <w:p w:rsidRPr="00284700" w:rsidR="00A44EC8" w:rsidP="00B80E06" w:rsidRDefault="00A44EC8" w14:paraId="77F02DEE" w14:textId="77777777">
      <w:pPr>
        <w:pStyle w:val="NormalWeb"/>
        <w:numPr>
          <w:ilvl w:val="0"/>
          <w:numId w:val="20"/>
        </w:numPr>
        <w:rPr>
          <w:rFonts w:ascii="Arial" w:hAnsi="Arial" w:cs="Arial"/>
          <w:sz w:val="22"/>
          <w:szCs w:val="22"/>
        </w:rPr>
      </w:pPr>
      <w:r w:rsidRPr="00284700">
        <w:rPr>
          <w:rFonts w:ascii="Arial" w:hAnsi="Arial" w:cs="Arial"/>
          <w:sz w:val="22"/>
          <w:szCs w:val="22"/>
        </w:rPr>
        <w:t>Bedfordshire Mental Health: 297 incidents</w:t>
      </w:r>
    </w:p>
    <w:p w:rsidRPr="00284700" w:rsidR="00A44EC8" w:rsidP="00B80E06" w:rsidRDefault="00A44EC8" w14:paraId="541EEA69" w14:textId="77777777">
      <w:pPr>
        <w:pStyle w:val="NormalWeb"/>
        <w:numPr>
          <w:ilvl w:val="0"/>
          <w:numId w:val="20"/>
        </w:numPr>
        <w:rPr>
          <w:rFonts w:ascii="Arial" w:hAnsi="Arial" w:cs="Arial"/>
          <w:sz w:val="22"/>
          <w:szCs w:val="22"/>
        </w:rPr>
      </w:pPr>
      <w:r w:rsidRPr="00284700">
        <w:rPr>
          <w:rFonts w:ascii="Arial" w:hAnsi="Arial" w:cs="Arial"/>
          <w:sz w:val="22"/>
          <w:szCs w:val="22"/>
        </w:rPr>
        <w:t>Luton Mental Health: 218 incidents</w:t>
      </w:r>
    </w:p>
    <w:p w:rsidRPr="00284700" w:rsidR="00F4294F" w:rsidP="00B80E06" w:rsidRDefault="00A44EC8" w14:paraId="20049821" w14:textId="3AF8EF22">
      <w:pPr>
        <w:pStyle w:val="NormalWeb"/>
        <w:numPr>
          <w:ilvl w:val="0"/>
          <w:numId w:val="20"/>
        </w:numPr>
        <w:rPr>
          <w:rFonts w:ascii="Arial" w:hAnsi="Arial" w:cs="Arial"/>
          <w:sz w:val="22"/>
          <w:szCs w:val="22"/>
        </w:rPr>
      </w:pPr>
      <w:r w:rsidRPr="00284700">
        <w:rPr>
          <w:rFonts w:ascii="Arial" w:hAnsi="Arial" w:cs="Arial"/>
          <w:sz w:val="22"/>
          <w:szCs w:val="22"/>
        </w:rPr>
        <w:t>Bedfordshire CHS: 347 incidents</w:t>
      </w:r>
    </w:p>
    <w:p w:rsidR="004A4D2A" w:rsidP="004A4D2A" w:rsidRDefault="004A4D2A" w14:paraId="7AFAB201" w14:textId="73E7AFF4">
      <w:pPr>
        <w:pStyle w:val="NormalWeb"/>
        <w:rPr>
          <w:rFonts w:ascii="Arial" w:hAnsi="Arial" w:cs="Arial"/>
          <w:sz w:val="20"/>
          <w:szCs w:val="20"/>
        </w:rPr>
      </w:pPr>
    </w:p>
    <w:p w:rsidR="00E21F8A" w:rsidRDefault="00E21F8A" w14:paraId="0CE9A6A7" w14:textId="77777777">
      <w:pPr>
        <w:spacing w:after="160" w:line="259" w:lineRule="auto"/>
        <w:ind w:left="0" w:right="0" w:firstLine="0"/>
        <w:jc w:val="left"/>
        <w:rPr>
          <w:rFonts w:eastAsia="Times New Roman"/>
          <w:color w:val="auto"/>
          <w:sz w:val="20"/>
          <w:szCs w:val="20"/>
        </w:rPr>
      </w:pPr>
      <w:r>
        <w:rPr>
          <w:sz w:val="20"/>
          <w:szCs w:val="20"/>
        </w:rPr>
        <w:br w:type="page"/>
      </w:r>
    </w:p>
    <w:p w:rsidRPr="00125E91" w:rsidR="00A44EC8" w:rsidP="002C72FE" w:rsidRDefault="00A44EC8" w14:paraId="1AA996F5" w14:textId="74C82439">
      <w:pPr>
        <w:pStyle w:val="ListParagraph"/>
        <w:spacing w:before="100" w:beforeAutospacing="1" w:after="100" w:afterAutospacing="1" w:line="240" w:lineRule="auto"/>
        <w:ind w:left="1657" w:right="0" w:firstLine="0"/>
        <w:rPr>
          <w:b/>
          <w:sz w:val="20"/>
          <w:szCs w:val="20"/>
        </w:rPr>
      </w:pPr>
      <w:r w:rsidRPr="00125E91">
        <w:rPr>
          <w:b/>
          <w:sz w:val="20"/>
          <w:szCs w:val="20"/>
        </w:rPr>
        <w:t>Types of Abuse</w:t>
      </w:r>
    </w:p>
    <w:p w:rsidR="005A2376" w:rsidP="002C72FE" w:rsidRDefault="005A2376" w14:paraId="368722D2" w14:textId="44D321F9">
      <w:pPr>
        <w:ind w:left="2602"/>
        <w:jc w:val="center"/>
      </w:pPr>
      <w:r w:rsidRPr="00A42A02">
        <w:rPr>
          <w:noProof/>
          <w:color w:val="FF0000"/>
        </w:rPr>
        <w:drawing>
          <wp:inline distT="0" distB="0" distL="0" distR="0" wp14:anchorId="5B31CB13" wp14:editId="18A1488C">
            <wp:extent cx="5144167" cy="277452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189106" cy="2798766"/>
                    </a:xfrm>
                    <a:prstGeom prst="rect">
                      <a:avLst/>
                    </a:prstGeom>
                  </pic:spPr>
                </pic:pic>
              </a:graphicData>
            </a:graphic>
          </wp:inline>
        </w:drawing>
      </w:r>
    </w:p>
    <w:p w:rsidR="005A2376" w:rsidP="005A2376" w:rsidRDefault="005A2376" w14:paraId="4CD9F209" w14:textId="727F0652"/>
    <w:p w:rsidRPr="00284700" w:rsidR="00A44EC8" w:rsidP="00B80E06" w:rsidRDefault="00A44EC8" w14:paraId="7710F630" w14:textId="77777777">
      <w:pPr>
        <w:pStyle w:val="NormalWeb"/>
        <w:numPr>
          <w:ilvl w:val="0"/>
          <w:numId w:val="23"/>
        </w:numPr>
        <w:jc w:val="both"/>
        <w:rPr>
          <w:rFonts w:ascii="Arial" w:hAnsi="Arial" w:cs="Arial" w:eastAsiaTheme="minorHAnsi"/>
          <w:sz w:val="22"/>
          <w:szCs w:val="22"/>
        </w:rPr>
      </w:pPr>
      <w:r w:rsidRPr="00284700">
        <w:rPr>
          <w:rFonts w:ascii="Arial" w:hAnsi="Arial" w:cs="Arial"/>
          <w:sz w:val="22"/>
          <w:szCs w:val="22"/>
        </w:rPr>
        <w:t>Physical Abuse was the most reported category, primarily due to patient-on-patient violence in inpatient units, reflecting the Trust’s significant inpatient mental health footprint.</w:t>
      </w:r>
    </w:p>
    <w:p w:rsidRPr="00284700" w:rsidR="00A44EC8" w:rsidP="00B80E06" w:rsidRDefault="00A44EC8" w14:paraId="60C190B0" w14:textId="77777777">
      <w:pPr>
        <w:pStyle w:val="NormalWeb"/>
        <w:numPr>
          <w:ilvl w:val="0"/>
          <w:numId w:val="23"/>
        </w:numPr>
        <w:jc w:val="both"/>
        <w:rPr>
          <w:rFonts w:ascii="Arial" w:hAnsi="Arial" w:cs="Arial"/>
          <w:sz w:val="22"/>
          <w:szCs w:val="22"/>
        </w:rPr>
      </w:pPr>
      <w:r w:rsidRPr="00284700">
        <w:rPr>
          <w:rFonts w:ascii="Arial" w:hAnsi="Arial" w:cs="Arial"/>
          <w:sz w:val="22"/>
          <w:szCs w:val="22"/>
        </w:rPr>
        <w:t>Neglect and Acts of Omission and Self-Neglect followed closely. Community Health Services raised most Neglect-related concerns, while Community Mental Health Teams reported the most Self-Neglect cases.</w:t>
      </w:r>
    </w:p>
    <w:p w:rsidRPr="00284700" w:rsidR="00F4294F" w:rsidP="00B80E06" w:rsidRDefault="00A44EC8" w14:paraId="792BCD7E" w14:textId="77777777">
      <w:pPr>
        <w:pStyle w:val="NormalWeb"/>
        <w:numPr>
          <w:ilvl w:val="0"/>
          <w:numId w:val="23"/>
        </w:numPr>
        <w:jc w:val="both"/>
        <w:rPr>
          <w:rFonts w:ascii="Arial" w:hAnsi="Arial" w:cs="Arial"/>
          <w:sz w:val="22"/>
          <w:szCs w:val="22"/>
        </w:rPr>
      </w:pPr>
      <w:r w:rsidRPr="00284700">
        <w:rPr>
          <w:rFonts w:ascii="Arial" w:hAnsi="Arial" w:cs="Arial"/>
          <w:sz w:val="22"/>
          <w:szCs w:val="22"/>
        </w:rPr>
        <w:t>Benchmarking suggests similar trends in other NHS mental health trusts, where physical abuse is frequently the most reported type due to inpatient settings.</w:t>
      </w:r>
    </w:p>
    <w:p w:rsidRPr="00284700" w:rsidR="00A44EC8" w:rsidP="00125E91" w:rsidRDefault="00A44EC8" w14:paraId="50F2E327" w14:textId="4BCC56D4">
      <w:pPr>
        <w:pStyle w:val="ListParagraph"/>
        <w:spacing w:before="100" w:beforeAutospacing="1" w:after="100" w:afterAutospacing="1" w:line="240" w:lineRule="auto"/>
        <w:ind w:left="1657" w:right="0" w:firstLine="0"/>
        <w:rPr>
          <w:b/>
          <w:sz w:val="22"/>
        </w:rPr>
      </w:pPr>
      <w:r w:rsidRPr="00284700">
        <w:rPr>
          <w:b/>
          <w:sz w:val="22"/>
        </w:rPr>
        <w:t>Domestic Abuse Reporting</w:t>
      </w:r>
    </w:p>
    <w:p w:rsidRPr="00284700" w:rsidR="00A44EC8" w:rsidP="00B80E06" w:rsidRDefault="00A44EC8" w14:paraId="11012B7C" w14:textId="77777777">
      <w:pPr>
        <w:pStyle w:val="NormalWeb"/>
        <w:numPr>
          <w:ilvl w:val="0"/>
          <w:numId w:val="24"/>
        </w:numPr>
        <w:rPr>
          <w:rFonts w:ascii="Arial" w:hAnsi="Arial" w:cs="Arial" w:eastAsiaTheme="minorHAnsi"/>
          <w:sz w:val="22"/>
          <w:szCs w:val="22"/>
        </w:rPr>
      </w:pPr>
      <w:r w:rsidRPr="00284700">
        <w:rPr>
          <w:rFonts w:ascii="Arial" w:hAnsi="Arial" w:cs="Arial"/>
          <w:sz w:val="22"/>
          <w:szCs w:val="22"/>
        </w:rPr>
        <w:t>176 Domestic Abuse incidents were reported in 2024–25, excluding those categorised under physical, emotional, sexual, or financial abuse.</w:t>
      </w:r>
    </w:p>
    <w:p w:rsidRPr="00284700" w:rsidR="00A44EC8" w:rsidP="00B80E06" w:rsidRDefault="00A44EC8" w14:paraId="74EDDF21" w14:textId="77777777">
      <w:pPr>
        <w:pStyle w:val="NormalWeb"/>
        <w:numPr>
          <w:ilvl w:val="0"/>
          <w:numId w:val="24"/>
        </w:numPr>
        <w:rPr>
          <w:rFonts w:ascii="Arial" w:hAnsi="Arial" w:cs="Arial"/>
          <w:sz w:val="22"/>
          <w:szCs w:val="22"/>
        </w:rPr>
      </w:pPr>
      <w:r w:rsidRPr="00284700">
        <w:rPr>
          <w:rFonts w:ascii="Arial" w:hAnsi="Arial" w:cs="Arial"/>
          <w:sz w:val="22"/>
          <w:szCs w:val="22"/>
        </w:rPr>
        <w:t>This number is likely under representative, as incidents involving physical injury are often misclassified solely under physical abuse.</w:t>
      </w:r>
    </w:p>
    <w:p w:rsidRPr="00284700" w:rsidR="00F4294F" w:rsidP="00B80E06" w:rsidRDefault="00A44EC8" w14:paraId="5F1777A4" w14:textId="77777777">
      <w:pPr>
        <w:pStyle w:val="NormalWeb"/>
        <w:numPr>
          <w:ilvl w:val="0"/>
          <w:numId w:val="24"/>
        </w:numPr>
        <w:rPr>
          <w:rFonts w:ascii="Arial" w:hAnsi="Arial" w:cs="Arial"/>
          <w:sz w:val="22"/>
          <w:szCs w:val="22"/>
        </w:rPr>
      </w:pPr>
      <w:r w:rsidRPr="00284700">
        <w:rPr>
          <w:rFonts w:ascii="Arial" w:hAnsi="Arial" w:cs="Arial"/>
          <w:sz w:val="22"/>
          <w:szCs w:val="22"/>
        </w:rPr>
        <w:t>The Corporate Safeguarding Team is proactively reviewing incident classifications to improve the visibility of Domestic Abuse within the dataset.</w:t>
      </w:r>
    </w:p>
    <w:p w:rsidRPr="00284700" w:rsidR="00A44EC8" w:rsidP="00284700" w:rsidRDefault="00284700" w14:paraId="54D11CE9" w14:textId="33CFEBAF">
      <w:pPr>
        <w:pStyle w:val="NormalWeb"/>
        <w:rPr>
          <w:rFonts w:ascii="Arial" w:hAnsi="Arial" w:cs="Arial"/>
          <w:b/>
          <w:sz w:val="22"/>
          <w:szCs w:val="22"/>
        </w:rPr>
      </w:pPr>
      <w:r>
        <w:rPr>
          <w:rFonts w:ascii="Arial" w:hAnsi="Arial" w:cs="Arial"/>
          <w:sz w:val="22"/>
          <w:szCs w:val="22"/>
        </w:rPr>
        <w:t xml:space="preserve">                         </w:t>
      </w:r>
      <w:r w:rsidRPr="00284700" w:rsidR="00A44EC8">
        <w:rPr>
          <w:rFonts w:ascii="Arial" w:hAnsi="Arial" w:cs="Arial"/>
          <w:b/>
          <w:sz w:val="22"/>
          <w:szCs w:val="22"/>
        </w:rPr>
        <w:t>Other Notable Issues</w:t>
      </w:r>
    </w:p>
    <w:p w:rsidRPr="00284700" w:rsidR="00A44EC8" w:rsidP="00B80E06" w:rsidRDefault="00A44EC8" w14:paraId="754F01CA" w14:textId="77777777">
      <w:pPr>
        <w:pStyle w:val="NormalWeb"/>
        <w:numPr>
          <w:ilvl w:val="0"/>
          <w:numId w:val="24"/>
        </w:numPr>
        <w:rPr>
          <w:rFonts w:ascii="Arial" w:hAnsi="Arial" w:cs="Arial" w:eastAsiaTheme="minorHAnsi"/>
          <w:sz w:val="22"/>
          <w:szCs w:val="22"/>
        </w:rPr>
      </w:pPr>
      <w:r w:rsidRPr="00284700">
        <w:rPr>
          <w:rFonts w:ascii="Arial" w:hAnsi="Arial" w:cs="Arial"/>
          <w:sz w:val="22"/>
          <w:szCs w:val="22"/>
        </w:rPr>
        <w:t>Financial Abuse showed an increase in Q3 and Q4.</w:t>
      </w:r>
    </w:p>
    <w:p w:rsidRPr="00284700" w:rsidR="00A44EC8" w:rsidP="00B80E06" w:rsidRDefault="00A44EC8" w14:paraId="730498D7" w14:textId="77777777">
      <w:pPr>
        <w:pStyle w:val="NormalWeb"/>
        <w:numPr>
          <w:ilvl w:val="0"/>
          <w:numId w:val="24"/>
        </w:numPr>
        <w:rPr>
          <w:rFonts w:ascii="Arial" w:hAnsi="Arial" w:cs="Arial"/>
          <w:sz w:val="22"/>
          <w:szCs w:val="22"/>
        </w:rPr>
      </w:pPr>
      <w:r w:rsidRPr="00284700">
        <w:rPr>
          <w:rFonts w:ascii="Arial" w:hAnsi="Arial" w:cs="Arial"/>
          <w:sz w:val="22"/>
          <w:szCs w:val="22"/>
        </w:rPr>
        <w:t>Organisational Abuse remains stable but low.</w:t>
      </w:r>
    </w:p>
    <w:p w:rsidRPr="00284700" w:rsidR="00E21F8A" w:rsidP="00B80E06" w:rsidRDefault="00A44EC8" w14:paraId="428DE0E3" w14:textId="696C1E8C">
      <w:pPr>
        <w:pStyle w:val="NormalWeb"/>
        <w:numPr>
          <w:ilvl w:val="0"/>
          <w:numId w:val="24"/>
        </w:numPr>
        <w:rPr>
          <w:rFonts w:ascii="Arial" w:hAnsi="Arial" w:cs="Arial"/>
          <w:sz w:val="22"/>
          <w:szCs w:val="22"/>
        </w:rPr>
      </w:pPr>
      <w:r w:rsidRPr="00284700">
        <w:rPr>
          <w:rFonts w:ascii="Arial" w:hAnsi="Arial" w:cs="Arial"/>
          <w:sz w:val="22"/>
          <w:szCs w:val="22"/>
        </w:rPr>
        <w:t>Discriminatory Abuse is still underreported, suggesting further training is needed to support recognition and reporting.</w:t>
      </w:r>
    </w:p>
    <w:p w:rsidR="00E21F8A" w:rsidRDefault="00E21F8A" w14:paraId="73DCC6FC" w14:textId="77777777">
      <w:pPr>
        <w:spacing w:after="160" w:line="259" w:lineRule="auto"/>
        <w:ind w:left="0" w:right="0" w:firstLine="0"/>
        <w:jc w:val="left"/>
        <w:rPr>
          <w:rFonts w:eastAsia="Times New Roman"/>
          <w:color w:val="auto"/>
          <w:sz w:val="20"/>
          <w:szCs w:val="20"/>
        </w:rPr>
      </w:pPr>
      <w:r>
        <w:rPr>
          <w:sz w:val="20"/>
          <w:szCs w:val="20"/>
        </w:rPr>
        <w:br w:type="page"/>
      </w:r>
    </w:p>
    <w:p w:rsidRPr="00F4294F" w:rsidR="00A44EC8" w:rsidP="00B80E06" w:rsidRDefault="00A44EC8" w14:paraId="5DE0F5C7" w14:textId="6574FC85">
      <w:pPr>
        <w:pStyle w:val="ListParagraph"/>
        <w:numPr>
          <w:ilvl w:val="0"/>
          <w:numId w:val="27"/>
        </w:numPr>
        <w:spacing w:before="100" w:beforeAutospacing="1" w:after="100" w:afterAutospacing="1" w:line="240" w:lineRule="auto"/>
        <w:ind w:left="567" w:right="0" w:hanging="567"/>
        <w:rPr>
          <w:b/>
          <w:sz w:val="20"/>
          <w:szCs w:val="20"/>
        </w:rPr>
      </w:pPr>
      <w:r w:rsidRPr="00E21F8A">
        <w:rPr>
          <w:b/>
          <w:sz w:val="22"/>
        </w:rPr>
        <w:t>Children’s</w:t>
      </w:r>
      <w:r w:rsidRPr="00F4294F">
        <w:rPr>
          <w:b/>
          <w:sz w:val="20"/>
          <w:szCs w:val="20"/>
        </w:rPr>
        <w:t xml:space="preserve"> Safeguarding: Volume and Themes</w:t>
      </w:r>
    </w:p>
    <w:p w:rsidR="004D2FE8" w:rsidP="00E21F8A" w:rsidRDefault="00EB6A72" w14:paraId="7F3CD092" w14:textId="74C85FBE">
      <w:pPr>
        <w:ind w:left="2170"/>
      </w:pPr>
      <w:r w:rsidRPr="00EB6A72">
        <w:rPr>
          <w:noProof/>
          <w:color w:val="FF0000"/>
        </w:rPr>
        <w:drawing>
          <wp:inline distT="0" distB="0" distL="0" distR="0" wp14:anchorId="0A3C43AB" wp14:editId="0C51C8F9">
            <wp:extent cx="4835986" cy="2720243"/>
            <wp:effectExtent l="0" t="0" r="317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58303" cy="2732796"/>
                    </a:xfrm>
                    <a:prstGeom prst="rect">
                      <a:avLst/>
                    </a:prstGeom>
                  </pic:spPr>
                </pic:pic>
              </a:graphicData>
            </a:graphic>
          </wp:inline>
        </w:drawing>
      </w:r>
    </w:p>
    <w:p w:rsidRPr="00284700" w:rsidR="00A44EC8" w:rsidP="00B80E06" w:rsidRDefault="009F3C45" w14:paraId="1A41ACC3" w14:textId="43EA90D1">
      <w:pPr>
        <w:pStyle w:val="NormalWeb"/>
        <w:numPr>
          <w:ilvl w:val="0"/>
          <w:numId w:val="25"/>
        </w:numPr>
        <w:rPr>
          <w:rFonts w:ascii="Arial" w:hAnsi="Arial" w:cs="Arial" w:eastAsiaTheme="minorHAnsi"/>
          <w:sz w:val="22"/>
          <w:szCs w:val="22"/>
        </w:rPr>
      </w:pPr>
      <w:r>
        <w:rPr>
          <w:rFonts w:ascii="Arial" w:hAnsi="Arial" w:cs="Arial"/>
          <w:sz w:val="20"/>
          <w:szCs w:val="20"/>
        </w:rPr>
        <w:t xml:space="preserve"> </w:t>
      </w:r>
      <w:r w:rsidRPr="00284700">
        <w:rPr>
          <w:rFonts w:ascii="Arial" w:hAnsi="Arial" w:cs="Arial"/>
          <w:sz w:val="22"/>
          <w:szCs w:val="22"/>
        </w:rPr>
        <w:t xml:space="preserve">369 </w:t>
      </w:r>
      <w:r w:rsidR="00D40AC6">
        <w:rPr>
          <w:rFonts w:ascii="Arial" w:hAnsi="Arial" w:cs="Arial"/>
          <w:sz w:val="22"/>
          <w:szCs w:val="22"/>
        </w:rPr>
        <w:t>Safeguarding C</w:t>
      </w:r>
      <w:r w:rsidRPr="00284700" w:rsidR="00A44EC8">
        <w:rPr>
          <w:rFonts w:ascii="Arial" w:hAnsi="Arial" w:cs="Arial"/>
          <w:sz w:val="22"/>
          <w:szCs w:val="22"/>
        </w:rPr>
        <w:t>hildren’s incidents were recorded in 2024–25, compared to 420 the previous year.</w:t>
      </w:r>
    </w:p>
    <w:p w:rsidRPr="00284700" w:rsidR="00A44EC8" w:rsidP="00B80E06" w:rsidRDefault="00A44EC8" w14:paraId="648D63AB" w14:textId="77777777">
      <w:pPr>
        <w:pStyle w:val="NormalWeb"/>
        <w:numPr>
          <w:ilvl w:val="0"/>
          <w:numId w:val="25"/>
        </w:numPr>
        <w:rPr>
          <w:rFonts w:ascii="Arial" w:hAnsi="Arial" w:cs="Arial"/>
          <w:sz w:val="22"/>
          <w:szCs w:val="22"/>
        </w:rPr>
      </w:pPr>
      <w:r w:rsidRPr="00284700">
        <w:rPr>
          <w:rFonts w:ascii="Arial" w:hAnsi="Arial" w:cs="Arial"/>
          <w:sz w:val="22"/>
          <w:szCs w:val="22"/>
        </w:rPr>
        <w:t>Specialist Children’s Services reported the most incidents (147), followed by:</w:t>
      </w:r>
    </w:p>
    <w:p w:rsidRPr="00284700" w:rsidR="00A44EC8" w:rsidP="00B80E06" w:rsidRDefault="00A44EC8" w14:paraId="1F35851E" w14:textId="77777777">
      <w:pPr>
        <w:pStyle w:val="NormalWeb"/>
        <w:numPr>
          <w:ilvl w:val="0"/>
          <w:numId w:val="25"/>
        </w:numPr>
        <w:rPr>
          <w:rFonts w:ascii="Arial" w:hAnsi="Arial" w:cs="Arial"/>
          <w:sz w:val="22"/>
          <w:szCs w:val="22"/>
        </w:rPr>
      </w:pPr>
      <w:r w:rsidRPr="00284700">
        <w:rPr>
          <w:rFonts w:ascii="Arial" w:hAnsi="Arial" w:cs="Arial"/>
          <w:sz w:val="22"/>
          <w:szCs w:val="22"/>
        </w:rPr>
        <w:t>Tower Hamlets: 79</w:t>
      </w:r>
    </w:p>
    <w:p w:rsidRPr="00284700" w:rsidR="00A44EC8" w:rsidP="00B80E06" w:rsidRDefault="00A44EC8" w14:paraId="63409C40" w14:textId="77777777">
      <w:pPr>
        <w:pStyle w:val="NormalWeb"/>
        <w:numPr>
          <w:ilvl w:val="0"/>
          <w:numId w:val="25"/>
        </w:numPr>
        <w:rPr>
          <w:rFonts w:ascii="Arial" w:hAnsi="Arial" w:cs="Arial"/>
          <w:sz w:val="22"/>
          <w:szCs w:val="22"/>
        </w:rPr>
      </w:pPr>
      <w:r w:rsidRPr="00284700">
        <w:rPr>
          <w:rFonts w:ascii="Arial" w:hAnsi="Arial" w:cs="Arial"/>
          <w:sz w:val="22"/>
          <w:szCs w:val="22"/>
        </w:rPr>
        <w:t>City and Hackney: 57</w:t>
      </w:r>
    </w:p>
    <w:p w:rsidRPr="00284700" w:rsidR="00F4294F" w:rsidP="00B80E06" w:rsidRDefault="00A44EC8" w14:paraId="3D4BEDF4" w14:textId="112017A8">
      <w:pPr>
        <w:pStyle w:val="NormalWeb"/>
        <w:numPr>
          <w:ilvl w:val="0"/>
          <w:numId w:val="25"/>
        </w:numPr>
        <w:rPr>
          <w:rFonts w:ascii="Arial" w:hAnsi="Arial" w:cs="Arial"/>
          <w:sz w:val="22"/>
          <w:szCs w:val="22"/>
        </w:rPr>
      </w:pPr>
      <w:r w:rsidRPr="00284700">
        <w:rPr>
          <w:rFonts w:ascii="Arial" w:hAnsi="Arial" w:cs="Arial"/>
          <w:sz w:val="22"/>
          <w:szCs w:val="22"/>
        </w:rPr>
        <w:t>Neglect remains the</w:t>
      </w:r>
      <w:r w:rsidR="00D40AC6">
        <w:rPr>
          <w:rFonts w:ascii="Arial" w:hAnsi="Arial" w:cs="Arial"/>
          <w:sz w:val="22"/>
          <w:szCs w:val="22"/>
        </w:rPr>
        <w:t xml:space="preserve"> leading category, followed by Emotional and P</w:t>
      </w:r>
      <w:r w:rsidRPr="00284700">
        <w:rPr>
          <w:rFonts w:ascii="Arial" w:hAnsi="Arial" w:cs="Arial"/>
          <w:sz w:val="22"/>
          <w:szCs w:val="22"/>
        </w:rPr>
        <w:t>hysical abuse.</w:t>
      </w:r>
    </w:p>
    <w:p w:rsidRPr="00284700" w:rsidR="00A44EC8" w:rsidP="00125E91" w:rsidRDefault="008C41C5" w14:paraId="61353FD5" w14:textId="6E056A57">
      <w:pPr>
        <w:spacing w:before="100" w:beforeAutospacing="1" w:after="100" w:afterAutospacing="1" w:line="240" w:lineRule="auto"/>
        <w:ind w:right="0" w:hanging="720"/>
        <w:rPr>
          <w:b/>
          <w:sz w:val="22"/>
        </w:rPr>
      </w:pPr>
      <w:r>
        <w:rPr>
          <w:b/>
          <w:sz w:val="22"/>
        </w:rPr>
        <w:t xml:space="preserve">14.1 </w:t>
      </w:r>
      <w:r w:rsidRPr="00284700" w:rsidR="00A44EC8">
        <w:rPr>
          <w:b/>
          <w:sz w:val="22"/>
        </w:rPr>
        <w:t>Referral Activity</w:t>
      </w:r>
    </w:p>
    <w:p w:rsidRPr="00284700" w:rsidR="00A44EC8" w:rsidP="00125E91" w:rsidRDefault="00A44EC8" w14:paraId="52DEB122" w14:textId="307DE93B">
      <w:pPr>
        <w:pStyle w:val="NormalWeb"/>
        <w:ind w:left="567"/>
        <w:rPr>
          <w:rFonts w:ascii="Arial" w:hAnsi="Arial" w:cs="Arial"/>
          <w:sz w:val="22"/>
          <w:szCs w:val="22"/>
        </w:rPr>
      </w:pPr>
      <w:r w:rsidRPr="00284700">
        <w:rPr>
          <w:rFonts w:ascii="Arial" w:hAnsi="Arial" w:cs="Arial"/>
          <w:sz w:val="22"/>
          <w:szCs w:val="22"/>
        </w:rPr>
        <w:t xml:space="preserve">Although only </w:t>
      </w:r>
      <w:r w:rsidRPr="00284700" w:rsidR="009F3C45">
        <w:rPr>
          <w:rFonts w:ascii="Arial" w:hAnsi="Arial" w:cs="Arial"/>
          <w:sz w:val="22"/>
          <w:szCs w:val="22"/>
        </w:rPr>
        <w:t xml:space="preserve">369 </w:t>
      </w:r>
      <w:r w:rsidRPr="00284700">
        <w:rPr>
          <w:rFonts w:ascii="Arial" w:hAnsi="Arial" w:cs="Arial"/>
          <w:sz w:val="22"/>
          <w:szCs w:val="22"/>
        </w:rPr>
        <w:t xml:space="preserve">incidents were recorded in </w:t>
      </w:r>
      <w:proofErr w:type="spellStart"/>
      <w:r w:rsidRPr="00284700">
        <w:rPr>
          <w:rFonts w:ascii="Arial" w:hAnsi="Arial" w:cs="Arial"/>
          <w:sz w:val="22"/>
          <w:szCs w:val="22"/>
        </w:rPr>
        <w:t>InPhase</w:t>
      </w:r>
      <w:proofErr w:type="spellEnd"/>
      <w:r w:rsidRPr="00284700">
        <w:rPr>
          <w:rFonts w:ascii="Arial" w:hAnsi="Arial" w:cs="Arial"/>
          <w:sz w:val="22"/>
          <w:szCs w:val="22"/>
        </w:rPr>
        <w:t>, 984 referrals were submitted by ELFT staff to local authorities based on partial data from Hackney, Newham, and Bedford.</w:t>
      </w:r>
    </w:p>
    <w:p w:rsidRPr="00284700" w:rsidR="00A44EC8" w:rsidP="00125E91" w:rsidRDefault="00A44EC8" w14:paraId="443E4EA0" w14:textId="7DB3103F">
      <w:pPr>
        <w:pStyle w:val="NormalWeb"/>
        <w:ind w:left="567"/>
        <w:rPr>
          <w:rFonts w:ascii="Arial" w:hAnsi="Arial" w:cs="Arial"/>
          <w:sz w:val="22"/>
          <w:szCs w:val="22"/>
        </w:rPr>
      </w:pPr>
      <w:r w:rsidRPr="00284700">
        <w:rPr>
          <w:rFonts w:ascii="Arial" w:hAnsi="Arial" w:cs="Arial"/>
          <w:sz w:val="22"/>
          <w:szCs w:val="22"/>
        </w:rPr>
        <w:t>This discrepancy highlights a known challenge—duplicate recording across multiple systems (</w:t>
      </w:r>
      <w:proofErr w:type="spellStart"/>
      <w:r w:rsidRPr="00284700">
        <w:rPr>
          <w:rFonts w:ascii="Arial" w:hAnsi="Arial" w:cs="Arial"/>
          <w:sz w:val="22"/>
          <w:szCs w:val="22"/>
        </w:rPr>
        <w:t>InPhase</w:t>
      </w:r>
      <w:proofErr w:type="spellEnd"/>
      <w:r w:rsidRPr="00284700">
        <w:rPr>
          <w:rFonts w:ascii="Arial" w:hAnsi="Arial" w:cs="Arial"/>
          <w:sz w:val="22"/>
          <w:szCs w:val="22"/>
        </w:rPr>
        <w:t xml:space="preserve">, Rio, </w:t>
      </w:r>
      <w:proofErr w:type="spellStart"/>
      <w:r w:rsidRPr="00284700" w:rsidR="00830DC3">
        <w:rPr>
          <w:rFonts w:ascii="Arial" w:hAnsi="Arial" w:cs="Arial"/>
          <w:sz w:val="22"/>
          <w:szCs w:val="22"/>
        </w:rPr>
        <w:t>Emis</w:t>
      </w:r>
      <w:proofErr w:type="spellEnd"/>
      <w:r w:rsidRPr="00284700" w:rsidR="00830DC3">
        <w:rPr>
          <w:rFonts w:ascii="Arial" w:hAnsi="Arial" w:cs="Arial"/>
          <w:sz w:val="22"/>
          <w:szCs w:val="22"/>
        </w:rPr>
        <w:t xml:space="preserve">, System One Care Path </w:t>
      </w:r>
      <w:r w:rsidRPr="00284700">
        <w:rPr>
          <w:rFonts w:ascii="Arial" w:hAnsi="Arial" w:cs="Arial"/>
          <w:sz w:val="22"/>
          <w:szCs w:val="22"/>
        </w:rPr>
        <w:t>and LA portals) is often bypassed by frontline staff due to time constraints.</w:t>
      </w:r>
    </w:p>
    <w:p w:rsidRPr="00284700" w:rsidR="00A44EC8" w:rsidP="00125E91" w:rsidRDefault="008C41C5" w14:paraId="751FD742" w14:textId="495AF4C6">
      <w:pPr>
        <w:spacing w:before="100" w:beforeAutospacing="1" w:after="100" w:afterAutospacing="1" w:line="240" w:lineRule="auto"/>
        <w:ind w:right="0" w:hanging="720"/>
        <w:rPr>
          <w:rFonts w:eastAsia="Times New Roman"/>
          <w:b/>
          <w:color w:val="auto"/>
          <w:sz w:val="22"/>
        </w:rPr>
      </w:pPr>
      <w:r>
        <w:rPr>
          <w:rFonts w:eastAsia="Times New Roman"/>
          <w:b/>
          <w:color w:val="auto"/>
          <w:sz w:val="22"/>
        </w:rPr>
        <w:t xml:space="preserve">14.2 </w:t>
      </w:r>
      <w:r w:rsidRPr="00284700" w:rsidR="00A44EC8">
        <w:rPr>
          <w:rFonts w:eastAsia="Times New Roman"/>
          <w:b/>
          <w:color w:val="auto"/>
          <w:sz w:val="22"/>
        </w:rPr>
        <w:t>Systemic Improvements</w:t>
      </w:r>
    </w:p>
    <w:p w:rsidRPr="00284700" w:rsidR="00A44EC8" w:rsidP="00DD39B8" w:rsidRDefault="008C41C5" w14:paraId="35990042" w14:textId="4D24CB60">
      <w:pPr>
        <w:pStyle w:val="NormalWeb"/>
        <w:rPr>
          <w:rFonts w:ascii="Arial" w:hAnsi="Arial" w:cs="Arial"/>
          <w:sz w:val="22"/>
          <w:szCs w:val="22"/>
        </w:rPr>
      </w:pPr>
      <w:r>
        <w:rPr>
          <w:rFonts w:ascii="Arial" w:hAnsi="Arial" w:cs="Arial"/>
          <w:sz w:val="22"/>
          <w:szCs w:val="22"/>
        </w:rPr>
        <w:t xml:space="preserve">                 </w:t>
      </w:r>
      <w:r w:rsidRPr="00284700" w:rsidR="00A44EC8">
        <w:rPr>
          <w:rFonts w:ascii="Arial" w:hAnsi="Arial" w:cs="Arial"/>
          <w:sz w:val="22"/>
          <w:szCs w:val="22"/>
        </w:rPr>
        <w:t>To address underreporting and data fragmentation:</w:t>
      </w:r>
    </w:p>
    <w:p w:rsidRPr="00284700" w:rsidR="00A44EC8" w:rsidP="00B80E06" w:rsidRDefault="00A44EC8" w14:paraId="49ABA6AA" w14:textId="77777777">
      <w:pPr>
        <w:pStyle w:val="NormalWeb"/>
        <w:numPr>
          <w:ilvl w:val="0"/>
          <w:numId w:val="25"/>
        </w:numPr>
        <w:ind w:hanging="317"/>
        <w:rPr>
          <w:rFonts w:ascii="Arial" w:hAnsi="Arial" w:cs="Arial"/>
          <w:sz w:val="22"/>
          <w:szCs w:val="22"/>
        </w:rPr>
      </w:pPr>
      <w:r w:rsidRPr="00284700">
        <w:rPr>
          <w:rFonts w:ascii="Arial" w:hAnsi="Arial" w:cs="Arial"/>
          <w:sz w:val="22"/>
          <w:szCs w:val="22"/>
        </w:rPr>
        <w:t xml:space="preserve">A new policy now mandates an </w:t>
      </w:r>
      <w:proofErr w:type="spellStart"/>
      <w:proofErr w:type="gramStart"/>
      <w:r w:rsidRPr="00284700">
        <w:rPr>
          <w:rFonts w:ascii="Arial" w:hAnsi="Arial" w:cs="Arial"/>
          <w:sz w:val="22"/>
          <w:szCs w:val="22"/>
        </w:rPr>
        <w:t>InPhase</w:t>
      </w:r>
      <w:proofErr w:type="spellEnd"/>
      <w:proofErr w:type="gramEnd"/>
      <w:r w:rsidRPr="00284700">
        <w:rPr>
          <w:rFonts w:ascii="Arial" w:hAnsi="Arial" w:cs="Arial"/>
          <w:sz w:val="22"/>
          <w:szCs w:val="22"/>
        </w:rPr>
        <w:t xml:space="preserve"> entry for all CSC referrals.</w:t>
      </w:r>
    </w:p>
    <w:p w:rsidRPr="00284700" w:rsidR="00840F12" w:rsidP="00B80E06" w:rsidRDefault="00A44EC8" w14:paraId="702E6AF8" w14:textId="77777777">
      <w:pPr>
        <w:pStyle w:val="NormalWeb"/>
        <w:numPr>
          <w:ilvl w:val="0"/>
          <w:numId w:val="25"/>
        </w:numPr>
        <w:ind w:hanging="317"/>
        <w:rPr>
          <w:rFonts w:ascii="Arial" w:hAnsi="Arial" w:cs="Arial"/>
          <w:sz w:val="22"/>
          <w:szCs w:val="22"/>
        </w:rPr>
      </w:pPr>
      <w:r w:rsidRPr="00284700">
        <w:rPr>
          <w:rFonts w:ascii="Arial" w:hAnsi="Arial" w:cs="Arial"/>
          <w:sz w:val="22"/>
          <w:szCs w:val="22"/>
        </w:rPr>
        <w:t>The Safeguar</w:t>
      </w:r>
      <w:r w:rsidRPr="00284700" w:rsidR="00830DC3">
        <w:rPr>
          <w:rFonts w:ascii="Arial" w:hAnsi="Arial" w:cs="Arial"/>
          <w:sz w:val="22"/>
          <w:szCs w:val="22"/>
        </w:rPr>
        <w:t>ding Team has</w:t>
      </w:r>
      <w:r w:rsidRPr="00284700">
        <w:rPr>
          <w:rFonts w:ascii="Arial" w:hAnsi="Arial" w:cs="Arial"/>
          <w:sz w:val="22"/>
          <w:szCs w:val="22"/>
        </w:rPr>
        <w:t xml:space="preserve"> operational policies and providing staff guidance to standardise children’s safeguarding incident reporting and improve visibility.</w:t>
      </w:r>
    </w:p>
    <w:p w:rsidRPr="00284700" w:rsidR="00DC2D09" w:rsidP="00B80E06" w:rsidRDefault="00DC2D09" w14:paraId="60553E15" w14:textId="2A7FA25A">
      <w:pPr>
        <w:pStyle w:val="NormalWeb"/>
        <w:numPr>
          <w:ilvl w:val="0"/>
          <w:numId w:val="25"/>
        </w:numPr>
        <w:ind w:hanging="317"/>
        <w:rPr>
          <w:rFonts w:ascii="Arial" w:hAnsi="Arial" w:cs="Arial"/>
          <w:sz w:val="22"/>
          <w:szCs w:val="22"/>
        </w:rPr>
      </w:pPr>
      <w:r w:rsidRPr="00284700">
        <w:rPr>
          <w:rFonts w:ascii="Arial" w:hAnsi="Arial" w:cs="Arial"/>
          <w:sz w:val="22"/>
          <w:szCs w:val="22"/>
        </w:rPr>
        <w:t xml:space="preserve">The rise in reported safeguarding incidents via </w:t>
      </w:r>
      <w:proofErr w:type="spellStart"/>
      <w:r w:rsidRPr="00284700">
        <w:rPr>
          <w:rFonts w:ascii="Arial" w:hAnsi="Arial" w:cs="Arial"/>
          <w:sz w:val="22"/>
          <w:szCs w:val="22"/>
        </w:rPr>
        <w:t>InPhase</w:t>
      </w:r>
      <w:proofErr w:type="spellEnd"/>
      <w:r w:rsidRPr="00284700">
        <w:rPr>
          <w:rFonts w:ascii="Arial" w:hAnsi="Arial" w:cs="Arial"/>
          <w:sz w:val="22"/>
          <w:szCs w:val="22"/>
        </w:rPr>
        <w:t xml:space="preserve"> demonstrates a growing organisational awareness and staff engagement in safeguarding responsibilities. While this is encouraging, improvements in recording accuracy, category recognition, and system i</w:t>
      </w:r>
      <w:r w:rsidRPr="00284700" w:rsidR="00830DC3">
        <w:rPr>
          <w:rFonts w:ascii="Arial" w:hAnsi="Arial" w:cs="Arial"/>
          <w:sz w:val="22"/>
          <w:szCs w:val="22"/>
        </w:rPr>
        <w:t>ntegration are crucial to understand the themes, trends and risks in the organisation.</w:t>
      </w:r>
    </w:p>
    <w:p w:rsidRPr="00A44EC8" w:rsidR="00580E2E" w:rsidP="00284700" w:rsidRDefault="00580E2E" w14:paraId="11B34B51" w14:textId="0B77846A">
      <w:pPr>
        <w:pStyle w:val="ListParagraph"/>
        <w:ind w:left="567" w:firstLine="0"/>
        <w:rPr>
          <w:b/>
          <w:color w:val="FF0000"/>
          <w:sz w:val="22"/>
        </w:rPr>
      </w:pPr>
    </w:p>
    <w:p w:rsidRPr="002345F3" w:rsidR="00D119CA" w:rsidP="00B80E06" w:rsidRDefault="00D119CA" w14:paraId="1158B2D4" w14:textId="1712CE6C">
      <w:pPr>
        <w:pStyle w:val="ListParagraph"/>
        <w:numPr>
          <w:ilvl w:val="0"/>
          <w:numId w:val="27"/>
        </w:numPr>
        <w:spacing w:before="100" w:beforeAutospacing="1" w:after="100" w:afterAutospacing="1" w:line="240" w:lineRule="auto"/>
        <w:ind w:left="567" w:right="0" w:hanging="567"/>
        <w:rPr>
          <w:b/>
          <w:sz w:val="22"/>
        </w:rPr>
      </w:pPr>
      <w:r w:rsidRPr="002345F3">
        <w:rPr>
          <w:b/>
          <w:color w:val="auto"/>
          <w:sz w:val="22"/>
        </w:rPr>
        <w:t>Modern</w:t>
      </w:r>
      <w:r w:rsidRPr="002345F3">
        <w:rPr>
          <w:b/>
          <w:color w:val="FF0000"/>
          <w:sz w:val="22"/>
        </w:rPr>
        <w:t xml:space="preserve"> </w:t>
      </w:r>
      <w:r w:rsidRPr="002345F3">
        <w:rPr>
          <w:b/>
          <w:sz w:val="22"/>
        </w:rPr>
        <w:t>Slavery Declaration</w:t>
      </w:r>
    </w:p>
    <w:p w:rsidRPr="00642D41" w:rsidR="005F3C31" w:rsidP="005F3C31" w:rsidRDefault="005F3C31" w14:paraId="12D11DEC" w14:textId="77777777">
      <w:pPr>
        <w:pStyle w:val="ListParagraph"/>
        <w:ind w:left="360" w:firstLine="0"/>
        <w:rPr>
          <w:b/>
          <w:sz w:val="22"/>
        </w:rPr>
      </w:pPr>
    </w:p>
    <w:p w:rsidRPr="00284700" w:rsidR="005F3C31" w:rsidP="00125E91" w:rsidRDefault="005F3C31" w14:paraId="7B75B555" w14:textId="77777777">
      <w:pPr>
        <w:ind w:left="567" w:firstLine="0"/>
        <w:rPr>
          <w:b/>
          <w:sz w:val="22"/>
        </w:rPr>
      </w:pPr>
      <w:r w:rsidRPr="00284700">
        <w:rPr>
          <w:sz w:val="22"/>
        </w:rPr>
        <w:t>The Trust is compl</w:t>
      </w:r>
      <w:r w:rsidRPr="00284700" w:rsidR="00866C82">
        <w:rPr>
          <w:sz w:val="22"/>
        </w:rPr>
        <w:t>i</w:t>
      </w:r>
      <w:r w:rsidRPr="00284700">
        <w:rPr>
          <w:sz w:val="22"/>
        </w:rPr>
        <w:t>ant with the responsibilities to have a statement regarding its commitment to ending Modern Slavery, through its support and oversight of the Modern Slavery Act 2015.</w:t>
      </w:r>
      <w:r w:rsidRPr="00284700" w:rsidR="00650904">
        <w:rPr>
          <w:sz w:val="22"/>
        </w:rPr>
        <w:t xml:space="preserve"> </w:t>
      </w:r>
      <w:r w:rsidRPr="00284700">
        <w:rPr>
          <w:sz w:val="22"/>
        </w:rPr>
        <w:t xml:space="preserve">This is available on the Trust website - </w:t>
      </w:r>
      <w:hyperlink w:history="1" r:id="rId35">
        <w:r w:rsidRPr="00284700">
          <w:rPr>
            <w:rStyle w:val="Hyperlink"/>
            <w:sz w:val="22"/>
          </w:rPr>
          <w:t>modern-slavery-and-human-trafficking-statement-2023</w:t>
        </w:r>
      </w:hyperlink>
      <w:r w:rsidRPr="00284700">
        <w:rPr>
          <w:sz w:val="22"/>
        </w:rPr>
        <w:t>.</w:t>
      </w:r>
    </w:p>
    <w:p w:rsidRPr="00284700" w:rsidR="005F3C31" w:rsidP="00125E91" w:rsidRDefault="005F3C31" w14:paraId="6DBA6C78" w14:textId="77777777">
      <w:pPr>
        <w:pStyle w:val="ListParagraph"/>
        <w:ind w:left="567" w:firstLine="0"/>
        <w:rPr>
          <w:b/>
          <w:sz w:val="22"/>
        </w:rPr>
      </w:pPr>
    </w:p>
    <w:p w:rsidRPr="00F4294F" w:rsidR="005F3C31" w:rsidP="00125E91" w:rsidRDefault="005F3C31" w14:paraId="23E03BB2" w14:textId="5403577D">
      <w:pPr>
        <w:ind w:left="567" w:firstLine="0"/>
        <w:rPr>
          <w:b/>
          <w:sz w:val="22"/>
        </w:rPr>
      </w:pPr>
      <w:r w:rsidRPr="00284700">
        <w:rPr>
          <w:sz w:val="22"/>
        </w:rPr>
        <w:t>Modern Slavery and trafficking is included in the Level 2 and 3 training package offered to Trust staff</w:t>
      </w:r>
      <w:r w:rsidRPr="00F4294F">
        <w:rPr>
          <w:sz w:val="22"/>
        </w:rPr>
        <w:t>.</w:t>
      </w:r>
    </w:p>
    <w:p w:rsidRPr="00642D41" w:rsidR="005F3C31" w:rsidP="00125E91" w:rsidRDefault="005F3C31" w14:paraId="6C5ED821" w14:textId="77777777">
      <w:pPr>
        <w:pStyle w:val="ListParagraph"/>
        <w:ind w:left="567" w:firstLine="0"/>
        <w:rPr>
          <w:b/>
          <w:sz w:val="22"/>
        </w:rPr>
      </w:pPr>
    </w:p>
    <w:p w:rsidRPr="00840F12" w:rsidR="00FC74BB" w:rsidP="00B80E06" w:rsidRDefault="00340E70" w14:paraId="0D965A3C" w14:textId="36EB62AD">
      <w:pPr>
        <w:pStyle w:val="ListParagraph"/>
        <w:numPr>
          <w:ilvl w:val="0"/>
          <w:numId w:val="27"/>
        </w:numPr>
        <w:spacing w:before="100" w:beforeAutospacing="1" w:after="100" w:afterAutospacing="1" w:line="240" w:lineRule="auto"/>
        <w:ind w:left="567" w:right="0" w:hanging="567"/>
        <w:rPr>
          <w:b/>
          <w:color w:val="auto"/>
          <w:sz w:val="22"/>
        </w:rPr>
      </w:pPr>
      <w:r w:rsidRPr="00840F12">
        <w:rPr>
          <w:b/>
          <w:color w:val="auto"/>
          <w:sz w:val="22"/>
        </w:rPr>
        <w:t>Allegations against staff</w:t>
      </w:r>
    </w:p>
    <w:p w:rsidRPr="00642D41" w:rsidR="005F3C31" w:rsidP="00125E91" w:rsidRDefault="005F3C31" w14:paraId="5C10672B" w14:textId="77777777">
      <w:pPr>
        <w:pStyle w:val="ListParagraph"/>
        <w:ind w:left="567" w:firstLine="0"/>
        <w:rPr>
          <w:b/>
          <w:sz w:val="22"/>
        </w:rPr>
      </w:pPr>
    </w:p>
    <w:p w:rsidRPr="00284700" w:rsidR="005F3C31" w:rsidP="00125E91" w:rsidRDefault="001D1D70" w14:paraId="7C52BF60" w14:textId="77777777">
      <w:pPr>
        <w:ind w:left="567" w:firstLine="0"/>
        <w:rPr>
          <w:sz w:val="22"/>
        </w:rPr>
      </w:pPr>
      <w:r w:rsidRPr="00284700">
        <w:rPr>
          <w:sz w:val="22"/>
        </w:rPr>
        <w:t>Despite</w:t>
      </w:r>
      <w:r w:rsidRPr="00284700" w:rsidR="00340E70">
        <w:rPr>
          <w:sz w:val="22"/>
        </w:rPr>
        <w:t xml:space="preserve"> all efforts to introduce safety mechanisms there will be occasions when allegations are made. All staff have a responsibility for safeguarding and promoting the welfare of adults and children and a duty to report any concerns they may have about service users, members of staff (including bank, agency and honorary, unpaid, volunteers, contractors and those seconded from other services) and visitors.</w:t>
      </w:r>
    </w:p>
    <w:p w:rsidRPr="00284700" w:rsidR="005F3C31" w:rsidP="00125E91" w:rsidRDefault="005F3C31" w14:paraId="0D84AF27" w14:textId="77777777">
      <w:pPr>
        <w:ind w:left="567" w:firstLine="0"/>
        <w:rPr>
          <w:sz w:val="22"/>
        </w:rPr>
      </w:pPr>
    </w:p>
    <w:p w:rsidRPr="00284700" w:rsidR="00C20060" w:rsidP="00125E91" w:rsidRDefault="00C20060" w14:paraId="36402696" w14:textId="7D841136">
      <w:pPr>
        <w:ind w:left="567" w:firstLine="0"/>
        <w:rPr>
          <w:sz w:val="22"/>
        </w:rPr>
      </w:pPr>
      <w:r w:rsidRPr="00284700">
        <w:rPr>
          <w:sz w:val="22"/>
        </w:rPr>
        <w:t xml:space="preserve">Within the reporting period, a total of </w:t>
      </w:r>
      <w:r w:rsidRPr="00284700" w:rsidR="00311537">
        <w:rPr>
          <w:sz w:val="22"/>
        </w:rPr>
        <w:t>twenty-</w:t>
      </w:r>
      <w:r w:rsidRPr="00284700" w:rsidR="000A33F9">
        <w:rPr>
          <w:sz w:val="22"/>
        </w:rPr>
        <w:t>two</w:t>
      </w:r>
      <w:r w:rsidRPr="00284700" w:rsidR="00175AE6">
        <w:rPr>
          <w:sz w:val="22"/>
        </w:rPr>
        <w:t xml:space="preserve"> cases</w:t>
      </w:r>
      <w:r w:rsidRPr="00284700" w:rsidR="00311537">
        <w:rPr>
          <w:sz w:val="22"/>
        </w:rPr>
        <w:t xml:space="preserve"> of staff allegation </w:t>
      </w:r>
      <w:r w:rsidRPr="00284700" w:rsidR="5395F356">
        <w:rPr>
          <w:sz w:val="22"/>
        </w:rPr>
        <w:t>were managed</w:t>
      </w:r>
      <w:r w:rsidRPr="00284700" w:rsidR="00311537">
        <w:rPr>
          <w:sz w:val="22"/>
        </w:rPr>
        <w:t xml:space="preserve"> by the Human Resources team</w:t>
      </w:r>
      <w:r w:rsidRPr="00284700" w:rsidR="105CC369">
        <w:rPr>
          <w:sz w:val="22"/>
        </w:rPr>
        <w:t xml:space="preserve"> which remains consistent with the previous year</w:t>
      </w:r>
      <w:r w:rsidRPr="00284700" w:rsidR="00311537">
        <w:rPr>
          <w:sz w:val="22"/>
        </w:rPr>
        <w:t xml:space="preserve">. Seven of the cases </w:t>
      </w:r>
      <w:r w:rsidRPr="00284700" w:rsidR="289C3D21">
        <w:rPr>
          <w:sz w:val="22"/>
        </w:rPr>
        <w:t>were</w:t>
      </w:r>
      <w:r w:rsidRPr="00284700" w:rsidR="00311537">
        <w:rPr>
          <w:sz w:val="22"/>
        </w:rPr>
        <w:t xml:space="preserve"> closed and did not require any further escalations or DBS referrals. </w:t>
      </w:r>
      <w:r w:rsidRPr="00284700" w:rsidR="00860459">
        <w:rPr>
          <w:sz w:val="22"/>
        </w:rPr>
        <w:t xml:space="preserve">Thirteen </w:t>
      </w:r>
      <w:r w:rsidRPr="00284700" w:rsidR="00311537">
        <w:rPr>
          <w:sz w:val="22"/>
        </w:rPr>
        <w:t>case met the Local Auth</w:t>
      </w:r>
      <w:r w:rsidRPr="00284700" w:rsidR="00586546">
        <w:rPr>
          <w:sz w:val="22"/>
        </w:rPr>
        <w:t>ority Designated Officer (LADO)</w:t>
      </w:r>
      <w:r w:rsidRPr="00284700" w:rsidR="00311537">
        <w:rPr>
          <w:sz w:val="22"/>
        </w:rPr>
        <w:t xml:space="preserve"> threshold, however w</w:t>
      </w:r>
      <w:r w:rsidR="00BB46A4">
        <w:rPr>
          <w:sz w:val="22"/>
        </w:rPr>
        <w:t>ere</w:t>
      </w:r>
      <w:r w:rsidRPr="00284700" w:rsidR="00311537">
        <w:rPr>
          <w:sz w:val="22"/>
        </w:rPr>
        <w:t xml:space="preserve"> closed after the review meeting with no further action.</w:t>
      </w:r>
    </w:p>
    <w:p w:rsidRPr="002345F3" w:rsidR="00FC74BB" w:rsidP="00B80E06" w:rsidRDefault="00840F12" w14:paraId="040F45D7" w14:textId="2859966C">
      <w:pPr>
        <w:pStyle w:val="ListParagraph"/>
        <w:numPr>
          <w:ilvl w:val="0"/>
          <w:numId w:val="27"/>
        </w:numPr>
        <w:spacing w:before="100" w:beforeAutospacing="1" w:after="100" w:afterAutospacing="1" w:line="240" w:lineRule="auto"/>
        <w:ind w:left="567" w:right="0" w:hanging="567"/>
        <w:rPr>
          <w:b/>
          <w:sz w:val="22"/>
        </w:rPr>
      </w:pPr>
      <w:r>
        <w:rPr>
          <w:b/>
          <w:sz w:val="22"/>
        </w:rPr>
        <w:t>Workforce</w:t>
      </w:r>
    </w:p>
    <w:p w:rsidRPr="008C6371" w:rsidR="00586546" w:rsidP="00125E91" w:rsidRDefault="00586546" w14:paraId="58F6F251" w14:textId="77777777">
      <w:pPr>
        <w:pStyle w:val="ListParagraph"/>
        <w:ind w:left="567" w:firstLine="0"/>
        <w:rPr>
          <w:b/>
          <w:sz w:val="20"/>
          <w:szCs w:val="20"/>
        </w:rPr>
      </w:pPr>
    </w:p>
    <w:p w:rsidRPr="00284700" w:rsidR="00965B24" w:rsidP="00125E91" w:rsidRDefault="00B724F7" w14:paraId="14BAE385" w14:textId="08E097FB">
      <w:pPr>
        <w:ind w:left="567" w:firstLine="0"/>
        <w:rPr>
          <w:sz w:val="22"/>
        </w:rPr>
      </w:pPr>
      <w:r w:rsidRPr="00284700">
        <w:rPr>
          <w:sz w:val="22"/>
        </w:rPr>
        <w:t>Statutory</w:t>
      </w:r>
      <w:r w:rsidRPr="00284700" w:rsidR="00965B24">
        <w:rPr>
          <w:sz w:val="22"/>
        </w:rPr>
        <w:t xml:space="preserve"> guidance requires the Trust to have robust arrangements for safe recruitment practices including identity and DBS checks for all new and existing every three years. At the end of the financial year the percentage of staff with a valid Disclosure and Barring Scheme (DBS) check was 98</w:t>
      </w:r>
      <w:r w:rsidRPr="00284700" w:rsidR="003C14DE">
        <w:rPr>
          <w:sz w:val="22"/>
        </w:rPr>
        <w:t>.77</w:t>
      </w:r>
      <w:r w:rsidRPr="00284700" w:rsidR="00965B24">
        <w:rPr>
          <w:sz w:val="22"/>
        </w:rPr>
        <w:t xml:space="preserve">%. </w:t>
      </w:r>
      <w:r w:rsidRPr="00284700" w:rsidR="001364D9">
        <w:rPr>
          <w:sz w:val="22"/>
        </w:rPr>
        <w:t>This was due to a number of staffs members being off sick, on maternity leave and career break.</w:t>
      </w:r>
    </w:p>
    <w:p w:rsidRPr="00284700" w:rsidR="007B066E" w:rsidP="00840F12" w:rsidRDefault="007B066E" w14:paraId="37E77D0A" w14:textId="77777777">
      <w:pPr>
        <w:ind w:left="1440" w:firstLine="0"/>
        <w:rPr>
          <w:sz w:val="22"/>
        </w:rPr>
      </w:pPr>
    </w:p>
    <w:p w:rsidRPr="00284700" w:rsidR="007B066E" w:rsidP="00125E91" w:rsidRDefault="007B066E" w14:paraId="4529B481" w14:textId="31ABDE8C">
      <w:pPr>
        <w:ind w:left="567" w:firstLine="0"/>
        <w:rPr>
          <w:sz w:val="22"/>
        </w:rPr>
      </w:pPr>
      <w:r w:rsidRPr="00284700">
        <w:rPr>
          <w:sz w:val="22"/>
        </w:rPr>
        <w:t>The Trust made a total of 8 DBS referrals in 2024-25 after the completion of the staff disciplinary process.</w:t>
      </w:r>
    </w:p>
    <w:p w:rsidR="00840F12" w:rsidP="00B80E06" w:rsidRDefault="00840F12" w14:paraId="270A4909" w14:textId="3DE46551">
      <w:pPr>
        <w:pStyle w:val="ListParagraph"/>
        <w:numPr>
          <w:ilvl w:val="0"/>
          <w:numId w:val="27"/>
        </w:numPr>
        <w:spacing w:before="100" w:beforeAutospacing="1" w:after="100" w:afterAutospacing="1" w:line="240" w:lineRule="auto"/>
        <w:ind w:left="567" w:right="0" w:hanging="567"/>
        <w:rPr>
          <w:b/>
          <w:sz w:val="22"/>
        </w:rPr>
      </w:pPr>
      <w:r w:rsidRPr="00840F12">
        <w:rPr>
          <w:b/>
          <w:sz w:val="22"/>
        </w:rPr>
        <w:t>Safeguarding Challenges</w:t>
      </w:r>
    </w:p>
    <w:p w:rsidRPr="00840F12" w:rsidR="00840F12" w:rsidP="00840F12" w:rsidRDefault="00840F12" w14:paraId="7E0FB588" w14:textId="77777777">
      <w:pPr>
        <w:pStyle w:val="ListParagraph"/>
        <w:spacing w:before="100" w:beforeAutospacing="1" w:after="100" w:afterAutospacing="1" w:line="240" w:lineRule="auto"/>
        <w:ind w:left="1440" w:right="0" w:firstLine="0"/>
        <w:rPr>
          <w:b/>
          <w:sz w:val="22"/>
        </w:rPr>
      </w:pPr>
    </w:p>
    <w:p w:rsidRPr="00284700" w:rsidR="00840F12" w:rsidP="00125E91" w:rsidRDefault="00C96242" w14:paraId="744B4B84" w14:textId="4EB1E724">
      <w:pPr>
        <w:pStyle w:val="ListParagraph"/>
        <w:numPr>
          <w:ilvl w:val="0"/>
          <w:numId w:val="6"/>
        </w:numPr>
        <w:spacing w:before="100" w:beforeAutospacing="1" w:after="100" w:afterAutospacing="1" w:line="240" w:lineRule="auto"/>
        <w:ind w:left="1134" w:right="0" w:hanging="567"/>
        <w:rPr>
          <w:color w:val="auto"/>
          <w:sz w:val="22"/>
        </w:rPr>
      </w:pPr>
      <w:r w:rsidRPr="00284700">
        <w:rPr>
          <w:rFonts w:eastAsia="Times New Roman"/>
          <w:color w:val="auto"/>
          <w:sz w:val="22"/>
        </w:rPr>
        <w:t>Rising Complexity of Need across Age Groups</w:t>
      </w:r>
      <w:r w:rsidR="00FD232B">
        <w:rPr>
          <w:rFonts w:eastAsia="Times New Roman"/>
          <w:color w:val="auto"/>
          <w:sz w:val="22"/>
        </w:rPr>
        <w:t>.</w:t>
      </w:r>
      <w:r w:rsidRPr="00284700">
        <w:rPr>
          <w:rFonts w:eastAsia="Times New Roman"/>
          <w:color w:val="auto"/>
          <w:sz w:val="22"/>
        </w:rPr>
        <w:t xml:space="preserve"> </w:t>
      </w:r>
      <w:r w:rsidRPr="00284700">
        <w:rPr>
          <w:color w:val="auto"/>
          <w:sz w:val="22"/>
        </w:rPr>
        <w:t>There has been a notable increase in cases involving individuals</w:t>
      </w:r>
      <w:r w:rsidR="00FD232B">
        <w:rPr>
          <w:color w:val="auto"/>
          <w:sz w:val="22"/>
        </w:rPr>
        <w:t xml:space="preserve">, </w:t>
      </w:r>
      <w:r w:rsidRPr="00284700">
        <w:rPr>
          <w:color w:val="auto"/>
          <w:sz w:val="22"/>
        </w:rPr>
        <w:t>both children and adults</w:t>
      </w:r>
      <w:r w:rsidR="00FD232B">
        <w:rPr>
          <w:color w:val="auto"/>
          <w:sz w:val="22"/>
        </w:rPr>
        <w:t xml:space="preserve"> </w:t>
      </w:r>
      <w:r w:rsidRPr="00284700">
        <w:rPr>
          <w:color w:val="auto"/>
          <w:sz w:val="22"/>
        </w:rPr>
        <w:t>presenting with intersecting risks. In children, this includes a convergence of mental health concerns, school exclusion, exploitation, and neglect. For adults, self-neglect, hoarding, with co-existing mental health conditions have been increasingly reported. These complex presentations often require prolonged safeguarding input, multi –agency coordination, and multiple interventional responses from the safeguarding team that go beyond initial intervention.</w:t>
      </w:r>
    </w:p>
    <w:p w:rsidRPr="00284700" w:rsidR="00C96242" w:rsidP="00125E91" w:rsidRDefault="00C96242" w14:paraId="6E757435" w14:textId="3F073491">
      <w:pPr>
        <w:pStyle w:val="ListParagraph"/>
        <w:numPr>
          <w:ilvl w:val="0"/>
          <w:numId w:val="6"/>
        </w:numPr>
        <w:spacing w:before="100" w:beforeAutospacing="1" w:after="100" w:afterAutospacing="1" w:line="240" w:lineRule="auto"/>
        <w:ind w:left="1134" w:right="0" w:hanging="567"/>
        <w:rPr>
          <w:color w:val="auto"/>
          <w:sz w:val="22"/>
        </w:rPr>
      </w:pPr>
      <w:r w:rsidRPr="00284700">
        <w:rPr>
          <w:rFonts w:eastAsia="Times New Roman"/>
          <w:color w:val="auto"/>
          <w:sz w:val="22"/>
        </w:rPr>
        <w:t>Mental Health Pressures and Perplexing Presentations-</w:t>
      </w:r>
      <w:r w:rsidR="00FD232B">
        <w:rPr>
          <w:rFonts w:eastAsia="Times New Roman"/>
          <w:color w:val="auto"/>
          <w:sz w:val="22"/>
        </w:rPr>
        <w:t xml:space="preserve"> </w:t>
      </w:r>
      <w:r w:rsidRPr="00284700">
        <w:rPr>
          <w:color w:val="auto"/>
          <w:sz w:val="22"/>
        </w:rPr>
        <w:t xml:space="preserve">Children and young people are experiencing a sustained rise in emotional distress, self-harm, and suicidal ideation, particularly impacting schools and CAMHS services. Similarly, adults are presenting with complex and often undiagnosed mental health conditions that underpin safeguarding risks such as self-neglect and resistance to care. The Trust continues to prioritise early </w:t>
      </w:r>
      <w:r w:rsidRPr="00284700">
        <w:rPr>
          <w:color w:val="auto"/>
          <w:sz w:val="22"/>
        </w:rPr>
        <w:t>identification and trauma-informed responses, supported by safeguarding supervision and on-going support from the safeguarding team.</w:t>
      </w:r>
    </w:p>
    <w:p w:rsidRPr="00284700" w:rsidR="00C96242" w:rsidP="00125E91" w:rsidRDefault="00C96242" w14:paraId="79FED6C5" w14:textId="35A514D8">
      <w:pPr>
        <w:pStyle w:val="Heading4"/>
        <w:numPr>
          <w:ilvl w:val="0"/>
          <w:numId w:val="6"/>
        </w:numPr>
        <w:ind w:left="1134" w:hanging="567"/>
        <w:rPr>
          <w:rFonts w:ascii="Arial" w:hAnsi="Arial" w:cs="Arial"/>
          <w:i w:val="0"/>
          <w:color w:val="auto"/>
          <w:sz w:val="22"/>
        </w:rPr>
      </w:pPr>
      <w:r w:rsidRPr="00284700">
        <w:rPr>
          <w:rFonts w:ascii="Arial" w:hAnsi="Arial" w:eastAsia="Times New Roman" w:cs="Arial"/>
          <w:i w:val="0"/>
          <w:color w:val="auto"/>
          <w:sz w:val="22"/>
        </w:rPr>
        <w:t>Domestic Abuse and Coercive Control</w:t>
      </w:r>
      <w:r w:rsidR="0008193F">
        <w:rPr>
          <w:rFonts w:ascii="Arial" w:hAnsi="Arial" w:eastAsia="Times New Roman" w:cs="Arial"/>
          <w:i w:val="0"/>
          <w:color w:val="auto"/>
          <w:sz w:val="22"/>
        </w:rPr>
        <w:t xml:space="preserve"> </w:t>
      </w:r>
      <w:r w:rsidRPr="00284700">
        <w:rPr>
          <w:rFonts w:ascii="Arial" w:hAnsi="Arial" w:eastAsia="Times New Roman" w:cs="Arial"/>
          <w:i w:val="0"/>
          <w:color w:val="auto"/>
          <w:sz w:val="22"/>
        </w:rPr>
        <w:t>-</w:t>
      </w:r>
      <w:r w:rsidR="00FD232B">
        <w:rPr>
          <w:rFonts w:ascii="Arial" w:hAnsi="Arial" w:eastAsia="Times New Roman" w:cs="Arial"/>
          <w:i w:val="0"/>
          <w:color w:val="auto"/>
          <w:sz w:val="22"/>
        </w:rPr>
        <w:t xml:space="preserve"> </w:t>
      </w:r>
      <w:r w:rsidRPr="00284700">
        <w:rPr>
          <w:rFonts w:ascii="Arial" w:hAnsi="Arial" w:cs="Arial"/>
          <w:i w:val="0"/>
          <w:color w:val="auto"/>
          <w:sz w:val="22"/>
        </w:rPr>
        <w:t>Domestic abuse remains a persistent safeguarding concern across all demographics, including older adults, carers, and neuro</w:t>
      </w:r>
      <w:r w:rsidRPr="00284700" w:rsidR="00906DC2">
        <w:rPr>
          <w:rFonts w:ascii="Arial" w:hAnsi="Arial" w:cs="Arial"/>
          <w:i w:val="0"/>
          <w:color w:val="auto"/>
          <w:sz w:val="22"/>
        </w:rPr>
        <w:t>-</w:t>
      </w:r>
      <w:r w:rsidRPr="00284700">
        <w:rPr>
          <w:rFonts w:ascii="Arial" w:hAnsi="Arial" w:cs="Arial"/>
          <w:i w:val="0"/>
          <w:color w:val="auto"/>
          <w:sz w:val="22"/>
        </w:rPr>
        <w:t xml:space="preserve">divergent populations. Despite progress, the routine enquiry QI is not yet embedded across all services, and remains a key area for improvement in 2025–26. The Trust’s ongoing QI project aims to normalise and strengthen routine enquiry into domestic abuse, ensuring staff are confident in identification </w:t>
      </w:r>
      <w:r w:rsidR="00416E08">
        <w:rPr>
          <w:rFonts w:ascii="Arial" w:hAnsi="Arial" w:cs="Arial"/>
          <w:i w:val="0"/>
          <w:color w:val="auto"/>
          <w:sz w:val="22"/>
        </w:rPr>
        <w:t>of, and</w:t>
      </w:r>
      <w:r w:rsidRPr="00284700">
        <w:rPr>
          <w:rFonts w:ascii="Arial" w:hAnsi="Arial" w:cs="Arial"/>
          <w:i w:val="0"/>
          <w:color w:val="auto"/>
          <w:sz w:val="22"/>
        </w:rPr>
        <w:t xml:space="preserve"> response </w:t>
      </w:r>
      <w:r w:rsidR="00FD232B">
        <w:rPr>
          <w:rFonts w:ascii="Arial" w:hAnsi="Arial" w:cs="Arial"/>
          <w:i w:val="0"/>
          <w:color w:val="auto"/>
          <w:sz w:val="22"/>
        </w:rPr>
        <w:t>t</w:t>
      </w:r>
      <w:r w:rsidRPr="00284700">
        <w:rPr>
          <w:rFonts w:ascii="Arial" w:hAnsi="Arial" w:cs="Arial"/>
          <w:i w:val="0"/>
          <w:color w:val="auto"/>
          <w:sz w:val="22"/>
        </w:rPr>
        <w:t>o Domestic Abuse.</w:t>
      </w:r>
    </w:p>
    <w:p w:rsidRPr="00284700" w:rsidR="00C96242" w:rsidP="00125E91" w:rsidRDefault="00C96242" w14:paraId="3C30CFE5" w14:textId="2ECD4836">
      <w:pPr>
        <w:pStyle w:val="Heading4"/>
        <w:numPr>
          <w:ilvl w:val="0"/>
          <w:numId w:val="6"/>
        </w:numPr>
        <w:ind w:left="1134" w:hanging="567"/>
        <w:rPr>
          <w:rFonts w:ascii="Arial" w:hAnsi="Arial" w:cs="Arial"/>
          <w:i w:val="0"/>
          <w:color w:val="auto"/>
          <w:sz w:val="22"/>
        </w:rPr>
      </w:pPr>
      <w:r w:rsidRPr="00284700">
        <w:rPr>
          <w:rFonts w:ascii="Arial" w:hAnsi="Arial" w:eastAsia="Times New Roman" w:cs="Arial"/>
          <w:i w:val="0"/>
          <w:color w:val="auto"/>
          <w:sz w:val="22"/>
        </w:rPr>
        <w:t>Exploitation and Online Harm</w:t>
      </w:r>
      <w:r w:rsidR="00235B5F">
        <w:rPr>
          <w:rFonts w:ascii="Arial" w:hAnsi="Arial" w:eastAsia="Times New Roman" w:cs="Arial"/>
          <w:i w:val="0"/>
          <w:color w:val="auto"/>
          <w:sz w:val="22"/>
        </w:rPr>
        <w:t xml:space="preserve"> </w:t>
      </w:r>
      <w:r w:rsidRPr="00284700">
        <w:rPr>
          <w:rFonts w:ascii="Arial" w:hAnsi="Arial" w:eastAsia="Times New Roman" w:cs="Arial"/>
          <w:i w:val="0"/>
          <w:color w:val="auto"/>
          <w:sz w:val="22"/>
        </w:rPr>
        <w:t>-</w:t>
      </w:r>
      <w:r w:rsidR="00FD232B">
        <w:rPr>
          <w:rFonts w:ascii="Arial" w:hAnsi="Arial" w:eastAsia="Times New Roman" w:cs="Arial"/>
          <w:i w:val="0"/>
          <w:color w:val="auto"/>
          <w:sz w:val="22"/>
        </w:rPr>
        <w:t xml:space="preserve"> </w:t>
      </w:r>
      <w:r w:rsidRPr="00284700">
        <w:rPr>
          <w:rFonts w:ascii="Arial" w:hAnsi="Arial" w:cs="Arial"/>
          <w:i w:val="0"/>
          <w:color w:val="auto"/>
          <w:sz w:val="22"/>
        </w:rPr>
        <w:t>Nationally Child sexual and criminal exploitation</w:t>
      </w:r>
      <w:r w:rsidR="00FD232B">
        <w:rPr>
          <w:rFonts w:ascii="Arial" w:hAnsi="Arial" w:cs="Arial"/>
          <w:i w:val="0"/>
          <w:color w:val="auto"/>
          <w:sz w:val="22"/>
        </w:rPr>
        <w:t xml:space="preserve">, </w:t>
      </w:r>
      <w:r w:rsidRPr="00284700">
        <w:rPr>
          <w:rFonts w:ascii="Arial" w:hAnsi="Arial" w:cs="Arial"/>
          <w:i w:val="0"/>
          <w:color w:val="auto"/>
          <w:sz w:val="22"/>
        </w:rPr>
        <w:t>including county lines activity and intra-familial abuse</w:t>
      </w:r>
      <w:r w:rsidR="00FD232B">
        <w:rPr>
          <w:rFonts w:ascii="Arial" w:hAnsi="Arial" w:cs="Arial"/>
          <w:i w:val="0"/>
          <w:color w:val="auto"/>
          <w:sz w:val="22"/>
        </w:rPr>
        <w:t xml:space="preserve">, </w:t>
      </w:r>
      <w:r w:rsidRPr="00284700">
        <w:rPr>
          <w:rFonts w:ascii="Arial" w:hAnsi="Arial" w:cs="Arial"/>
          <w:i w:val="0"/>
          <w:color w:val="auto"/>
          <w:sz w:val="22"/>
        </w:rPr>
        <w:t>continues to affect all age group</w:t>
      </w:r>
      <w:r w:rsidR="00FD232B">
        <w:rPr>
          <w:rFonts w:ascii="Arial" w:hAnsi="Arial" w:cs="Arial"/>
          <w:i w:val="0"/>
          <w:color w:val="auto"/>
          <w:sz w:val="22"/>
        </w:rPr>
        <w:t>s</w:t>
      </w:r>
      <w:r w:rsidRPr="00284700">
        <w:rPr>
          <w:rFonts w:ascii="Arial" w:hAnsi="Arial" w:cs="Arial"/>
          <w:i w:val="0"/>
          <w:color w:val="auto"/>
          <w:sz w:val="22"/>
        </w:rPr>
        <w:t>, often compounded by online grooming and digital risk. For adults, increasing cases of modern slavery, trafficking, and exploitation are linked with homelessness, poverty, and substance misuse. Intelligence sharing across agencies remains a challenge, necessitating improvements in joint working and timely information exchange.</w:t>
      </w:r>
    </w:p>
    <w:p w:rsidRPr="00284700" w:rsidR="00C96242" w:rsidP="00125E91" w:rsidRDefault="00C96242" w14:paraId="03F95279" w14:textId="1AD72142">
      <w:pPr>
        <w:pStyle w:val="Heading4"/>
        <w:numPr>
          <w:ilvl w:val="0"/>
          <w:numId w:val="6"/>
        </w:numPr>
        <w:ind w:left="1134" w:hanging="567"/>
        <w:rPr>
          <w:rFonts w:ascii="Arial" w:hAnsi="Arial" w:cs="Arial"/>
          <w:i w:val="0"/>
          <w:color w:val="2F5496" w:themeColor="accent5" w:themeShade="BF"/>
          <w:sz w:val="22"/>
        </w:rPr>
      </w:pPr>
      <w:r w:rsidRPr="00284700">
        <w:rPr>
          <w:rFonts w:ascii="Arial" w:hAnsi="Arial" w:eastAsia="Times New Roman" w:cs="Arial"/>
          <w:i w:val="0"/>
          <w:color w:val="auto"/>
          <w:sz w:val="22"/>
        </w:rPr>
        <w:t>Impact of the Cost-of-Living Crisis</w:t>
      </w:r>
      <w:r w:rsidR="00235B5F">
        <w:rPr>
          <w:rFonts w:ascii="Arial" w:hAnsi="Arial" w:eastAsia="Times New Roman" w:cs="Arial"/>
          <w:i w:val="0"/>
          <w:color w:val="auto"/>
          <w:sz w:val="22"/>
        </w:rPr>
        <w:t xml:space="preserve"> </w:t>
      </w:r>
      <w:r w:rsidRPr="00284700">
        <w:rPr>
          <w:rFonts w:ascii="Arial" w:hAnsi="Arial" w:eastAsia="Times New Roman" w:cs="Arial"/>
          <w:i w:val="0"/>
          <w:color w:val="auto"/>
          <w:sz w:val="22"/>
        </w:rPr>
        <w:t>-</w:t>
      </w:r>
      <w:r w:rsidRPr="00284700">
        <w:rPr>
          <w:rFonts w:ascii="Arial" w:hAnsi="Arial" w:cs="Arial"/>
          <w:i w:val="0"/>
          <w:color w:val="auto"/>
          <w:sz w:val="22"/>
        </w:rPr>
        <w:t>The continued impact of economic hardship is evident in safeguarding referrals across all age groups. Families and individuals are facing heightened stress, hidden neglect, food insecurity, and housing instability. Higher thresholds for statutory intervention are reported across local systems, placing additional demand on safeguarding teams to offer sustained and holistic support.</w:t>
      </w:r>
    </w:p>
    <w:p w:rsidRPr="00FC14F8" w:rsidR="00FC14F8" w:rsidP="00FC14F8" w:rsidRDefault="00C96242" w14:paraId="561E681F" w14:textId="0170F645">
      <w:pPr>
        <w:pStyle w:val="ListParagraph"/>
        <w:numPr>
          <w:ilvl w:val="0"/>
          <w:numId w:val="58"/>
        </w:numPr>
        <w:spacing w:after="0" w:line="240" w:lineRule="auto"/>
        <w:ind w:left="1040" w:right="-170"/>
        <w:jc w:val="left"/>
        <w:rPr>
          <w:rFonts w:ascii="Times New Roman" w:hAnsi="Times New Roman" w:eastAsia="Times New Roman" w:cs="Times New Roman"/>
          <w:color w:val="auto"/>
          <w:szCs w:val="24"/>
        </w:rPr>
      </w:pPr>
      <w:r w:rsidRPr="00284700">
        <w:rPr>
          <w:rFonts w:eastAsia="Times New Roman"/>
          <w:color w:val="auto"/>
          <w:sz w:val="22"/>
        </w:rPr>
        <w:t>Systemic Pressures and Workforce Resilience</w:t>
      </w:r>
      <w:r w:rsidR="00235B5F">
        <w:rPr>
          <w:rFonts w:eastAsia="Times New Roman"/>
          <w:color w:val="auto"/>
          <w:sz w:val="22"/>
        </w:rPr>
        <w:t xml:space="preserve"> </w:t>
      </w:r>
      <w:r w:rsidRPr="00284700">
        <w:rPr>
          <w:rFonts w:eastAsia="Times New Roman"/>
          <w:color w:val="auto"/>
          <w:sz w:val="22"/>
        </w:rPr>
        <w:t>-</w:t>
      </w:r>
      <w:r w:rsidRPr="00284700">
        <w:rPr>
          <w:color w:val="auto"/>
          <w:sz w:val="22"/>
        </w:rPr>
        <w:t>The safeguarding team experienced significant staffing shortages for much of the financial year. Despite this, the team demonstrated resilience and professionalism by absorbing additional responsibilities to maintain service delivery. Named Professionals fulfil highly specialist and demanding roles that require advanced expertise, emotional resilience, and regular opportunities for reflection and development. In recognition of this, the Trust provides monthly restorative supervision to support their wellbeing, enhance practice, and promote staff retention.</w:t>
      </w:r>
    </w:p>
    <w:p w:rsidR="00FC14F8" w:rsidP="00FC14F8" w:rsidRDefault="00FC14F8" w14:paraId="33AAA057" w14:textId="67B64267">
      <w:pPr>
        <w:pStyle w:val="ListParagraph"/>
        <w:numPr>
          <w:ilvl w:val="0"/>
          <w:numId w:val="58"/>
        </w:numPr>
        <w:spacing w:after="0" w:line="240" w:lineRule="auto"/>
        <w:ind w:left="1040" w:right="-170"/>
        <w:jc w:val="left"/>
        <w:rPr>
          <w:rFonts w:ascii="Times New Roman" w:hAnsi="Times New Roman" w:eastAsia="Times New Roman" w:cs="Times New Roman"/>
          <w:color w:val="auto"/>
          <w:szCs w:val="24"/>
        </w:rPr>
      </w:pPr>
      <w:r w:rsidRPr="00FC14F8">
        <w:rPr>
          <w:rFonts w:eastAsia="Times New Roman"/>
          <w:color w:val="auto"/>
          <w:sz w:val="22"/>
        </w:rPr>
        <w:t xml:space="preserve"> </w:t>
      </w:r>
      <w:r>
        <w:rPr>
          <w:rFonts w:eastAsia="Times New Roman"/>
          <w:color w:val="auto"/>
          <w:sz w:val="22"/>
        </w:rPr>
        <w:t>Improve data visibility and reduce duplication- Currently, duplicate safeguarding reporting across some areas of the Trust undermines the ability to gain a coherent, accurate view of safeguarding activity and risk. The absence of consistent local data or centralised entries in the Trust’s recording system limits the organisation’s visibility and inhibits effective risk governance</w:t>
      </w:r>
      <w:r>
        <w:rPr>
          <w:rFonts w:eastAsia="Times New Roman"/>
          <w:color w:val="auto"/>
          <w:szCs w:val="24"/>
        </w:rPr>
        <w:t>.</w:t>
      </w:r>
    </w:p>
    <w:p w:rsidR="00C96242" w:rsidP="00FC14F8" w:rsidRDefault="00C96242" w14:paraId="2239BF89" w14:textId="7D6CFB85">
      <w:pPr>
        <w:pStyle w:val="Heading4"/>
        <w:ind w:left="1134" w:firstLine="0"/>
        <w:rPr>
          <w:rFonts w:ascii="Arial" w:hAnsi="Arial" w:cs="Arial"/>
          <w:i w:val="0"/>
          <w:color w:val="auto"/>
          <w:sz w:val="22"/>
        </w:rPr>
      </w:pPr>
    </w:p>
    <w:p w:rsidRPr="00DD39B8" w:rsidR="008640AB" w:rsidP="00DD39B8" w:rsidRDefault="008640AB" w14:paraId="58FA1DD2" w14:textId="77777777">
      <w:pPr>
        <w:rPr>
          <w:i/>
        </w:rPr>
      </w:pPr>
    </w:p>
    <w:p w:rsidRPr="00514DF4" w:rsidR="006F5F99" w:rsidP="00DD39B8" w:rsidRDefault="006F5F99" w14:paraId="6C7A33B9" w14:textId="77777777">
      <w:pPr>
        <w:spacing w:before="100" w:beforeAutospacing="1" w:after="100" w:afterAutospacing="1"/>
        <w:ind w:hanging="720"/>
        <w:rPr>
          <w:rFonts w:eastAsiaTheme="minorHAnsi"/>
          <w:color w:val="auto"/>
          <w:sz w:val="22"/>
        </w:rPr>
      </w:pPr>
    </w:p>
    <w:p w:rsidRPr="00DD39B8" w:rsidR="006F5F99" w:rsidP="00DD39B8" w:rsidRDefault="006F5F99" w14:paraId="369961B3" w14:textId="77777777">
      <w:pPr>
        <w:rPr>
          <w:i/>
        </w:rPr>
      </w:pPr>
    </w:p>
    <w:p w:rsidRPr="001A6A68" w:rsidR="001A6A68" w:rsidP="001A6A68" w:rsidRDefault="001A6A68" w14:paraId="385B9374" w14:textId="18BDB20F">
      <w:pPr>
        <w:ind w:hanging="720"/>
      </w:pPr>
    </w:p>
    <w:p w:rsidRPr="001A6A68" w:rsidR="001A6A68" w:rsidP="001A6A68" w:rsidRDefault="001A6A68" w14:paraId="210DDCF5" w14:textId="77777777"/>
    <w:p w:rsidRPr="001A6A68" w:rsidR="001A6A68" w:rsidP="001A6A68" w:rsidRDefault="001A6A68" w14:paraId="17D4BD8F" w14:textId="77777777">
      <w:pPr>
        <w:pStyle w:val="ListParagraph"/>
        <w:ind w:left="1800" w:firstLine="0"/>
      </w:pPr>
    </w:p>
    <w:p w:rsidR="001B2E64" w:rsidP="00125E91" w:rsidRDefault="001B2E64" w14:paraId="70965BC3" w14:textId="4738BD14">
      <w:pPr>
        <w:ind w:left="1134" w:hanging="567"/>
      </w:pPr>
    </w:p>
    <w:p w:rsidR="001B2E64" w:rsidP="001B2E64" w:rsidRDefault="001B2E64" w14:paraId="66BA8A7F" w14:textId="357048BD"/>
    <w:p w:rsidRPr="001B2E64" w:rsidR="001B2E64" w:rsidP="001B2E64" w:rsidRDefault="001B2E64" w14:paraId="2FA34FA1" w14:textId="77777777"/>
    <w:p w:rsidRPr="00906DC2" w:rsidR="00703934" w:rsidP="00703934" w:rsidRDefault="00703934" w14:paraId="53F6A0F3" w14:textId="77777777">
      <w:pPr>
        <w:pStyle w:val="ListParagraph"/>
        <w:ind w:left="502" w:firstLine="0"/>
        <w:rPr>
          <w:color w:val="2F5496" w:themeColor="accent5" w:themeShade="BF"/>
          <w:sz w:val="22"/>
        </w:rPr>
      </w:pPr>
    </w:p>
    <w:p w:rsidRPr="00906DC2" w:rsidR="00703934" w:rsidP="00703934" w:rsidRDefault="00703934" w14:paraId="194D633F" w14:textId="77777777">
      <w:pPr>
        <w:ind w:left="0" w:firstLine="0"/>
        <w:rPr>
          <w:sz w:val="22"/>
        </w:rPr>
      </w:pPr>
    </w:p>
    <w:p w:rsidRPr="00906DC2" w:rsidR="00703934" w:rsidP="00703934" w:rsidRDefault="00703934" w14:paraId="48E51E49" w14:textId="77777777">
      <w:pPr>
        <w:pStyle w:val="ListParagraph"/>
        <w:ind w:left="502" w:firstLine="0"/>
        <w:rPr>
          <w:sz w:val="22"/>
        </w:rPr>
      </w:pPr>
    </w:p>
    <w:p w:rsidR="000123B6" w:rsidP="00C107C3" w:rsidRDefault="000123B6" w14:paraId="3E341512" w14:textId="77777777">
      <w:pPr>
        <w:pStyle w:val="ListParagraph"/>
        <w:numPr>
          <w:ilvl w:val="1"/>
          <w:numId w:val="8"/>
        </w:numPr>
        <w:rPr>
          <w:b/>
          <w:bCs/>
          <w:sz w:val="22"/>
        </w:rPr>
        <w:sectPr w:rsidR="000123B6" w:rsidSect="004A4D2A">
          <w:headerReference w:type="default" r:id="rId36"/>
          <w:footerReference w:type="default" r:id="rId37"/>
          <w:pgSz w:w="11906" w:h="16838" w:orient="portrait"/>
          <w:pgMar w:top="1440" w:right="1123" w:bottom="1480" w:left="873" w:header="720" w:footer="720" w:gutter="0"/>
          <w:cols w:space="720"/>
          <w:docGrid w:linePitch="326"/>
        </w:sectPr>
      </w:pPr>
    </w:p>
    <w:p w:rsidRPr="002345F3" w:rsidR="002345F3" w:rsidP="00B80E06" w:rsidRDefault="002345F3" w14:paraId="4236C99E" w14:textId="77777777">
      <w:pPr>
        <w:pStyle w:val="ListParagraph"/>
        <w:numPr>
          <w:ilvl w:val="0"/>
          <w:numId w:val="15"/>
        </w:numPr>
        <w:rPr>
          <w:b/>
          <w:bCs/>
          <w:vanish/>
          <w:sz w:val="22"/>
        </w:rPr>
      </w:pPr>
    </w:p>
    <w:p w:rsidRPr="002345F3" w:rsidR="002345F3" w:rsidP="00B80E06" w:rsidRDefault="002345F3" w14:paraId="47ABAA67" w14:textId="77777777">
      <w:pPr>
        <w:pStyle w:val="ListParagraph"/>
        <w:numPr>
          <w:ilvl w:val="0"/>
          <w:numId w:val="15"/>
        </w:numPr>
        <w:rPr>
          <w:b/>
          <w:bCs/>
          <w:vanish/>
          <w:sz w:val="22"/>
        </w:rPr>
      </w:pPr>
    </w:p>
    <w:p w:rsidRPr="002345F3" w:rsidR="002345F3" w:rsidP="00B80E06" w:rsidRDefault="002345F3" w14:paraId="01C81A45" w14:textId="77777777">
      <w:pPr>
        <w:pStyle w:val="ListParagraph"/>
        <w:numPr>
          <w:ilvl w:val="0"/>
          <w:numId w:val="15"/>
        </w:numPr>
        <w:rPr>
          <w:b/>
          <w:bCs/>
          <w:vanish/>
          <w:sz w:val="22"/>
        </w:rPr>
      </w:pPr>
    </w:p>
    <w:p w:rsidRPr="002345F3" w:rsidR="002345F3" w:rsidP="00B80E06" w:rsidRDefault="002345F3" w14:paraId="65B7ED41" w14:textId="77777777">
      <w:pPr>
        <w:pStyle w:val="ListParagraph"/>
        <w:numPr>
          <w:ilvl w:val="0"/>
          <w:numId w:val="15"/>
        </w:numPr>
        <w:rPr>
          <w:b/>
          <w:bCs/>
          <w:vanish/>
          <w:sz w:val="22"/>
        </w:rPr>
      </w:pPr>
    </w:p>
    <w:p w:rsidRPr="002345F3" w:rsidR="002345F3" w:rsidP="00B80E06" w:rsidRDefault="002345F3" w14:paraId="4A0A8230" w14:textId="77777777">
      <w:pPr>
        <w:pStyle w:val="ListParagraph"/>
        <w:numPr>
          <w:ilvl w:val="0"/>
          <w:numId w:val="15"/>
        </w:numPr>
        <w:rPr>
          <w:b/>
          <w:bCs/>
          <w:vanish/>
          <w:sz w:val="22"/>
        </w:rPr>
      </w:pPr>
    </w:p>
    <w:p w:rsidRPr="002345F3" w:rsidR="002345F3" w:rsidP="00B80E06" w:rsidRDefault="002345F3" w14:paraId="4D91C296" w14:textId="77777777">
      <w:pPr>
        <w:pStyle w:val="ListParagraph"/>
        <w:numPr>
          <w:ilvl w:val="0"/>
          <w:numId w:val="15"/>
        </w:numPr>
        <w:rPr>
          <w:b/>
          <w:bCs/>
          <w:vanish/>
          <w:sz w:val="22"/>
        </w:rPr>
      </w:pPr>
    </w:p>
    <w:p w:rsidRPr="002345F3" w:rsidR="002345F3" w:rsidP="00B80E06" w:rsidRDefault="002345F3" w14:paraId="75B97411" w14:textId="77777777">
      <w:pPr>
        <w:pStyle w:val="ListParagraph"/>
        <w:numPr>
          <w:ilvl w:val="0"/>
          <w:numId w:val="15"/>
        </w:numPr>
        <w:rPr>
          <w:b/>
          <w:bCs/>
          <w:vanish/>
          <w:sz w:val="22"/>
        </w:rPr>
      </w:pPr>
    </w:p>
    <w:p w:rsidRPr="002345F3" w:rsidR="002345F3" w:rsidP="00B80E06" w:rsidRDefault="002345F3" w14:paraId="231CD2BF" w14:textId="77777777">
      <w:pPr>
        <w:pStyle w:val="ListParagraph"/>
        <w:numPr>
          <w:ilvl w:val="0"/>
          <w:numId w:val="15"/>
        </w:numPr>
        <w:rPr>
          <w:b/>
          <w:bCs/>
          <w:vanish/>
          <w:sz w:val="22"/>
        </w:rPr>
      </w:pPr>
    </w:p>
    <w:p w:rsidRPr="002345F3" w:rsidR="002345F3" w:rsidP="00B80E06" w:rsidRDefault="002345F3" w14:paraId="25911339" w14:textId="77777777">
      <w:pPr>
        <w:pStyle w:val="ListParagraph"/>
        <w:numPr>
          <w:ilvl w:val="0"/>
          <w:numId w:val="15"/>
        </w:numPr>
        <w:rPr>
          <w:b/>
          <w:bCs/>
          <w:vanish/>
          <w:sz w:val="22"/>
        </w:rPr>
      </w:pPr>
    </w:p>
    <w:p w:rsidRPr="002345F3" w:rsidR="002345F3" w:rsidP="00B80E06" w:rsidRDefault="002345F3" w14:paraId="60CBA3C9" w14:textId="77777777">
      <w:pPr>
        <w:pStyle w:val="ListParagraph"/>
        <w:numPr>
          <w:ilvl w:val="0"/>
          <w:numId w:val="15"/>
        </w:numPr>
        <w:rPr>
          <w:b/>
          <w:bCs/>
          <w:vanish/>
          <w:sz w:val="22"/>
        </w:rPr>
      </w:pPr>
    </w:p>
    <w:p w:rsidRPr="002345F3" w:rsidR="002345F3" w:rsidP="00B80E06" w:rsidRDefault="002345F3" w14:paraId="52F2CD21" w14:textId="77777777">
      <w:pPr>
        <w:pStyle w:val="ListParagraph"/>
        <w:numPr>
          <w:ilvl w:val="0"/>
          <w:numId w:val="15"/>
        </w:numPr>
        <w:rPr>
          <w:b/>
          <w:bCs/>
          <w:vanish/>
          <w:sz w:val="22"/>
        </w:rPr>
      </w:pPr>
    </w:p>
    <w:p w:rsidRPr="002345F3" w:rsidR="002345F3" w:rsidP="00B80E06" w:rsidRDefault="002345F3" w14:paraId="6D02E52E" w14:textId="77777777">
      <w:pPr>
        <w:pStyle w:val="ListParagraph"/>
        <w:numPr>
          <w:ilvl w:val="1"/>
          <w:numId w:val="15"/>
        </w:numPr>
        <w:rPr>
          <w:b/>
          <w:bCs/>
          <w:vanish/>
          <w:sz w:val="22"/>
        </w:rPr>
      </w:pPr>
    </w:p>
    <w:p w:rsidRPr="00840F12" w:rsidR="00965B24" w:rsidP="00B80E06" w:rsidRDefault="00965B24" w14:paraId="18C7AB6A" w14:textId="597B22C5">
      <w:pPr>
        <w:pStyle w:val="ListParagraph"/>
        <w:numPr>
          <w:ilvl w:val="0"/>
          <w:numId w:val="27"/>
        </w:numPr>
        <w:spacing w:before="100" w:beforeAutospacing="1" w:after="100" w:afterAutospacing="1" w:line="240" w:lineRule="auto"/>
        <w:ind w:right="0"/>
        <w:rPr>
          <w:b/>
          <w:sz w:val="22"/>
        </w:rPr>
      </w:pPr>
      <w:r w:rsidRPr="00840F12">
        <w:rPr>
          <w:b/>
          <w:sz w:val="22"/>
        </w:rPr>
        <w:t xml:space="preserve">Key Priorities </w:t>
      </w:r>
      <w:r w:rsidRPr="00840F12" w:rsidR="00E01DEF">
        <w:rPr>
          <w:b/>
          <w:sz w:val="22"/>
        </w:rPr>
        <w:t xml:space="preserve">for </w:t>
      </w:r>
      <w:r w:rsidRPr="00840F12">
        <w:rPr>
          <w:b/>
          <w:sz w:val="22"/>
        </w:rPr>
        <w:t>202</w:t>
      </w:r>
      <w:r w:rsidRPr="00840F12" w:rsidR="00B42BB9">
        <w:rPr>
          <w:b/>
          <w:sz w:val="22"/>
        </w:rPr>
        <w:t>5</w:t>
      </w:r>
      <w:r w:rsidRPr="00840F12">
        <w:rPr>
          <w:b/>
          <w:sz w:val="22"/>
        </w:rPr>
        <w:t>-2</w:t>
      </w:r>
      <w:r w:rsidRPr="00840F12" w:rsidR="00B42BB9">
        <w:rPr>
          <w:b/>
          <w:sz w:val="22"/>
        </w:rPr>
        <w:t>6</w:t>
      </w:r>
    </w:p>
    <w:p w:rsidR="00E40FDE" w:rsidP="00E40FDE" w:rsidRDefault="00E40FDE" w14:paraId="515410D4" w14:textId="591C066E">
      <w:pPr>
        <w:pStyle w:val="ListParagraph"/>
        <w:ind w:left="888" w:firstLine="0"/>
        <w:rPr>
          <w:b/>
          <w:bCs/>
          <w:sz w:val="22"/>
        </w:rPr>
      </w:pPr>
    </w:p>
    <w:tbl>
      <w:tblPr>
        <w:tblStyle w:val="TableGrid"/>
        <w:tblW w:w="12616" w:type="dxa"/>
        <w:tblInd w:w="1413" w:type="dxa"/>
        <w:tblLook w:val="04A0" w:firstRow="1" w:lastRow="0" w:firstColumn="1" w:lastColumn="0" w:noHBand="0" w:noVBand="1"/>
      </w:tblPr>
      <w:tblGrid>
        <w:gridCol w:w="3402"/>
        <w:gridCol w:w="9214"/>
      </w:tblGrid>
      <w:tr w:rsidRPr="008C6371" w:rsidR="00E40FDE" w:rsidTr="00E40FDE" w14:paraId="6B632B4D" w14:textId="77777777">
        <w:tc>
          <w:tcPr>
            <w:tcW w:w="3402" w:type="dxa"/>
          </w:tcPr>
          <w:p w:rsidRPr="00083C53" w:rsidR="00E40FDE" w:rsidP="00E40FDE" w:rsidRDefault="00E40FDE" w14:paraId="3250B5C9" w14:textId="77777777">
            <w:pPr>
              <w:ind w:left="0" w:firstLine="0"/>
              <w:jc w:val="left"/>
              <w:rPr>
                <w:b/>
                <w:color w:val="auto"/>
                <w:sz w:val="22"/>
              </w:rPr>
            </w:pPr>
            <w:r w:rsidRPr="00083C53">
              <w:rPr>
                <w:b/>
                <w:color w:val="auto"/>
                <w:sz w:val="22"/>
              </w:rPr>
              <w:t>Priorities</w:t>
            </w:r>
          </w:p>
          <w:p w:rsidRPr="00083C53" w:rsidR="00E40FDE" w:rsidP="00E40FDE" w:rsidRDefault="00E40FDE" w14:paraId="5D5AAD0B" w14:textId="77777777">
            <w:pPr>
              <w:ind w:left="0" w:firstLine="0"/>
              <w:rPr>
                <w:color w:val="auto"/>
                <w:sz w:val="22"/>
              </w:rPr>
            </w:pPr>
          </w:p>
        </w:tc>
        <w:tc>
          <w:tcPr>
            <w:tcW w:w="9214" w:type="dxa"/>
          </w:tcPr>
          <w:p w:rsidRPr="00083C53" w:rsidR="00E40FDE" w:rsidP="00E40FDE" w:rsidRDefault="00E40FDE" w14:paraId="7AAD74B5" w14:textId="77777777">
            <w:pPr>
              <w:ind w:left="0" w:firstLine="0"/>
              <w:rPr>
                <w:color w:val="auto"/>
                <w:sz w:val="22"/>
              </w:rPr>
            </w:pPr>
            <w:r w:rsidRPr="00083C53">
              <w:rPr>
                <w:b/>
                <w:color w:val="auto"/>
                <w:sz w:val="22"/>
              </w:rPr>
              <w:t>Actions</w:t>
            </w:r>
          </w:p>
        </w:tc>
      </w:tr>
      <w:tr w:rsidRPr="008C6371" w:rsidR="00E40FDE" w:rsidTr="00E40FDE" w14:paraId="1E009E9E" w14:textId="77777777">
        <w:tc>
          <w:tcPr>
            <w:tcW w:w="3402" w:type="dxa"/>
          </w:tcPr>
          <w:p w:rsidRPr="00083C53" w:rsidR="00E40FDE" w:rsidP="00E40FDE" w:rsidRDefault="00E40FDE" w14:paraId="56812A5F" w14:textId="77777777">
            <w:pPr>
              <w:ind w:left="0" w:firstLine="0"/>
              <w:rPr>
                <w:b/>
                <w:color w:val="auto"/>
                <w:sz w:val="22"/>
              </w:rPr>
            </w:pPr>
            <w:r w:rsidRPr="00083C53">
              <w:rPr>
                <w:b/>
                <w:color w:val="auto"/>
                <w:sz w:val="22"/>
              </w:rPr>
              <w:t>Domestic Abuse</w:t>
            </w:r>
          </w:p>
        </w:tc>
        <w:tc>
          <w:tcPr>
            <w:tcW w:w="9214" w:type="dxa"/>
          </w:tcPr>
          <w:p w:rsidRPr="00083C53" w:rsidR="00E40FDE" w:rsidP="00C107C3" w:rsidRDefault="00E40FDE" w14:paraId="34437307" w14:textId="77777777">
            <w:pPr>
              <w:pStyle w:val="ListParagraph"/>
              <w:numPr>
                <w:ilvl w:val="0"/>
                <w:numId w:val="5"/>
              </w:numPr>
              <w:rPr>
                <w:color w:val="auto"/>
                <w:sz w:val="22"/>
              </w:rPr>
            </w:pPr>
            <w:r w:rsidRPr="00083C53">
              <w:rPr>
                <w:color w:val="auto"/>
                <w:sz w:val="22"/>
              </w:rPr>
              <w:t>Implementing Routine Enquiry in services embedding a trauma informed approach to responding to domestic abuse.</w:t>
            </w:r>
          </w:p>
          <w:p w:rsidRPr="00083C53" w:rsidR="00E40FDE" w:rsidP="00C107C3" w:rsidRDefault="00E40FDE" w14:paraId="1AA09854" w14:textId="77777777">
            <w:pPr>
              <w:pStyle w:val="ListParagraph"/>
              <w:numPr>
                <w:ilvl w:val="0"/>
                <w:numId w:val="5"/>
              </w:numPr>
              <w:rPr>
                <w:color w:val="auto"/>
                <w:sz w:val="22"/>
              </w:rPr>
            </w:pPr>
            <w:r w:rsidRPr="00083C53">
              <w:rPr>
                <w:color w:val="auto"/>
                <w:sz w:val="22"/>
              </w:rPr>
              <w:t>Introducing Domestic Abuse Ambassadors across the Trust to raise awareness of Domestic Abuse and the use of Routine Enquiry</w:t>
            </w:r>
          </w:p>
        </w:tc>
      </w:tr>
      <w:tr w:rsidRPr="008C6371" w:rsidR="00E40FDE" w:rsidTr="00E40FDE" w14:paraId="65AB865C" w14:textId="77777777">
        <w:tc>
          <w:tcPr>
            <w:tcW w:w="3402" w:type="dxa"/>
          </w:tcPr>
          <w:p w:rsidRPr="00083C53" w:rsidR="00E40FDE" w:rsidP="00E40FDE" w:rsidRDefault="00E40FDE" w14:paraId="18D1CD8C" w14:textId="77777777">
            <w:pPr>
              <w:ind w:left="0" w:firstLine="0"/>
              <w:rPr>
                <w:b/>
                <w:color w:val="auto"/>
                <w:sz w:val="22"/>
              </w:rPr>
            </w:pPr>
            <w:r w:rsidRPr="00083C53">
              <w:rPr>
                <w:b/>
                <w:color w:val="auto"/>
                <w:sz w:val="22"/>
              </w:rPr>
              <w:t>Trainings</w:t>
            </w:r>
          </w:p>
        </w:tc>
        <w:tc>
          <w:tcPr>
            <w:tcW w:w="9214" w:type="dxa"/>
          </w:tcPr>
          <w:p w:rsidRPr="00083C53" w:rsidR="00E40FDE" w:rsidP="00C107C3" w:rsidRDefault="00E40FDE" w14:paraId="43C72589" w14:textId="47FE3E36">
            <w:pPr>
              <w:pStyle w:val="ListParagraph"/>
              <w:numPr>
                <w:ilvl w:val="0"/>
                <w:numId w:val="1"/>
              </w:numPr>
              <w:rPr>
                <w:color w:val="auto"/>
                <w:sz w:val="22"/>
              </w:rPr>
            </w:pPr>
            <w:r w:rsidRPr="00083C53">
              <w:rPr>
                <w:color w:val="auto"/>
                <w:sz w:val="22"/>
              </w:rPr>
              <w:t>Self-Neglect and hoarding</w:t>
            </w:r>
            <w:r w:rsidR="00797CD1">
              <w:rPr>
                <w:color w:val="auto"/>
                <w:sz w:val="22"/>
              </w:rPr>
              <w:t xml:space="preserve"> </w:t>
            </w:r>
            <w:r w:rsidRPr="00083C53">
              <w:rPr>
                <w:color w:val="auto"/>
                <w:sz w:val="22"/>
              </w:rPr>
              <w:t xml:space="preserve">- </w:t>
            </w:r>
            <w:r w:rsidRPr="00083C53">
              <w:rPr>
                <w:color w:val="C00000"/>
                <w:sz w:val="22"/>
              </w:rPr>
              <w:t>In Progress</w:t>
            </w:r>
          </w:p>
          <w:p w:rsidRPr="00083C53" w:rsidR="00E40FDE" w:rsidP="00C107C3" w:rsidRDefault="00E40FDE" w14:paraId="49F7E304" w14:textId="12CC8056">
            <w:pPr>
              <w:pStyle w:val="ListParagraph"/>
              <w:numPr>
                <w:ilvl w:val="0"/>
                <w:numId w:val="1"/>
              </w:numPr>
              <w:rPr>
                <w:color w:val="auto"/>
                <w:sz w:val="22"/>
              </w:rPr>
            </w:pPr>
            <w:r w:rsidRPr="00083C53">
              <w:rPr>
                <w:color w:val="auto"/>
                <w:sz w:val="22"/>
              </w:rPr>
              <w:t>Legal Framework</w:t>
            </w:r>
            <w:r w:rsidR="00797CD1">
              <w:rPr>
                <w:color w:val="auto"/>
                <w:sz w:val="22"/>
              </w:rPr>
              <w:t xml:space="preserve"> </w:t>
            </w:r>
            <w:r w:rsidRPr="00083C53">
              <w:rPr>
                <w:color w:val="auto"/>
                <w:sz w:val="22"/>
              </w:rPr>
              <w:t xml:space="preserve">- </w:t>
            </w:r>
            <w:r w:rsidRPr="00083C53">
              <w:rPr>
                <w:color w:val="C00000"/>
                <w:sz w:val="22"/>
              </w:rPr>
              <w:t>In Progress</w:t>
            </w:r>
          </w:p>
          <w:p w:rsidRPr="00083C53" w:rsidR="00E40FDE" w:rsidP="00C107C3" w:rsidRDefault="00E40FDE" w14:paraId="45CD0005" w14:textId="69A9EC38">
            <w:pPr>
              <w:pStyle w:val="ListParagraph"/>
              <w:numPr>
                <w:ilvl w:val="0"/>
                <w:numId w:val="1"/>
              </w:numPr>
              <w:rPr>
                <w:color w:val="auto"/>
                <w:sz w:val="22"/>
              </w:rPr>
            </w:pPr>
            <w:r w:rsidRPr="00083C53">
              <w:rPr>
                <w:color w:val="auto"/>
                <w:sz w:val="22"/>
              </w:rPr>
              <w:t>Responding to Allegations</w:t>
            </w:r>
            <w:r w:rsidR="00797CD1">
              <w:rPr>
                <w:color w:val="auto"/>
                <w:sz w:val="22"/>
              </w:rPr>
              <w:t xml:space="preserve"> </w:t>
            </w:r>
            <w:r w:rsidRPr="00083C53">
              <w:rPr>
                <w:color w:val="auto"/>
                <w:sz w:val="22"/>
              </w:rPr>
              <w:t xml:space="preserve">- </w:t>
            </w:r>
            <w:r w:rsidRPr="00083C53">
              <w:rPr>
                <w:color w:val="C00000"/>
                <w:sz w:val="22"/>
              </w:rPr>
              <w:t>In Progress</w:t>
            </w:r>
          </w:p>
          <w:p w:rsidRPr="00083C53" w:rsidR="00E40FDE" w:rsidP="00C107C3" w:rsidRDefault="00E40FDE" w14:paraId="6486AB69" w14:textId="40B92A77">
            <w:pPr>
              <w:pStyle w:val="ListParagraph"/>
              <w:numPr>
                <w:ilvl w:val="0"/>
                <w:numId w:val="1"/>
              </w:numPr>
              <w:rPr>
                <w:color w:val="auto"/>
                <w:sz w:val="22"/>
              </w:rPr>
            </w:pPr>
            <w:r w:rsidRPr="00083C53">
              <w:rPr>
                <w:color w:val="auto"/>
                <w:sz w:val="22"/>
              </w:rPr>
              <w:t>LADO/</w:t>
            </w:r>
            <w:proofErr w:type="spellStart"/>
            <w:r w:rsidRPr="00083C53">
              <w:rPr>
                <w:color w:val="auto"/>
                <w:sz w:val="22"/>
              </w:rPr>
              <w:t>Pipot</w:t>
            </w:r>
            <w:proofErr w:type="spellEnd"/>
            <w:r w:rsidR="00797CD1">
              <w:rPr>
                <w:color w:val="auto"/>
                <w:sz w:val="22"/>
              </w:rPr>
              <w:t xml:space="preserve"> </w:t>
            </w:r>
            <w:r w:rsidRPr="00083C53">
              <w:rPr>
                <w:color w:val="auto"/>
                <w:sz w:val="22"/>
              </w:rPr>
              <w:t xml:space="preserve">- </w:t>
            </w:r>
            <w:r w:rsidRPr="00083C53">
              <w:rPr>
                <w:color w:val="C00000"/>
                <w:sz w:val="22"/>
              </w:rPr>
              <w:t>In Progress</w:t>
            </w:r>
          </w:p>
          <w:p w:rsidRPr="00083C53" w:rsidR="00E40FDE" w:rsidP="00C107C3" w:rsidRDefault="00E40FDE" w14:paraId="1D6AD50E" w14:textId="10BA7C74">
            <w:pPr>
              <w:pStyle w:val="ListParagraph"/>
              <w:numPr>
                <w:ilvl w:val="0"/>
                <w:numId w:val="1"/>
              </w:numPr>
              <w:rPr>
                <w:color w:val="C00000"/>
                <w:sz w:val="22"/>
              </w:rPr>
            </w:pPr>
            <w:r w:rsidRPr="00083C53">
              <w:rPr>
                <w:color w:val="auto"/>
                <w:sz w:val="22"/>
              </w:rPr>
              <w:t>Neglect</w:t>
            </w:r>
            <w:r w:rsidR="00797CD1">
              <w:rPr>
                <w:color w:val="auto"/>
                <w:sz w:val="22"/>
              </w:rPr>
              <w:t xml:space="preserve"> </w:t>
            </w:r>
            <w:r w:rsidRPr="00083C53">
              <w:rPr>
                <w:color w:val="auto"/>
                <w:sz w:val="22"/>
              </w:rPr>
              <w:t xml:space="preserve">- </w:t>
            </w:r>
            <w:r w:rsidRPr="00083C53">
              <w:rPr>
                <w:color w:val="C00000"/>
                <w:sz w:val="22"/>
              </w:rPr>
              <w:t>In Progress</w:t>
            </w:r>
          </w:p>
          <w:p w:rsidRPr="00083C53" w:rsidR="00E40FDE" w:rsidP="00C107C3" w:rsidRDefault="00E40FDE" w14:paraId="267C41DE" w14:textId="3A0DF014">
            <w:pPr>
              <w:pStyle w:val="ListParagraph"/>
              <w:numPr>
                <w:ilvl w:val="0"/>
                <w:numId w:val="1"/>
              </w:numPr>
              <w:rPr>
                <w:color w:val="auto"/>
                <w:sz w:val="22"/>
              </w:rPr>
            </w:pPr>
            <w:r w:rsidRPr="00083C53">
              <w:rPr>
                <w:color w:val="auto"/>
                <w:sz w:val="22"/>
              </w:rPr>
              <w:t>Domestic Abuse</w:t>
            </w:r>
            <w:r w:rsidR="00797CD1">
              <w:rPr>
                <w:color w:val="auto"/>
                <w:sz w:val="22"/>
              </w:rPr>
              <w:t xml:space="preserve"> </w:t>
            </w:r>
            <w:r w:rsidRPr="00083C53">
              <w:rPr>
                <w:color w:val="auto"/>
                <w:sz w:val="22"/>
              </w:rPr>
              <w:t xml:space="preserve">- Intergenerational and Intersectional training- </w:t>
            </w:r>
            <w:r w:rsidRPr="00083C53">
              <w:rPr>
                <w:color w:val="C00000"/>
                <w:sz w:val="22"/>
              </w:rPr>
              <w:t>In Progress</w:t>
            </w:r>
          </w:p>
          <w:p w:rsidRPr="00083C53" w:rsidR="00E40FDE" w:rsidP="00C107C3" w:rsidRDefault="00E40FDE" w14:paraId="07F7BBF1" w14:textId="77777777">
            <w:pPr>
              <w:pStyle w:val="ListParagraph"/>
              <w:numPr>
                <w:ilvl w:val="0"/>
                <w:numId w:val="1"/>
              </w:numPr>
              <w:rPr>
                <w:color w:val="auto"/>
                <w:sz w:val="22"/>
              </w:rPr>
            </w:pPr>
            <w:r w:rsidRPr="00083C53">
              <w:rPr>
                <w:color w:val="auto"/>
                <w:sz w:val="22"/>
              </w:rPr>
              <w:t>Integrated Level 3 refresher training</w:t>
            </w:r>
          </w:p>
          <w:p w:rsidRPr="00083C53" w:rsidR="00E40FDE" w:rsidP="00C107C3" w:rsidRDefault="00E40FDE" w14:paraId="45F1BB4E" w14:textId="77777777">
            <w:pPr>
              <w:pStyle w:val="ListParagraph"/>
              <w:numPr>
                <w:ilvl w:val="0"/>
                <w:numId w:val="1"/>
              </w:numPr>
              <w:rPr>
                <w:color w:val="auto"/>
                <w:sz w:val="22"/>
              </w:rPr>
            </w:pPr>
            <w:r w:rsidRPr="00083C53">
              <w:rPr>
                <w:color w:val="auto"/>
                <w:sz w:val="22"/>
              </w:rPr>
              <w:t>Safeguarding and Anti-racist practice</w:t>
            </w:r>
          </w:p>
        </w:tc>
      </w:tr>
      <w:tr w:rsidRPr="008C6371" w:rsidR="00E40FDE" w:rsidTr="00E40FDE" w14:paraId="21C776C5" w14:textId="77777777">
        <w:tc>
          <w:tcPr>
            <w:tcW w:w="3402" w:type="dxa"/>
          </w:tcPr>
          <w:p w:rsidRPr="00083C53" w:rsidR="00E40FDE" w:rsidP="00E40FDE" w:rsidRDefault="00E40FDE" w14:paraId="004E6E43" w14:textId="77777777">
            <w:pPr>
              <w:ind w:left="0" w:firstLine="0"/>
              <w:rPr>
                <w:b/>
                <w:color w:val="auto"/>
                <w:sz w:val="22"/>
              </w:rPr>
            </w:pPr>
            <w:r w:rsidRPr="00083C53">
              <w:rPr>
                <w:b/>
                <w:color w:val="auto"/>
                <w:sz w:val="22"/>
              </w:rPr>
              <w:t>Co-production</w:t>
            </w:r>
          </w:p>
        </w:tc>
        <w:tc>
          <w:tcPr>
            <w:tcW w:w="9214" w:type="dxa"/>
          </w:tcPr>
          <w:p w:rsidRPr="00083C53" w:rsidR="00E40FDE" w:rsidP="00C107C3" w:rsidRDefault="00E40FDE" w14:paraId="5BE8B6F6" w14:textId="77777777">
            <w:pPr>
              <w:pStyle w:val="ListParagraph"/>
              <w:numPr>
                <w:ilvl w:val="0"/>
                <w:numId w:val="2"/>
              </w:numPr>
              <w:rPr>
                <w:color w:val="auto"/>
                <w:sz w:val="22"/>
              </w:rPr>
            </w:pPr>
            <w:r w:rsidRPr="00083C53">
              <w:rPr>
                <w:color w:val="auto"/>
                <w:sz w:val="22"/>
              </w:rPr>
              <w:t>Developing training package and leaflets with support from experts by experience</w:t>
            </w:r>
          </w:p>
          <w:p w:rsidRPr="00083C53" w:rsidR="00E40FDE" w:rsidP="00E40FDE" w:rsidRDefault="00E40FDE" w14:paraId="09BFE52C" w14:textId="77777777">
            <w:pPr>
              <w:ind w:left="0" w:firstLine="0"/>
              <w:rPr>
                <w:color w:val="auto"/>
                <w:sz w:val="22"/>
              </w:rPr>
            </w:pPr>
          </w:p>
        </w:tc>
      </w:tr>
      <w:tr w:rsidRPr="008C6371" w:rsidR="00E40FDE" w:rsidTr="00E40FDE" w14:paraId="208F6340" w14:textId="77777777">
        <w:tc>
          <w:tcPr>
            <w:tcW w:w="3402" w:type="dxa"/>
          </w:tcPr>
          <w:p w:rsidRPr="00083C53" w:rsidR="00E40FDE" w:rsidP="00E40FDE" w:rsidRDefault="00E40FDE" w14:paraId="7C24165D" w14:textId="77777777">
            <w:pPr>
              <w:ind w:left="0" w:firstLine="0"/>
              <w:rPr>
                <w:b/>
                <w:color w:val="auto"/>
                <w:sz w:val="22"/>
              </w:rPr>
            </w:pPr>
            <w:r w:rsidRPr="00083C53">
              <w:rPr>
                <w:b/>
                <w:color w:val="auto"/>
                <w:sz w:val="22"/>
              </w:rPr>
              <w:t>Learning from reviews</w:t>
            </w:r>
          </w:p>
        </w:tc>
        <w:tc>
          <w:tcPr>
            <w:tcW w:w="9214" w:type="dxa"/>
          </w:tcPr>
          <w:p w:rsidRPr="00083C53" w:rsidR="00E40FDE" w:rsidP="00C107C3" w:rsidRDefault="00E40FDE" w14:paraId="0F7AF3D6" w14:textId="77777777">
            <w:pPr>
              <w:pStyle w:val="ListParagraph"/>
              <w:numPr>
                <w:ilvl w:val="0"/>
                <w:numId w:val="2"/>
              </w:numPr>
              <w:rPr>
                <w:color w:val="auto"/>
                <w:sz w:val="22"/>
              </w:rPr>
            </w:pPr>
            <w:r w:rsidRPr="00083C53">
              <w:rPr>
                <w:color w:val="auto"/>
                <w:sz w:val="22"/>
              </w:rPr>
              <w:t>Offering staff bi-annual training to cascade learnings from reviews.</w:t>
            </w:r>
          </w:p>
          <w:p w:rsidRPr="00083C53" w:rsidR="00E40FDE" w:rsidP="00C107C3" w:rsidRDefault="00E40FDE" w14:paraId="7AE90A91" w14:textId="77777777">
            <w:pPr>
              <w:pStyle w:val="ListParagraph"/>
              <w:numPr>
                <w:ilvl w:val="0"/>
                <w:numId w:val="2"/>
              </w:numPr>
              <w:rPr>
                <w:color w:val="auto"/>
                <w:sz w:val="22"/>
              </w:rPr>
            </w:pPr>
            <w:r w:rsidRPr="00083C53">
              <w:rPr>
                <w:color w:val="auto"/>
                <w:sz w:val="22"/>
              </w:rPr>
              <w:t xml:space="preserve">Introducing “Let’s Change Practice” Newsletter when SAR’s, DARDR’s, CSPR’s, Section 42 enquiries and complex safeguarding cases. </w:t>
            </w:r>
          </w:p>
          <w:p w:rsidRPr="00083C53" w:rsidR="00E40FDE" w:rsidP="00E40FDE" w:rsidRDefault="00E40FDE" w14:paraId="594754DC" w14:textId="77777777">
            <w:pPr>
              <w:ind w:left="0" w:firstLine="0"/>
              <w:rPr>
                <w:color w:val="auto"/>
                <w:sz w:val="22"/>
              </w:rPr>
            </w:pPr>
          </w:p>
        </w:tc>
      </w:tr>
      <w:tr w:rsidRPr="008C6371" w:rsidR="00410EB0" w:rsidTr="00E40FDE" w14:paraId="7BFAA18C" w14:textId="77777777">
        <w:tc>
          <w:tcPr>
            <w:tcW w:w="3402" w:type="dxa"/>
          </w:tcPr>
          <w:p w:rsidRPr="00083C53" w:rsidR="00410EB0" w:rsidP="00E40FDE" w:rsidRDefault="00410EB0" w14:paraId="20E7BF4D" w14:textId="3686684B">
            <w:pPr>
              <w:ind w:left="0" w:firstLine="0"/>
              <w:rPr>
                <w:b/>
                <w:color w:val="auto"/>
                <w:sz w:val="22"/>
              </w:rPr>
            </w:pPr>
            <w:r w:rsidRPr="00083C53">
              <w:rPr>
                <w:b/>
                <w:color w:val="auto"/>
                <w:sz w:val="22"/>
              </w:rPr>
              <w:t>Improved Data Visibility</w:t>
            </w:r>
          </w:p>
        </w:tc>
        <w:tc>
          <w:tcPr>
            <w:tcW w:w="9214" w:type="dxa"/>
          </w:tcPr>
          <w:p w:rsidRPr="00083C53" w:rsidR="00410EB0" w:rsidP="00C107C3" w:rsidRDefault="00410EB0" w14:paraId="75A2A757" w14:textId="600C3355">
            <w:pPr>
              <w:pStyle w:val="ListParagraph"/>
              <w:numPr>
                <w:ilvl w:val="0"/>
                <w:numId w:val="2"/>
              </w:numPr>
              <w:rPr>
                <w:color w:val="auto"/>
                <w:sz w:val="22"/>
              </w:rPr>
            </w:pPr>
            <w:r w:rsidRPr="00083C53">
              <w:rPr>
                <w:color w:val="auto"/>
                <w:sz w:val="22"/>
              </w:rPr>
              <w:t>To reduce duplication in safeguarding reporting to enhance oversight of risk and progress across all services.</w:t>
            </w:r>
          </w:p>
        </w:tc>
      </w:tr>
      <w:tr w:rsidRPr="007806BD" w:rsidR="00E40FDE" w:rsidTr="00E40FDE" w14:paraId="195BA4E9" w14:textId="77777777">
        <w:tc>
          <w:tcPr>
            <w:tcW w:w="3402" w:type="dxa"/>
          </w:tcPr>
          <w:p w:rsidRPr="00083C53" w:rsidR="00E40FDE" w:rsidP="00125E91" w:rsidRDefault="00125E91" w14:paraId="37DF543C" w14:textId="783938FD">
            <w:pPr>
              <w:ind w:left="37" w:hanging="37"/>
              <w:jc w:val="left"/>
              <w:rPr>
                <w:sz w:val="22"/>
              </w:rPr>
            </w:pPr>
            <w:r w:rsidRPr="00083C53">
              <w:rPr>
                <w:b/>
                <w:color w:val="auto"/>
                <w:sz w:val="22"/>
              </w:rPr>
              <w:t xml:space="preserve">Safeguarding Quality </w:t>
            </w:r>
            <w:r w:rsidRPr="00083C53" w:rsidR="00C25B18">
              <w:rPr>
                <w:b/>
                <w:color w:val="auto"/>
                <w:sz w:val="22"/>
              </w:rPr>
              <w:t>Assurance</w:t>
            </w:r>
          </w:p>
        </w:tc>
        <w:tc>
          <w:tcPr>
            <w:tcW w:w="9214" w:type="dxa"/>
          </w:tcPr>
          <w:p w:rsidRPr="00083C53" w:rsidR="00E40FDE" w:rsidP="00C107C3" w:rsidRDefault="00E40FDE" w14:paraId="0DAF4E4D" w14:textId="2A0D0A7F">
            <w:pPr>
              <w:pStyle w:val="ListParagraph"/>
              <w:numPr>
                <w:ilvl w:val="0"/>
                <w:numId w:val="2"/>
              </w:numPr>
              <w:rPr>
                <w:color w:val="auto"/>
                <w:sz w:val="22"/>
              </w:rPr>
            </w:pPr>
            <w:r w:rsidRPr="00083C53">
              <w:rPr>
                <w:color w:val="auto"/>
                <w:sz w:val="22"/>
              </w:rPr>
              <w:t>To develop a new quality management framework  that integrates quality planning, quality control, quality assurance, and quality improvement across all safeguarding processes within ELFT</w:t>
            </w:r>
          </w:p>
        </w:tc>
      </w:tr>
    </w:tbl>
    <w:p w:rsidR="00E40FDE" w:rsidP="00E40FDE" w:rsidRDefault="00E40FDE" w14:paraId="232F9629" w14:textId="77777777">
      <w:pPr>
        <w:pStyle w:val="ListParagraph"/>
        <w:ind w:left="888" w:firstLine="0"/>
        <w:rPr>
          <w:b/>
          <w:bCs/>
          <w:sz w:val="22"/>
        </w:rPr>
      </w:pPr>
    </w:p>
    <w:p w:rsidR="000123B6" w:rsidP="001C6422" w:rsidRDefault="000123B6" w14:paraId="3347FB6A" w14:textId="77777777">
      <w:pPr>
        <w:rPr>
          <w:b/>
          <w:bCs/>
          <w:sz w:val="22"/>
        </w:rPr>
        <w:sectPr w:rsidR="000123B6" w:rsidSect="001A326A">
          <w:pgSz w:w="16838" w:h="11906" w:orient="landscape"/>
          <w:pgMar w:top="873" w:right="1440" w:bottom="1440" w:left="1480" w:header="720" w:footer="720" w:gutter="0"/>
          <w:cols w:space="720"/>
          <w:docGrid w:linePitch="326"/>
        </w:sectPr>
      </w:pPr>
      <w:r>
        <w:rPr>
          <w:b/>
          <w:bCs/>
          <w:sz w:val="22"/>
        </w:rPr>
        <w:br/>
      </w:r>
    </w:p>
    <w:p w:rsidRPr="002159F1" w:rsidR="00B42BB9" w:rsidP="002159F1" w:rsidRDefault="00B42BB9" w14:paraId="3481F7D3" w14:textId="77777777">
      <w:pPr>
        <w:ind w:left="0" w:firstLine="0"/>
        <w:rPr>
          <w:b/>
          <w:sz w:val="22"/>
        </w:rPr>
      </w:pPr>
    </w:p>
    <w:p w:rsidRPr="00083C53" w:rsidR="00DF257B" w:rsidP="00B80E06" w:rsidRDefault="00175AE6" w14:paraId="0D68216B" w14:textId="1D6710F8">
      <w:pPr>
        <w:pStyle w:val="ListParagraph"/>
        <w:numPr>
          <w:ilvl w:val="0"/>
          <w:numId w:val="27"/>
        </w:numPr>
        <w:spacing w:before="100" w:beforeAutospacing="1" w:after="100" w:afterAutospacing="1" w:line="240" w:lineRule="auto"/>
        <w:ind w:left="567" w:right="0" w:hanging="567"/>
        <w:rPr>
          <w:b/>
          <w:sz w:val="22"/>
        </w:rPr>
      </w:pPr>
      <w:r w:rsidRPr="00083C53">
        <w:rPr>
          <w:b/>
          <w:sz w:val="22"/>
        </w:rPr>
        <w:t>Conclusion</w:t>
      </w:r>
      <w:r w:rsidRPr="00083C53" w:rsidR="00DF257B">
        <w:rPr>
          <w:b/>
          <w:sz w:val="22"/>
        </w:rPr>
        <w:t>:</w:t>
      </w:r>
    </w:p>
    <w:p w:rsidRPr="00083C53" w:rsidR="00053E4A" w:rsidP="00845474" w:rsidRDefault="00053E4A" w14:paraId="6ED6B560" w14:textId="77777777">
      <w:pPr>
        <w:pStyle w:val="ListParagraph"/>
        <w:ind w:left="567" w:hanging="567"/>
        <w:rPr>
          <w:sz w:val="22"/>
        </w:rPr>
      </w:pPr>
    </w:p>
    <w:p w:rsidRPr="00083C53" w:rsidR="00053E4A" w:rsidP="00845474" w:rsidRDefault="001C6422" w14:paraId="3DF90F5C" w14:textId="77FE5389">
      <w:pPr>
        <w:pStyle w:val="BodyText"/>
        <w:numPr>
          <w:ilvl w:val="0"/>
          <w:numId w:val="3"/>
        </w:numPr>
        <w:ind w:left="1134" w:hanging="567"/>
        <w:rPr>
          <w:rFonts w:cs="Arial"/>
          <w:lang w:val="en-GB"/>
        </w:rPr>
      </w:pPr>
      <w:r w:rsidRPr="00083C53">
        <w:rPr>
          <w:rFonts w:cs="Arial"/>
          <w:lang w:val="en-GB"/>
        </w:rPr>
        <w:t>During 2024-25</w:t>
      </w:r>
      <w:r w:rsidRPr="00083C53" w:rsidR="00053E4A">
        <w:rPr>
          <w:rFonts w:cs="Arial"/>
          <w:lang w:val="en-GB"/>
        </w:rPr>
        <w:t>, the safeguarding team</w:t>
      </w:r>
      <w:r w:rsidRPr="00083C53">
        <w:rPr>
          <w:rFonts w:cs="Arial"/>
          <w:lang w:val="en-GB"/>
        </w:rPr>
        <w:t xml:space="preserve"> </w:t>
      </w:r>
      <w:r w:rsidR="00FD232B">
        <w:rPr>
          <w:rFonts w:cs="Arial"/>
          <w:lang w:val="en-GB"/>
        </w:rPr>
        <w:t xml:space="preserve">had some staffing challenges </w:t>
      </w:r>
      <w:r w:rsidR="008F4657">
        <w:rPr>
          <w:rFonts w:cs="Arial"/>
          <w:lang w:val="en-GB"/>
        </w:rPr>
        <w:t xml:space="preserve">which impacted </w:t>
      </w:r>
      <w:r w:rsidR="00B66EB7">
        <w:rPr>
          <w:rFonts w:cs="Arial"/>
          <w:lang w:val="en-GB"/>
        </w:rPr>
        <w:t xml:space="preserve">on </w:t>
      </w:r>
      <w:r w:rsidRPr="00083C53" w:rsidR="00B66EB7">
        <w:rPr>
          <w:rFonts w:cs="Arial"/>
          <w:lang w:val="en-GB"/>
        </w:rPr>
        <w:t>progressing</w:t>
      </w:r>
      <w:r w:rsidRPr="00083C53" w:rsidR="00053E4A">
        <w:rPr>
          <w:rFonts w:cs="Arial"/>
          <w:lang w:val="en-GB"/>
        </w:rPr>
        <w:t xml:space="preserve"> with </w:t>
      </w:r>
      <w:r w:rsidR="008F4657">
        <w:rPr>
          <w:rFonts w:cs="Arial"/>
          <w:lang w:val="en-GB"/>
        </w:rPr>
        <w:t xml:space="preserve">some of </w:t>
      </w:r>
      <w:r w:rsidRPr="00083C53" w:rsidR="00053E4A">
        <w:rPr>
          <w:rFonts w:cs="Arial"/>
          <w:lang w:val="en-GB"/>
        </w:rPr>
        <w:t>the s</w:t>
      </w:r>
      <w:r w:rsidRPr="00083C53" w:rsidR="00B34301">
        <w:rPr>
          <w:rFonts w:cs="Arial"/>
          <w:lang w:val="en-GB"/>
        </w:rPr>
        <w:t>afeguarding priorities and the safeguarding work plan</w:t>
      </w:r>
      <w:r w:rsidRPr="00083C53" w:rsidR="00053E4A">
        <w:rPr>
          <w:rFonts w:cs="Arial"/>
          <w:lang w:val="en-GB"/>
        </w:rPr>
        <w:t>.</w:t>
      </w:r>
      <w:r w:rsidRPr="00083C53" w:rsidR="00053E4A">
        <w:rPr>
          <w:rFonts w:cs="Arial"/>
          <w:b/>
          <w:lang w:val="en-GB"/>
        </w:rPr>
        <w:t xml:space="preserve"> </w:t>
      </w:r>
    </w:p>
    <w:p w:rsidRPr="00083C53" w:rsidR="00053E4A" w:rsidP="00845474" w:rsidRDefault="00053E4A" w14:paraId="16CF18D0" w14:textId="77777777">
      <w:pPr>
        <w:pStyle w:val="BodyText"/>
        <w:numPr>
          <w:ilvl w:val="0"/>
          <w:numId w:val="0"/>
        </w:numPr>
        <w:ind w:left="1134" w:hanging="567"/>
        <w:rPr>
          <w:rFonts w:cs="Arial"/>
          <w:lang w:val="en-GB"/>
        </w:rPr>
      </w:pPr>
    </w:p>
    <w:p w:rsidRPr="00083C53" w:rsidR="00053E4A" w:rsidP="00845474" w:rsidRDefault="008F4657" w14:paraId="21F7959E" w14:textId="106DE977">
      <w:pPr>
        <w:pStyle w:val="BodyText"/>
        <w:numPr>
          <w:ilvl w:val="0"/>
          <w:numId w:val="3"/>
        </w:numPr>
        <w:ind w:left="1134" w:hanging="567"/>
        <w:rPr>
          <w:rFonts w:cs="Arial"/>
          <w:lang w:val="en-GB"/>
        </w:rPr>
      </w:pPr>
      <w:r>
        <w:rPr>
          <w:rFonts w:cs="Arial"/>
          <w:lang w:val="en-GB"/>
        </w:rPr>
        <w:t xml:space="preserve">Despite the challenges, some of the objectives were achieved. </w:t>
      </w:r>
      <w:r w:rsidRPr="00083C53" w:rsidR="00053E4A">
        <w:rPr>
          <w:rFonts w:cs="Arial"/>
          <w:lang w:val="en-GB"/>
        </w:rPr>
        <w:t xml:space="preserve"> Areas such as training, reporting, </w:t>
      </w:r>
      <w:r>
        <w:rPr>
          <w:rFonts w:cs="Arial"/>
          <w:lang w:val="en-GB"/>
        </w:rPr>
        <w:t xml:space="preserve">and </w:t>
      </w:r>
      <w:r w:rsidRPr="00083C53" w:rsidR="00053E4A">
        <w:rPr>
          <w:rFonts w:cs="Arial"/>
          <w:lang w:val="en-GB"/>
        </w:rPr>
        <w:t>auditing has improved and</w:t>
      </w:r>
      <w:r w:rsidRPr="00083C53" w:rsidR="00B34301">
        <w:rPr>
          <w:rFonts w:cs="Arial"/>
          <w:lang w:val="en-GB"/>
        </w:rPr>
        <w:t xml:space="preserve"> embedded in staffs practice as</w:t>
      </w:r>
      <w:r w:rsidRPr="00083C53" w:rsidR="00053E4A">
        <w:rPr>
          <w:rFonts w:cs="Arial"/>
          <w:lang w:val="en-GB"/>
        </w:rPr>
        <w:t xml:space="preserve"> evidenced in this report. </w:t>
      </w:r>
      <w:r w:rsidRPr="00083C53" w:rsidR="00053E4A">
        <w:rPr>
          <w:rFonts w:cs="Arial"/>
          <w:b/>
          <w:lang w:val="en-GB"/>
        </w:rPr>
        <w:t xml:space="preserve"> </w:t>
      </w:r>
    </w:p>
    <w:p w:rsidRPr="00083C53" w:rsidR="00053E4A" w:rsidP="00845474" w:rsidRDefault="00053E4A" w14:paraId="32338EC3" w14:textId="77777777">
      <w:pPr>
        <w:pStyle w:val="BodyText"/>
        <w:numPr>
          <w:ilvl w:val="0"/>
          <w:numId w:val="0"/>
        </w:numPr>
        <w:ind w:left="1134" w:hanging="567"/>
        <w:rPr>
          <w:rFonts w:cs="Arial"/>
          <w:lang w:val="en-GB"/>
        </w:rPr>
      </w:pPr>
    </w:p>
    <w:p w:rsidRPr="008F4657" w:rsidR="00053E4A" w:rsidP="00845474" w:rsidRDefault="008F4657" w14:paraId="7EF8A9CD" w14:textId="70FA1228">
      <w:pPr>
        <w:pStyle w:val="BodyText"/>
        <w:numPr>
          <w:ilvl w:val="0"/>
          <w:numId w:val="3"/>
        </w:numPr>
        <w:ind w:left="1134" w:hanging="567"/>
        <w:rPr>
          <w:rFonts w:cs="Arial"/>
          <w:bCs/>
          <w:lang w:val="en-GB"/>
        </w:rPr>
      </w:pPr>
      <w:r>
        <w:rPr>
          <w:rFonts w:cs="Arial"/>
          <w:lang w:val="en-GB"/>
        </w:rPr>
        <w:t xml:space="preserve">The current </w:t>
      </w:r>
      <w:r w:rsidRPr="00083C53" w:rsidR="00053E4A">
        <w:rPr>
          <w:rFonts w:cs="Arial"/>
          <w:lang w:val="en-GB"/>
        </w:rPr>
        <w:t xml:space="preserve">work plan </w:t>
      </w:r>
      <w:r w:rsidRPr="00083C53" w:rsidR="00B34301">
        <w:rPr>
          <w:rFonts w:cs="Arial"/>
          <w:lang w:val="en-GB"/>
        </w:rPr>
        <w:t xml:space="preserve">will be reviewed and updated </w:t>
      </w:r>
      <w:r w:rsidRPr="00083C53" w:rsidR="00053E4A">
        <w:rPr>
          <w:rFonts w:cs="Arial"/>
          <w:lang w:val="en-GB"/>
        </w:rPr>
        <w:t xml:space="preserve">for the next </w:t>
      </w:r>
      <w:r w:rsidRPr="00083C53" w:rsidR="00B34301">
        <w:rPr>
          <w:rFonts w:cs="Arial"/>
          <w:lang w:val="en-GB"/>
        </w:rPr>
        <w:t>3 years. It will</w:t>
      </w:r>
      <w:r w:rsidRPr="00083C53" w:rsidR="00053E4A">
        <w:rPr>
          <w:rFonts w:cs="Arial"/>
          <w:lang w:val="en-GB"/>
        </w:rPr>
        <w:t xml:space="preserve"> incorporate some of the ongoing work </w:t>
      </w:r>
      <w:r>
        <w:rPr>
          <w:rFonts w:cs="Arial"/>
          <w:lang w:val="en-GB"/>
        </w:rPr>
        <w:t>started in 2024/25</w:t>
      </w:r>
      <w:r w:rsidRPr="00083C53" w:rsidR="00053E4A">
        <w:rPr>
          <w:rFonts w:cs="Arial"/>
          <w:lang w:val="en-GB"/>
        </w:rPr>
        <w:t xml:space="preserve"> and will</w:t>
      </w:r>
      <w:r w:rsidRPr="00083C53" w:rsidR="00B34301">
        <w:rPr>
          <w:rFonts w:cs="Arial"/>
          <w:lang w:val="en-GB"/>
        </w:rPr>
        <w:t xml:space="preserve"> be reviewed by the Corporate Safeguarding team based on the priorities of the Boards and Partnerships</w:t>
      </w:r>
      <w:r w:rsidRPr="00083C53" w:rsidR="00053E4A">
        <w:rPr>
          <w:rFonts w:cs="Arial"/>
          <w:lang w:val="en-GB"/>
        </w:rPr>
        <w:t>.</w:t>
      </w:r>
      <w:r w:rsidRPr="00083C53" w:rsidR="00053E4A">
        <w:rPr>
          <w:rFonts w:cs="Arial"/>
          <w:b/>
          <w:lang w:val="en-GB"/>
        </w:rPr>
        <w:t xml:space="preserve"> </w:t>
      </w:r>
      <w:r w:rsidRPr="00DD39B8">
        <w:rPr>
          <w:rFonts w:cs="Arial"/>
          <w:bCs/>
          <w:lang w:val="en-GB"/>
        </w:rPr>
        <w:t>Progress will be monitored by the Safeguarding Committee</w:t>
      </w:r>
    </w:p>
    <w:p w:rsidRPr="00083C53" w:rsidR="00175AE6" w:rsidP="00845474" w:rsidRDefault="00175AE6" w14:paraId="24970AF2" w14:textId="77777777">
      <w:pPr>
        <w:pStyle w:val="ListParagraph"/>
        <w:ind w:left="1134" w:hanging="567"/>
        <w:rPr>
          <w:color w:val="auto"/>
          <w:sz w:val="22"/>
        </w:rPr>
      </w:pPr>
    </w:p>
    <w:p w:rsidRPr="00083C53" w:rsidR="00175AE6" w:rsidP="00845474" w:rsidRDefault="00175AE6" w14:paraId="518BA7ED" w14:textId="72D7A1DB">
      <w:pPr>
        <w:pStyle w:val="ListParagraph"/>
        <w:numPr>
          <w:ilvl w:val="0"/>
          <w:numId w:val="3"/>
        </w:numPr>
        <w:ind w:left="1134" w:hanging="567"/>
        <w:rPr>
          <w:color w:val="auto"/>
          <w:sz w:val="22"/>
        </w:rPr>
      </w:pPr>
      <w:r w:rsidRPr="00083C53">
        <w:rPr>
          <w:rFonts w:eastAsiaTheme="minorEastAsia"/>
          <w:color w:val="auto"/>
          <w:sz w:val="22"/>
        </w:rPr>
        <w:t xml:space="preserve">Finally, this report </w:t>
      </w:r>
      <w:r w:rsidR="008F4657">
        <w:rPr>
          <w:rFonts w:eastAsiaTheme="minorEastAsia"/>
          <w:color w:val="auto"/>
          <w:sz w:val="22"/>
        </w:rPr>
        <w:t xml:space="preserve">seeks </w:t>
      </w:r>
      <w:r w:rsidRPr="00083C53">
        <w:rPr>
          <w:rFonts w:eastAsiaTheme="minorEastAsia"/>
          <w:color w:val="auto"/>
          <w:sz w:val="22"/>
        </w:rPr>
        <w:t xml:space="preserve">to acknowledge and provide focus to the numerous excellent   safeguarding achievements which have occurred </w:t>
      </w:r>
      <w:r w:rsidR="008F4657">
        <w:rPr>
          <w:rFonts w:eastAsiaTheme="minorEastAsia"/>
          <w:color w:val="auto"/>
          <w:sz w:val="22"/>
        </w:rPr>
        <w:t>during 2024/25</w:t>
      </w:r>
      <w:r w:rsidRPr="00083C53">
        <w:rPr>
          <w:rFonts w:eastAsiaTheme="minorEastAsia"/>
          <w:color w:val="auto"/>
          <w:sz w:val="22"/>
        </w:rPr>
        <w:t xml:space="preserve"> There are a great number of committed staff who work impeccably to support and serve our service users and their </w:t>
      </w:r>
      <w:r w:rsidRPr="00083C53" w:rsidR="4AD49BF1">
        <w:rPr>
          <w:rFonts w:eastAsiaTheme="minorEastAsia"/>
          <w:color w:val="auto"/>
          <w:sz w:val="22"/>
        </w:rPr>
        <w:t>families,</w:t>
      </w:r>
      <w:r w:rsidRPr="00083C53">
        <w:rPr>
          <w:rFonts w:eastAsiaTheme="minorEastAsia"/>
          <w:color w:val="auto"/>
          <w:sz w:val="22"/>
        </w:rPr>
        <w:t xml:space="preserve"> and the Safeguarding team would like to acknowledge them all.</w:t>
      </w:r>
    </w:p>
    <w:p w:rsidRPr="00083C53" w:rsidR="00175AE6" w:rsidP="00840F12" w:rsidRDefault="00175AE6" w14:paraId="75B609E8" w14:textId="77777777">
      <w:pPr>
        <w:pStyle w:val="BodyText"/>
        <w:numPr>
          <w:ilvl w:val="0"/>
          <w:numId w:val="0"/>
        </w:numPr>
        <w:rPr>
          <w:rFonts w:cs="Arial"/>
          <w:lang w:val="en-GB"/>
        </w:rPr>
      </w:pPr>
    </w:p>
    <w:p w:rsidRPr="00083C53" w:rsidR="00053E4A" w:rsidP="00053E4A" w:rsidRDefault="00053E4A" w14:paraId="51FB8452" w14:textId="77777777">
      <w:pPr>
        <w:pStyle w:val="ListParagraph"/>
        <w:ind w:left="360" w:firstLine="0"/>
        <w:rPr>
          <w:sz w:val="22"/>
        </w:rPr>
      </w:pPr>
    </w:p>
    <w:p w:rsidRPr="00083C53" w:rsidR="00FC74BB" w:rsidP="00B80E06" w:rsidRDefault="00340E70" w14:paraId="3910312E" w14:textId="77777777">
      <w:pPr>
        <w:pStyle w:val="ListParagraph"/>
        <w:numPr>
          <w:ilvl w:val="0"/>
          <w:numId w:val="27"/>
        </w:numPr>
        <w:spacing w:before="100" w:beforeAutospacing="1" w:after="100" w:afterAutospacing="1" w:line="240" w:lineRule="auto"/>
        <w:ind w:left="567" w:right="0" w:hanging="567"/>
        <w:rPr>
          <w:b/>
          <w:sz w:val="22"/>
        </w:rPr>
      </w:pPr>
      <w:r w:rsidRPr="00083C53">
        <w:rPr>
          <w:b/>
          <w:sz w:val="22"/>
        </w:rPr>
        <w:t xml:space="preserve">The Board/Committee is asked to: </w:t>
      </w:r>
    </w:p>
    <w:p w:rsidRPr="00083C53" w:rsidR="00FC74BB" w:rsidP="00F55272" w:rsidRDefault="00340E70" w14:paraId="3D3B810F" w14:textId="77777777">
      <w:pPr>
        <w:spacing w:after="0" w:line="259" w:lineRule="auto"/>
        <w:ind w:left="567" w:right="0" w:firstLine="0"/>
        <w:jc w:val="left"/>
        <w:rPr>
          <w:sz w:val="22"/>
        </w:rPr>
      </w:pPr>
      <w:r w:rsidRPr="00083C53">
        <w:rPr>
          <w:sz w:val="22"/>
        </w:rPr>
        <w:t xml:space="preserve"> </w:t>
      </w:r>
    </w:p>
    <w:p w:rsidRPr="00083C53" w:rsidR="00FC74BB" w:rsidP="00B80E06" w:rsidRDefault="00340E70" w14:paraId="2ED30400" w14:textId="77777777">
      <w:pPr>
        <w:pStyle w:val="BodyText"/>
        <w:numPr>
          <w:ilvl w:val="0"/>
          <w:numId w:val="26"/>
        </w:numPr>
        <w:ind w:left="1134" w:hanging="567"/>
        <w:rPr>
          <w:rFonts w:cs="Arial"/>
          <w:lang w:val="en-GB"/>
        </w:rPr>
      </w:pPr>
      <w:r w:rsidRPr="00083C53">
        <w:rPr>
          <w:rFonts w:cs="Arial"/>
          <w:b/>
          <w:lang w:val="en-GB"/>
        </w:rPr>
        <w:t xml:space="preserve">RECEIVE </w:t>
      </w:r>
      <w:r w:rsidRPr="00083C53">
        <w:rPr>
          <w:rFonts w:cs="Arial"/>
          <w:lang w:val="en-GB"/>
        </w:rPr>
        <w:t xml:space="preserve">and </w:t>
      </w:r>
      <w:r w:rsidRPr="00083C53">
        <w:rPr>
          <w:rFonts w:cs="Arial"/>
          <w:b/>
          <w:lang w:val="en-GB"/>
        </w:rPr>
        <w:t>NOTE</w:t>
      </w:r>
      <w:r w:rsidRPr="00083C53">
        <w:rPr>
          <w:rFonts w:cs="Arial"/>
          <w:lang w:val="en-GB"/>
        </w:rPr>
        <w:t xml:space="preserve"> the report  </w:t>
      </w:r>
    </w:p>
    <w:p w:rsidRPr="00083C53" w:rsidR="00C25B18" w:rsidP="00B80E06" w:rsidRDefault="00340E70" w14:paraId="60D840F7" w14:textId="0A0112C4">
      <w:pPr>
        <w:pStyle w:val="BodyText"/>
        <w:numPr>
          <w:ilvl w:val="0"/>
          <w:numId w:val="26"/>
        </w:numPr>
        <w:ind w:left="1134" w:hanging="567"/>
        <w:rPr>
          <w:rFonts w:cs="Arial"/>
          <w:lang w:val="en-GB"/>
        </w:rPr>
      </w:pPr>
      <w:r w:rsidRPr="00083C53">
        <w:rPr>
          <w:rFonts w:cs="Arial"/>
          <w:b/>
          <w:lang w:val="en-GB"/>
        </w:rPr>
        <w:t xml:space="preserve">NOTE </w:t>
      </w:r>
      <w:r w:rsidRPr="00083C53">
        <w:rPr>
          <w:rFonts w:cs="Arial"/>
          <w:lang w:val="en-GB"/>
        </w:rPr>
        <w:t xml:space="preserve">the assurance provided and </w:t>
      </w:r>
      <w:r w:rsidRPr="00083C53">
        <w:rPr>
          <w:rFonts w:cs="Arial"/>
          <w:b/>
          <w:lang w:val="en-GB"/>
        </w:rPr>
        <w:t xml:space="preserve">CONSIDER </w:t>
      </w:r>
      <w:r w:rsidRPr="00083C53">
        <w:rPr>
          <w:rFonts w:cs="Arial"/>
          <w:lang w:val="en-GB"/>
        </w:rPr>
        <w:t xml:space="preserve">if further sources of assurance are required </w:t>
      </w:r>
    </w:p>
    <w:p w:rsidRPr="00083C53" w:rsidR="00C25B18" w:rsidP="00845474" w:rsidRDefault="00C25B18" w14:paraId="2E9B052C" w14:textId="77777777">
      <w:pPr>
        <w:spacing w:after="160" w:line="259" w:lineRule="auto"/>
        <w:ind w:left="1134" w:right="0" w:hanging="567"/>
        <w:jc w:val="left"/>
        <w:rPr>
          <w:sz w:val="22"/>
        </w:rPr>
      </w:pPr>
    </w:p>
    <w:p w:rsidR="00C25B18" w:rsidP="001A326A" w:rsidRDefault="00C25B18" w14:paraId="163CEEED" w14:textId="77777777">
      <w:pPr>
        <w:spacing w:after="160" w:line="259" w:lineRule="auto"/>
        <w:ind w:left="-426" w:right="0" w:firstLine="0"/>
        <w:jc w:val="left"/>
      </w:pPr>
      <w:r>
        <w:br w:type="page"/>
      </w:r>
    </w:p>
    <w:p w:rsidR="00DA1086" w:rsidRDefault="00DA1086" w14:paraId="3A077EA8" w14:textId="2F7786C9">
      <w:pPr>
        <w:spacing w:after="160" w:line="259" w:lineRule="auto"/>
        <w:ind w:left="0" w:right="0" w:firstLine="0"/>
        <w:jc w:val="left"/>
        <w:sectPr w:rsidR="00DA1086" w:rsidSect="001A326A">
          <w:pgSz w:w="11906" w:h="16838" w:orient="portrait"/>
          <w:pgMar w:top="1440" w:right="1440" w:bottom="1478" w:left="874" w:header="720" w:footer="720" w:gutter="0"/>
          <w:cols w:space="720"/>
          <w:docGrid w:linePitch="326"/>
        </w:sectPr>
      </w:pPr>
    </w:p>
    <w:tbl>
      <w:tblPr>
        <w:tblStyle w:val="TableGrid5"/>
        <w:tblW w:w="15814" w:type="dxa"/>
        <w:tblInd w:w="-998" w:type="dxa"/>
        <w:tblLook w:val="04A0" w:firstRow="1" w:lastRow="0" w:firstColumn="1" w:lastColumn="0" w:noHBand="0" w:noVBand="1"/>
      </w:tblPr>
      <w:tblGrid>
        <w:gridCol w:w="1383"/>
        <w:gridCol w:w="8"/>
        <w:gridCol w:w="1622"/>
        <w:gridCol w:w="3917"/>
        <w:gridCol w:w="20"/>
        <w:gridCol w:w="2428"/>
        <w:gridCol w:w="3252"/>
        <w:gridCol w:w="157"/>
        <w:gridCol w:w="2176"/>
        <w:gridCol w:w="936"/>
      </w:tblGrid>
      <w:tr w:rsidRPr="00083C53" w:rsidR="00A21849" w:rsidTr="00A42FAD" w14:paraId="68F35804" w14:textId="77777777">
        <w:tc>
          <w:tcPr>
            <w:tcW w:w="1284" w:type="dxa"/>
            <w:gridSpan w:val="2"/>
            <w:shd w:val="clear" w:color="auto" w:fill="F2F2F2" w:themeFill="background1" w:themeFillShade="F2"/>
          </w:tcPr>
          <w:p w:rsidRPr="00083C53" w:rsidR="00A21849" w:rsidP="00A21849" w:rsidRDefault="004A44CC" w14:paraId="4708A1C9" w14:textId="576A48AB">
            <w:pPr>
              <w:spacing w:after="0" w:line="240" w:lineRule="auto"/>
              <w:ind w:left="0" w:right="0" w:firstLine="0"/>
              <w:jc w:val="left"/>
              <w:rPr>
                <w:rFonts w:eastAsiaTheme="minorHAnsi"/>
                <w:b/>
                <w:color w:val="auto"/>
                <w:sz w:val="22"/>
              </w:rPr>
            </w:pPr>
            <w:r w:rsidRPr="00083C53">
              <w:rPr>
                <w:sz w:val="22"/>
              </w:rPr>
              <w:br w:type="page"/>
            </w:r>
            <w:r w:rsidRPr="00083C53" w:rsidR="00A21849">
              <w:rPr>
                <w:sz w:val="22"/>
              </w:rPr>
              <w:br w:type="page"/>
            </w:r>
            <w:r w:rsidRPr="00083C53" w:rsidR="00A21849">
              <w:rPr>
                <w:rFonts w:eastAsiaTheme="minorHAnsi"/>
                <w:b/>
                <w:color w:val="auto"/>
                <w:sz w:val="22"/>
              </w:rPr>
              <w:t>ELFT Strategic Objective</w:t>
            </w:r>
          </w:p>
        </w:tc>
        <w:tc>
          <w:tcPr>
            <w:tcW w:w="1568" w:type="dxa"/>
            <w:shd w:val="clear" w:color="auto" w:fill="F2F2F2" w:themeFill="background1" w:themeFillShade="F2"/>
          </w:tcPr>
          <w:p w:rsidRPr="00083C53" w:rsidR="00A21849" w:rsidP="00A21849" w:rsidRDefault="00A21849" w14:paraId="31337EED"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No. Safeguarding Objective</w:t>
            </w:r>
          </w:p>
        </w:tc>
        <w:tc>
          <w:tcPr>
            <w:tcW w:w="4310" w:type="dxa"/>
            <w:gridSpan w:val="2"/>
            <w:shd w:val="clear" w:color="auto" w:fill="F2F2F2" w:themeFill="background1" w:themeFillShade="F2"/>
          </w:tcPr>
          <w:p w:rsidRPr="00083C53" w:rsidR="00A21849" w:rsidP="00A21849" w:rsidRDefault="00A21849" w14:paraId="1F991AF3" w14:textId="77777777">
            <w:pPr>
              <w:spacing w:after="0" w:line="240" w:lineRule="auto"/>
              <w:ind w:left="0" w:right="0" w:firstLine="0"/>
              <w:jc w:val="left"/>
              <w:rPr>
                <w:rFonts w:eastAsiaTheme="minorHAnsi"/>
                <w:color w:val="auto"/>
                <w:sz w:val="22"/>
              </w:rPr>
            </w:pPr>
            <w:r w:rsidRPr="00083C53">
              <w:rPr>
                <w:rFonts w:eastAsiaTheme="minorHAnsi"/>
                <w:b/>
                <w:color w:val="auto"/>
                <w:sz w:val="22"/>
              </w:rPr>
              <w:t>Action Required</w:t>
            </w:r>
          </w:p>
        </w:tc>
        <w:tc>
          <w:tcPr>
            <w:tcW w:w="2407" w:type="dxa"/>
            <w:shd w:val="clear" w:color="auto" w:fill="F2F2F2" w:themeFill="background1" w:themeFillShade="F2"/>
          </w:tcPr>
          <w:p w:rsidRPr="00083C53" w:rsidR="00A21849" w:rsidP="00A21849" w:rsidRDefault="00A21849" w14:paraId="4FAB8F61" w14:textId="77777777">
            <w:pPr>
              <w:spacing w:after="0" w:line="240" w:lineRule="auto"/>
              <w:ind w:left="0" w:right="0" w:firstLine="0"/>
              <w:jc w:val="left"/>
              <w:rPr>
                <w:rFonts w:eastAsiaTheme="minorHAnsi"/>
                <w:color w:val="auto"/>
                <w:sz w:val="22"/>
              </w:rPr>
            </w:pPr>
            <w:r w:rsidRPr="00083C53">
              <w:rPr>
                <w:rFonts w:eastAsiaTheme="minorHAnsi"/>
                <w:b/>
                <w:color w:val="auto"/>
                <w:sz w:val="22"/>
              </w:rPr>
              <w:t>Lead</w:t>
            </w:r>
          </w:p>
        </w:tc>
        <w:tc>
          <w:tcPr>
            <w:tcW w:w="3106" w:type="dxa"/>
            <w:shd w:val="clear" w:color="auto" w:fill="F2F2F2" w:themeFill="background1" w:themeFillShade="F2"/>
          </w:tcPr>
          <w:p w:rsidRPr="00083C53" w:rsidR="00A21849" w:rsidP="00A21849" w:rsidRDefault="00A21849" w14:paraId="03A85170"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Evidence</w:t>
            </w:r>
          </w:p>
          <w:p w:rsidRPr="00083C53" w:rsidR="00A21849" w:rsidP="00A21849" w:rsidRDefault="00A21849" w14:paraId="6B48D6F4" w14:textId="77777777">
            <w:pPr>
              <w:spacing w:after="0" w:line="240" w:lineRule="auto"/>
              <w:ind w:left="0" w:right="0" w:firstLine="0"/>
              <w:jc w:val="left"/>
              <w:rPr>
                <w:rFonts w:eastAsiaTheme="minorHAnsi"/>
                <w:color w:val="auto"/>
                <w:sz w:val="22"/>
              </w:rPr>
            </w:pPr>
            <w:r w:rsidRPr="00083C53">
              <w:rPr>
                <w:rFonts w:eastAsiaTheme="minorHAnsi"/>
                <w:b/>
                <w:color w:val="auto"/>
                <w:sz w:val="22"/>
              </w:rPr>
              <w:t>Measures</w:t>
            </w:r>
          </w:p>
        </w:tc>
        <w:tc>
          <w:tcPr>
            <w:tcW w:w="2203" w:type="dxa"/>
            <w:gridSpan w:val="2"/>
            <w:shd w:val="clear" w:color="auto" w:fill="F2F2F2" w:themeFill="background1" w:themeFillShade="F2"/>
          </w:tcPr>
          <w:p w:rsidRPr="00083C53" w:rsidR="00A21849" w:rsidP="00A21849" w:rsidRDefault="00A21849" w14:paraId="646B415B" w14:textId="77777777">
            <w:pPr>
              <w:spacing w:after="0" w:line="240" w:lineRule="auto"/>
              <w:ind w:left="0" w:right="0" w:firstLine="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01B71D80"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 xml:space="preserve">RAG </w:t>
            </w:r>
          </w:p>
        </w:tc>
      </w:tr>
      <w:tr w:rsidRPr="00083C53" w:rsidR="007F0D4E" w:rsidTr="00A42FAD" w14:paraId="60C6808B" w14:textId="77777777">
        <w:trPr>
          <w:trHeight w:val="3914"/>
        </w:trPr>
        <w:tc>
          <w:tcPr>
            <w:tcW w:w="1284" w:type="dxa"/>
            <w:gridSpan w:val="2"/>
            <w:vMerge w:val="restart"/>
          </w:tcPr>
          <w:p w:rsidRPr="00083C53" w:rsidR="00A21849" w:rsidP="00A21849" w:rsidRDefault="00A21849" w14:paraId="5A848B36" w14:textId="77777777">
            <w:pPr>
              <w:spacing w:after="0" w:line="240" w:lineRule="auto"/>
              <w:ind w:left="0" w:right="0" w:firstLine="0"/>
              <w:jc w:val="left"/>
              <w:rPr>
                <w:rFonts w:eastAsiaTheme="minorHAnsi"/>
                <w:color w:val="auto"/>
                <w:sz w:val="22"/>
              </w:rPr>
            </w:pPr>
            <w:r w:rsidRPr="00083C53">
              <w:rPr>
                <w:rFonts w:eastAsiaTheme="minorHAnsi"/>
                <w:b/>
                <w:color w:val="auto"/>
                <w:sz w:val="22"/>
              </w:rPr>
              <w:t>Improved Population Health Outcomes</w:t>
            </w:r>
          </w:p>
        </w:tc>
        <w:tc>
          <w:tcPr>
            <w:tcW w:w="1568" w:type="dxa"/>
            <w:vMerge w:val="restart"/>
          </w:tcPr>
          <w:p w:rsidRPr="00083C53" w:rsidR="00A21849" w:rsidP="00A21849" w:rsidRDefault="00A21849" w14:paraId="29DD8DD4"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1. Promote Preventative and Early Intervention Safeguarding Across ELFT</w:t>
            </w:r>
          </w:p>
          <w:p w:rsidRPr="00083C53" w:rsidR="00A21849" w:rsidP="00A21849" w:rsidRDefault="00A21849" w14:paraId="3396D77B"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The Corporate Safeguarding Team will lead on embedding a preventative safeguarding culture across the Trust by strengthening early intervention, equipping staff with the knowledge, skills and confidence to recognise and </w:t>
            </w:r>
            <w:r w:rsidRPr="00083C53">
              <w:rPr>
                <w:rFonts w:eastAsiaTheme="minorHAnsi"/>
                <w:color w:val="auto"/>
                <w:sz w:val="22"/>
              </w:rPr>
              <w:t>respond to safeguarding concerns affecting service users of all ages.</w:t>
            </w:r>
          </w:p>
          <w:p w:rsidRPr="00083C53" w:rsidR="00A21849" w:rsidP="00A21849" w:rsidRDefault="00A21849" w14:paraId="3CD55EE1" w14:textId="77777777">
            <w:pPr>
              <w:spacing w:after="0" w:line="240" w:lineRule="auto"/>
              <w:ind w:left="0" w:right="0" w:firstLine="0"/>
              <w:jc w:val="left"/>
              <w:rPr>
                <w:rFonts w:eastAsiaTheme="minorHAnsi"/>
                <w:color w:val="auto"/>
                <w:sz w:val="22"/>
              </w:rPr>
            </w:pPr>
          </w:p>
        </w:tc>
        <w:tc>
          <w:tcPr>
            <w:tcW w:w="4310" w:type="dxa"/>
            <w:gridSpan w:val="2"/>
            <w:vMerge w:val="restart"/>
          </w:tcPr>
          <w:tbl>
            <w:tblPr>
              <w:tblW w:w="0" w:type="auto"/>
              <w:tblCellSpacing w:w="15" w:type="dxa"/>
              <w:tblLook w:val="04A0" w:firstRow="1" w:lastRow="0" w:firstColumn="1" w:lastColumn="0" w:noHBand="0" w:noVBand="1"/>
            </w:tblPr>
            <w:tblGrid>
              <w:gridCol w:w="3721"/>
            </w:tblGrid>
            <w:tr w:rsidRPr="00083C53" w:rsidR="00A21849" w:rsidTr="000654B1" w14:paraId="064F4BDD" w14:textId="77777777">
              <w:trPr>
                <w:tblCellSpacing w:w="15" w:type="dxa"/>
              </w:trPr>
              <w:tc>
                <w:tcPr>
                  <w:tcW w:w="0" w:type="auto"/>
                  <w:tcMar>
                    <w:top w:w="15" w:type="dxa"/>
                    <w:left w:w="15" w:type="dxa"/>
                    <w:bottom w:w="15" w:type="dxa"/>
                    <w:right w:w="15" w:type="dxa"/>
                  </w:tcMar>
                  <w:vAlign w:val="center"/>
                  <w:hideMark/>
                </w:tcPr>
                <w:p w:rsidRPr="00083C53" w:rsidR="00A21849" w:rsidP="00B80E06" w:rsidRDefault="00A21849" w14:paraId="60A5A55E" w14:textId="77777777">
                  <w:pPr>
                    <w:numPr>
                      <w:ilvl w:val="0"/>
                      <w:numId w:val="36"/>
                    </w:numPr>
                    <w:spacing w:before="100" w:beforeAutospacing="1" w:after="100" w:afterAutospacing="1" w:line="240" w:lineRule="auto"/>
                    <w:ind w:left="274" w:right="0" w:hanging="274"/>
                    <w:jc w:val="left"/>
                    <w:rPr>
                      <w:rFonts w:eastAsiaTheme="minorHAnsi"/>
                      <w:color w:val="auto"/>
                      <w:sz w:val="22"/>
                    </w:rPr>
                  </w:pPr>
                  <w:r w:rsidRPr="00083C53">
                    <w:rPr>
                      <w:rFonts w:eastAsiaTheme="minorHAnsi"/>
                      <w:color w:val="auto"/>
                      <w:sz w:val="22"/>
                    </w:rPr>
                    <w:t xml:space="preserve">Deliver level 3 Safeguarding training   </w:t>
                  </w:r>
                </w:p>
                <w:p w:rsidRPr="00083C53" w:rsidR="00A21849" w:rsidP="00A21849" w:rsidRDefault="00A21849" w14:paraId="4DC5F9DD" w14:textId="77777777">
                  <w:pPr>
                    <w:spacing w:before="100" w:beforeAutospacing="1" w:after="100" w:afterAutospacing="1" w:line="240" w:lineRule="auto"/>
                    <w:ind w:left="720" w:right="0" w:firstLine="0"/>
                    <w:jc w:val="left"/>
                    <w:rPr>
                      <w:rFonts w:eastAsiaTheme="minorHAnsi"/>
                      <w:color w:val="auto"/>
                      <w:sz w:val="22"/>
                    </w:rPr>
                  </w:pPr>
                </w:p>
                <w:p w:rsidRPr="00083C53" w:rsidR="00A21849" w:rsidP="00B80E06" w:rsidRDefault="00A21849" w14:paraId="3F0F70A5" w14:textId="77777777">
                  <w:pPr>
                    <w:numPr>
                      <w:ilvl w:val="0"/>
                      <w:numId w:val="36"/>
                    </w:numPr>
                    <w:spacing w:before="100" w:beforeAutospacing="1" w:after="100" w:afterAutospacing="1" w:line="240" w:lineRule="auto"/>
                    <w:ind w:left="274" w:right="0" w:hanging="274"/>
                    <w:jc w:val="left"/>
                    <w:rPr>
                      <w:rFonts w:eastAsiaTheme="minorHAnsi"/>
                      <w:color w:val="auto"/>
                      <w:sz w:val="22"/>
                    </w:rPr>
                  </w:pPr>
                  <w:r w:rsidRPr="00083C53">
                    <w:rPr>
                      <w:rFonts w:eastAsiaTheme="minorHAnsi"/>
                      <w:color w:val="auto"/>
                      <w:sz w:val="22"/>
                    </w:rPr>
                    <w:t>Deliver targeted training on early safeguarding indicators, including Routine Enquiry into Domestic Abuse (REDA)</w:t>
                  </w:r>
                </w:p>
                <w:p w:rsidRPr="00083C53" w:rsidR="00A21849" w:rsidP="00A21849" w:rsidRDefault="00A21849" w14:paraId="4E615038"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294DC43C" w14:textId="77777777">
              <w:trPr>
                <w:tblCellSpacing w:w="15" w:type="dxa"/>
              </w:trPr>
              <w:tc>
                <w:tcPr>
                  <w:tcW w:w="0" w:type="auto"/>
                  <w:tcMar>
                    <w:top w:w="15" w:type="dxa"/>
                    <w:left w:w="15" w:type="dxa"/>
                    <w:bottom w:w="15" w:type="dxa"/>
                    <w:right w:w="15" w:type="dxa"/>
                  </w:tcMar>
                  <w:vAlign w:val="center"/>
                  <w:hideMark/>
                </w:tcPr>
                <w:p w:rsidRPr="00083C53" w:rsidR="00A21849" w:rsidP="00B80E06" w:rsidRDefault="00A21849" w14:paraId="2B1E16C2" w14:textId="77777777">
                  <w:pPr>
                    <w:numPr>
                      <w:ilvl w:val="0"/>
                      <w:numId w:val="3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Provide quarterly safeguarding supervision across services with a focus on prevention</w:t>
                  </w:r>
                </w:p>
                <w:p w:rsidRPr="00083C53" w:rsidR="00A21849" w:rsidP="00A21849" w:rsidRDefault="00A21849" w14:paraId="3C5BD02B"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63FF960C" w14:textId="77777777">
              <w:trPr>
                <w:tblCellSpacing w:w="15" w:type="dxa"/>
              </w:trPr>
              <w:tc>
                <w:tcPr>
                  <w:tcW w:w="0" w:type="auto"/>
                  <w:tcMar>
                    <w:top w:w="15" w:type="dxa"/>
                    <w:left w:w="15" w:type="dxa"/>
                    <w:bottom w:w="15" w:type="dxa"/>
                    <w:right w:w="15" w:type="dxa"/>
                  </w:tcMar>
                  <w:vAlign w:val="center"/>
                  <w:hideMark/>
                </w:tcPr>
                <w:p w:rsidRPr="00083C53" w:rsidR="00A21849" w:rsidP="00B80E06" w:rsidRDefault="00A21849" w14:paraId="276DF7A2" w14:textId="77777777">
                  <w:pPr>
                    <w:numPr>
                      <w:ilvl w:val="0"/>
                      <w:numId w:val="3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Monitor and report local safeguarding trends through </w:t>
                  </w:r>
                  <w:proofErr w:type="spellStart"/>
                  <w:r w:rsidRPr="00083C53">
                    <w:rPr>
                      <w:rFonts w:eastAsiaTheme="minorHAnsi"/>
                      <w:color w:val="auto"/>
                      <w:sz w:val="22"/>
                    </w:rPr>
                    <w:t>InPhase</w:t>
                  </w:r>
                  <w:proofErr w:type="spellEnd"/>
                </w:p>
                <w:p w:rsidRPr="00083C53" w:rsidR="00A21849" w:rsidP="00A21849" w:rsidRDefault="00A21849" w14:paraId="40C1C06B"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11AFBE00" w14:textId="77777777">
              <w:trPr>
                <w:tblCellSpacing w:w="15" w:type="dxa"/>
              </w:trPr>
              <w:tc>
                <w:tcPr>
                  <w:tcW w:w="0" w:type="auto"/>
                  <w:tcMar>
                    <w:top w:w="15" w:type="dxa"/>
                    <w:left w:w="15" w:type="dxa"/>
                    <w:bottom w:w="15" w:type="dxa"/>
                    <w:right w:w="15" w:type="dxa"/>
                  </w:tcMar>
                  <w:vAlign w:val="center"/>
                  <w:hideMark/>
                </w:tcPr>
                <w:p w:rsidRPr="00083C53" w:rsidR="00A21849" w:rsidP="00B80E06" w:rsidRDefault="00A21849" w14:paraId="5F2C27A5" w14:textId="77777777">
                  <w:pPr>
                    <w:numPr>
                      <w:ilvl w:val="0"/>
                      <w:numId w:val="3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Ensure updated policies and protocols reflect preventative safeguarding best practice</w:t>
                  </w:r>
                </w:p>
                <w:p w:rsidRPr="00083C53" w:rsidR="00A21849" w:rsidP="00A21849" w:rsidRDefault="00A21849" w14:paraId="3BF9C440" w14:textId="77777777">
                  <w:pPr>
                    <w:spacing w:before="100" w:beforeAutospacing="1" w:after="100" w:afterAutospacing="1" w:line="240" w:lineRule="auto"/>
                    <w:ind w:left="720" w:right="0" w:firstLine="0"/>
                    <w:jc w:val="left"/>
                    <w:rPr>
                      <w:rFonts w:eastAsiaTheme="minorHAnsi"/>
                      <w:color w:val="auto"/>
                      <w:sz w:val="22"/>
                    </w:rPr>
                  </w:pPr>
                </w:p>
                <w:p w:rsidRPr="00083C53" w:rsidR="00A21849" w:rsidP="00B80E06" w:rsidRDefault="00A21849" w14:paraId="77EAA6E2" w14:textId="77777777">
                  <w:pPr>
                    <w:numPr>
                      <w:ilvl w:val="0"/>
                      <w:numId w:val="3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Undertake monthly audits to identify learnings and good practice</w:t>
                  </w:r>
                </w:p>
                <w:p w:rsidRPr="00083C53" w:rsidR="00A21849" w:rsidP="00A21849" w:rsidRDefault="00A21849" w14:paraId="001131ED" w14:textId="77777777">
                  <w:pPr>
                    <w:spacing w:after="160" w:line="259" w:lineRule="auto"/>
                    <w:ind w:left="720" w:right="0" w:firstLine="0"/>
                    <w:contextualSpacing/>
                    <w:jc w:val="left"/>
                    <w:rPr>
                      <w:rFonts w:eastAsiaTheme="minorHAnsi"/>
                      <w:color w:val="auto"/>
                      <w:sz w:val="22"/>
                      <w:lang w:eastAsia="en-US"/>
                    </w:rPr>
                  </w:pPr>
                </w:p>
                <w:p w:rsidRPr="00083C53" w:rsidR="00A21849" w:rsidP="00B80E06" w:rsidRDefault="00A21849" w14:paraId="2EB51476" w14:textId="77777777">
                  <w:pPr>
                    <w:numPr>
                      <w:ilvl w:val="0"/>
                      <w:numId w:val="3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Cascade learnings from safeguarding reviews via Safeguarding Newsletters and “Let’s Change Practice” messages</w:t>
                  </w:r>
                </w:p>
                <w:p w:rsidRPr="00083C53" w:rsidR="00A21849" w:rsidP="00A21849" w:rsidRDefault="00A21849" w14:paraId="415269C0" w14:textId="77777777">
                  <w:pPr>
                    <w:spacing w:before="100" w:beforeAutospacing="1" w:after="100" w:afterAutospacing="1" w:line="240" w:lineRule="auto"/>
                    <w:ind w:left="360" w:right="0" w:firstLine="0"/>
                    <w:jc w:val="left"/>
                    <w:rPr>
                      <w:rFonts w:eastAsiaTheme="minorHAnsi"/>
                      <w:color w:val="auto"/>
                      <w:sz w:val="22"/>
                    </w:rPr>
                  </w:pPr>
                </w:p>
              </w:tc>
            </w:tr>
          </w:tbl>
          <w:p w:rsidRPr="00083C53" w:rsidR="00A21849" w:rsidP="00A21849" w:rsidRDefault="00A21849" w14:paraId="1E18B1E9" w14:textId="77777777">
            <w:pPr>
              <w:spacing w:after="0" w:line="240" w:lineRule="auto"/>
              <w:ind w:left="0" w:right="0" w:firstLine="0"/>
              <w:jc w:val="left"/>
              <w:rPr>
                <w:rFonts w:eastAsiaTheme="minorHAnsi"/>
                <w:color w:val="auto"/>
                <w:sz w:val="22"/>
              </w:rPr>
            </w:pPr>
          </w:p>
        </w:tc>
        <w:tc>
          <w:tcPr>
            <w:tcW w:w="2407" w:type="dxa"/>
            <w:vMerge w:val="restart"/>
          </w:tcPr>
          <w:p w:rsidRPr="00083C53" w:rsidR="00A21849" w:rsidP="00B80E06" w:rsidRDefault="00A21849" w14:paraId="346DFC0E" w14:textId="77777777">
            <w:pPr>
              <w:numPr>
                <w:ilvl w:val="0"/>
                <w:numId w:val="9"/>
              </w:numPr>
              <w:spacing w:after="0" w:line="240" w:lineRule="auto"/>
              <w:ind w:left="178" w:right="0" w:hanging="141"/>
              <w:contextualSpacing/>
              <w:jc w:val="left"/>
              <w:rPr>
                <w:rFonts w:eastAsiaTheme="minorHAnsi"/>
                <w:color w:val="auto"/>
                <w:sz w:val="22"/>
              </w:rPr>
            </w:pPr>
            <w:r w:rsidRPr="00083C53">
              <w:rPr>
                <w:rFonts w:eastAsiaTheme="minorHAnsi"/>
                <w:color w:val="auto"/>
                <w:sz w:val="22"/>
              </w:rPr>
              <w:t>The Named Professionals and Lead Professionals are responsible for the operational delivery of the actions in the work plan.</w:t>
            </w:r>
          </w:p>
          <w:p w:rsidRPr="00083C53" w:rsidR="00A21849" w:rsidP="00A21849" w:rsidRDefault="00A21849" w14:paraId="7A6B78B4"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8028682" w14:textId="77777777">
            <w:pPr>
              <w:numPr>
                <w:ilvl w:val="0"/>
                <w:numId w:val="9"/>
              </w:numPr>
              <w:spacing w:after="0" w:line="240" w:lineRule="auto"/>
              <w:ind w:left="178" w:right="0" w:hanging="178"/>
              <w:contextualSpacing/>
              <w:jc w:val="left"/>
              <w:rPr>
                <w:rFonts w:eastAsiaTheme="minorHAnsi"/>
                <w:color w:val="auto"/>
                <w:sz w:val="22"/>
              </w:rPr>
            </w:pPr>
            <w:r w:rsidRPr="00083C53">
              <w:rPr>
                <w:rFonts w:eastAsiaTheme="minorHAnsi"/>
                <w:color w:val="auto"/>
                <w:sz w:val="22"/>
              </w:rPr>
              <w:t>The Associate Director is primarily accountable for delivering the safeguarding strategy and coordinating the implementation of the work plan.</w:t>
            </w:r>
          </w:p>
          <w:p w:rsidRPr="00083C53" w:rsidR="00A21849" w:rsidP="00A21849" w:rsidRDefault="00A21849" w14:paraId="63EED91B" w14:textId="77777777">
            <w:pPr>
              <w:spacing w:after="0" w:line="240" w:lineRule="auto"/>
              <w:ind w:left="178" w:right="0" w:hanging="178"/>
              <w:contextualSpacing/>
              <w:jc w:val="left"/>
              <w:rPr>
                <w:rFonts w:eastAsiaTheme="minorHAnsi"/>
                <w:color w:val="auto"/>
                <w:sz w:val="22"/>
              </w:rPr>
            </w:pPr>
          </w:p>
          <w:p w:rsidRPr="00083C53" w:rsidR="00A21849" w:rsidP="00A21849" w:rsidRDefault="00A21849" w14:paraId="5D0BBD45" w14:textId="77777777">
            <w:pPr>
              <w:spacing w:after="0" w:line="240" w:lineRule="auto"/>
              <w:ind w:left="178" w:right="0" w:hanging="178"/>
              <w:contextualSpacing/>
              <w:jc w:val="left"/>
              <w:rPr>
                <w:rFonts w:eastAsiaTheme="minorHAnsi"/>
                <w:color w:val="auto"/>
                <w:sz w:val="22"/>
              </w:rPr>
            </w:pPr>
          </w:p>
          <w:p w:rsidRPr="00083C53" w:rsidR="00A21849" w:rsidP="00B80E06" w:rsidRDefault="00A21849" w14:paraId="2668DF74" w14:textId="77777777">
            <w:pPr>
              <w:numPr>
                <w:ilvl w:val="0"/>
                <w:numId w:val="9"/>
              </w:numPr>
              <w:spacing w:after="0" w:line="240" w:lineRule="auto"/>
              <w:ind w:left="178" w:right="0" w:hanging="178"/>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p w:rsidRPr="00083C53" w:rsidR="00A21849" w:rsidP="00A21849" w:rsidRDefault="00A21849" w14:paraId="20512163" w14:textId="77777777">
            <w:pPr>
              <w:spacing w:after="0" w:line="240" w:lineRule="auto"/>
              <w:ind w:left="0" w:right="0" w:firstLine="0"/>
              <w:jc w:val="left"/>
              <w:rPr>
                <w:rFonts w:eastAsiaTheme="minorHAnsi"/>
                <w:color w:val="auto"/>
                <w:sz w:val="22"/>
              </w:rPr>
            </w:pPr>
          </w:p>
        </w:tc>
        <w:tc>
          <w:tcPr>
            <w:tcW w:w="3106" w:type="dxa"/>
            <w:vMerge w:val="restart"/>
          </w:tcPr>
          <w:tbl>
            <w:tblPr>
              <w:tblW w:w="0" w:type="auto"/>
              <w:tblCellSpacing w:w="15" w:type="dxa"/>
              <w:tblLook w:val="04A0" w:firstRow="1" w:lastRow="0" w:firstColumn="1" w:lastColumn="0" w:noHBand="0" w:noVBand="1"/>
            </w:tblPr>
            <w:tblGrid>
              <w:gridCol w:w="2277"/>
            </w:tblGrid>
            <w:tr w:rsidRPr="00083C53" w:rsidR="00A21849" w:rsidTr="000654B1" w14:paraId="5DB367F0"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637A87F0" w14:textId="56A9BACB">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Percentage of staff</w:t>
                  </w:r>
                  <w:r w:rsidRPr="00083C53" w:rsidR="009F3C45">
                    <w:rPr>
                      <w:rFonts w:eastAsiaTheme="minorHAnsi"/>
                      <w:color w:val="auto"/>
                      <w:sz w:val="22"/>
                    </w:rPr>
                    <w:t xml:space="preserve"> trained (target ≥9</w:t>
                  </w:r>
                  <w:r w:rsidRPr="00B66EB7" w:rsidR="009F3C45">
                    <w:rPr>
                      <w:rFonts w:eastAsiaTheme="minorHAnsi"/>
                      <w:color w:val="auto"/>
                      <w:sz w:val="22"/>
                    </w:rPr>
                    <w:t>0</w:t>
                  </w:r>
                  <w:r w:rsidRPr="00083C53">
                    <w:rPr>
                      <w:rFonts w:eastAsiaTheme="minorHAnsi"/>
                      <w:color w:val="auto"/>
                      <w:sz w:val="22"/>
                    </w:rPr>
                    <w:t xml:space="preserve">%) </w:t>
                  </w:r>
                </w:p>
                <w:p w:rsidRPr="00083C53" w:rsidR="00A21849" w:rsidP="00B80E06" w:rsidRDefault="00A21849" w14:paraId="6EBDEC22"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Pre/post training evaluation</w:t>
                  </w:r>
                </w:p>
                <w:p w:rsidRPr="00083C53" w:rsidR="00A21849" w:rsidP="00B80E06" w:rsidRDefault="00A21849" w14:paraId="0718CE6A"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Attendance records</w:t>
                  </w:r>
                </w:p>
              </w:tc>
            </w:tr>
            <w:tr w:rsidRPr="00083C53" w:rsidR="00A21849" w:rsidTr="000654B1" w14:paraId="07D46D83"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46A73B34"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Supervision logs</w:t>
                  </w:r>
                </w:p>
                <w:p w:rsidRPr="00083C53" w:rsidR="00A21849" w:rsidP="00B80E06" w:rsidRDefault="00A21849" w14:paraId="18970BA4"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Staff feedback surveys</w:t>
                  </w:r>
                </w:p>
                <w:p w:rsidRPr="00083C53" w:rsidR="00A21849" w:rsidP="00B80E06" w:rsidRDefault="00A21849" w14:paraId="75A64C92"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Audit of supervision compliance (≥85%)</w:t>
                  </w:r>
                </w:p>
              </w:tc>
            </w:tr>
            <w:tr w:rsidRPr="00083C53" w:rsidR="00A21849" w:rsidTr="000654B1" w14:paraId="0DA3AB63"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7B79E06D"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Quarterly reports- Examples of actions taken from trend analysis</w:t>
                  </w:r>
                </w:p>
              </w:tc>
            </w:tr>
            <w:tr w:rsidRPr="00083C53" w:rsidR="00A21849" w:rsidTr="000654B1" w14:paraId="29EF646C"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5AF2BD1F"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Log of policy reviews- Version-controlled documents- Staff awareness checks</w:t>
                  </w:r>
                </w:p>
                <w:p w:rsidRPr="00083C53" w:rsidR="00A21849" w:rsidP="00B80E06" w:rsidRDefault="00A21849" w14:paraId="2D4E2508" w14:textId="77777777">
                  <w:pPr>
                    <w:numPr>
                      <w:ilvl w:val="0"/>
                      <w:numId w:val="33"/>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Safeguarding Annual Report</w:t>
                  </w:r>
                </w:p>
              </w:tc>
            </w:tr>
          </w:tbl>
          <w:p w:rsidRPr="00083C53" w:rsidR="00A21849" w:rsidP="00A21849" w:rsidRDefault="00A21849" w14:paraId="5FEC45C5" w14:textId="77777777">
            <w:pPr>
              <w:spacing w:after="0" w:line="240" w:lineRule="auto"/>
              <w:ind w:left="0" w:right="0" w:firstLine="0"/>
              <w:jc w:val="left"/>
              <w:rPr>
                <w:rFonts w:eastAsiaTheme="minorHAnsi"/>
                <w:color w:val="auto"/>
                <w:sz w:val="22"/>
              </w:rPr>
            </w:pPr>
          </w:p>
        </w:tc>
        <w:tc>
          <w:tcPr>
            <w:tcW w:w="2203" w:type="dxa"/>
            <w:gridSpan w:val="2"/>
            <w:vMerge w:val="restart"/>
          </w:tcPr>
          <w:p w:rsidRPr="00083C53" w:rsidR="00A21849" w:rsidP="00A21849" w:rsidRDefault="00A21849" w14:paraId="063D7BCC" w14:textId="77777777">
            <w:pPr>
              <w:spacing w:after="0" w:line="240" w:lineRule="auto"/>
              <w:ind w:left="0" w:right="0" w:firstLine="0"/>
              <w:jc w:val="left"/>
              <w:rPr>
                <w:rFonts w:eastAsiaTheme="minorHAnsi"/>
                <w:color w:val="auto"/>
                <w:sz w:val="22"/>
              </w:rPr>
            </w:pPr>
            <w:r w:rsidRPr="00083C53">
              <w:rPr>
                <w:rFonts w:eastAsiaTheme="minorHAnsi"/>
                <w:color w:val="auto"/>
                <w:sz w:val="22"/>
              </w:rPr>
              <w:t>Quarterly performance report to safeguarding committee evidencing  the following areas of work :</w:t>
            </w:r>
          </w:p>
          <w:p w:rsidRPr="00083C53" w:rsidR="00A21849" w:rsidP="00A21849" w:rsidRDefault="00A21849" w14:paraId="7FC303CB" w14:textId="77777777">
            <w:pPr>
              <w:spacing w:after="0" w:line="240" w:lineRule="auto"/>
              <w:ind w:left="0" w:right="0" w:firstLine="0"/>
              <w:jc w:val="left"/>
              <w:rPr>
                <w:rFonts w:eastAsiaTheme="minorHAnsi"/>
                <w:color w:val="auto"/>
                <w:sz w:val="22"/>
              </w:rPr>
            </w:pPr>
          </w:p>
          <w:p w:rsidRPr="00083C53" w:rsidR="00A21849" w:rsidP="00B80E06" w:rsidRDefault="00A21849" w14:paraId="777575E8"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Training Compliance</w:t>
            </w:r>
          </w:p>
          <w:p w:rsidRPr="00083C53" w:rsidR="00A21849" w:rsidP="00A21849" w:rsidRDefault="00A21849" w14:paraId="70394C86" w14:textId="77777777">
            <w:pPr>
              <w:spacing w:after="0" w:line="240" w:lineRule="auto"/>
              <w:ind w:left="313" w:right="0" w:hanging="283"/>
              <w:jc w:val="left"/>
              <w:rPr>
                <w:rFonts w:eastAsiaTheme="minorHAnsi"/>
                <w:color w:val="auto"/>
                <w:sz w:val="22"/>
              </w:rPr>
            </w:pPr>
          </w:p>
          <w:p w:rsidRPr="00083C53" w:rsidR="00A21849" w:rsidP="00B80E06" w:rsidRDefault="00A21849" w14:paraId="6139ABA3"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Planned Supervision compliance</w:t>
            </w:r>
          </w:p>
          <w:p w:rsidRPr="00083C53" w:rsidR="00A21849" w:rsidP="00A21849" w:rsidRDefault="00A21849" w14:paraId="7C7A68E6" w14:textId="77777777">
            <w:pPr>
              <w:spacing w:after="0" w:line="240" w:lineRule="auto"/>
              <w:ind w:left="313" w:right="0" w:hanging="283"/>
              <w:jc w:val="left"/>
              <w:rPr>
                <w:rFonts w:eastAsiaTheme="minorHAnsi"/>
                <w:color w:val="auto"/>
                <w:sz w:val="22"/>
              </w:rPr>
            </w:pPr>
          </w:p>
          <w:p w:rsidRPr="00083C53" w:rsidR="00A21849" w:rsidP="00B80E06" w:rsidRDefault="00A21849" w14:paraId="7F1733D7"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Ad hoc advice compliance</w:t>
            </w:r>
          </w:p>
          <w:p w:rsidRPr="00083C53" w:rsidR="00A21849" w:rsidP="00A21849" w:rsidRDefault="00A21849" w14:paraId="382CBBB6" w14:textId="77777777">
            <w:pPr>
              <w:spacing w:after="0" w:line="240" w:lineRule="auto"/>
              <w:ind w:left="313" w:right="0" w:hanging="283"/>
              <w:jc w:val="left"/>
              <w:rPr>
                <w:rFonts w:eastAsiaTheme="minorHAnsi"/>
                <w:color w:val="auto"/>
                <w:sz w:val="22"/>
              </w:rPr>
            </w:pPr>
          </w:p>
          <w:p w:rsidRPr="00083C53" w:rsidR="00A21849" w:rsidP="00B80E06" w:rsidRDefault="00A21849" w14:paraId="272A11A8"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Audit Reports</w:t>
            </w:r>
          </w:p>
          <w:p w:rsidRPr="00083C53" w:rsidR="00A21849" w:rsidP="00A21849" w:rsidRDefault="00A21849" w14:paraId="13F41A06" w14:textId="77777777">
            <w:pPr>
              <w:spacing w:after="0" w:line="240" w:lineRule="auto"/>
              <w:ind w:left="313" w:right="0" w:hanging="283"/>
              <w:jc w:val="left"/>
              <w:rPr>
                <w:rFonts w:eastAsiaTheme="minorHAnsi"/>
                <w:color w:val="auto"/>
                <w:sz w:val="22"/>
              </w:rPr>
            </w:pPr>
          </w:p>
          <w:p w:rsidRPr="00083C53" w:rsidR="00A21849" w:rsidP="00B80E06" w:rsidRDefault="00A21849" w14:paraId="1697104E" w14:textId="77777777">
            <w:pPr>
              <w:numPr>
                <w:ilvl w:val="0"/>
                <w:numId w:val="10"/>
              </w:numPr>
              <w:spacing w:after="0" w:line="240" w:lineRule="auto"/>
              <w:ind w:left="313" w:right="0" w:hanging="283"/>
              <w:contextualSpacing/>
              <w:jc w:val="left"/>
              <w:rPr>
                <w:rFonts w:eastAsiaTheme="minorHAnsi"/>
                <w:color w:val="auto"/>
                <w:sz w:val="22"/>
              </w:rPr>
            </w:pPr>
            <w:proofErr w:type="spellStart"/>
            <w:r w:rsidRPr="00083C53">
              <w:rPr>
                <w:rFonts w:eastAsiaTheme="minorHAnsi"/>
                <w:color w:val="auto"/>
                <w:sz w:val="22"/>
              </w:rPr>
              <w:t>Inphase</w:t>
            </w:r>
            <w:proofErr w:type="spellEnd"/>
            <w:r w:rsidRPr="00083C53">
              <w:rPr>
                <w:rFonts w:eastAsiaTheme="minorHAnsi"/>
                <w:color w:val="auto"/>
                <w:sz w:val="22"/>
              </w:rPr>
              <w:t xml:space="preserve"> analysis reports</w:t>
            </w:r>
          </w:p>
          <w:p w:rsidRPr="00083C53" w:rsidR="00A21849" w:rsidP="00A21849" w:rsidRDefault="00A21849" w14:paraId="3C5935AF" w14:textId="77777777">
            <w:pPr>
              <w:spacing w:after="0" w:line="240" w:lineRule="auto"/>
              <w:ind w:left="313" w:right="0" w:hanging="283"/>
              <w:jc w:val="left"/>
              <w:rPr>
                <w:rFonts w:eastAsiaTheme="minorHAnsi"/>
                <w:color w:val="auto"/>
                <w:sz w:val="22"/>
              </w:rPr>
            </w:pPr>
          </w:p>
          <w:p w:rsidRPr="00083C53" w:rsidR="00A21849" w:rsidP="00B80E06" w:rsidRDefault="00A21849" w14:paraId="456D6100"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 xml:space="preserve">Action Plan progress of </w:t>
            </w:r>
            <w:r w:rsidRPr="00083C53">
              <w:rPr>
                <w:rFonts w:eastAsiaTheme="minorHAnsi"/>
                <w:color w:val="auto"/>
                <w:sz w:val="22"/>
              </w:rPr>
              <w:t>safeguarding reviews.</w:t>
            </w:r>
          </w:p>
          <w:p w:rsidRPr="00083C53" w:rsidR="00A21849" w:rsidP="00A21849" w:rsidRDefault="00A21849" w14:paraId="102F2275" w14:textId="77777777">
            <w:pPr>
              <w:spacing w:after="0" w:line="240" w:lineRule="auto"/>
              <w:ind w:left="0" w:right="0" w:firstLine="0"/>
              <w:jc w:val="left"/>
              <w:rPr>
                <w:rFonts w:eastAsiaTheme="minorHAnsi"/>
                <w:color w:val="auto"/>
                <w:sz w:val="22"/>
              </w:rPr>
            </w:pPr>
          </w:p>
          <w:p w:rsidRPr="00083C53" w:rsidR="00A21849" w:rsidP="00B80E06" w:rsidRDefault="00A21849" w14:paraId="7B4993BA" w14:textId="77777777">
            <w:pPr>
              <w:numPr>
                <w:ilvl w:val="0"/>
                <w:numId w:val="10"/>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Training feedback</w:t>
            </w:r>
          </w:p>
          <w:p w:rsidRPr="00083C53" w:rsidR="00A21849" w:rsidP="00A21849" w:rsidRDefault="00A21849" w14:paraId="50B553BC" w14:textId="77777777">
            <w:pPr>
              <w:spacing w:after="0" w:line="240" w:lineRule="auto"/>
              <w:ind w:left="313" w:right="0" w:hanging="283"/>
              <w:jc w:val="left"/>
              <w:rPr>
                <w:rFonts w:eastAsiaTheme="minorHAnsi"/>
                <w:color w:val="auto"/>
                <w:sz w:val="22"/>
              </w:rPr>
            </w:pPr>
          </w:p>
          <w:p w:rsidRPr="00083C53" w:rsidR="00A21849" w:rsidP="00A21849" w:rsidRDefault="00A21849" w14:paraId="575A353A" w14:textId="77777777">
            <w:pPr>
              <w:spacing w:after="0" w:line="240" w:lineRule="auto"/>
              <w:ind w:left="313" w:right="0" w:hanging="283"/>
              <w:jc w:val="left"/>
              <w:rPr>
                <w:rFonts w:eastAsiaTheme="minorHAnsi"/>
                <w:color w:val="auto"/>
                <w:sz w:val="22"/>
              </w:rPr>
            </w:pPr>
            <w:r w:rsidRPr="00083C53">
              <w:rPr>
                <w:rFonts w:eastAsiaTheme="minorHAnsi"/>
                <w:color w:val="auto"/>
                <w:sz w:val="22"/>
              </w:rPr>
              <w:t>Safeguarding Adults and Children’s dashboards</w:t>
            </w:r>
          </w:p>
        </w:tc>
        <w:tc>
          <w:tcPr>
            <w:tcW w:w="936" w:type="dxa"/>
          </w:tcPr>
          <w:p w:rsidRPr="00083C53" w:rsidR="00A21849" w:rsidP="00A21849" w:rsidRDefault="00A21849" w14:paraId="3AB8DB6C"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7F0D4E" w:rsidTr="00A42FAD" w14:paraId="22BC56F5" w14:textId="77777777">
        <w:trPr>
          <w:trHeight w:val="1695"/>
        </w:trPr>
        <w:tc>
          <w:tcPr>
            <w:tcW w:w="1284" w:type="dxa"/>
            <w:gridSpan w:val="2"/>
            <w:vMerge/>
          </w:tcPr>
          <w:p w:rsidRPr="00083C53" w:rsidR="00A21849" w:rsidP="00A21849" w:rsidRDefault="00A21849" w14:paraId="3A3E4B2F"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02D71921"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10EBAC4E" w14:textId="77777777">
            <w:pPr>
              <w:numPr>
                <w:ilvl w:val="0"/>
                <w:numId w:val="36"/>
              </w:numPr>
              <w:spacing w:before="100" w:beforeAutospacing="1" w:after="100" w:afterAutospacing="1" w:line="240" w:lineRule="auto"/>
              <w:ind w:left="274" w:right="0" w:hanging="274"/>
              <w:jc w:val="left"/>
              <w:rPr>
                <w:rFonts w:eastAsiaTheme="minorHAnsi"/>
                <w:color w:val="auto"/>
                <w:sz w:val="22"/>
              </w:rPr>
            </w:pPr>
          </w:p>
        </w:tc>
        <w:tc>
          <w:tcPr>
            <w:tcW w:w="2407" w:type="dxa"/>
            <w:vMerge/>
          </w:tcPr>
          <w:p w:rsidRPr="00083C53" w:rsidR="00A21849" w:rsidP="00B80E06" w:rsidRDefault="00A21849" w14:paraId="3C3DF159" w14:textId="77777777">
            <w:pPr>
              <w:numPr>
                <w:ilvl w:val="0"/>
                <w:numId w:val="9"/>
              </w:numPr>
              <w:spacing w:after="0" w:line="240" w:lineRule="auto"/>
              <w:ind w:left="178" w:right="0" w:hanging="141"/>
              <w:contextualSpacing/>
              <w:jc w:val="left"/>
              <w:rPr>
                <w:rFonts w:eastAsiaTheme="minorHAnsi"/>
                <w:color w:val="auto"/>
                <w:sz w:val="22"/>
              </w:rPr>
            </w:pPr>
          </w:p>
        </w:tc>
        <w:tc>
          <w:tcPr>
            <w:tcW w:w="3106" w:type="dxa"/>
            <w:vMerge/>
          </w:tcPr>
          <w:p w:rsidRPr="00083C53" w:rsidR="00A21849" w:rsidP="00B80E06" w:rsidRDefault="00A21849" w14:paraId="2F60B8FA" w14:textId="77777777">
            <w:pPr>
              <w:numPr>
                <w:ilvl w:val="0"/>
                <w:numId w:val="33"/>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2CA519E6"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54DF668B"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196DC21B"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tc>
      </w:tr>
      <w:tr w:rsidRPr="00083C53" w:rsidR="007F0D4E" w:rsidTr="00A42FAD" w14:paraId="07D4DB47" w14:textId="77777777">
        <w:trPr>
          <w:trHeight w:val="1123"/>
        </w:trPr>
        <w:tc>
          <w:tcPr>
            <w:tcW w:w="1284" w:type="dxa"/>
            <w:gridSpan w:val="2"/>
            <w:vMerge/>
          </w:tcPr>
          <w:p w:rsidRPr="00083C53" w:rsidR="00A21849" w:rsidP="00A21849" w:rsidRDefault="00A21849" w14:paraId="2E60C3FB"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514B38E4"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4DD27252" w14:textId="77777777">
            <w:pPr>
              <w:numPr>
                <w:ilvl w:val="0"/>
                <w:numId w:val="36"/>
              </w:numPr>
              <w:spacing w:before="100" w:beforeAutospacing="1" w:after="100" w:afterAutospacing="1" w:line="240" w:lineRule="auto"/>
              <w:ind w:left="274" w:right="0" w:hanging="274"/>
              <w:jc w:val="left"/>
              <w:rPr>
                <w:rFonts w:eastAsiaTheme="minorHAnsi"/>
                <w:color w:val="auto"/>
                <w:sz w:val="22"/>
              </w:rPr>
            </w:pPr>
          </w:p>
        </w:tc>
        <w:tc>
          <w:tcPr>
            <w:tcW w:w="2407" w:type="dxa"/>
            <w:vMerge/>
          </w:tcPr>
          <w:p w:rsidRPr="00083C53" w:rsidR="00A21849" w:rsidP="00B80E06" w:rsidRDefault="00A21849" w14:paraId="1D78986C" w14:textId="77777777">
            <w:pPr>
              <w:numPr>
                <w:ilvl w:val="0"/>
                <w:numId w:val="9"/>
              </w:numPr>
              <w:spacing w:after="0" w:line="240" w:lineRule="auto"/>
              <w:ind w:left="178" w:right="0" w:hanging="141"/>
              <w:contextualSpacing/>
              <w:jc w:val="left"/>
              <w:rPr>
                <w:rFonts w:eastAsiaTheme="minorHAnsi"/>
                <w:color w:val="auto"/>
                <w:sz w:val="22"/>
              </w:rPr>
            </w:pPr>
          </w:p>
        </w:tc>
        <w:tc>
          <w:tcPr>
            <w:tcW w:w="3106" w:type="dxa"/>
            <w:vMerge/>
          </w:tcPr>
          <w:p w:rsidRPr="00083C53" w:rsidR="00A21849" w:rsidP="00B80E06" w:rsidRDefault="00A21849" w14:paraId="367C188A" w14:textId="77777777">
            <w:pPr>
              <w:numPr>
                <w:ilvl w:val="0"/>
                <w:numId w:val="33"/>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51C62D8A"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3ACDE4F2" w14:textId="77777777">
            <w:pPr>
              <w:spacing w:after="0" w:line="240" w:lineRule="auto"/>
              <w:ind w:left="0" w:right="0" w:firstLine="0"/>
              <w:jc w:val="left"/>
              <w:rPr>
                <w:rFonts w:eastAsiaTheme="minorHAnsi"/>
                <w:color w:val="auto"/>
                <w:sz w:val="22"/>
              </w:rPr>
            </w:pPr>
            <w:r w:rsidRPr="00083C53">
              <w:rPr>
                <w:rFonts w:eastAsiaTheme="minorHAnsi"/>
                <w:color w:val="auto"/>
                <w:sz w:val="22"/>
              </w:rPr>
              <w:t>Qtr3</w:t>
            </w:r>
          </w:p>
        </w:tc>
      </w:tr>
      <w:tr w:rsidRPr="00083C53" w:rsidR="007F0D4E" w:rsidTr="00A42FAD" w14:paraId="65303B53" w14:textId="77777777">
        <w:trPr>
          <w:trHeight w:val="3375"/>
        </w:trPr>
        <w:tc>
          <w:tcPr>
            <w:tcW w:w="1284" w:type="dxa"/>
            <w:gridSpan w:val="2"/>
            <w:vMerge/>
          </w:tcPr>
          <w:p w:rsidRPr="00083C53" w:rsidR="00A21849" w:rsidP="00A21849" w:rsidRDefault="00A21849" w14:paraId="0BECF196"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1BFCC336"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4AD9BF8A" w14:textId="77777777">
            <w:pPr>
              <w:numPr>
                <w:ilvl w:val="0"/>
                <w:numId w:val="36"/>
              </w:numPr>
              <w:spacing w:before="100" w:beforeAutospacing="1" w:after="100" w:afterAutospacing="1" w:line="240" w:lineRule="auto"/>
              <w:ind w:left="274" w:right="0" w:hanging="274"/>
              <w:jc w:val="left"/>
              <w:rPr>
                <w:rFonts w:eastAsiaTheme="minorHAnsi"/>
                <w:color w:val="auto"/>
                <w:sz w:val="22"/>
              </w:rPr>
            </w:pPr>
          </w:p>
        </w:tc>
        <w:tc>
          <w:tcPr>
            <w:tcW w:w="2407" w:type="dxa"/>
            <w:vMerge/>
          </w:tcPr>
          <w:p w:rsidRPr="00083C53" w:rsidR="00A21849" w:rsidP="00B80E06" w:rsidRDefault="00A21849" w14:paraId="1E95F191" w14:textId="77777777">
            <w:pPr>
              <w:numPr>
                <w:ilvl w:val="0"/>
                <w:numId w:val="9"/>
              </w:numPr>
              <w:spacing w:after="0" w:line="240" w:lineRule="auto"/>
              <w:ind w:left="178" w:right="0" w:hanging="141"/>
              <w:contextualSpacing/>
              <w:jc w:val="left"/>
              <w:rPr>
                <w:rFonts w:eastAsiaTheme="minorHAnsi"/>
                <w:color w:val="auto"/>
                <w:sz w:val="22"/>
              </w:rPr>
            </w:pPr>
          </w:p>
        </w:tc>
        <w:tc>
          <w:tcPr>
            <w:tcW w:w="3106" w:type="dxa"/>
            <w:vMerge/>
          </w:tcPr>
          <w:p w:rsidRPr="00083C53" w:rsidR="00A21849" w:rsidP="00B80E06" w:rsidRDefault="00A21849" w14:paraId="796118BF" w14:textId="77777777">
            <w:pPr>
              <w:numPr>
                <w:ilvl w:val="0"/>
                <w:numId w:val="33"/>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1CFF45C2"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0823EC63"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r w:rsidRPr="00083C53" w:rsidR="00A21849" w:rsidTr="00A42FAD" w14:paraId="10A0608C" w14:textId="77777777">
        <w:tc>
          <w:tcPr>
            <w:tcW w:w="1284" w:type="dxa"/>
            <w:gridSpan w:val="2"/>
            <w:shd w:val="clear" w:color="auto" w:fill="F2F2F2" w:themeFill="background1" w:themeFillShade="F2"/>
          </w:tcPr>
          <w:p w:rsidRPr="00083C53" w:rsidR="00A21849" w:rsidP="00A21849" w:rsidRDefault="00A21849" w14:paraId="0660C32F"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ELFT Strategic Objective</w:t>
            </w:r>
          </w:p>
        </w:tc>
        <w:tc>
          <w:tcPr>
            <w:tcW w:w="1568" w:type="dxa"/>
            <w:shd w:val="clear" w:color="auto" w:fill="F2F2F2" w:themeFill="background1" w:themeFillShade="F2"/>
          </w:tcPr>
          <w:p w:rsidRPr="00083C53" w:rsidR="00A21849" w:rsidP="00A21849" w:rsidRDefault="00A21849" w14:paraId="492CA85B"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No. Safeguarding Objective</w:t>
            </w:r>
          </w:p>
        </w:tc>
        <w:tc>
          <w:tcPr>
            <w:tcW w:w="4310" w:type="dxa"/>
            <w:gridSpan w:val="2"/>
            <w:shd w:val="clear" w:color="auto" w:fill="F2F2F2" w:themeFill="background1" w:themeFillShade="F2"/>
          </w:tcPr>
          <w:p w:rsidRPr="00083C53" w:rsidR="00A21849" w:rsidP="00A21849" w:rsidRDefault="00A21849" w14:paraId="5143936F" w14:textId="77777777">
            <w:pPr>
              <w:spacing w:before="100" w:beforeAutospacing="1" w:after="100" w:afterAutospacing="1" w:line="240" w:lineRule="auto"/>
              <w:ind w:left="720" w:right="0" w:firstLine="0"/>
              <w:jc w:val="left"/>
              <w:rPr>
                <w:rFonts w:eastAsiaTheme="minorHAnsi"/>
                <w:color w:val="auto"/>
                <w:sz w:val="22"/>
              </w:rPr>
            </w:pPr>
            <w:r w:rsidRPr="00083C53">
              <w:rPr>
                <w:rFonts w:eastAsiaTheme="minorHAnsi"/>
                <w:b/>
                <w:color w:val="auto"/>
                <w:sz w:val="22"/>
              </w:rPr>
              <w:t>Action Required</w:t>
            </w:r>
          </w:p>
        </w:tc>
        <w:tc>
          <w:tcPr>
            <w:tcW w:w="2407" w:type="dxa"/>
            <w:shd w:val="clear" w:color="auto" w:fill="F2F2F2" w:themeFill="background1" w:themeFillShade="F2"/>
          </w:tcPr>
          <w:p w:rsidRPr="00083C53" w:rsidR="00A21849" w:rsidP="00A21849" w:rsidRDefault="00A21849" w14:paraId="287BE424" w14:textId="77777777">
            <w:pPr>
              <w:spacing w:after="0" w:line="240" w:lineRule="auto"/>
              <w:ind w:left="720" w:right="0" w:firstLine="0"/>
              <w:contextualSpacing/>
              <w:jc w:val="left"/>
              <w:rPr>
                <w:rFonts w:eastAsiaTheme="minorHAnsi"/>
                <w:color w:val="auto"/>
                <w:sz w:val="22"/>
              </w:rPr>
            </w:pPr>
            <w:r w:rsidRPr="00083C53">
              <w:rPr>
                <w:rFonts w:eastAsiaTheme="minorHAnsi"/>
                <w:b/>
                <w:color w:val="auto"/>
                <w:sz w:val="22"/>
              </w:rPr>
              <w:t>Lead</w:t>
            </w:r>
          </w:p>
        </w:tc>
        <w:tc>
          <w:tcPr>
            <w:tcW w:w="3106" w:type="dxa"/>
            <w:shd w:val="clear" w:color="auto" w:fill="F2F2F2" w:themeFill="background1" w:themeFillShade="F2"/>
          </w:tcPr>
          <w:p w:rsidRPr="00083C53" w:rsidR="00A21849" w:rsidP="00A21849" w:rsidRDefault="00A21849" w14:paraId="33EBF240" w14:textId="77777777">
            <w:pPr>
              <w:spacing w:after="0" w:line="240" w:lineRule="auto"/>
              <w:ind w:left="0" w:right="0" w:firstLine="0"/>
              <w:jc w:val="left"/>
              <w:rPr>
                <w:rFonts w:eastAsiaTheme="minorHAnsi"/>
                <w:color w:val="auto"/>
                <w:sz w:val="22"/>
              </w:rPr>
            </w:pPr>
            <w:r w:rsidRPr="00083C53">
              <w:rPr>
                <w:rFonts w:eastAsiaTheme="minorHAnsi"/>
                <w:b/>
                <w:color w:val="auto"/>
                <w:sz w:val="22"/>
              </w:rPr>
              <w:t>Evidence Measures</w:t>
            </w:r>
          </w:p>
          <w:p w:rsidRPr="00083C53" w:rsidR="00A21849" w:rsidP="00A21849" w:rsidRDefault="00A21849" w14:paraId="7DB94B6D" w14:textId="77777777">
            <w:pPr>
              <w:spacing w:before="100" w:beforeAutospacing="1" w:after="100" w:afterAutospacing="1" w:line="240" w:lineRule="auto"/>
              <w:ind w:left="720" w:right="0" w:firstLine="0"/>
              <w:jc w:val="left"/>
              <w:rPr>
                <w:rFonts w:eastAsiaTheme="minorHAnsi"/>
                <w:color w:val="auto"/>
                <w:sz w:val="22"/>
              </w:rPr>
            </w:pPr>
          </w:p>
        </w:tc>
        <w:tc>
          <w:tcPr>
            <w:tcW w:w="2203" w:type="dxa"/>
            <w:gridSpan w:val="2"/>
            <w:shd w:val="clear" w:color="auto" w:fill="F2F2F2" w:themeFill="background1" w:themeFillShade="F2"/>
          </w:tcPr>
          <w:p w:rsidRPr="00083C53" w:rsidR="00A21849" w:rsidP="00A21849" w:rsidRDefault="00A21849" w14:paraId="488F8E0E" w14:textId="77777777">
            <w:pPr>
              <w:spacing w:before="100" w:beforeAutospacing="1" w:after="100" w:afterAutospacing="1" w:line="240" w:lineRule="auto"/>
              <w:ind w:left="30" w:right="0" w:hanging="3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464999DC" w14:textId="77777777">
            <w:pPr>
              <w:spacing w:after="0" w:line="240" w:lineRule="auto"/>
              <w:ind w:left="0" w:right="0" w:firstLine="0"/>
              <w:jc w:val="left"/>
              <w:rPr>
                <w:rFonts w:eastAsiaTheme="minorHAnsi"/>
                <w:color w:val="auto"/>
                <w:sz w:val="22"/>
              </w:rPr>
            </w:pPr>
            <w:r w:rsidRPr="00083C53">
              <w:rPr>
                <w:rFonts w:eastAsiaTheme="minorHAnsi"/>
                <w:b/>
                <w:color w:val="auto"/>
                <w:sz w:val="22"/>
              </w:rPr>
              <w:t>RAG</w:t>
            </w:r>
          </w:p>
        </w:tc>
      </w:tr>
      <w:tr w:rsidRPr="00083C53" w:rsidR="007F0D4E" w:rsidTr="00A42FAD" w14:paraId="696C60D9" w14:textId="77777777">
        <w:trPr>
          <w:trHeight w:val="2490"/>
        </w:trPr>
        <w:tc>
          <w:tcPr>
            <w:tcW w:w="1284" w:type="dxa"/>
            <w:gridSpan w:val="2"/>
            <w:vMerge w:val="restart"/>
          </w:tcPr>
          <w:p w:rsidRPr="00083C53" w:rsidR="00A21849" w:rsidP="00A21849" w:rsidRDefault="00A21849" w14:paraId="73A4833E" w14:textId="77777777">
            <w:pPr>
              <w:spacing w:after="0" w:line="240" w:lineRule="auto"/>
              <w:ind w:left="0" w:right="0" w:firstLine="0"/>
              <w:jc w:val="left"/>
              <w:rPr>
                <w:rFonts w:eastAsiaTheme="minorHAnsi"/>
                <w:color w:val="auto"/>
                <w:sz w:val="22"/>
              </w:rPr>
            </w:pPr>
            <w:r w:rsidRPr="00083C53">
              <w:rPr>
                <w:rFonts w:eastAsiaTheme="minorHAnsi"/>
                <w:b/>
                <w:color w:val="auto"/>
                <w:sz w:val="22"/>
              </w:rPr>
              <w:t>Improved staff experience</w:t>
            </w:r>
          </w:p>
        </w:tc>
        <w:tc>
          <w:tcPr>
            <w:tcW w:w="1568" w:type="dxa"/>
            <w:vMerge w:val="restart"/>
          </w:tcPr>
          <w:p w:rsidRPr="00083C53" w:rsidR="00A21849" w:rsidP="00A21849" w:rsidRDefault="00A21849" w14:paraId="094BDE0F"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2. Enhance Learning from Safeguarding Reviews and Enquiries</w:t>
            </w:r>
          </w:p>
          <w:p w:rsidRPr="00083C53" w:rsidR="00A21849" w:rsidP="00A21849" w:rsidRDefault="00A21849" w14:paraId="3E9294BB"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The Corporate Safeguarding </w:t>
            </w:r>
            <w:r w:rsidRPr="00083C53">
              <w:rPr>
                <w:rFonts w:eastAsiaTheme="minorHAnsi"/>
                <w:color w:val="auto"/>
                <w:sz w:val="22"/>
              </w:rPr>
              <w:t xml:space="preserve">Team will ensure that learning from statutory and non-statutory safeguarding reviews—including SARs, CSPRs, DHRs, PFDs, and </w:t>
            </w:r>
            <w:proofErr w:type="spellStart"/>
            <w:r w:rsidRPr="00083C53">
              <w:rPr>
                <w:rFonts w:eastAsiaTheme="minorHAnsi"/>
                <w:color w:val="auto"/>
                <w:sz w:val="22"/>
              </w:rPr>
              <w:t>LeDeR</w:t>
            </w:r>
            <w:proofErr w:type="spellEnd"/>
            <w:r w:rsidRPr="00083C53">
              <w:rPr>
                <w:rFonts w:eastAsiaTheme="minorHAnsi"/>
                <w:color w:val="auto"/>
                <w:sz w:val="22"/>
              </w:rPr>
              <w:t xml:space="preserve"> reviews—is actively shared across the organisation and used to influence practice, policies, and system-wide improvement.</w:t>
            </w:r>
          </w:p>
          <w:p w:rsidRPr="00083C53" w:rsidR="00A21849" w:rsidP="00A21849" w:rsidRDefault="00A21849" w14:paraId="18609504" w14:textId="77777777">
            <w:pPr>
              <w:spacing w:after="0" w:line="240" w:lineRule="auto"/>
              <w:ind w:left="0" w:right="0" w:firstLine="0"/>
              <w:jc w:val="left"/>
              <w:rPr>
                <w:rFonts w:eastAsiaTheme="minorHAnsi"/>
                <w:color w:val="auto"/>
                <w:sz w:val="22"/>
              </w:rPr>
            </w:pPr>
          </w:p>
        </w:tc>
        <w:tc>
          <w:tcPr>
            <w:tcW w:w="4310" w:type="dxa"/>
            <w:gridSpan w:val="2"/>
            <w:vMerge w:val="restart"/>
          </w:tcPr>
          <w:tbl>
            <w:tblPr>
              <w:tblW w:w="0" w:type="auto"/>
              <w:tblCellSpacing w:w="15" w:type="dxa"/>
              <w:tblLook w:val="04A0" w:firstRow="1" w:lastRow="0" w:firstColumn="1" w:lastColumn="0" w:noHBand="0" w:noVBand="1"/>
            </w:tblPr>
            <w:tblGrid>
              <w:gridCol w:w="3720"/>
            </w:tblGrid>
            <w:tr w:rsidRPr="00083C53" w:rsidR="00A21849" w:rsidTr="000654B1" w14:paraId="0A7B6687"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4C416E14" w14:textId="77777777">
                  <w:pPr>
                    <w:numPr>
                      <w:ilvl w:val="0"/>
                      <w:numId w:val="35"/>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Ensure Named Professionals contribute to all SAR/DHR/CSPR/PFD/</w:t>
                  </w:r>
                  <w:proofErr w:type="spellStart"/>
                  <w:r w:rsidRPr="00083C53">
                    <w:rPr>
                      <w:rFonts w:eastAsiaTheme="minorHAnsi"/>
                      <w:color w:val="auto"/>
                      <w:sz w:val="22"/>
                    </w:rPr>
                    <w:t>LeDeR</w:t>
                  </w:r>
                  <w:proofErr w:type="spellEnd"/>
                  <w:r w:rsidRPr="00083C53">
                    <w:rPr>
                      <w:rFonts w:eastAsiaTheme="minorHAnsi"/>
                      <w:color w:val="auto"/>
                      <w:sz w:val="22"/>
                    </w:rPr>
                    <w:t xml:space="preserve"> reviews</w:t>
                  </w:r>
                </w:p>
                <w:p w:rsidRPr="00083C53" w:rsidR="00A21849" w:rsidP="00A21849" w:rsidRDefault="00A21849" w14:paraId="0528D4E1"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393A0827"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3B18F1A8" w14:textId="77777777">
                  <w:pPr>
                    <w:numPr>
                      <w:ilvl w:val="0"/>
                      <w:numId w:val="35"/>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Share learning through newsletters, workshops, training and supervision</w:t>
                  </w:r>
                </w:p>
                <w:p w:rsidRPr="00083C53" w:rsidR="00A21849" w:rsidP="00A21849" w:rsidRDefault="00A21849" w14:paraId="46FB7EBE"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526982B4"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0257A4CD" w14:textId="77777777">
                  <w:pPr>
                    <w:numPr>
                      <w:ilvl w:val="0"/>
                      <w:numId w:val="35"/>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Monitor application of learning through practice audits</w:t>
                  </w:r>
                </w:p>
                <w:p w:rsidRPr="00083C53" w:rsidR="00A21849" w:rsidP="00A21849" w:rsidRDefault="00A21849" w14:paraId="7759FDC6"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04E19FD2"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34C801D7" w14:textId="77777777">
                  <w:pPr>
                    <w:numPr>
                      <w:ilvl w:val="0"/>
                      <w:numId w:val="35"/>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Ensure lessons learnt are cascaded at borough DMT and Quality Forums</w:t>
                  </w:r>
                </w:p>
                <w:p w:rsidRPr="00083C53" w:rsidR="00A21849" w:rsidP="00A21849" w:rsidRDefault="00A21849" w14:paraId="77FB75C3" w14:textId="77777777">
                  <w:pPr>
                    <w:spacing w:before="100" w:beforeAutospacing="1" w:after="100" w:afterAutospacing="1" w:line="240" w:lineRule="auto"/>
                    <w:ind w:left="720" w:right="0" w:firstLine="0"/>
                    <w:jc w:val="left"/>
                    <w:rPr>
                      <w:rFonts w:eastAsiaTheme="minorHAnsi"/>
                      <w:color w:val="auto"/>
                      <w:sz w:val="22"/>
                    </w:rPr>
                  </w:pPr>
                </w:p>
              </w:tc>
            </w:tr>
          </w:tbl>
          <w:p w:rsidRPr="00083C53" w:rsidR="00A21849" w:rsidP="00A21849" w:rsidRDefault="00A21849" w14:paraId="5EBCF701" w14:textId="77777777">
            <w:pPr>
              <w:spacing w:after="0" w:line="240" w:lineRule="auto"/>
              <w:ind w:left="0" w:right="0" w:firstLine="0"/>
              <w:jc w:val="left"/>
              <w:rPr>
                <w:rFonts w:eastAsiaTheme="minorHAnsi"/>
                <w:color w:val="auto"/>
                <w:sz w:val="22"/>
              </w:rPr>
            </w:pPr>
          </w:p>
        </w:tc>
        <w:tc>
          <w:tcPr>
            <w:tcW w:w="2407" w:type="dxa"/>
            <w:vMerge w:val="restart"/>
          </w:tcPr>
          <w:p w:rsidRPr="00083C53" w:rsidR="00A21849" w:rsidP="00B80E06" w:rsidRDefault="00A21849" w14:paraId="125CD8A7"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 xml:space="preserve">The Named Professionals and Lead Professionals are responsible for the operational delivery of the </w:t>
            </w:r>
            <w:r w:rsidRPr="00083C53">
              <w:rPr>
                <w:rFonts w:eastAsiaTheme="minorHAnsi"/>
                <w:color w:val="auto"/>
                <w:sz w:val="22"/>
              </w:rPr>
              <w:t>actions in the work plan.</w:t>
            </w:r>
          </w:p>
          <w:p w:rsidRPr="00083C53" w:rsidR="00A21849" w:rsidP="00A21849" w:rsidRDefault="00A21849" w14:paraId="0EF038BE"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30BD7BBC"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Associate Director is primarily accountable for delivering the safeguarding strategy and coordinating the implementation of the work plan.</w:t>
            </w:r>
          </w:p>
          <w:p w:rsidRPr="00083C53" w:rsidR="00A21849" w:rsidP="00A21849" w:rsidRDefault="00A21849" w14:paraId="7040A34D"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7AC5B02A"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D042A61"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p w:rsidRPr="00083C53" w:rsidR="00A21849" w:rsidP="00A21849" w:rsidRDefault="00A21849" w14:paraId="73DA8D19" w14:textId="77777777">
            <w:pPr>
              <w:spacing w:after="0" w:line="240" w:lineRule="auto"/>
              <w:ind w:left="0" w:right="0" w:firstLine="0"/>
              <w:jc w:val="left"/>
              <w:rPr>
                <w:rFonts w:eastAsiaTheme="minorHAnsi"/>
                <w:color w:val="auto"/>
                <w:sz w:val="22"/>
              </w:rPr>
            </w:pPr>
          </w:p>
        </w:tc>
        <w:tc>
          <w:tcPr>
            <w:tcW w:w="3106" w:type="dxa"/>
            <w:vMerge w:val="restart"/>
          </w:tcPr>
          <w:tbl>
            <w:tblPr>
              <w:tblW w:w="2277" w:type="dxa"/>
              <w:tblCellSpacing w:w="15" w:type="dxa"/>
              <w:tblLook w:val="04A0" w:firstRow="1" w:lastRow="0" w:firstColumn="1" w:lastColumn="0" w:noHBand="0" w:noVBand="1"/>
            </w:tblPr>
            <w:tblGrid>
              <w:gridCol w:w="3036"/>
            </w:tblGrid>
            <w:tr w:rsidRPr="00083C53" w:rsidR="00A21849" w:rsidTr="000654B1" w14:paraId="6E4790B6"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2263EB53"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Record of IMRs/chronologies submitted- QA logs by Lead Professional/Associate Director</w:t>
                  </w:r>
                </w:p>
              </w:tc>
            </w:tr>
            <w:tr w:rsidRPr="00083C53" w:rsidR="00A21849" w:rsidTr="000654B1" w14:paraId="7E64369A"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4A8793D9"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Copies of safeguarding newsletters </w:t>
                  </w:r>
                </w:p>
                <w:p w:rsidRPr="00083C53" w:rsidR="00A21849" w:rsidP="00B80E06" w:rsidRDefault="00A21849" w14:paraId="4E3FBDE1"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Staff training logs- Feedback from training sessions</w:t>
                  </w:r>
                </w:p>
              </w:tc>
            </w:tr>
            <w:tr w:rsidRPr="00083C53" w:rsidR="00A21849" w:rsidTr="000654B1" w14:paraId="2F3380DC"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658FB84A"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Audit reports demonstrating practice change  </w:t>
                  </w:r>
                </w:p>
                <w:p w:rsidRPr="00083C53" w:rsidR="00A21849" w:rsidP="00A21849" w:rsidRDefault="00A21849" w14:paraId="559DE2F2" w14:textId="77777777">
                  <w:pPr>
                    <w:spacing w:before="100" w:beforeAutospacing="1" w:after="100" w:afterAutospacing="1" w:line="240" w:lineRule="auto"/>
                    <w:ind w:left="720" w:right="0" w:firstLine="0"/>
                    <w:jc w:val="left"/>
                    <w:rPr>
                      <w:rFonts w:eastAsiaTheme="minorHAnsi"/>
                      <w:color w:val="auto"/>
                      <w:sz w:val="22"/>
                    </w:rPr>
                  </w:pPr>
                </w:p>
                <w:p w:rsidRPr="00083C53" w:rsidR="00A21849" w:rsidP="00B80E06" w:rsidRDefault="00A21849" w14:paraId="2518459E"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Case studies shared at Safeguarding Committee</w:t>
                  </w:r>
                </w:p>
              </w:tc>
            </w:tr>
            <w:tr w:rsidRPr="00083C53" w:rsidR="00A21849" w:rsidTr="000654B1" w14:paraId="5D6E0FE1"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65E3562E"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Meeting minutes and slide decks- Action logs with local team commitments</w:t>
                  </w:r>
                </w:p>
              </w:tc>
            </w:tr>
          </w:tbl>
          <w:p w:rsidRPr="00083C53" w:rsidR="00A21849" w:rsidP="00A21849" w:rsidRDefault="00A21849" w14:paraId="62641D87" w14:textId="77777777">
            <w:pPr>
              <w:spacing w:after="0" w:line="240" w:lineRule="auto"/>
              <w:ind w:left="0" w:right="0" w:firstLine="0"/>
              <w:jc w:val="left"/>
              <w:rPr>
                <w:rFonts w:eastAsiaTheme="minorHAnsi"/>
                <w:color w:val="auto"/>
                <w:sz w:val="22"/>
              </w:rPr>
            </w:pPr>
          </w:p>
        </w:tc>
        <w:tc>
          <w:tcPr>
            <w:tcW w:w="2203" w:type="dxa"/>
            <w:gridSpan w:val="2"/>
            <w:vMerge w:val="restart"/>
          </w:tcPr>
          <w:p w:rsidRPr="00083C53" w:rsidR="00A21849" w:rsidP="00B80E06" w:rsidRDefault="00A21849" w14:paraId="35CDA85F" w14:textId="77777777">
            <w:pPr>
              <w:numPr>
                <w:ilvl w:val="0"/>
                <w:numId w:val="34"/>
              </w:numPr>
              <w:spacing w:after="11" w:line="245" w:lineRule="auto"/>
              <w:ind w:left="172" w:right="0" w:hanging="142"/>
              <w:contextualSpacing/>
              <w:jc w:val="left"/>
              <w:rPr>
                <w:rFonts w:eastAsiaTheme="minorHAnsi"/>
                <w:color w:val="auto"/>
                <w:sz w:val="22"/>
              </w:rPr>
            </w:pPr>
            <w:r w:rsidRPr="00083C53">
              <w:rPr>
                <w:rFonts w:eastAsiaTheme="minorHAnsi"/>
                <w:color w:val="auto"/>
                <w:sz w:val="22"/>
              </w:rPr>
              <w:t>Corporate Safeguarding team to attend all boards/partnerships and subgroups</w:t>
            </w:r>
          </w:p>
          <w:p w:rsidRPr="00083C53" w:rsidR="00A21849" w:rsidP="00A21849" w:rsidRDefault="00A21849" w14:paraId="2DC126AB" w14:textId="77777777">
            <w:pPr>
              <w:spacing w:after="11" w:line="245" w:lineRule="auto"/>
              <w:ind w:left="357" w:right="0" w:firstLine="0"/>
              <w:contextualSpacing/>
              <w:rPr>
                <w:rFonts w:eastAsiaTheme="minorHAnsi"/>
                <w:color w:val="auto"/>
                <w:sz w:val="22"/>
              </w:rPr>
            </w:pPr>
          </w:p>
          <w:p w:rsidRPr="00083C53" w:rsidR="00A21849" w:rsidP="00B80E06" w:rsidRDefault="00156017" w14:paraId="65F54603" w14:textId="7C4B2055">
            <w:pPr>
              <w:numPr>
                <w:ilvl w:val="0"/>
                <w:numId w:val="43"/>
              </w:numPr>
              <w:spacing w:after="11" w:line="245" w:lineRule="auto"/>
              <w:ind w:left="172" w:right="0" w:hanging="142"/>
              <w:contextualSpacing/>
              <w:jc w:val="left"/>
              <w:rPr>
                <w:rFonts w:eastAsiaTheme="minorHAnsi"/>
                <w:color w:val="auto"/>
                <w:sz w:val="22"/>
              </w:rPr>
            </w:pPr>
            <w:r>
              <w:rPr>
                <w:rFonts w:eastAsiaTheme="minorHAnsi"/>
                <w:color w:val="auto"/>
                <w:sz w:val="22"/>
              </w:rPr>
              <w:t>Corporate S</w:t>
            </w:r>
            <w:r w:rsidRPr="00083C53" w:rsidR="00A21849">
              <w:rPr>
                <w:rFonts w:eastAsiaTheme="minorHAnsi"/>
                <w:color w:val="auto"/>
                <w:sz w:val="22"/>
              </w:rPr>
              <w:t xml:space="preserve">afeguarding team to engage in the </w:t>
            </w:r>
            <w:r w:rsidRPr="00083C53" w:rsidR="00A21849">
              <w:rPr>
                <w:rFonts w:eastAsiaTheme="minorHAnsi"/>
                <w:color w:val="auto"/>
                <w:sz w:val="22"/>
              </w:rPr>
              <w:t>safeguarding review process.</w:t>
            </w:r>
          </w:p>
          <w:p w:rsidRPr="00083C53" w:rsidR="00A21849" w:rsidP="00A21849" w:rsidRDefault="00A21849" w14:paraId="0D8BBD68"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44EDE9DD" w14:textId="77777777">
            <w:pPr>
              <w:spacing w:after="11" w:line="245" w:lineRule="auto"/>
              <w:ind w:left="357" w:right="0" w:firstLine="0"/>
              <w:contextualSpacing/>
              <w:rPr>
                <w:rFonts w:eastAsiaTheme="minorHAnsi"/>
                <w:color w:val="auto"/>
                <w:sz w:val="22"/>
              </w:rPr>
            </w:pPr>
          </w:p>
          <w:p w:rsidRPr="00083C53" w:rsidR="00A21849" w:rsidP="00B80E06" w:rsidRDefault="00A21849" w14:paraId="7631AE21" w14:textId="77777777">
            <w:pPr>
              <w:numPr>
                <w:ilvl w:val="0"/>
                <w:numId w:val="43"/>
              </w:numPr>
              <w:spacing w:after="11" w:line="245" w:lineRule="auto"/>
              <w:ind w:left="172" w:right="0" w:hanging="142"/>
              <w:contextualSpacing/>
              <w:jc w:val="left"/>
              <w:rPr>
                <w:rFonts w:eastAsiaTheme="minorHAnsi"/>
                <w:color w:val="auto"/>
                <w:sz w:val="22"/>
              </w:rPr>
            </w:pPr>
            <w:r w:rsidRPr="00083C53">
              <w:rPr>
                <w:rFonts w:eastAsiaTheme="minorHAnsi"/>
                <w:color w:val="auto"/>
                <w:sz w:val="22"/>
              </w:rPr>
              <w:t>Corporate safeguarding team to cascade learnings from reviews via newsletter, supervision, training and attendance at strategic trust meetings.</w:t>
            </w:r>
          </w:p>
          <w:p w:rsidRPr="00083C53" w:rsidR="00A21849" w:rsidP="00A21849" w:rsidRDefault="00A21849" w14:paraId="6AF228F0" w14:textId="77777777">
            <w:pPr>
              <w:spacing w:after="11" w:line="245" w:lineRule="auto"/>
              <w:ind w:left="720" w:right="0" w:firstLine="0"/>
              <w:contextualSpacing/>
              <w:rPr>
                <w:rFonts w:eastAsiaTheme="minorHAnsi"/>
                <w:color w:val="auto"/>
                <w:sz w:val="22"/>
              </w:rPr>
            </w:pPr>
          </w:p>
          <w:p w:rsidRPr="00083C53" w:rsidR="00A21849" w:rsidP="00B80E06" w:rsidRDefault="00A21849" w14:paraId="67197041" w14:textId="77777777">
            <w:pPr>
              <w:numPr>
                <w:ilvl w:val="0"/>
                <w:numId w:val="43"/>
              </w:numPr>
              <w:spacing w:after="11" w:line="245" w:lineRule="auto"/>
              <w:ind w:left="172" w:right="0" w:hanging="142"/>
              <w:contextualSpacing/>
              <w:jc w:val="left"/>
              <w:rPr>
                <w:rFonts w:eastAsiaTheme="minorHAnsi"/>
                <w:color w:val="auto"/>
                <w:sz w:val="22"/>
              </w:rPr>
            </w:pPr>
            <w:r w:rsidRPr="00083C53">
              <w:rPr>
                <w:rFonts w:eastAsiaTheme="minorHAnsi"/>
                <w:color w:val="auto"/>
                <w:sz w:val="22"/>
              </w:rPr>
              <w:t>Corporate Safeguarding Team to monitor how much impact learning lessons are having on changing practice and embedding learning.</w:t>
            </w:r>
          </w:p>
          <w:p w:rsidRPr="00083C53" w:rsidR="00A21849" w:rsidP="00A21849" w:rsidRDefault="00A21849" w14:paraId="55F44B33"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17F5B859" w14:textId="77777777">
            <w:pPr>
              <w:numPr>
                <w:ilvl w:val="0"/>
                <w:numId w:val="43"/>
              </w:numPr>
              <w:spacing w:after="11" w:line="245" w:lineRule="auto"/>
              <w:ind w:left="172" w:right="0" w:hanging="142"/>
              <w:contextualSpacing/>
              <w:jc w:val="left"/>
              <w:rPr>
                <w:rFonts w:eastAsiaTheme="minorHAnsi"/>
                <w:color w:val="auto"/>
                <w:sz w:val="22"/>
              </w:rPr>
            </w:pPr>
            <w:r w:rsidRPr="00083C53">
              <w:rPr>
                <w:rFonts w:eastAsiaTheme="minorHAnsi"/>
                <w:color w:val="auto"/>
                <w:sz w:val="22"/>
              </w:rPr>
              <w:t>Attendance of service user at Trust Safeguarding Committee and interview panel.</w:t>
            </w:r>
          </w:p>
          <w:p w:rsidRPr="00083C53" w:rsidR="00A21849" w:rsidP="00A21849" w:rsidRDefault="00A21849" w14:paraId="48ADF97C"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5548EB01"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7F0D4E" w:rsidTr="00A42FAD" w14:paraId="70FC8696" w14:textId="77777777">
        <w:trPr>
          <w:trHeight w:val="2880"/>
        </w:trPr>
        <w:tc>
          <w:tcPr>
            <w:tcW w:w="1284" w:type="dxa"/>
            <w:gridSpan w:val="2"/>
            <w:vMerge/>
          </w:tcPr>
          <w:p w:rsidRPr="00083C53" w:rsidR="00A21849" w:rsidP="00A21849" w:rsidRDefault="00A21849" w14:paraId="7DCC5CB7"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240DCA4C"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40169C27" w14:textId="77777777">
            <w:pPr>
              <w:numPr>
                <w:ilvl w:val="0"/>
                <w:numId w:val="35"/>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3E715624"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1D0271FB" w14:textId="77777777">
            <w:pPr>
              <w:numPr>
                <w:ilvl w:val="0"/>
                <w:numId w:val="34"/>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B80E06" w:rsidRDefault="00A21849" w14:paraId="01DB67EE" w14:textId="77777777">
            <w:pPr>
              <w:numPr>
                <w:ilvl w:val="0"/>
                <w:numId w:val="34"/>
              </w:numPr>
              <w:spacing w:after="11" w:line="245" w:lineRule="auto"/>
              <w:ind w:left="172" w:right="0" w:hanging="142"/>
              <w:contextualSpacing/>
              <w:jc w:val="left"/>
              <w:rPr>
                <w:rFonts w:eastAsiaTheme="minorHAnsi"/>
                <w:color w:val="auto"/>
                <w:sz w:val="22"/>
              </w:rPr>
            </w:pPr>
          </w:p>
        </w:tc>
        <w:tc>
          <w:tcPr>
            <w:tcW w:w="936" w:type="dxa"/>
          </w:tcPr>
          <w:p w:rsidRPr="00083C53" w:rsidR="00A21849" w:rsidP="00A21849" w:rsidRDefault="00A21849" w14:paraId="592EBC59"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tc>
      </w:tr>
      <w:tr w:rsidRPr="00083C53" w:rsidR="007F0D4E" w:rsidTr="00A42FAD" w14:paraId="43232163" w14:textId="77777777">
        <w:trPr>
          <w:trHeight w:val="2550"/>
        </w:trPr>
        <w:tc>
          <w:tcPr>
            <w:tcW w:w="1284" w:type="dxa"/>
            <w:gridSpan w:val="2"/>
            <w:vMerge/>
          </w:tcPr>
          <w:p w:rsidRPr="00083C53" w:rsidR="00A21849" w:rsidP="00A21849" w:rsidRDefault="00A21849" w14:paraId="22C41AAF"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58407E85"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3D429114" w14:textId="77777777">
            <w:pPr>
              <w:numPr>
                <w:ilvl w:val="0"/>
                <w:numId w:val="35"/>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3DC48129"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369BD404" w14:textId="77777777">
            <w:pPr>
              <w:numPr>
                <w:ilvl w:val="0"/>
                <w:numId w:val="34"/>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B80E06" w:rsidRDefault="00A21849" w14:paraId="13217A4B" w14:textId="77777777">
            <w:pPr>
              <w:numPr>
                <w:ilvl w:val="0"/>
                <w:numId w:val="34"/>
              </w:numPr>
              <w:spacing w:after="11" w:line="245" w:lineRule="auto"/>
              <w:ind w:left="172" w:right="0" w:hanging="142"/>
              <w:contextualSpacing/>
              <w:jc w:val="left"/>
              <w:rPr>
                <w:rFonts w:eastAsiaTheme="minorHAnsi"/>
                <w:color w:val="auto"/>
                <w:sz w:val="22"/>
              </w:rPr>
            </w:pPr>
          </w:p>
        </w:tc>
        <w:tc>
          <w:tcPr>
            <w:tcW w:w="936" w:type="dxa"/>
          </w:tcPr>
          <w:p w:rsidRPr="00083C53" w:rsidR="00A21849" w:rsidP="00A21849" w:rsidRDefault="00A21849" w14:paraId="065D44C0"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3</w:t>
            </w:r>
          </w:p>
        </w:tc>
      </w:tr>
      <w:tr w:rsidRPr="00083C53" w:rsidR="007F0D4E" w:rsidTr="00A42FAD" w14:paraId="0B2751D9" w14:textId="77777777">
        <w:trPr>
          <w:trHeight w:val="2325"/>
        </w:trPr>
        <w:tc>
          <w:tcPr>
            <w:tcW w:w="1284" w:type="dxa"/>
            <w:gridSpan w:val="2"/>
            <w:vMerge/>
          </w:tcPr>
          <w:p w:rsidRPr="00083C53" w:rsidR="00A21849" w:rsidP="00A21849" w:rsidRDefault="00A21849" w14:paraId="35C4B02D"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55A786B0"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16E6EDB3" w14:textId="77777777">
            <w:pPr>
              <w:numPr>
                <w:ilvl w:val="0"/>
                <w:numId w:val="35"/>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3439A4C0"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2272207C" w14:textId="77777777">
            <w:pPr>
              <w:numPr>
                <w:ilvl w:val="0"/>
                <w:numId w:val="34"/>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B80E06" w:rsidRDefault="00A21849" w14:paraId="0F54FA82" w14:textId="77777777">
            <w:pPr>
              <w:numPr>
                <w:ilvl w:val="0"/>
                <w:numId w:val="34"/>
              </w:numPr>
              <w:spacing w:after="11" w:line="245" w:lineRule="auto"/>
              <w:ind w:left="172" w:right="0" w:hanging="142"/>
              <w:contextualSpacing/>
              <w:jc w:val="left"/>
              <w:rPr>
                <w:rFonts w:eastAsiaTheme="minorHAnsi"/>
                <w:color w:val="auto"/>
                <w:sz w:val="22"/>
              </w:rPr>
            </w:pPr>
          </w:p>
        </w:tc>
        <w:tc>
          <w:tcPr>
            <w:tcW w:w="936" w:type="dxa"/>
          </w:tcPr>
          <w:p w:rsidRPr="00083C53" w:rsidR="00A21849" w:rsidP="00A21849" w:rsidRDefault="00A21849" w14:paraId="4A1B0F50"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r w:rsidRPr="00083C53" w:rsidR="00A21849" w:rsidTr="00A42FAD" w14:paraId="5172FD2A" w14:textId="77777777">
        <w:tc>
          <w:tcPr>
            <w:tcW w:w="1284" w:type="dxa"/>
            <w:gridSpan w:val="2"/>
            <w:shd w:val="clear" w:color="auto" w:fill="F2F2F2" w:themeFill="background1" w:themeFillShade="F2"/>
          </w:tcPr>
          <w:p w:rsidRPr="00083C53" w:rsidR="00A21849" w:rsidP="00A21849" w:rsidRDefault="00A21849" w14:paraId="7E7BA6E1" w14:textId="77777777">
            <w:pPr>
              <w:spacing w:after="0" w:line="240" w:lineRule="auto"/>
              <w:ind w:left="0" w:right="0" w:firstLine="0"/>
              <w:jc w:val="left"/>
              <w:rPr>
                <w:rFonts w:eastAsiaTheme="minorHAnsi"/>
                <w:color w:val="auto"/>
                <w:sz w:val="22"/>
              </w:rPr>
            </w:pPr>
            <w:r w:rsidRPr="00083C53">
              <w:rPr>
                <w:rFonts w:eastAsiaTheme="minorHAnsi"/>
                <w:b/>
                <w:color w:val="auto"/>
                <w:sz w:val="22"/>
              </w:rPr>
              <w:t xml:space="preserve"> ELFT Strategic Objective</w:t>
            </w:r>
          </w:p>
        </w:tc>
        <w:tc>
          <w:tcPr>
            <w:tcW w:w="1568" w:type="dxa"/>
            <w:shd w:val="clear" w:color="auto" w:fill="F2F2F2" w:themeFill="background1" w:themeFillShade="F2"/>
          </w:tcPr>
          <w:p w:rsidRPr="00083C53" w:rsidR="00A21849" w:rsidP="00A21849" w:rsidRDefault="00A21849" w14:paraId="68BDF6A7" w14:textId="77777777">
            <w:pPr>
              <w:spacing w:after="0" w:line="240" w:lineRule="auto"/>
              <w:ind w:left="0" w:right="0" w:firstLine="0"/>
              <w:jc w:val="center"/>
              <w:rPr>
                <w:rFonts w:eastAsiaTheme="minorHAnsi"/>
                <w:color w:val="auto"/>
                <w:sz w:val="22"/>
              </w:rPr>
            </w:pPr>
            <w:r w:rsidRPr="00083C53">
              <w:rPr>
                <w:rFonts w:eastAsiaTheme="minorHAnsi"/>
                <w:b/>
                <w:color w:val="auto"/>
                <w:sz w:val="22"/>
              </w:rPr>
              <w:t>No. Safeguarding Objective</w:t>
            </w:r>
          </w:p>
        </w:tc>
        <w:tc>
          <w:tcPr>
            <w:tcW w:w="4310" w:type="dxa"/>
            <w:gridSpan w:val="2"/>
            <w:shd w:val="clear" w:color="auto" w:fill="F2F2F2" w:themeFill="background1" w:themeFillShade="F2"/>
          </w:tcPr>
          <w:p w:rsidRPr="00083C53" w:rsidR="00A21849" w:rsidP="00A21849" w:rsidRDefault="00A21849" w14:paraId="5AAC5AAE" w14:textId="77777777">
            <w:pPr>
              <w:spacing w:after="0" w:line="240" w:lineRule="auto"/>
              <w:ind w:left="0" w:right="0" w:firstLine="0"/>
              <w:jc w:val="left"/>
              <w:rPr>
                <w:rFonts w:eastAsiaTheme="minorHAnsi"/>
                <w:color w:val="auto"/>
                <w:sz w:val="22"/>
              </w:rPr>
            </w:pPr>
            <w:r w:rsidRPr="00083C53">
              <w:rPr>
                <w:rFonts w:eastAsiaTheme="minorHAnsi"/>
                <w:b/>
                <w:color w:val="auto"/>
                <w:sz w:val="22"/>
              </w:rPr>
              <w:t>Action Required</w:t>
            </w:r>
          </w:p>
        </w:tc>
        <w:tc>
          <w:tcPr>
            <w:tcW w:w="2407" w:type="dxa"/>
            <w:shd w:val="clear" w:color="auto" w:fill="F2F2F2" w:themeFill="background1" w:themeFillShade="F2"/>
          </w:tcPr>
          <w:p w:rsidRPr="00083C53" w:rsidR="00A21849" w:rsidP="00A21849" w:rsidRDefault="00A21849" w14:paraId="211FA246" w14:textId="77777777">
            <w:pPr>
              <w:spacing w:after="0" w:line="240" w:lineRule="auto"/>
              <w:ind w:left="0" w:right="0" w:firstLine="0"/>
              <w:jc w:val="left"/>
              <w:rPr>
                <w:rFonts w:eastAsiaTheme="minorHAnsi"/>
                <w:color w:val="auto"/>
                <w:sz w:val="22"/>
              </w:rPr>
            </w:pPr>
            <w:r w:rsidRPr="00083C53">
              <w:rPr>
                <w:rFonts w:eastAsiaTheme="minorHAnsi"/>
                <w:b/>
                <w:color w:val="auto"/>
                <w:sz w:val="22"/>
              </w:rPr>
              <w:t>Lead</w:t>
            </w:r>
          </w:p>
        </w:tc>
        <w:tc>
          <w:tcPr>
            <w:tcW w:w="3106" w:type="dxa"/>
            <w:shd w:val="clear" w:color="auto" w:fill="F2F2F2" w:themeFill="background1" w:themeFillShade="F2"/>
          </w:tcPr>
          <w:p w:rsidRPr="00083C53" w:rsidR="00A21849" w:rsidP="00A21849" w:rsidRDefault="00A21849" w14:paraId="55A121D5"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Evidence</w:t>
            </w:r>
          </w:p>
          <w:p w:rsidRPr="00083C53" w:rsidR="00A21849" w:rsidP="00A21849" w:rsidRDefault="00A21849" w14:paraId="219BD062" w14:textId="77777777">
            <w:pPr>
              <w:spacing w:after="0" w:line="240" w:lineRule="auto"/>
              <w:ind w:left="0" w:right="0" w:firstLine="0"/>
              <w:jc w:val="left"/>
              <w:rPr>
                <w:rFonts w:eastAsiaTheme="minorHAnsi"/>
                <w:color w:val="auto"/>
                <w:sz w:val="22"/>
              </w:rPr>
            </w:pPr>
            <w:r w:rsidRPr="00083C53">
              <w:rPr>
                <w:rFonts w:eastAsiaTheme="minorHAnsi"/>
                <w:b/>
                <w:color w:val="auto"/>
                <w:sz w:val="22"/>
              </w:rPr>
              <w:t>Measures</w:t>
            </w:r>
          </w:p>
        </w:tc>
        <w:tc>
          <w:tcPr>
            <w:tcW w:w="2203" w:type="dxa"/>
            <w:gridSpan w:val="2"/>
            <w:shd w:val="clear" w:color="auto" w:fill="F2F2F2" w:themeFill="background1" w:themeFillShade="F2"/>
          </w:tcPr>
          <w:p w:rsidRPr="00083C53" w:rsidR="00A21849" w:rsidP="00A21849" w:rsidRDefault="00A21849" w14:paraId="7195F792" w14:textId="77777777">
            <w:pPr>
              <w:spacing w:after="0" w:line="240" w:lineRule="auto"/>
              <w:ind w:left="0" w:right="0" w:firstLine="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2147902E"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RAG</w:t>
            </w:r>
          </w:p>
        </w:tc>
      </w:tr>
      <w:tr w:rsidRPr="00083C53" w:rsidR="007F0D4E" w:rsidTr="00A42FAD" w14:paraId="100A05C9" w14:textId="77777777">
        <w:trPr>
          <w:trHeight w:val="2259"/>
        </w:trPr>
        <w:tc>
          <w:tcPr>
            <w:tcW w:w="1284" w:type="dxa"/>
            <w:gridSpan w:val="2"/>
            <w:vMerge w:val="restart"/>
          </w:tcPr>
          <w:p w:rsidRPr="00083C53" w:rsidR="00A21849" w:rsidP="00A21849" w:rsidRDefault="00A21849" w14:paraId="436726E6" w14:textId="77777777">
            <w:pPr>
              <w:spacing w:after="0" w:line="240" w:lineRule="auto"/>
              <w:ind w:left="0" w:right="0" w:firstLine="0"/>
              <w:jc w:val="left"/>
              <w:rPr>
                <w:rFonts w:eastAsiaTheme="minorHAnsi"/>
                <w:color w:val="auto"/>
                <w:sz w:val="22"/>
              </w:rPr>
            </w:pPr>
            <w:r w:rsidRPr="00083C53">
              <w:rPr>
                <w:rFonts w:eastAsiaTheme="minorHAnsi"/>
                <w:b/>
                <w:color w:val="auto"/>
                <w:sz w:val="22"/>
              </w:rPr>
              <w:t>Improved Experience of care</w:t>
            </w:r>
          </w:p>
        </w:tc>
        <w:tc>
          <w:tcPr>
            <w:tcW w:w="1568" w:type="dxa"/>
            <w:vMerge w:val="restart"/>
          </w:tcPr>
          <w:p w:rsidRPr="00083C53" w:rsidR="00A21849" w:rsidP="00A21849" w:rsidRDefault="00A21849" w14:paraId="674C1BF2"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3.Ensure Making Safeguarding Personal and Voice of the Child are Central to Practice</w:t>
            </w:r>
          </w:p>
          <w:p w:rsidRPr="00083C53" w:rsidR="00A21849" w:rsidP="00A21849" w:rsidRDefault="00A21849" w14:paraId="6DD8FD4F"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The Corporate Safeguarding Team will ensure that all safeguarding interventions are person-led, outcome-focused, and aligned with the principles </w:t>
            </w:r>
            <w:r w:rsidRPr="00083C53">
              <w:rPr>
                <w:rFonts w:eastAsiaTheme="minorHAnsi"/>
                <w:color w:val="auto"/>
                <w:sz w:val="22"/>
              </w:rPr>
              <w:t>of Making Safeguarding Personal (MSP), with clear consideration of the views, wishes and lived experience of service users, including children.</w:t>
            </w:r>
          </w:p>
          <w:p w:rsidRPr="00083C53" w:rsidR="00A21849" w:rsidP="00A21849" w:rsidRDefault="00A21849" w14:paraId="387ABD34" w14:textId="77777777">
            <w:pPr>
              <w:spacing w:after="0" w:line="240" w:lineRule="auto"/>
              <w:ind w:left="0" w:right="0" w:firstLine="0"/>
              <w:jc w:val="left"/>
              <w:rPr>
                <w:rFonts w:eastAsiaTheme="minorHAnsi"/>
                <w:color w:val="auto"/>
                <w:sz w:val="22"/>
              </w:rPr>
            </w:pPr>
          </w:p>
        </w:tc>
        <w:tc>
          <w:tcPr>
            <w:tcW w:w="4310" w:type="dxa"/>
            <w:gridSpan w:val="2"/>
            <w:vMerge w:val="restart"/>
          </w:tcPr>
          <w:tbl>
            <w:tblPr>
              <w:tblW w:w="0" w:type="auto"/>
              <w:tblCellSpacing w:w="15" w:type="dxa"/>
              <w:tblLook w:val="04A0" w:firstRow="1" w:lastRow="0" w:firstColumn="1" w:lastColumn="0" w:noHBand="0" w:noVBand="1"/>
            </w:tblPr>
            <w:tblGrid>
              <w:gridCol w:w="3469"/>
            </w:tblGrid>
            <w:tr w:rsidRPr="00083C53" w:rsidR="00A21849" w:rsidTr="000654B1" w14:paraId="4D6F95B4"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57B95752"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Audit safeguarding documentation for evidence of MSP/Voice of the Child</w:t>
                  </w:r>
                </w:p>
                <w:p w:rsidRPr="00083C53" w:rsidR="00A21849" w:rsidP="00A21849" w:rsidRDefault="00A21849" w14:paraId="7C57C00C"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1A801D0B"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4CCEF248"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Co-produce safeguarding feedback form in partnership with people with lived experience</w:t>
                  </w:r>
                </w:p>
                <w:p w:rsidRPr="00083C53" w:rsidR="00A21849" w:rsidP="00A21849" w:rsidRDefault="00A21849" w14:paraId="3A319078"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0BD5E0DF"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3FE6F37B"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Deliver staff training focused on applying MSP principles in complex cases</w:t>
                  </w:r>
                </w:p>
                <w:p w:rsidRPr="00083C53" w:rsidR="00A21849" w:rsidP="00B80E06" w:rsidRDefault="00A21849" w14:paraId="1A179046"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Audit case files to ensure the Voice of the Child is </w:t>
                  </w:r>
                  <w:r w:rsidRPr="00083C53">
                    <w:rPr>
                      <w:rFonts w:eastAsiaTheme="minorHAnsi"/>
                      <w:color w:val="auto"/>
                      <w:sz w:val="22"/>
                    </w:rPr>
                    <w:t>central to all decision making</w:t>
                  </w:r>
                </w:p>
                <w:p w:rsidRPr="00083C53" w:rsidR="00A21849" w:rsidP="00A21849" w:rsidRDefault="00A21849" w14:paraId="15069810" w14:textId="77777777">
                  <w:pPr>
                    <w:spacing w:before="100" w:beforeAutospacing="1" w:after="100" w:afterAutospacing="1" w:line="240" w:lineRule="auto"/>
                    <w:ind w:left="720" w:right="0" w:firstLine="0"/>
                    <w:jc w:val="left"/>
                    <w:rPr>
                      <w:rFonts w:eastAsiaTheme="minorHAnsi"/>
                      <w:color w:val="auto"/>
                      <w:sz w:val="22"/>
                    </w:rPr>
                  </w:pPr>
                </w:p>
                <w:p w:rsidRPr="00083C53" w:rsidR="00A21849" w:rsidP="00B80E06" w:rsidRDefault="00A21849" w14:paraId="39044DFE"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Embed TIC principles into all safeguarding training, supervision and advice</w:t>
                  </w:r>
                </w:p>
                <w:p w:rsidRPr="00083C53" w:rsidR="00A21849" w:rsidP="00A21849" w:rsidRDefault="00A21849" w14:paraId="7530DB3E" w14:textId="77777777">
                  <w:pPr>
                    <w:spacing w:after="160" w:line="259" w:lineRule="auto"/>
                    <w:ind w:left="720" w:right="0" w:firstLine="0"/>
                    <w:contextualSpacing/>
                    <w:jc w:val="left"/>
                    <w:rPr>
                      <w:rFonts w:eastAsiaTheme="minorHAnsi"/>
                      <w:color w:val="auto"/>
                      <w:sz w:val="22"/>
                      <w:lang w:eastAsia="en-US"/>
                    </w:rPr>
                  </w:pPr>
                </w:p>
                <w:p w:rsidRPr="00083C53" w:rsidR="00A21849" w:rsidP="00B80E06" w:rsidRDefault="00A21849" w14:paraId="6E57CEC9" w14:textId="2ADF2EE6">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Provide quarterly reflective safeguarding supervision </w:t>
                  </w:r>
                  <w:r w:rsidRPr="00083C53" w:rsidR="00B66EB7">
                    <w:rPr>
                      <w:rFonts w:eastAsiaTheme="minorHAnsi"/>
                      <w:color w:val="auto"/>
                      <w:sz w:val="22"/>
                    </w:rPr>
                    <w:t>sessions with</w:t>
                  </w:r>
                  <w:r w:rsidRPr="00083C53">
                    <w:rPr>
                      <w:rFonts w:eastAsiaTheme="minorHAnsi"/>
                      <w:color w:val="auto"/>
                      <w:sz w:val="22"/>
                    </w:rPr>
                    <w:t xml:space="preserve"> TIC emphasis to cascade the practice</w:t>
                  </w:r>
                </w:p>
                <w:p w:rsidRPr="00083C53" w:rsidR="00A21849" w:rsidP="00A21849" w:rsidRDefault="00A21849" w14:paraId="39A4D933" w14:textId="77777777">
                  <w:pPr>
                    <w:spacing w:after="160" w:line="259" w:lineRule="auto"/>
                    <w:ind w:left="720" w:right="0" w:firstLine="0"/>
                    <w:contextualSpacing/>
                    <w:jc w:val="left"/>
                    <w:rPr>
                      <w:rFonts w:eastAsiaTheme="minorHAnsi"/>
                      <w:color w:val="auto"/>
                      <w:sz w:val="22"/>
                      <w:lang w:eastAsia="en-US"/>
                    </w:rPr>
                  </w:pPr>
                </w:p>
                <w:p w:rsidRPr="00083C53" w:rsidR="00A21849" w:rsidP="00B80E06" w:rsidRDefault="00A21849" w14:paraId="042D4DD3"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Collect safeguarding feedback from service users when enquiries are completed</w:t>
                  </w:r>
                </w:p>
                <w:p w:rsidRPr="00083C53" w:rsidR="00A21849" w:rsidP="00A21849" w:rsidRDefault="00A21849" w14:paraId="3CBECBC5" w14:textId="77777777">
                  <w:pPr>
                    <w:spacing w:after="160" w:line="259" w:lineRule="auto"/>
                    <w:ind w:left="720" w:right="0" w:firstLine="0"/>
                    <w:contextualSpacing/>
                    <w:jc w:val="left"/>
                    <w:rPr>
                      <w:rFonts w:eastAsiaTheme="minorHAnsi"/>
                      <w:color w:val="auto"/>
                      <w:sz w:val="22"/>
                      <w:lang w:eastAsia="en-US"/>
                    </w:rPr>
                  </w:pPr>
                </w:p>
                <w:p w:rsidRPr="00083C53" w:rsidR="00A21849" w:rsidP="00B80E06" w:rsidRDefault="00A21849" w14:paraId="7E9C1D6E" w14:textId="77777777">
                  <w:pPr>
                    <w:numPr>
                      <w:ilvl w:val="0"/>
                      <w:numId w:val="37"/>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Deliver integrated safeguarding training</w:t>
                  </w:r>
                </w:p>
                <w:p w:rsidRPr="00083C53" w:rsidR="00A21849" w:rsidP="00A21849" w:rsidRDefault="00A21849" w14:paraId="1EDFD407" w14:textId="77777777">
                  <w:pPr>
                    <w:spacing w:before="100" w:beforeAutospacing="1" w:after="100" w:afterAutospacing="1" w:line="240" w:lineRule="auto"/>
                    <w:ind w:left="720" w:right="0" w:firstLine="0"/>
                    <w:jc w:val="left"/>
                    <w:rPr>
                      <w:rFonts w:eastAsiaTheme="minorHAnsi"/>
                      <w:color w:val="auto"/>
                      <w:sz w:val="22"/>
                    </w:rPr>
                  </w:pPr>
                </w:p>
              </w:tc>
            </w:tr>
          </w:tbl>
          <w:p w:rsidRPr="00083C53" w:rsidR="00A21849" w:rsidP="00A21849" w:rsidRDefault="00A21849" w14:paraId="272073B3" w14:textId="77777777">
            <w:pPr>
              <w:spacing w:after="0" w:line="240" w:lineRule="auto"/>
              <w:ind w:left="0" w:right="0" w:firstLine="0"/>
              <w:jc w:val="left"/>
              <w:rPr>
                <w:rFonts w:eastAsiaTheme="minorHAnsi"/>
                <w:color w:val="auto"/>
                <w:sz w:val="22"/>
              </w:rPr>
            </w:pPr>
          </w:p>
        </w:tc>
        <w:tc>
          <w:tcPr>
            <w:tcW w:w="2407" w:type="dxa"/>
            <w:vMerge w:val="restart"/>
          </w:tcPr>
          <w:p w:rsidRPr="00083C53" w:rsidR="00A21849" w:rsidP="00B80E06" w:rsidRDefault="00A21849" w14:paraId="230365B5"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Named Professionals and Lead Professionals are responsible for the operational delivery of the actions in the work plan.</w:t>
            </w:r>
          </w:p>
          <w:p w:rsidRPr="00083C53" w:rsidR="00A21849" w:rsidP="00A21849" w:rsidRDefault="00A21849" w14:paraId="546195C3"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3EBB3ED8"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 xml:space="preserve">The Associate Director is primarily accountable for delivering the safeguarding strategy and coordinating the </w:t>
            </w:r>
            <w:r w:rsidRPr="00083C53">
              <w:rPr>
                <w:rFonts w:eastAsiaTheme="minorHAnsi"/>
                <w:color w:val="auto"/>
                <w:sz w:val="22"/>
              </w:rPr>
              <w:t>implementation of the work plan.</w:t>
            </w:r>
          </w:p>
          <w:p w:rsidRPr="00083C53" w:rsidR="00A21849" w:rsidP="00A21849" w:rsidRDefault="00A21849" w14:paraId="3066B89D"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6FC53832"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7C09DC35"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p w:rsidRPr="00083C53" w:rsidR="00A21849" w:rsidP="00A21849" w:rsidRDefault="00A21849" w14:paraId="2151DBCF" w14:textId="77777777">
            <w:pPr>
              <w:spacing w:after="0" w:line="240" w:lineRule="auto"/>
              <w:ind w:left="0" w:right="0" w:firstLine="0"/>
              <w:jc w:val="left"/>
              <w:rPr>
                <w:rFonts w:eastAsiaTheme="minorHAnsi"/>
                <w:color w:val="auto"/>
                <w:sz w:val="22"/>
              </w:rPr>
            </w:pPr>
          </w:p>
        </w:tc>
        <w:tc>
          <w:tcPr>
            <w:tcW w:w="3106" w:type="dxa"/>
            <w:vMerge w:val="restart"/>
          </w:tcPr>
          <w:tbl>
            <w:tblPr>
              <w:tblW w:w="2277" w:type="dxa"/>
              <w:tblCellSpacing w:w="15" w:type="dxa"/>
              <w:tblLook w:val="04A0" w:firstRow="1" w:lastRow="0" w:firstColumn="1" w:lastColumn="0" w:noHBand="0" w:noVBand="1"/>
            </w:tblPr>
            <w:tblGrid>
              <w:gridCol w:w="2277"/>
            </w:tblGrid>
            <w:tr w:rsidRPr="00083C53" w:rsidR="00A21849" w:rsidTr="000654B1" w14:paraId="78DB9503" w14:textId="77777777">
              <w:trPr>
                <w:tblCellSpacing w:w="15" w:type="dxa"/>
              </w:trPr>
              <w:tc>
                <w:tcPr>
                  <w:tcW w:w="2217" w:type="dxa"/>
                  <w:tcMar>
                    <w:top w:w="15" w:type="dxa"/>
                    <w:left w:w="15" w:type="dxa"/>
                    <w:bottom w:w="15" w:type="dxa"/>
                    <w:right w:w="15" w:type="dxa"/>
                  </w:tcMar>
                  <w:vAlign w:val="center"/>
                  <w:hideMark/>
                </w:tcPr>
                <w:p w:rsidRPr="00083C53" w:rsidR="00A21849" w:rsidP="00A21849" w:rsidRDefault="00A21849" w14:paraId="5C6A6618"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 </w:t>
                  </w:r>
                </w:p>
              </w:tc>
            </w:tr>
            <w:tr w:rsidRPr="00083C53" w:rsidR="00A21849" w:rsidTr="000654B1" w14:paraId="5D27DD9E"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1AF07C51" w14:textId="77777777">
                  <w:pPr>
                    <w:numPr>
                      <w:ilvl w:val="0"/>
                      <w:numId w:val="40"/>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Service user attendance at safeguarding committee and interview panel</w:t>
                  </w:r>
                </w:p>
                <w:p w:rsidRPr="00083C53" w:rsidR="00A21849" w:rsidP="00A21849" w:rsidRDefault="00A21849" w14:paraId="16DDFC61" w14:textId="77777777">
                  <w:pPr>
                    <w:spacing w:before="100" w:beforeAutospacing="1" w:after="100" w:afterAutospacing="1" w:line="240" w:lineRule="auto"/>
                    <w:ind w:left="720" w:right="0" w:firstLine="0"/>
                    <w:jc w:val="left"/>
                    <w:rPr>
                      <w:rFonts w:eastAsiaTheme="minorHAnsi"/>
                      <w:color w:val="auto"/>
                      <w:sz w:val="22"/>
                    </w:rPr>
                  </w:pPr>
                  <w:r w:rsidRPr="00083C53">
                    <w:rPr>
                      <w:rFonts w:eastAsiaTheme="minorHAnsi"/>
                      <w:color w:val="auto"/>
                      <w:sz w:val="22"/>
                    </w:rPr>
                    <w:t xml:space="preserve"> </w:t>
                  </w:r>
                </w:p>
              </w:tc>
            </w:tr>
            <w:tr w:rsidRPr="00083C53" w:rsidR="00A21849" w:rsidTr="000654B1" w14:paraId="567ABD36"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5D6DE212" w14:textId="77777777">
                  <w:pPr>
                    <w:numPr>
                      <w:ilvl w:val="0"/>
                      <w:numId w:val="3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Training evaluations</w:t>
                  </w:r>
                </w:p>
                <w:p w:rsidRPr="00083C53" w:rsidR="00A21849" w:rsidP="00B80E06" w:rsidRDefault="00A21849" w14:paraId="5B86A70D" w14:textId="77777777">
                  <w:pPr>
                    <w:numPr>
                      <w:ilvl w:val="0"/>
                      <w:numId w:val="38"/>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Case studies presented at Trust Safeguarding Committee</w:t>
                  </w:r>
                </w:p>
                <w:p w:rsidRPr="00083C53" w:rsidR="00A21849" w:rsidP="00B80E06" w:rsidRDefault="00A21849" w14:paraId="57C387BF"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Audit reports demonstrating practice change</w:t>
                  </w:r>
                </w:p>
                <w:p w:rsidRPr="00083C53" w:rsidR="00A21849" w:rsidP="00B80E06" w:rsidRDefault="00A21849" w14:paraId="033B850E" w14:textId="77777777">
                  <w:pPr>
                    <w:numPr>
                      <w:ilvl w:val="0"/>
                      <w:numId w:val="3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Service user experience to be incorporated in safeguarding training  </w:t>
                  </w:r>
                </w:p>
                <w:p w:rsidRPr="00083C53" w:rsidR="00A21849" w:rsidP="00A21849" w:rsidRDefault="00A21849" w14:paraId="1D6C1552" w14:textId="77777777">
                  <w:pPr>
                    <w:spacing w:before="100" w:beforeAutospacing="1" w:after="100" w:afterAutospacing="1" w:line="240" w:lineRule="auto"/>
                    <w:ind w:left="0" w:right="0" w:firstLine="0"/>
                    <w:jc w:val="left"/>
                    <w:rPr>
                      <w:rFonts w:eastAsiaTheme="minorHAnsi"/>
                      <w:color w:val="auto"/>
                      <w:sz w:val="22"/>
                    </w:rPr>
                  </w:pPr>
                </w:p>
              </w:tc>
            </w:tr>
          </w:tbl>
          <w:p w:rsidRPr="00083C53" w:rsidR="00A21849" w:rsidP="00A21849" w:rsidRDefault="00A21849" w14:paraId="3DB9A9F8" w14:textId="77777777">
            <w:pPr>
              <w:spacing w:after="0" w:line="240" w:lineRule="auto"/>
              <w:ind w:left="0" w:right="0" w:firstLine="0"/>
              <w:jc w:val="left"/>
              <w:rPr>
                <w:rFonts w:eastAsiaTheme="minorHAnsi"/>
                <w:color w:val="auto"/>
                <w:sz w:val="22"/>
              </w:rPr>
            </w:pPr>
          </w:p>
        </w:tc>
        <w:tc>
          <w:tcPr>
            <w:tcW w:w="2203" w:type="dxa"/>
            <w:gridSpan w:val="2"/>
            <w:vMerge w:val="restart"/>
          </w:tcPr>
          <w:p w:rsidRPr="00083C53" w:rsidR="00A21849" w:rsidP="00A21849" w:rsidRDefault="00A21849" w14:paraId="16BA5168" w14:textId="2847F087">
            <w:pPr>
              <w:spacing w:after="0" w:line="240" w:lineRule="auto"/>
              <w:ind w:left="0" w:right="0" w:firstLine="0"/>
              <w:jc w:val="left"/>
              <w:rPr>
                <w:rFonts w:eastAsiaTheme="minorHAnsi"/>
                <w:color w:val="auto"/>
                <w:sz w:val="22"/>
              </w:rPr>
            </w:pPr>
            <w:r w:rsidRPr="00083C53">
              <w:rPr>
                <w:rFonts w:eastAsiaTheme="minorHAnsi"/>
                <w:color w:val="auto"/>
                <w:sz w:val="22"/>
              </w:rPr>
              <w:t>Quarterly performance report to safeguarding committee evidencing the following areas of work:</w:t>
            </w:r>
          </w:p>
          <w:p w:rsidRPr="00083C53" w:rsidR="00A21849" w:rsidP="00A21849" w:rsidRDefault="00A21849" w14:paraId="04D1D31C" w14:textId="77777777">
            <w:pPr>
              <w:spacing w:after="0" w:line="240" w:lineRule="auto"/>
              <w:ind w:left="0" w:right="0" w:firstLine="0"/>
              <w:jc w:val="left"/>
              <w:rPr>
                <w:rFonts w:eastAsiaTheme="minorHAnsi"/>
                <w:color w:val="auto"/>
                <w:sz w:val="22"/>
              </w:rPr>
            </w:pPr>
          </w:p>
          <w:p w:rsidRPr="00083C53" w:rsidR="00A21849" w:rsidP="00B80E06" w:rsidRDefault="00A21849" w14:paraId="009C81DD"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Training Compliance</w:t>
            </w:r>
          </w:p>
          <w:p w:rsidRPr="00083C53" w:rsidR="00A21849" w:rsidP="00A21849" w:rsidRDefault="00A21849" w14:paraId="0F2EA09A" w14:textId="77777777">
            <w:pPr>
              <w:spacing w:after="0" w:line="240" w:lineRule="auto"/>
              <w:ind w:left="172" w:right="0" w:hanging="142"/>
              <w:jc w:val="left"/>
              <w:rPr>
                <w:rFonts w:eastAsiaTheme="minorHAnsi"/>
                <w:color w:val="auto"/>
                <w:sz w:val="22"/>
              </w:rPr>
            </w:pPr>
          </w:p>
          <w:p w:rsidRPr="00083C53" w:rsidR="00A21849" w:rsidP="00B80E06" w:rsidRDefault="00A21849" w14:paraId="0AD3F8F6"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Planned Supervision compliance</w:t>
            </w:r>
          </w:p>
          <w:p w:rsidRPr="00083C53" w:rsidR="00A21849" w:rsidP="00A21849" w:rsidRDefault="00A21849" w14:paraId="01029926" w14:textId="77777777">
            <w:pPr>
              <w:spacing w:after="0" w:line="240" w:lineRule="auto"/>
              <w:ind w:left="172" w:right="0" w:hanging="142"/>
              <w:jc w:val="left"/>
              <w:rPr>
                <w:rFonts w:eastAsiaTheme="minorHAnsi"/>
                <w:color w:val="auto"/>
                <w:sz w:val="22"/>
              </w:rPr>
            </w:pPr>
          </w:p>
          <w:p w:rsidRPr="00083C53" w:rsidR="00A21849" w:rsidP="00B80E06" w:rsidRDefault="00A21849" w14:paraId="5BBA033C"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Ad hoc advice compliance</w:t>
            </w:r>
          </w:p>
          <w:p w:rsidRPr="00083C53" w:rsidR="00A21849" w:rsidP="00A21849" w:rsidRDefault="00A21849" w14:paraId="0A1AEE61" w14:textId="77777777">
            <w:pPr>
              <w:spacing w:after="0" w:line="240" w:lineRule="auto"/>
              <w:ind w:left="172" w:right="0" w:hanging="142"/>
              <w:jc w:val="left"/>
              <w:rPr>
                <w:rFonts w:eastAsiaTheme="minorHAnsi"/>
                <w:color w:val="auto"/>
                <w:sz w:val="22"/>
              </w:rPr>
            </w:pPr>
          </w:p>
          <w:p w:rsidRPr="00083C53" w:rsidR="00A21849" w:rsidP="00B80E06" w:rsidRDefault="00A21849" w14:paraId="4637B0D7"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Audit Reports</w:t>
            </w:r>
          </w:p>
          <w:p w:rsidRPr="00083C53" w:rsidR="00A21849" w:rsidP="00A21849" w:rsidRDefault="00A21849" w14:paraId="61880B62" w14:textId="77777777">
            <w:pPr>
              <w:spacing w:after="0" w:line="240" w:lineRule="auto"/>
              <w:ind w:left="172" w:right="0" w:hanging="142"/>
              <w:jc w:val="left"/>
              <w:rPr>
                <w:rFonts w:eastAsiaTheme="minorHAnsi"/>
                <w:color w:val="auto"/>
                <w:sz w:val="22"/>
              </w:rPr>
            </w:pPr>
          </w:p>
          <w:p w:rsidRPr="00083C53" w:rsidR="00A21849" w:rsidP="00B80E06" w:rsidRDefault="00A21849" w14:paraId="3B29A24B" w14:textId="77777777">
            <w:pPr>
              <w:numPr>
                <w:ilvl w:val="0"/>
                <w:numId w:val="10"/>
              </w:numPr>
              <w:spacing w:after="0" w:line="240" w:lineRule="auto"/>
              <w:ind w:left="172" w:right="0" w:hanging="142"/>
              <w:contextualSpacing/>
              <w:jc w:val="left"/>
              <w:rPr>
                <w:rFonts w:eastAsiaTheme="minorHAnsi"/>
                <w:color w:val="auto"/>
                <w:sz w:val="22"/>
              </w:rPr>
            </w:pPr>
            <w:proofErr w:type="spellStart"/>
            <w:r w:rsidRPr="00083C53">
              <w:rPr>
                <w:rFonts w:eastAsiaTheme="minorHAnsi"/>
                <w:color w:val="auto"/>
                <w:sz w:val="22"/>
              </w:rPr>
              <w:t>Inphase</w:t>
            </w:r>
            <w:proofErr w:type="spellEnd"/>
            <w:r w:rsidRPr="00083C53">
              <w:rPr>
                <w:rFonts w:eastAsiaTheme="minorHAnsi"/>
                <w:color w:val="auto"/>
                <w:sz w:val="22"/>
              </w:rPr>
              <w:t xml:space="preserve"> analysis reports</w:t>
            </w:r>
          </w:p>
          <w:p w:rsidRPr="00083C53" w:rsidR="00A21849" w:rsidP="00A21849" w:rsidRDefault="00A21849" w14:paraId="4743DC1B" w14:textId="77777777">
            <w:pPr>
              <w:spacing w:after="0" w:line="240" w:lineRule="auto"/>
              <w:ind w:left="172" w:right="0" w:hanging="142"/>
              <w:jc w:val="left"/>
              <w:rPr>
                <w:rFonts w:eastAsiaTheme="minorHAnsi"/>
                <w:color w:val="auto"/>
                <w:sz w:val="22"/>
              </w:rPr>
            </w:pPr>
          </w:p>
          <w:p w:rsidRPr="00083C53" w:rsidR="00A21849" w:rsidP="00B80E06" w:rsidRDefault="00A21849" w14:paraId="115FCEE1"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Action Plan progress of safeguarding reviews.</w:t>
            </w:r>
          </w:p>
          <w:p w:rsidRPr="00083C53" w:rsidR="00A21849" w:rsidP="00A21849" w:rsidRDefault="00A21849" w14:paraId="239043C3" w14:textId="77777777">
            <w:pPr>
              <w:spacing w:after="0" w:line="240" w:lineRule="auto"/>
              <w:ind w:left="172" w:right="0" w:hanging="142"/>
              <w:jc w:val="left"/>
              <w:rPr>
                <w:rFonts w:eastAsiaTheme="minorHAnsi"/>
                <w:color w:val="auto"/>
                <w:sz w:val="22"/>
              </w:rPr>
            </w:pPr>
          </w:p>
          <w:p w:rsidRPr="00083C53" w:rsidR="00A21849" w:rsidP="00B80E06" w:rsidRDefault="00A21849" w14:paraId="70846841"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Training feedback</w:t>
            </w:r>
          </w:p>
          <w:p w:rsidRPr="00083C53" w:rsidR="00A21849" w:rsidP="00A21849" w:rsidRDefault="00A21849" w14:paraId="22A06C58" w14:textId="77777777">
            <w:pPr>
              <w:spacing w:after="0" w:line="240" w:lineRule="auto"/>
              <w:ind w:left="0" w:right="0" w:firstLine="0"/>
              <w:jc w:val="left"/>
              <w:rPr>
                <w:rFonts w:eastAsiaTheme="minorHAnsi"/>
                <w:color w:val="auto"/>
                <w:sz w:val="22"/>
              </w:rPr>
            </w:pPr>
          </w:p>
          <w:p w:rsidRPr="00083C53" w:rsidR="00A21849" w:rsidP="00A21849" w:rsidRDefault="00A21849" w14:paraId="7F6920A4" w14:textId="77777777">
            <w:pPr>
              <w:spacing w:after="0" w:line="240" w:lineRule="auto"/>
              <w:ind w:left="0" w:right="0" w:firstLine="0"/>
              <w:jc w:val="left"/>
              <w:rPr>
                <w:rFonts w:eastAsiaTheme="minorHAnsi"/>
                <w:color w:val="auto"/>
                <w:sz w:val="22"/>
              </w:rPr>
            </w:pPr>
            <w:r w:rsidRPr="00083C53">
              <w:rPr>
                <w:rFonts w:eastAsiaTheme="minorHAnsi"/>
                <w:color w:val="auto"/>
                <w:sz w:val="22"/>
              </w:rPr>
              <w:t>Safeguarding Adults and Children’s dashboards</w:t>
            </w:r>
          </w:p>
        </w:tc>
        <w:tc>
          <w:tcPr>
            <w:tcW w:w="936" w:type="dxa"/>
          </w:tcPr>
          <w:p w:rsidRPr="00083C53" w:rsidR="00A21849" w:rsidP="00A21849" w:rsidRDefault="00A21849" w14:paraId="7F162803"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7F0D4E" w:rsidTr="00A42FAD" w14:paraId="62CC2FE0" w14:textId="77777777">
        <w:trPr>
          <w:trHeight w:val="1694"/>
        </w:trPr>
        <w:tc>
          <w:tcPr>
            <w:tcW w:w="1284" w:type="dxa"/>
            <w:gridSpan w:val="2"/>
            <w:vMerge/>
          </w:tcPr>
          <w:p w:rsidRPr="00083C53" w:rsidR="00A21849" w:rsidP="00A21849" w:rsidRDefault="00A21849" w14:paraId="6B8CABE3"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0EAB0254"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5185027E" w14:textId="77777777">
            <w:pPr>
              <w:numPr>
                <w:ilvl w:val="0"/>
                <w:numId w:val="37"/>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76BD7B87"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A21849" w:rsidRDefault="00A21849" w14:paraId="5E38EF7D" w14:textId="77777777">
            <w:pPr>
              <w:spacing w:before="100" w:beforeAutospacing="1" w:after="100" w:afterAutospacing="1" w:line="240" w:lineRule="auto"/>
              <w:ind w:left="0" w:right="0" w:firstLine="0"/>
              <w:jc w:val="left"/>
              <w:rPr>
                <w:rFonts w:eastAsiaTheme="minorHAnsi"/>
                <w:color w:val="auto"/>
                <w:sz w:val="22"/>
              </w:rPr>
            </w:pPr>
          </w:p>
        </w:tc>
        <w:tc>
          <w:tcPr>
            <w:tcW w:w="2203" w:type="dxa"/>
            <w:gridSpan w:val="2"/>
            <w:vMerge/>
          </w:tcPr>
          <w:p w:rsidRPr="00083C53" w:rsidR="00A21849" w:rsidP="00A21849" w:rsidRDefault="00A21849" w14:paraId="49487B95"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7CB9CF8D" w14:textId="77777777">
            <w:pPr>
              <w:spacing w:after="0" w:line="240" w:lineRule="auto"/>
              <w:ind w:left="0" w:right="0" w:firstLine="0"/>
              <w:jc w:val="left"/>
              <w:rPr>
                <w:rFonts w:eastAsiaTheme="minorHAnsi"/>
                <w:color w:val="auto"/>
                <w:sz w:val="22"/>
              </w:rPr>
            </w:pPr>
          </w:p>
          <w:p w:rsidRPr="00083C53" w:rsidR="00A21849" w:rsidP="00A21849" w:rsidRDefault="00A21849" w14:paraId="7F5C5EE9"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p w:rsidRPr="00083C53" w:rsidR="00A21849" w:rsidP="00A21849" w:rsidRDefault="00A21849" w14:paraId="15B2193E" w14:textId="77777777">
            <w:pPr>
              <w:spacing w:after="0" w:line="240" w:lineRule="auto"/>
              <w:ind w:left="0" w:right="0" w:firstLine="0"/>
              <w:jc w:val="left"/>
              <w:rPr>
                <w:rFonts w:eastAsiaTheme="minorHAnsi"/>
                <w:color w:val="auto"/>
                <w:sz w:val="22"/>
              </w:rPr>
            </w:pPr>
          </w:p>
          <w:p w:rsidRPr="00083C53" w:rsidR="00A21849" w:rsidP="00A21849" w:rsidRDefault="00A21849" w14:paraId="6C7F1818" w14:textId="77777777">
            <w:pPr>
              <w:spacing w:after="0" w:line="240" w:lineRule="auto"/>
              <w:ind w:left="0" w:right="0" w:firstLine="0"/>
              <w:jc w:val="left"/>
              <w:rPr>
                <w:rFonts w:eastAsiaTheme="minorHAnsi"/>
                <w:color w:val="auto"/>
                <w:sz w:val="22"/>
              </w:rPr>
            </w:pPr>
          </w:p>
        </w:tc>
      </w:tr>
      <w:tr w:rsidRPr="00083C53" w:rsidR="007F0D4E" w:rsidTr="00A42FAD" w14:paraId="48F445ED" w14:textId="77777777">
        <w:trPr>
          <w:trHeight w:val="1425"/>
        </w:trPr>
        <w:tc>
          <w:tcPr>
            <w:tcW w:w="1284" w:type="dxa"/>
            <w:gridSpan w:val="2"/>
            <w:vMerge/>
          </w:tcPr>
          <w:p w:rsidRPr="00083C53" w:rsidR="00A21849" w:rsidP="00A21849" w:rsidRDefault="00A21849" w14:paraId="4E559897"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44CBA821"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53FDDA92" w14:textId="77777777">
            <w:pPr>
              <w:numPr>
                <w:ilvl w:val="0"/>
                <w:numId w:val="37"/>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4CB6F20C"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A21849" w:rsidRDefault="00A21849" w14:paraId="21709C7D" w14:textId="77777777">
            <w:pPr>
              <w:spacing w:before="100" w:beforeAutospacing="1" w:after="100" w:afterAutospacing="1" w:line="240" w:lineRule="auto"/>
              <w:ind w:left="0" w:right="0" w:firstLine="0"/>
              <w:jc w:val="left"/>
              <w:rPr>
                <w:rFonts w:eastAsiaTheme="minorHAnsi"/>
                <w:color w:val="auto"/>
                <w:sz w:val="22"/>
              </w:rPr>
            </w:pPr>
          </w:p>
        </w:tc>
        <w:tc>
          <w:tcPr>
            <w:tcW w:w="2203" w:type="dxa"/>
            <w:gridSpan w:val="2"/>
            <w:vMerge/>
          </w:tcPr>
          <w:p w:rsidRPr="00083C53" w:rsidR="00A21849" w:rsidP="00A21849" w:rsidRDefault="00A21849" w14:paraId="783030FD"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6BD441FC"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3</w:t>
            </w:r>
          </w:p>
        </w:tc>
      </w:tr>
      <w:tr w:rsidRPr="00083C53" w:rsidR="007F0D4E" w:rsidTr="00A42FAD" w14:paraId="1D43EE7A" w14:textId="77777777">
        <w:trPr>
          <w:trHeight w:val="3000"/>
        </w:trPr>
        <w:tc>
          <w:tcPr>
            <w:tcW w:w="1284" w:type="dxa"/>
            <w:gridSpan w:val="2"/>
            <w:vMerge/>
          </w:tcPr>
          <w:p w:rsidRPr="00083C53" w:rsidR="00A21849" w:rsidP="00A21849" w:rsidRDefault="00A21849" w14:paraId="5E2B65CB" w14:textId="77777777">
            <w:pPr>
              <w:spacing w:after="0" w:line="240" w:lineRule="auto"/>
              <w:ind w:left="0" w:right="0" w:firstLine="0"/>
              <w:jc w:val="left"/>
              <w:rPr>
                <w:rFonts w:eastAsiaTheme="minorHAnsi"/>
                <w:b/>
                <w:color w:val="auto"/>
                <w:sz w:val="22"/>
              </w:rPr>
            </w:pPr>
          </w:p>
        </w:tc>
        <w:tc>
          <w:tcPr>
            <w:tcW w:w="1568" w:type="dxa"/>
            <w:vMerge/>
          </w:tcPr>
          <w:p w:rsidRPr="00083C53" w:rsidR="00A21849" w:rsidP="00A21849" w:rsidRDefault="00A21849" w14:paraId="41ED0EA3" w14:textId="77777777">
            <w:pPr>
              <w:spacing w:before="100" w:beforeAutospacing="1" w:after="100" w:afterAutospacing="1" w:line="240" w:lineRule="auto"/>
              <w:ind w:left="0" w:right="0" w:firstLine="0"/>
              <w:jc w:val="left"/>
              <w:rPr>
                <w:rFonts w:eastAsiaTheme="minorHAnsi"/>
                <w:color w:val="auto"/>
                <w:sz w:val="22"/>
              </w:rPr>
            </w:pPr>
          </w:p>
        </w:tc>
        <w:tc>
          <w:tcPr>
            <w:tcW w:w="4310" w:type="dxa"/>
            <w:gridSpan w:val="2"/>
            <w:vMerge/>
          </w:tcPr>
          <w:p w:rsidRPr="00083C53" w:rsidR="00A21849" w:rsidP="00B80E06" w:rsidRDefault="00A21849" w14:paraId="3E5760A7" w14:textId="77777777">
            <w:pPr>
              <w:numPr>
                <w:ilvl w:val="0"/>
                <w:numId w:val="37"/>
              </w:numPr>
              <w:spacing w:before="100" w:beforeAutospacing="1" w:after="100" w:afterAutospacing="1" w:line="240" w:lineRule="auto"/>
              <w:ind w:right="0"/>
              <w:jc w:val="left"/>
              <w:rPr>
                <w:rFonts w:eastAsiaTheme="minorHAnsi"/>
                <w:color w:val="auto"/>
                <w:sz w:val="22"/>
              </w:rPr>
            </w:pPr>
          </w:p>
        </w:tc>
        <w:tc>
          <w:tcPr>
            <w:tcW w:w="2407" w:type="dxa"/>
            <w:vMerge/>
          </w:tcPr>
          <w:p w:rsidRPr="00083C53" w:rsidR="00A21849" w:rsidP="00B80E06" w:rsidRDefault="00A21849" w14:paraId="3923AD8D"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A21849" w:rsidRDefault="00A21849" w14:paraId="28C5CD9F" w14:textId="77777777">
            <w:pPr>
              <w:spacing w:before="100" w:beforeAutospacing="1" w:after="100" w:afterAutospacing="1" w:line="240" w:lineRule="auto"/>
              <w:ind w:left="0" w:right="0" w:firstLine="0"/>
              <w:jc w:val="left"/>
              <w:rPr>
                <w:rFonts w:eastAsiaTheme="minorHAnsi"/>
                <w:color w:val="auto"/>
                <w:sz w:val="22"/>
              </w:rPr>
            </w:pPr>
          </w:p>
        </w:tc>
        <w:tc>
          <w:tcPr>
            <w:tcW w:w="2203" w:type="dxa"/>
            <w:gridSpan w:val="2"/>
            <w:vMerge/>
          </w:tcPr>
          <w:p w:rsidRPr="00083C53" w:rsidR="00A21849" w:rsidP="00A21849" w:rsidRDefault="00A21849" w14:paraId="476E069B"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63004AD6"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r w:rsidRPr="00083C53" w:rsidR="00A21849" w:rsidTr="00A42FAD" w14:paraId="542B55A7" w14:textId="77777777">
        <w:tc>
          <w:tcPr>
            <w:tcW w:w="1284" w:type="dxa"/>
            <w:gridSpan w:val="2"/>
            <w:shd w:val="clear" w:color="auto" w:fill="F2F2F2" w:themeFill="background1" w:themeFillShade="F2"/>
          </w:tcPr>
          <w:p w:rsidRPr="00083C53" w:rsidR="00A21849" w:rsidP="00A21849" w:rsidRDefault="00A21849" w14:paraId="52208607"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ELFT Strategic Objective</w:t>
            </w:r>
          </w:p>
        </w:tc>
        <w:tc>
          <w:tcPr>
            <w:tcW w:w="1568" w:type="dxa"/>
            <w:shd w:val="clear" w:color="auto" w:fill="F2F2F2" w:themeFill="background1" w:themeFillShade="F2"/>
          </w:tcPr>
          <w:p w:rsidRPr="00083C53" w:rsidR="00A21849" w:rsidP="00A21849" w:rsidRDefault="00A21849" w14:paraId="44C28DDD"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No. Safeguarding Objective</w:t>
            </w:r>
          </w:p>
        </w:tc>
        <w:tc>
          <w:tcPr>
            <w:tcW w:w="4310" w:type="dxa"/>
            <w:gridSpan w:val="2"/>
            <w:shd w:val="clear" w:color="auto" w:fill="F2F2F2" w:themeFill="background1" w:themeFillShade="F2"/>
          </w:tcPr>
          <w:p w:rsidRPr="00083C53" w:rsidR="00A21849" w:rsidP="00A21849" w:rsidRDefault="00A21849" w14:paraId="76C93086" w14:textId="77777777">
            <w:pPr>
              <w:spacing w:before="100" w:beforeAutospacing="1" w:after="100" w:afterAutospacing="1" w:line="240" w:lineRule="auto"/>
              <w:ind w:left="720" w:right="0" w:firstLine="0"/>
              <w:jc w:val="left"/>
              <w:rPr>
                <w:rFonts w:eastAsiaTheme="minorHAnsi"/>
                <w:color w:val="auto"/>
                <w:sz w:val="22"/>
              </w:rPr>
            </w:pPr>
            <w:r w:rsidRPr="00083C53">
              <w:rPr>
                <w:rFonts w:eastAsiaTheme="minorHAnsi"/>
                <w:b/>
                <w:color w:val="auto"/>
                <w:sz w:val="22"/>
              </w:rPr>
              <w:t>Action Required</w:t>
            </w:r>
          </w:p>
        </w:tc>
        <w:tc>
          <w:tcPr>
            <w:tcW w:w="2407" w:type="dxa"/>
            <w:shd w:val="clear" w:color="auto" w:fill="F2F2F2" w:themeFill="background1" w:themeFillShade="F2"/>
          </w:tcPr>
          <w:p w:rsidRPr="00083C53" w:rsidR="00A21849" w:rsidP="00A21849" w:rsidRDefault="00A21849" w14:paraId="1F576B55" w14:textId="77777777">
            <w:pPr>
              <w:spacing w:after="0" w:line="240" w:lineRule="auto"/>
              <w:ind w:left="720" w:right="0" w:firstLine="0"/>
              <w:contextualSpacing/>
              <w:jc w:val="left"/>
              <w:rPr>
                <w:rFonts w:eastAsiaTheme="minorHAnsi"/>
                <w:color w:val="auto"/>
                <w:sz w:val="22"/>
              </w:rPr>
            </w:pPr>
            <w:r w:rsidRPr="00083C53">
              <w:rPr>
                <w:rFonts w:eastAsiaTheme="minorHAnsi"/>
                <w:b/>
                <w:color w:val="auto"/>
                <w:sz w:val="22"/>
              </w:rPr>
              <w:t>Lead</w:t>
            </w:r>
          </w:p>
          <w:p w:rsidRPr="00083C53" w:rsidR="00A21849" w:rsidP="00A21849" w:rsidRDefault="00A21849" w14:paraId="77BD7005" w14:textId="77777777">
            <w:pPr>
              <w:spacing w:after="0" w:line="240" w:lineRule="auto"/>
              <w:ind w:left="720" w:right="0" w:firstLine="0"/>
              <w:contextualSpacing/>
              <w:jc w:val="left"/>
              <w:rPr>
                <w:rFonts w:eastAsiaTheme="minorHAnsi"/>
                <w:color w:val="auto"/>
                <w:sz w:val="22"/>
              </w:rPr>
            </w:pPr>
          </w:p>
        </w:tc>
        <w:tc>
          <w:tcPr>
            <w:tcW w:w="3106" w:type="dxa"/>
            <w:shd w:val="clear" w:color="auto" w:fill="F2F2F2" w:themeFill="background1" w:themeFillShade="F2"/>
          </w:tcPr>
          <w:p w:rsidRPr="00083C53" w:rsidR="00A21849" w:rsidP="00A21849" w:rsidRDefault="00A21849" w14:paraId="397F6F58" w14:textId="77777777">
            <w:pPr>
              <w:spacing w:after="0" w:line="240" w:lineRule="auto"/>
              <w:ind w:left="0" w:right="0" w:firstLine="0"/>
              <w:jc w:val="left"/>
              <w:rPr>
                <w:rFonts w:eastAsiaTheme="minorHAnsi"/>
                <w:color w:val="auto"/>
                <w:sz w:val="22"/>
              </w:rPr>
            </w:pPr>
            <w:r w:rsidRPr="00083C53">
              <w:rPr>
                <w:rFonts w:eastAsiaTheme="minorHAnsi"/>
                <w:b/>
                <w:color w:val="auto"/>
                <w:sz w:val="22"/>
              </w:rPr>
              <w:t>Evidence Measures</w:t>
            </w:r>
          </w:p>
        </w:tc>
        <w:tc>
          <w:tcPr>
            <w:tcW w:w="2203" w:type="dxa"/>
            <w:gridSpan w:val="2"/>
            <w:shd w:val="clear" w:color="auto" w:fill="F2F2F2" w:themeFill="background1" w:themeFillShade="F2"/>
          </w:tcPr>
          <w:p w:rsidRPr="00083C53" w:rsidR="00A21849" w:rsidP="00A21849" w:rsidRDefault="00A21849" w14:paraId="68DF62CD" w14:textId="77777777">
            <w:pPr>
              <w:spacing w:after="0" w:line="240" w:lineRule="auto"/>
              <w:ind w:left="0" w:right="0" w:firstLine="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5CDE3886"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RAG</w:t>
            </w:r>
          </w:p>
        </w:tc>
      </w:tr>
      <w:tr w:rsidRPr="00083C53" w:rsidR="007F0D4E" w:rsidTr="00A42FAD" w14:paraId="3CC5CEBB" w14:textId="77777777">
        <w:trPr>
          <w:trHeight w:val="2028"/>
        </w:trPr>
        <w:tc>
          <w:tcPr>
            <w:tcW w:w="1276" w:type="dxa"/>
            <w:vMerge w:val="restart"/>
          </w:tcPr>
          <w:p w:rsidRPr="00083C53" w:rsidR="00A21849" w:rsidP="00A21849" w:rsidRDefault="00A21849" w14:paraId="1D81D3DE" w14:textId="77777777">
            <w:pPr>
              <w:spacing w:after="0" w:line="240" w:lineRule="auto"/>
              <w:ind w:left="0" w:right="0" w:firstLine="0"/>
              <w:jc w:val="left"/>
              <w:rPr>
                <w:rFonts w:eastAsiaTheme="minorHAnsi"/>
                <w:color w:val="auto"/>
                <w:sz w:val="22"/>
              </w:rPr>
            </w:pPr>
            <w:r w:rsidRPr="00083C53">
              <w:rPr>
                <w:rFonts w:eastAsiaTheme="minorHAnsi"/>
                <w:b/>
                <w:color w:val="auto"/>
                <w:sz w:val="22"/>
              </w:rPr>
              <w:t>Improved Population Health Outcomes</w:t>
            </w:r>
          </w:p>
        </w:tc>
        <w:tc>
          <w:tcPr>
            <w:tcW w:w="1576" w:type="dxa"/>
            <w:gridSpan w:val="2"/>
            <w:vMerge w:val="restart"/>
          </w:tcPr>
          <w:p w:rsidRPr="00083C53" w:rsidR="00A21849" w:rsidP="00A21849" w:rsidRDefault="00A21849" w14:paraId="18A9AA37"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4. Domestic Abuse and Routine Enquiry</w:t>
            </w:r>
          </w:p>
          <w:p w:rsidRPr="00083C53" w:rsidR="00A21849" w:rsidP="00A21849" w:rsidRDefault="00A21849" w14:paraId="3FF3CD28"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Corporate Safeguarding team to implement routine enquiry into domestic abuse across ELFT services using the QI methodology, underpinned by a trauma-informed approach, and supported by </w:t>
            </w:r>
            <w:r w:rsidRPr="00083C53">
              <w:rPr>
                <w:rFonts w:eastAsiaTheme="minorHAnsi"/>
                <w:color w:val="auto"/>
                <w:sz w:val="22"/>
              </w:rPr>
              <w:t>the introduction of Domestic Abuse Ambassadors to promote awareness, consistency, and staff confidence in responding to disclosures.</w:t>
            </w:r>
          </w:p>
          <w:p w:rsidRPr="00083C53" w:rsidR="00A21849" w:rsidP="00A21849" w:rsidRDefault="00A21849" w14:paraId="071254D2" w14:textId="77777777">
            <w:pPr>
              <w:spacing w:after="0" w:line="240" w:lineRule="auto"/>
              <w:ind w:left="0" w:right="0" w:firstLine="0"/>
              <w:jc w:val="left"/>
              <w:rPr>
                <w:rFonts w:eastAsiaTheme="minorHAnsi"/>
                <w:color w:val="auto"/>
                <w:sz w:val="22"/>
              </w:rPr>
            </w:pPr>
          </w:p>
        </w:tc>
        <w:tc>
          <w:tcPr>
            <w:tcW w:w="4378" w:type="dxa"/>
            <w:gridSpan w:val="2"/>
            <w:vMerge w:val="restart"/>
          </w:tcPr>
          <w:tbl>
            <w:tblPr>
              <w:tblW w:w="3469" w:type="dxa"/>
              <w:tblCellSpacing w:w="15" w:type="dxa"/>
              <w:tblLook w:val="04A0" w:firstRow="1" w:lastRow="0" w:firstColumn="1" w:lastColumn="0" w:noHBand="0" w:noVBand="1"/>
            </w:tblPr>
            <w:tblGrid>
              <w:gridCol w:w="3469"/>
            </w:tblGrid>
            <w:tr w:rsidRPr="00083C53" w:rsidR="00A21849" w:rsidTr="000654B1" w14:paraId="661E73C8"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654CB53C" w14:textId="77777777">
                  <w:pPr>
                    <w:numPr>
                      <w:ilvl w:val="0"/>
                      <w:numId w:val="41"/>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NP’s to roll out REDA training across priority services</w:t>
                  </w:r>
                </w:p>
                <w:p w:rsidRPr="00083C53" w:rsidR="00A21849" w:rsidP="00A21849" w:rsidRDefault="00A21849" w14:paraId="4AD19A6F"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56CFB1A0"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394CA93B" w14:textId="77777777">
                  <w:pPr>
                    <w:numPr>
                      <w:ilvl w:val="0"/>
                      <w:numId w:val="41"/>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Embed REDA prompts into assessment documentation and electronic patient records (e.g. </w:t>
                  </w:r>
                  <w:proofErr w:type="spellStart"/>
                  <w:r w:rsidRPr="00083C53">
                    <w:rPr>
                      <w:rFonts w:eastAsiaTheme="minorHAnsi"/>
                      <w:color w:val="auto"/>
                      <w:sz w:val="22"/>
                    </w:rPr>
                    <w:t>RiO</w:t>
                  </w:r>
                  <w:proofErr w:type="spellEnd"/>
                  <w:r w:rsidRPr="00083C53">
                    <w:rPr>
                      <w:rFonts w:eastAsiaTheme="minorHAnsi"/>
                      <w:color w:val="auto"/>
                      <w:sz w:val="22"/>
                    </w:rPr>
                    <w:t>)</w:t>
                  </w:r>
                </w:p>
                <w:p w:rsidRPr="00083C53" w:rsidR="00A21849" w:rsidP="00A21849" w:rsidRDefault="00A21849" w14:paraId="4D0513A6"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6B08B5F4"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78DE3DA9" w14:textId="77777777">
                  <w:pPr>
                    <w:numPr>
                      <w:ilvl w:val="0"/>
                      <w:numId w:val="41"/>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Identify and train Domestic Abuse Ambassadors in each borough/service</w:t>
                  </w:r>
                </w:p>
                <w:p w:rsidRPr="00083C53" w:rsidR="00A21849" w:rsidP="00A21849" w:rsidRDefault="00A21849" w14:paraId="00F063E0" w14:textId="77777777">
                  <w:pPr>
                    <w:spacing w:before="100" w:beforeAutospacing="1" w:after="100" w:afterAutospacing="1" w:line="240" w:lineRule="auto"/>
                    <w:ind w:left="0" w:right="0" w:firstLine="0"/>
                    <w:jc w:val="left"/>
                    <w:rPr>
                      <w:rFonts w:eastAsiaTheme="minorHAnsi"/>
                      <w:color w:val="auto"/>
                      <w:sz w:val="22"/>
                    </w:rPr>
                  </w:pPr>
                </w:p>
                <w:p w:rsidRPr="00083C53" w:rsidR="00A21849" w:rsidP="00A21849" w:rsidRDefault="00A21849" w14:paraId="21343602"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328910EB"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48394511" w14:textId="77777777">
                  <w:pPr>
                    <w:numPr>
                      <w:ilvl w:val="0"/>
                      <w:numId w:val="41"/>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Deliver quarterly  REDA reflective forums for Ambassadors </w:t>
                  </w:r>
                </w:p>
                <w:p w:rsidRPr="00083C53" w:rsidR="00A21849" w:rsidP="00A21849" w:rsidRDefault="00A21849" w14:paraId="581B834D"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646AF05D"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4F5AC915" w14:textId="77777777">
                  <w:pPr>
                    <w:numPr>
                      <w:ilvl w:val="0"/>
                      <w:numId w:val="41"/>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Monitor the implementation and outcomes of REDA through supervision, audits and safeguarding reporting</w:t>
                  </w:r>
                </w:p>
                <w:p w:rsidRPr="00083C53" w:rsidR="00A21849" w:rsidP="00A21849" w:rsidRDefault="00A21849" w14:paraId="68E10FEE" w14:textId="77777777">
                  <w:pPr>
                    <w:spacing w:before="100" w:beforeAutospacing="1" w:after="100" w:afterAutospacing="1" w:line="240" w:lineRule="auto"/>
                    <w:ind w:left="0" w:right="0" w:firstLine="0"/>
                    <w:jc w:val="left"/>
                    <w:rPr>
                      <w:rFonts w:eastAsiaTheme="minorHAnsi"/>
                      <w:color w:val="auto"/>
                      <w:sz w:val="22"/>
                    </w:rPr>
                  </w:pPr>
                </w:p>
                <w:p w:rsidRPr="00083C53" w:rsidR="00A21849" w:rsidP="00A21849" w:rsidRDefault="00A21849" w14:paraId="1D2D0D7B" w14:textId="77777777">
                  <w:pPr>
                    <w:spacing w:before="100" w:beforeAutospacing="1" w:after="100" w:afterAutospacing="1" w:line="240" w:lineRule="auto"/>
                    <w:ind w:left="0" w:right="0" w:firstLine="0"/>
                    <w:jc w:val="left"/>
                    <w:rPr>
                      <w:rFonts w:eastAsiaTheme="minorHAnsi"/>
                      <w:color w:val="auto"/>
                      <w:sz w:val="22"/>
                    </w:rPr>
                  </w:pPr>
                </w:p>
              </w:tc>
            </w:tr>
          </w:tbl>
          <w:p w:rsidRPr="00083C53" w:rsidR="00A21849" w:rsidP="00A21849" w:rsidRDefault="00A21849" w14:paraId="759400F7" w14:textId="77777777">
            <w:pPr>
              <w:spacing w:after="0" w:line="240" w:lineRule="auto"/>
              <w:ind w:left="0" w:right="0" w:firstLine="0"/>
              <w:jc w:val="left"/>
              <w:rPr>
                <w:rFonts w:eastAsiaTheme="minorHAnsi"/>
                <w:color w:val="auto"/>
                <w:sz w:val="22"/>
              </w:rPr>
            </w:pPr>
          </w:p>
        </w:tc>
        <w:tc>
          <w:tcPr>
            <w:tcW w:w="2339" w:type="dxa"/>
            <w:vMerge w:val="restart"/>
          </w:tcPr>
          <w:p w:rsidRPr="00083C53" w:rsidR="00A21849" w:rsidP="00B80E06" w:rsidRDefault="00A21849" w14:paraId="49F5F41F"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Named Professionals and Lead Professionals are responsible for the operational delivery of the actions in the work plan.</w:t>
            </w:r>
          </w:p>
          <w:p w:rsidRPr="00083C53" w:rsidR="00A21849" w:rsidP="00A21849" w:rsidRDefault="00A21849" w14:paraId="7BA334C8"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3F2CCF99"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 xml:space="preserve">The Associate Director is primarily accountable for delivering the safeguarding strategy and coordinating the </w:t>
            </w:r>
            <w:r w:rsidRPr="00083C53">
              <w:rPr>
                <w:rFonts w:eastAsiaTheme="minorHAnsi"/>
                <w:color w:val="auto"/>
                <w:sz w:val="22"/>
              </w:rPr>
              <w:t>implementation of the work plan.</w:t>
            </w:r>
          </w:p>
          <w:p w:rsidRPr="00083C53" w:rsidR="00A21849" w:rsidP="00A21849" w:rsidRDefault="00A21849" w14:paraId="3524ECA3"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6496EAB3"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CB6CBCB"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p w:rsidRPr="00083C53" w:rsidR="00A21849" w:rsidP="00A21849" w:rsidRDefault="00A21849" w14:paraId="5BB4DA66" w14:textId="77777777">
            <w:pPr>
              <w:spacing w:after="0" w:line="240" w:lineRule="auto"/>
              <w:ind w:left="0" w:right="0" w:firstLine="0"/>
              <w:jc w:val="left"/>
              <w:rPr>
                <w:rFonts w:eastAsiaTheme="minorHAnsi"/>
                <w:color w:val="auto"/>
                <w:sz w:val="22"/>
              </w:rPr>
            </w:pPr>
          </w:p>
        </w:tc>
        <w:tc>
          <w:tcPr>
            <w:tcW w:w="3106" w:type="dxa"/>
            <w:vMerge w:val="restart"/>
          </w:tcPr>
          <w:tbl>
            <w:tblPr>
              <w:tblW w:w="2277" w:type="dxa"/>
              <w:tblCellSpacing w:w="15" w:type="dxa"/>
              <w:tblLook w:val="04A0" w:firstRow="1" w:lastRow="0" w:firstColumn="1" w:lastColumn="0" w:noHBand="0" w:noVBand="1"/>
            </w:tblPr>
            <w:tblGrid>
              <w:gridCol w:w="2277"/>
            </w:tblGrid>
            <w:tr w:rsidRPr="00083C53" w:rsidR="00A21849" w:rsidTr="000654B1" w14:paraId="1B192060"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442B68F9"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Percentage  staff trained </w:t>
                  </w:r>
                </w:p>
                <w:p w:rsidRPr="00083C53" w:rsidR="00A21849" w:rsidP="00B80E06" w:rsidRDefault="00A21849" w14:paraId="50670434"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Pre/post knowledge evaluation</w:t>
                  </w:r>
                </w:p>
              </w:tc>
            </w:tr>
            <w:tr w:rsidRPr="00083C53" w:rsidR="00A21849" w:rsidTr="000654B1" w14:paraId="6F85C3EF"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2DFBC26A"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Updated templates approved </w:t>
                  </w:r>
                </w:p>
                <w:p w:rsidRPr="00083C53" w:rsidR="00A21849" w:rsidP="00B80E06" w:rsidRDefault="00A21849" w14:paraId="2E5E378C"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Audit of completed REDA documentation</w:t>
                  </w:r>
                </w:p>
              </w:tc>
            </w:tr>
            <w:tr w:rsidRPr="00083C53" w:rsidR="00A21849" w:rsidTr="000654B1" w14:paraId="0499D6A9"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79BA8C00"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Ambassador list and role descriptions- Training logs and ongoing </w:t>
                  </w:r>
                  <w:r w:rsidRPr="00083C53">
                    <w:rPr>
                      <w:rFonts w:eastAsiaTheme="minorHAnsi"/>
                      <w:color w:val="auto"/>
                      <w:sz w:val="22"/>
                    </w:rPr>
                    <w:t>support arrangements</w:t>
                  </w:r>
                </w:p>
              </w:tc>
            </w:tr>
            <w:tr w:rsidRPr="00083C53" w:rsidR="00A21849" w:rsidTr="000654B1" w14:paraId="78A919A9"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1CCCD236"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Forum attendance records- Summary reports on challenges and impact</w:t>
                  </w:r>
                </w:p>
              </w:tc>
            </w:tr>
            <w:tr w:rsidRPr="00083C53" w:rsidR="00A21849" w:rsidTr="000654B1" w14:paraId="62D8101F"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0A4A6381"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Staff feedback and REDA case study examples</w:t>
                  </w:r>
                </w:p>
              </w:tc>
            </w:tr>
          </w:tbl>
          <w:p w:rsidRPr="00083C53" w:rsidR="00A21849" w:rsidP="00A21849" w:rsidRDefault="00A21849" w14:paraId="15EF6150" w14:textId="77777777">
            <w:pPr>
              <w:spacing w:after="0" w:line="240" w:lineRule="auto"/>
              <w:ind w:left="0" w:right="0" w:firstLine="0"/>
              <w:jc w:val="left"/>
              <w:rPr>
                <w:rFonts w:eastAsiaTheme="minorHAnsi"/>
                <w:color w:val="auto"/>
                <w:sz w:val="22"/>
              </w:rPr>
            </w:pPr>
          </w:p>
        </w:tc>
        <w:tc>
          <w:tcPr>
            <w:tcW w:w="2203" w:type="dxa"/>
            <w:gridSpan w:val="2"/>
            <w:vMerge w:val="restart"/>
          </w:tcPr>
          <w:p w:rsidRPr="00083C53" w:rsidR="00A21849" w:rsidP="00A21849" w:rsidRDefault="00A21849" w14:paraId="1B74EAB2" w14:textId="77777777">
            <w:pPr>
              <w:spacing w:after="0" w:line="240" w:lineRule="auto"/>
              <w:ind w:left="0" w:right="0" w:firstLine="0"/>
              <w:jc w:val="left"/>
              <w:rPr>
                <w:rFonts w:eastAsiaTheme="minorHAnsi"/>
                <w:color w:val="auto"/>
                <w:sz w:val="22"/>
              </w:rPr>
            </w:pPr>
            <w:r w:rsidRPr="00083C53">
              <w:rPr>
                <w:rFonts w:eastAsiaTheme="minorHAnsi"/>
                <w:color w:val="auto"/>
                <w:sz w:val="22"/>
              </w:rPr>
              <w:t>Quarterly performance report to safeguarding committee evidencing  the following areas of work :</w:t>
            </w:r>
          </w:p>
          <w:p w:rsidRPr="00083C53" w:rsidR="00A21849" w:rsidP="00A21849" w:rsidRDefault="00A21849" w14:paraId="6F5C5DB7" w14:textId="77777777">
            <w:pPr>
              <w:spacing w:after="0" w:line="240" w:lineRule="auto"/>
              <w:ind w:left="0" w:right="0" w:firstLine="0"/>
              <w:jc w:val="left"/>
              <w:rPr>
                <w:rFonts w:eastAsiaTheme="minorHAnsi"/>
                <w:color w:val="auto"/>
                <w:sz w:val="22"/>
              </w:rPr>
            </w:pPr>
          </w:p>
          <w:p w:rsidRPr="00083C53" w:rsidR="00A21849" w:rsidP="00B80E06" w:rsidRDefault="00A21849" w14:paraId="45843861"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Training Compliance</w:t>
            </w:r>
          </w:p>
          <w:p w:rsidRPr="00083C53" w:rsidR="00A21849" w:rsidP="00A21849" w:rsidRDefault="00A21849" w14:paraId="7C73C7A9"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0BFAA37"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 xml:space="preserve">Progress of the Routine Enquiry QI project </w:t>
            </w:r>
          </w:p>
          <w:p w:rsidRPr="00083C53" w:rsidR="00A21849" w:rsidP="00A21849" w:rsidRDefault="00A21849" w14:paraId="53F1B15B" w14:textId="77777777">
            <w:pPr>
              <w:spacing w:after="0" w:line="240" w:lineRule="auto"/>
              <w:ind w:left="172" w:right="0" w:hanging="142"/>
              <w:jc w:val="left"/>
              <w:rPr>
                <w:rFonts w:eastAsiaTheme="minorHAnsi"/>
                <w:color w:val="auto"/>
                <w:sz w:val="22"/>
              </w:rPr>
            </w:pPr>
          </w:p>
          <w:p w:rsidRPr="00083C53" w:rsidR="00A21849" w:rsidP="00B80E06" w:rsidRDefault="00A21849" w14:paraId="7A2DE4CB"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Planned Supervision compliance</w:t>
            </w:r>
          </w:p>
          <w:p w:rsidRPr="00083C53" w:rsidR="00A21849" w:rsidP="00A21849" w:rsidRDefault="00A21849" w14:paraId="4DAF4B43" w14:textId="77777777">
            <w:pPr>
              <w:spacing w:after="0" w:line="240" w:lineRule="auto"/>
              <w:ind w:left="172" w:right="0" w:hanging="142"/>
              <w:jc w:val="left"/>
              <w:rPr>
                <w:rFonts w:eastAsiaTheme="minorHAnsi"/>
                <w:color w:val="auto"/>
                <w:sz w:val="22"/>
              </w:rPr>
            </w:pPr>
          </w:p>
          <w:p w:rsidRPr="00083C53" w:rsidR="00A21849" w:rsidP="00B80E06" w:rsidRDefault="00A21849" w14:paraId="58E72B92"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Ad hoc advice compliance</w:t>
            </w:r>
          </w:p>
          <w:p w:rsidRPr="00083C53" w:rsidR="00A21849" w:rsidP="00A21849" w:rsidRDefault="00A21849" w14:paraId="377F5EE6" w14:textId="77777777">
            <w:pPr>
              <w:spacing w:after="0" w:line="240" w:lineRule="auto"/>
              <w:ind w:left="172" w:right="0" w:hanging="142"/>
              <w:jc w:val="left"/>
              <w:rPr>
                <w:rFonts w:eastAsiaTheme="minorHAnsi"/>
                <w:color w:val="auto"/>
                <w:sz w:val="22"/>
              </w:rPr>
            </w:pPr>
          </w:p>
          <w:p w:rsidRPr="00083C53" w:rsidR="00A21849" w:rsidP="00A21849" w:rsidRDefault="00A21849" w14:paraId="2C6875BF" w14:textId="77777777">
            <w:pPr>
              <w:spacing w:after="0" w:line="240" w:lineRule="auto"/>
              <w:ind w:left="172" w:right="0" w:hanging="142"/>
              <w:jc w:val="left"/>
              <w:rPr>
                <w:rFonts w:eastAsiaTheme="minorHAnsi"/>
                <w:color w:val="auto"/>
                <w:sz w:val="22"/>
              </w:rPr>
            </w:pPr>
          </w:p>
          <w:p w:rsidRPr="00083C53" w:rsidR="00A21849" w:rsidP="00B80E06" w:rsidRDefault="00A21849" w14:paraId="3E79F235"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Audit Reports</w:t>
            </w:r>
          </w:p>
          <w:p w:rsidRPr="00083C53" w:rsidR="00A21849" w:rsidP="00A21849" w:rsidRDefault="00A21849" w14:paraId="674DC294" w14:textId="77777777">
            <w:pPr>
              <w:spacing w:after="0" w:line="240" w:lineRule="auto"/>
              <w:ind w:left="172" w:right="0" w:hanging="142"/>
              <w:jc w:val="left"/>
              <w:rPr>
                <w:rFonts w:eastAsiaTheme="minorHAnsi"/>
                <w:color w:val="auto"/>
                <w:sz w:val="22"/>
              </w:rPr>
            </w:pPr>
          </w:p>
          <w:p w:rsidRPr="00083C53" w:rsidR="00A21849" w:rsidP="00B80E06" w:rsidRDefault="00A21849" w14:paraId="2D2E941D" w14:textId="77777777">
            <w:pPr>
              <w:numPr>
                <w:ilvl w:val="0"/>
                <w:numId w:val="10"/>
              </w:numPr>
              <w:spacing w:after="0" w:line="240" w:lineRule="auto"/>
              <w:ind w:left="172" w:right="0" w:hanging="142"/>
              <w:contextualSpacing/>
              <w:jc w:val="left"/>
              <w:rPr>
                <w:rFonts w:eastAsiaTheme="minorHAnsi"/>
                <w:color w:val="auto"/>
                <w:sz w:val="22"/>
              </w:rPr>
            </w:pPr>
            <w:proofErr w:type="spellStart"/>
            <w:r w:rsidRPr="00083C53">
              <w:rPr>
                <w:rFonts w:eastAsiaTheme="minorHAnsi"/>
                <w:color w:val="auto"/>
                <w:sz w:val="22"/>
              </w:rPr>
              <w:t>Inphase</w:t>
            </w:r>
            <w:proofErr w:type="spellEnd"/>
            <w:r w:rsidRPr="00083C53">
              <w:rPr>
                <w:rFonts w:eastAsiaTheme="minorHAnsi"/>
                <w:color w:val="auto"/>
                <w:sz w:val="22"/>
              </w:rPr>
              <w:t xml:space="preserve"> analysis reports</w:t>
            </w:r>
          </w:p>
          <w:p w:rsidRPr="00083C53" w:rsidR="00A21849" w:rsidP="00A21849" w:rsidRDefault="00A21849" w14:paraId="6EF4E909" w14:textId="77777777">
            <w:pPr>
              <w:spacing w:after="0" w:line="240" w:lineRule="auto"/>
              <w:ind w:left="172" w:right="0" w:hanging="142"/>
              <w:jc w:val="left"/>
              <w:rPr>
                <w:rFonts w:eastAsiaTheme="minorHAnsi"/>
                <w:color w:val="auto"/>
                <w:sz w:val="22"/>
              </w:rPr>
            </w:pPr>
          </w:p>
          <w:p w:rsidRPr="00083C53" w:rsidR="00A21849" w:rsidP="00A21849" w:rsidRDefault="00A21849" w14:paraId="449CE991" w14:textId="77777777">
            <w:pPr>
              <w:spacing w:after="0" w:line="240" w:lineRule="auto"/>
              <w:ind w:left="172" w:right="0" w:hanging="142"/>
              <w:jc w:val="left"/>
              <w:rPr>
                <w:rFonts w:eastAsiaTheme="minorHAnsi"/>
                <w:color w:val="auto"/>
                <w:sz w:val="22"/>
              </w:rPr>
            </w:pPr>
          </w:p>
          <w:p w:rsidRPr="00083C53" w:rsidR="00A21849" w:rsidP="00B80E06" w:rsidRDefault="00A21849" w14:paraId="52B93DB6"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Training feedback</w:t>
            </w:r>
          </w:p>
          <w:p w:rsidRPr="00083C53" w:rsidR="00A21849" w:rsidP="00A21849" w:rsidRDefault="00A21849" w14:paraId="27814762" w14:textId="77777777">
            <w:pPr>
              <w:spacing w:after="0" w:line="240" w:lineRule="auto"/>
              <w:ind w:left="172" w:right="0" w:hanging="142"/>
              <w:contextualSpacing/>
              <w:jc w:val="left"/>
              <w:rPr>
                <w:rFonts w:eastAsiaTheme="minorHAnsi"/>
                <w:color w:val="auto"/>
                <w:sz w:val="22"/>
              </w:rPr>
            </w:pPr>
          </w:p>
          <w:p w:rsidRPr="00083C53" w:rsidR="00A21849" w:rsidP="00B80E06" w:rsidRDefault="00A21849" w14:paraId="259C5365" w14:textId="77777777">
            <w:pPr>
              <w:numPr>
                <w:ilvl w:val="0"/>
                <w:numId w:val="10"/>
              </w:numPr>
              <w:spacing w:after="0" w:line="240" w:lineRule="auto"/>
              <w:ind w:left="172" w:right="0" w:hanging="142"/>
              <w:contextualSpacing/>
              <w:jc w:val="left"/>
              <w:rPr>
                <w:rFonts w:eastAsiaTheme="minorHAnsi"/>
                <w:color w:val="auto"/>
                <w:sz w:val="22"/>
              </w:rPr>
            </w:pPr>
            <w:r w:rsidRPr="00083C53">
              <w:rPr>
                <w:rFonts w:eastAsiaTheme="minorHAnsi"/>
                <w:color w:val="auto"/>
                <w:sz w:val="22"/>
              </w:rPr>
              <w:t>Feedback from the Domestic Abuse Steering group</w:t>
            </w:r>
          </w:p>
          <w:p w:rsidRPr="00083C53" w:rsidR="00A21849" w:rsidP="00A21849" w:rsidRDefault="00A21849" w14:paraId="79380688" w14:textId="1EA1B21C">
            <w:pPr>
              <w:spacing w:after="0" w:line="240" w:lineRule="auto"/>
              <w:ind w:left="0" w:right="0" w:firstLine="0"/>
              <w:jc w:val="left"/>
              <w:rPr>
                <w:rFonts w:eastAsiaTheme="minorHAnsi"/>
                <w:color w:val="auto"/>
                <w:sz w:val="22"/>
              </w:rPr>
            </w:pPr>
          </w:p>
          <w:p w:rsidRPr="00083C53" w:rsidR="00A21849" w:rsidP="00A21849" w:rsidRDefault="00A21849" w14:paraId="3C3A9964" w14:textId="7ED06E2C">
            <w:pPr>
              <w:spacing w:after="0" w:line="240" w:lineRule="auto"/>
              <w:ind w:left="0" w:right="0" w:firstLine="0"/>
              <w:jc w:val="left"/>
              <w:rPr>
                <w:rFonts w:eastAsiaTheme="minorHAnsi"/>
                <w:color w:val="auto"/>
                <w:sz w:val="22"/>
              </w:rPr>
            </w:pPr>
          </w:p>
          <w:p w:rsidRPr="00083C53" w:rsidR="00A21849" w:rsidP="00A21849" w:rsidRDefault="00A21849" w14:paraId="1D1F911D" w14:textId="58ED7FD9">
            <w:pPr>
              <w:spacing w:after="0" w:line="240" w:lineRule="auto"/>
              <w:ind w:left="0" w:right="0" w:firstLine="0"/>
              <w:jc w:val="left"/>
              <w:rPr>
                <w:rFonts w:eastAsiaTheme="minorHAnsi"/>
                <w:color w:val="auto"/>
                <w:sz w:val="22"/>
              </w:rPr>
            </w:pPr>
          </w:p>
          <w:p w:rsidRPr="00083C53" w:rsidR="00A21849" w:rsidP="00A21849" w:rsidRDefault="00A21849" w14:paraId="2A4E7F93" w14:textId="0CCBE528">
            <w:pPr>
              <w:spacing w:after="0" w:line="240" w:lineRule="auto"/>
              <w:ind w:left="0" w:right="0" w:firstLine="0"/>
              <w:jc w:val="left"/>
              <w:rPr>
                <w:rFonts w:eastAsiaTheme="minorHAnsi"/>
                <w:color w:val="auto"/>
                <w:sz w:val="22"/>
              </w:rPr>
            </w:pPr>
          </w:p>
          <w:p w:rsidRPr="00083C53" w:rsidR="00A21849" w:rsidP="00A21849" w:rsidRDefault="00A21849" w14:paraId="0522EDE0" w14:textId="77777777">
            <w:pPr>
              <w:spacing w:after="0" w:line="240" w:lineRule="auto"/>
              <w:ind w:left="0" w:right="0" w:firstLine="0"/>
              <w:jc w:val="left"/>
              <w:rPr>
                <w:rFonts w:eastAsiaTheme="minorHAnsi"/>
                <w:color w:val="auto"/>
                <w:sz w:val="22"/>
              </w:rPr>
            </w:pPr>
          </w:p>
          <w:p w:rsidRPr="00083C53" w:rsidR="00A21849" w:rsidP="00A21849" w:rsidRDefault="00A21849" w14:paraId="755F7C20"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6B29C70B"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7F0D4E" w:rsidTr="00A42FAD" w14:paraId="3C8916F1" w14:textId="77777777">
        <w:trPr>
          <w:trHeight w:val="1620"/>
        </w:trPr>
        <w:tc>
          <w:tcPr>
            <w:tcW w:w="1276" w:type="dxa"/>
            <w:vMerge/>
          </w:tcPr>
          <w:p w:rsidRPr="00083C53" w:rsidR="00A21849" w:rsidP="00A21849" w:rsidRDefault="00A21849" w14:paraId="0B98BEC4" w14:textId="77777777">
            <w:pPr>
              <w:spacing w:after="0" w:line="240" w:lineRule="auto"/>
              <w:ind w:left="0" w:right="0" w:firstLine="0"/>
              <w:jc w:val="left"/>
              <w:rPr>
                <w:rFonts w:eastAsiaTheme="minorHAnsi"/>
                <w:b/>
                <w:color w:val="auto"/>
                <w:sz w:val="22"/>
              </w:rPr>
            </w:pPr>
          </w:p>
        </w:tc>
        <w:tc>
          <w:tcPr>
            <w:tcW w:w="1576" w:type="dxa"/>
            <w:gridSpan w:val="2"/>
            <w:vMerge/>
          </w:tcPr>
          <w:p w:rsidRPr="00083C53" w:rsidR="00A21849" w:rsidP="00A21849" w:rsidRDefault="00A21849" w14:paraId="7DDB2F14" w14:textId="77777777">
            <w:pPr>
              <w:spacing w:before="100" w:beforeAutospacing="1" w:after="100" w:afterAutospacing="1" w:line="240" w:lineRule="auto"/>
              <w:ind w:left="0" w:right="0" w:firstLine="0"/>
              <w:jc w:val="left"/>
              <w:rPr>
                <w:rFonts w:eastAsiaTheme="minorHAnsi"/>
                <w:color w:val="auto"/>
                <w:sz w:val="22"/>
              </w:rPr>
            </w:pPr>
          </w:p>
        </w:tc>
        <w:tc>
          <w:tcPr>
            <w:tcW w:w="4378" w:type="dxa"/>
            <w:gridSpan w:val="2"/>
            <w:vMerge/>
          </w:tcPr>
          <w:p w:rsidRPr="00083C53" w:rsidR="00A21849" w:rsidP="00B80E06" w:rsidRDefault="00A21849" w14:paraId="5CAA1637" w14:textId="77777777">
            <w:pPr>
              <w:numPr>
                <w:ilvl w:val="0"/>
                <w:numId w:val="41"/>
              </w:numPr>
              <w:spacing w:before="100" w:beforeAutospacing="1" w:after="100" w:afterAutospacing="1" w:line="240" w:lineRule="auto"/>
              <w:ind w:right="0"/>
              <w:jc w:val="left"/>
              <w:rPr>
                <w:rFonts w:eastAsiaTheme="minorHAnsi"/>
                <w:color w:val="auto"/>
                <w:sz w:val="22"/>
              </w:rPr>
            </w:pPr>
          </w:p>
        </w:tc>
        <w:tc>
          <w:tcPr>
            <w:tcW w:w="2339" w:type="dxa"/>
            <w:vMerge/>
          </w:tcPr>
          <w:p w:rsidRPr="00083C53" w:rsidR="00A21849" w:rsidP="00B80E06" w:rsidRDefault="00A21849" w14:paraId="042310E1"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504B337F"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70036BF8"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4E520B52"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tc>
      </w:tr>
      <w:tr w:rsidRPr="00083C53" w:rsidR="007F0D4E" w:rsidTr="00A42FAD" w14:paraId="1C8B0804" w14:textId="77777777">
        <w:trPr>
          <w:trHeight w:val="1860"/>
        </w:trPr>
        <w:tc>
          <w:tcPr>
            <w:tcW w:w="1276" w:type="dxa"/>
            <w:vMerge/>
          </w:tcPr>
          <w:p w:rsidRPr="00083C53" w:rsidR="00A21849" w:rsidP="00A21849" w:rsidRDefault="00A21849" w14:paraId="7241E055" w14:textId="77777777">
            <w:pPr>
              <w:spacing w:after="0" w:line="240" w:lineRule="auto"/>
              <w:ind w:left="0" w:right="0" w:firstLine="0"/>
              <w:jc w:val="left"/>
              <w:rPr>
                <w:rFonts w:eastAsiaTheme="minorHAnsi"/>
                <w:b/>
                <w:color w:val="auto"/>
                <w:sz w:val="22"/>
              </w:rPr>
            </w:pPr>
          </w:p>
        </w:tc>
        <w:tc>
          <w:tcPr>
            <w:tcW w:w="1576" w:type="dxa"/>
            <w:gridSpan w:val="2"/>
            <w:vMerge/>
          </w:tcPr>
          <w:p w:rsidRPr="00083C53" w:rsidR="00A21849" w:rsidP="00A21849" w:rsidRDefault="00A21849" w14:paraId="64481357" w14:textId="77777777">
            <w:pPr>
              <w:spacing w:before="100" w:beforeAutospacing="1" w:after="100" w:afterAutospacing="1" w:line="240" w:lineRule="auto"/>
              <w:ind w:left="0" w:right="0" w:firstLine="0"/>
              <w:jc w:val="left"/>
              <w:rPr>
                <w:rFonts w:eastAsiaTheme="minorHAnsi"/>
                <w:color w:val="auto"/>
                <w:sz w:val="22"/>
              </w:rPr>
            </w:pPr>
          </w:p>
        </w:tc>
        <w:tc>
          <w:tcPr>
            <w:tcW w:w="4378" w:type="dxa"/>
            <w:gridSpan w:val="2"/>
            <w:vMerge/>
          </w:tcPr>
          <w:p w:rsidRPr="00083C53" w:rsidR="00A21849" w:rsidP="00B80E06" w:rsidRDefault="00A21849" w14:paraId="3C1AD130" w14:textId="77777777">
            <w:pPr>
              <w:numPr>
                <w:ilvl w:val="0"/>
                <w:numId w:val="41"/>
              </w:numPr>
              <w:spacing w:before="100" w:beforeAutospacing="1" w:after="100" w:afterAutospacing="1" w:line="240" w:lineRule="auto"/>
              <w:ind w:right="0"/>
              <w:jc w:val="left"/>
              <w:rPr>
                <w:rFonts w:eastAsiaTheme="minorHAnsi"/>
                <w:color w:val="auto"/>
                <w:sz w:val="22"/>
              </w:rPr>
            </w:pPr>
          </w:p>
        </w:tc>
        <w:tc>
          <w:tcPr>
            <w:tcW w:w="2339" w:type="dxa"/>
            <w:vMerge/>
          </w:tcPr>
          <w:p w:rsidRPr="00083C53" w:rsidR="00A21849" w:rsidP="00B80E06" w:rsidRDefault="00A21849" w14:paraId="6BD7FD72"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5822E48A"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4DA67226"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05760ADA"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3</w:t>
            </w:r>
          </w:p>
        </w:tc>
      </w:tr>
      <w:tr w:rsidRPr="00083C53" w:rsidR="007F0D4E" w:rsidTr="00A42FAD" w14:paraId="7731CB4D" w14:textId="77777777">
        <w:trPr>
          <w:trHeight w:val="3255"/>
        </w:trPr>
        <w:tc>
          <w:tcPr>
            <w:tcW w:w="1276" w:type="dxa"/>
            <w:vMerge/>
          </w:tcPr>
          <w:p w:rsidRPr="00083C53" w:rsidR="00A21849" w:rsidP="00A21849" w:rsidRDefault="00A21849" w14:paraId="1CBF4B7C" w14:textId="77777777">
            <w:pPr>
              <w:spacing w:after="0" w:line="240" w:lineRule="auto"/>
              <w:ind w:left="0" w:right="0" w:firstLine="0"/>
              <w:jc w:val="left"/>
              <w:rPr>
                <w:rFonts w:eastAsiaTheme="minorHAnsi"/>
                <w:b/>
                <w:color w:val="auto"/>
                <w:sz w:val="22"/>
              </w:rPr>
            </w:pPr>
          </w:p>
        </w:tc>
        <w:tc>
          <w:tcPr>
            <w:tcW w:w="1576" w:type="dxa"/>
            <w:gridSpan w:val="2"/>
            <w:vMerge/>
          </w:tcPr>
          <w:p w:rsidRPr="00083C53" w:rsidR="00A21849" w:rsidP="00A21849" w:rsidRDefault="00A21849" w14:paraId="71BF9934" w14:textId="77777777">
            <w:pPr>
              <w:spacing w:before="100" w:beforeAutospacing="1" w:after="100" w:afterAutospacing="1" w:line="240" w:lineRule="auto"/>
              <w:ind w:left="0" w:right="0" w:firstLine="0"/>
              <w:jc w:val="left"/>
              <w:rPr>
                <w:rFonts w:eastAsiaTheme="minorHAnsi"/>
                <w:color w:val="auto"/>
                <w:sz w:val="22"/>
              </w:rPr>
            </w:pPr>
          </w:p>
        </w:tc>
        <w:tc>
          <w:tcPr>
            <w:tcW w:w="4378" w:type="dxa"/>
            <w:gridSpan w:val="2"/>
            <w:vMerge/>
          </w:tcPr>
          <w:p w:rsidRPr="00083C53" w:rsidR="00A21849" w:rsidP="00B80E06" w:rsidRDefault="00A21849" w14:paraId="5E6552D4" w14:textId="77777777">
            <w:pPr>
              <w:numPr>
                <w:ilvl w:val="0"/>
                <w:numId w:val="41"/>
              </w:numPr>
              <w:spacing w:before="100" w:beforeAutospacing="1" w:after="100" w:afterAutospacing="1" w:line="240" w:lineRule="auto"/>
              <w:ind w:right="0"/>
              <w:jc w:val="left"/>
              <w:rPr>
                <w:rFonts w:eastAsiaTheme="minorHAnsi"/>
                <w:color w:val="auto"/>
                <w:sz w:val="22"/>
              </w:rPr>
            </w:pPr>
          </w:p>
        </w:tc>
        <w:tc>
          <w:tcPr>
            <w:tcW w:w="2339" w:type="dxa"/>
            <w:vMerge/>
          </w:tcPr>
          <w:p w:rsidRPr="00083C53" w:rsidR="00A21849" w:rsidP="00B80E06" w:rsidRDefault="00A21849" w14:paraId="7027816E" w14:textId="77777777">
            <w:pPr>
              <w:numPr>
                <w:ilvl w:val="0"/>
                <w:numId w:val="9"/>
              </w:numPr>
              <w:spacing w:after="0" w:line="240" w:lineRule="auto"/>
              <w:ind w:right="0"/>
              <w:contextualSpacing/>
              <w:jc w:val="left"/>
              <w:rPr>
                <w:rFonts w:eastAsiaTheme="minorHAnsi"/>
                <w:color w:val="auto"/>
                <w:sz w:val="22"/>
              </w:rPr>
            </w:pPr>
          </w:p>
        </w:tc>
        <w:tc>
          <w:tcPr>
            <w:tcW w:w="3106" w:type="dxa"/>
            <w:vMerge/>
          </w:tcPr>
          <w:p w:rsidRPr="00083C53" w:rsidR="00A21849" w:rsidP="00B80E06" w:rsidRDefault="00A21849" w14:paraId="369D40D0"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2203" w:type="dxa"/>
            <w:gridSpan w:val="2"/>
            <w:vMerge/>
          </w:tcPr>
          <w:p w:rsidRPr="00083C53" w:rsidR="00A21849" w:rsidP="00A21849" w:rsidRDefault="00A21849" w14:paraId="49CC3C1C"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3B2AE220"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r w:rsidRPr="00083C53" w:rsidR="00A21849" w:rsidTr="00A42FAD" w14:paraId="63E1BA99" w14:textId="77777777">
        <w:tc>
          <w:tcPr>
            <w:tcW w:w="1276" w:type="dxa"/>
            <w:shd w:val="clear" w:color="auto" w:fill="F2F2F2" w:themeFill="background1" w:themeFillShade="F2"/>
          </w:tcPr>
          <w:p w:rsidRPr="00083C53" w:rsidR="00A21849" w:rsidP="00A21849" w:rsidRDefault="00A21849" w14:paraId="4C513578"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ELFT Strategic Objective</w:t>
            </w:r>
          </w:p>
        </w:tc>
        <w:tc>
          <w:tcPr>
            <w:tcW w:w="1576" w:type="dxa"/>
            <w:gridSpan w:val="2"/>
            <w:shd w:val="clear" w:color="auto" w:fill="F2F2F2" w:themeFill="background1" w:themeFillShade="F2"/>
          </w:tcPr>
          <w:p w:rsidRPr="00083C53" w:rsidR="00A21849" w:rsidP="00A21849" w:rsidRDefault="00A21849" w14:paraId="627D1708"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No. Safeguarding Objective</w:t>
            </w:r>
          </w:p>
        </w:tc>
        <w:tc>
          <w:tcPr>
            <w:tcW w:w="4237" w:type="dxa"/>
            <w:shd w:val="clear" w:color="auto" w:fill="F2F2F2" w:themeFill="background1" w:themeFillShade="F2"/>
          </w:tcPr>
          <w:p w:rsidRPr="00083C53" w:rsidR="00A21849" w:rsidP="00A21849" w:rsidRDefault="00A21849" w14:paraId="73E970F5" w14:textId="77777777">
            <w:pPr>
              <w:spacing w:before="100" w:beforeAutospacing="1" w:after="100" w:afterAutospacing="1" w:line="240" w:lineRule="auto"/>
              <w:ind w:left="720" w:right="0" w:firstLine="0"/>
              <w:jc w:val="left"/>
              <w:rPr>
                <w:rFonts w:eastAsiaTheme="minorHAnsi"/>
                <w:color w:val="auto"/>
                <w:sz w:val="22"/>
              </w:rPr>
            </w:pPr>
            <w:r w:rsidRPr="00083C53">
              <w:rPr>
                <w:rFonts w:eastAsiaTheme="minorHAnsi"/>
                <w:b/>
                <w:color w:val="auto"/>
                <w:sz w:val="22"/>
              </w:rPr>
              <w:t>Action Required</w:t>
            </w:r>
          </w:p>
        </w:tc>
        <w:tc>
          <w:tcPr>
            <w:tcW w:w="2480" w:type="dxa"/>
            <w:gridSpan w:val="2"/>
            <w:shd w:val="clear" w:color="auto" w:fill="F2F2F2" w:themeFill="background1" w:themeFillShade="F2"/>
          </w:tcPr>
          <w:p w:rsidRPr="00083C53" w:rsidR="00A21849" w:rsidP="00A21849" w:rsidRDefault="00A21849" w14:paraId="5D9F6C26" w14:textId="77777777">
            <w:pPr>
              <w:spacing w:after="0" w:line="240" w:lineRule="auto"/>
              <w:ind w:left="720" w:right="0" w:firstLine="0"/>
              <w:contextualSpacing/>
              <w:jc w:val="left"/>
              <w:rPr>
                <w:rFonts w:eastAsiaTheme="minorHAnsi"/>
                <w:color w:val="auto"/>
                <w:sz w:val="22"/>
              </w:rPr>
            </w:pPr>
            <w:r w:rsidRPr="00083C53">
              <w:rPr>
                <w:rFonts w:eastAsiaTheme="minorHAnsi"/>
                <w:b/>
                <w:color w:val="auto"/>
                <w:sz w:val="22"/>
              </w:rPr>
              <w:t>Lead</w:t>
            </w:r>
          </w:p>
        </w:tc>
        <w:tc>
          <w:tcPr>
            <w:tcW w:w="3371" w:type="dxa"/>
            <w:gridSpan w:val="2"/>
            <w:shd w:val="clear" w:color="auto" w:fill="F2F2F2" w:themeFill="background1" w:themeFillShade="F2"/>
          </w:tcPr>
          <w:p w:rsidRPr="00083C53" w:rsidR="00A21849" w:rsidP="00A21849" w:rsidRDefault="00A21849" w14:paraId="4804E577" w14:textId="77777777">
            <w:pPr>
              <w:spacing w:after="0" w:line="240" w:lineRule="auto"/>
              <w:ind w:left="0" w:right="0" w:firstLine="0"/>
              <w:jc w:val="left"/>
              <w:rPr>
                <w:rFonts w:eastAsiaTheme="minorHAnsi"/>
                <w:color w:val="auto"/>
                <w:sz w:val="22"/>
              </w:rPr>
            </w:pPr>
            <w:r w:rsidRPr="00083C53">
              <w:rPr>
                <w:rFonts w:eastAsiaTheme="minorHAnsi"/>
                <w:b/>
                <w:color w:val="auto"/>
                <w:sz w:val="22"/>
              </w:rPr>
              <w:t>Evidence Measures</w:t>
            </w:r>
          </w:p>
        </w:tc>
        <w:tc>
          <w:tcPr>
            <w:tcW w:w="1938" w:type="dxa"/>
            <w:shd w:val="clear" w:color="auto" w:fill="F2F2F2" w:themeFill="background1" w:themeFillShade="F2"/>
          </w:tcPr>
          <w:p w:rsidRPr="00083C53" w:rsidR="00A21849" w:rsidP="00A21849" w:rsidRDefault="00A21849" w14:paraId="7EE3E323" w14:textId="77777777">
            <w:pPr>
              <w:spacing w:after="0" w:line="240" w:lineRule="auto"/>
              <w:ind w:left="0" w:right="0" w:firstLine="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078DBEEA" w14:textId="77777777">
            <w:pPr>
              <w:spacing w:after="0" w:line="240" w:lineRule="auto"/>
              <w:ind w:left="0" w:right="0" w:firstLine="0"/>
              <w:jc w:val="left"/>
              <w:rPr>
                <w:rFonts w:eastAsiaTheme="minorHAnsi"/>
                <w:b/>
                <w:color w:val="auto"/>
                <w:sz w:val="22"/>
              </w:rPr>
            </w:pPr>
            <w:r w:rsidRPr="00083C53">
              <w:rPr>
                <w:rFonts w:eastAsiaTheme="minorHAnsi"/>
                <w:b/>
                <w:color w:val="auto"/>
                <w:sz w:val="22"/>
              </w:rPr>
              <w:t>RAG</w:t>
            </w:r>
          </w:p>
        </w:tc>
      </w:tr>
      <w:tr w:rsidRPr="00083C53" w:rsidR="00A21849" w:rsidTr="00A42FAD" w14:paraId="55ED6E4C" w14:textId="77777777">
        <w:trPr>
          <w:trHeight w:val="1545"/>
        </w:trPr>
        <w:tc>
          <w:tcPr>
            <w:tcW w:w="1276" w:type="dxa"/>
            <w:vMerge w:val="restart"/>
          </w:tcPr>
          <w:p w:rsidRPr="00083C53" w:rsidR="00A21849" w:rsidP="00A21849" w:rsidRDefault="00A21849" w14:paraId="65C06422" w14:textId="77777777">
            <w:pPr>
              <w:spacing w:after="0" w:line="240" w:lineRule="auto"/>
              <w:ind w:left="0" w:right="0" w:firstLine="0"/>
              <w:jc w:val="left"/>
              <w:rPr>
                <w:rFonts w:eastAsiaTheme="minorHAnsi"/>
                <w:b/>
                <w:color w:val="auto"/>
                <w:sz w:val="22"/>
              </w:rPr>
            </w:pPr>
            <w:r w:rsidRPr="00083C53">
              <w:rPr>
                <w:rFonts w:eastAsiaTheme="minorHAnsi"/>
                <w:b/>
                <w:color w:val="auto"/>
                <w:sz w:val="22"/>
                <w:lang w:val="en-US"/>
              </w:rPr>
              <w:t>Improved Value</w:t>
            </w:r>
          </w:p>
          <w:p w:rsidRPr="00083C53" w:rsidR="00A21849" w:rsidP="00A21849" w:rsidRDefault="00A21849" w14:paraId="20CE636A" w14:textId="77777777">
            <w:pPr>
              <w:spacing w:after="0" w:line="240" w:lineRule="auto"/>
              <w:ind w:left="0" w:right="0" w:firstLine="0"/>
              <w:jc w:val="left"/>
              <w:rPr>
                <w:rFonts w:eastAsiaTheme="minorHAnsi"/>
                <w:b/>
                <w:color w:val="auto"/>
                <w:sz w:val="22"/>
              </w:rPr>
            </w:pPr>
          </w:p>
        </w:tc>
        <w:tc>
          <w:tcPr>
            <w:tcW w:w="1576" w:type="dxa"/>
            <w:gridSpan w:val="2"/>
            <w:vMerge w:val="restart"/>
          </w:tcPr>
          <w:p w:rsidRPr="00083C53" w:rsidR="00A21849" w:rsidP="00A21849" w:rsidRDefault="00A21849" w14:paraId="28C8A50A"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5. Quality Assurance</w:t>
            </w:r>
          </w:p>
          <w:p w:rsidRPr="00083C53" w:rsidR="00A21849" w:rsidP="00A21849" w:rsidRDefault="00A21849" w14:paraId="347027B5"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Corporate Safeguarding team to </w:t>
            </w:r>
            <w:r w:rsidRPr="00083C53">
              <w:rPr>
                <w:rFonts w:eastAsiaTheme="minorHAnsi"/>
                <w:color w:val="auto"/>
                <w:sz w:val="22"/>
              </w:rPr>
              <w:t>design and implement a safeguarding quality management framework to strengthen accountability and assurance by embedding quality indicators that aligns with safeguarding activity with broader governance and quality priorities.</w:t>
            </w:r>
          </w:p>
          <w:p w:rsidRPr="00083C53" w:rsidR="00A21849" w:rsidP="00A21849" w:rsidRDefault="00A21849" w14:paraId="4DB011A3" w14:textId="77777777">
            <w:pPr>
              <w:spacing w:after="0" w:line="240" w:lineRule="auto"/>
              <w:ind w:left="0" w:right="0" w:firstLine="0"/>
              <w:jc w:val="left"/>
              <w:rPr>
                <w:rFonts w:eastAsiaTheme="minorHAnsi"/>
                <w:color w:val="auto"/>
                <w:sz w:val="22"/>
              </w:rPr>
            </w:pPr>
          </w:p>
        </w:tc>
        <w:tc>
          <w:tcPr>
            <w:tcW w:w="4237" w:type="dxa"/>
            <w:vMerge w:val="restart"/>
          </w:tcPr>
          <w:tbl>
            <w:tblPr>
              <w:tblW w:w="0" w:type="auto"/>
              <w:tblCellSpacing w:w="15" w:type="dxa"/>
              <w:tblLook w:val="04A0" w:firstRow="1" w:lastRow="0" w:firstColumn="1" w:lastColumn="0" w:noHBand="0" w:noVBand="1"/>
            </w:tblPr>
            <w:tblGrid>
              <w:gridCol w:w="3469"/>
            </w:tblGrid>
            <w:tr w:rsidRPr="00083C53" w:rsidR="00A21849" w:rsidTr="000654B1" w14:paraId="7E116F44"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76A16D9B" w14:textId="77777777">
                  <w:pPr>
                    <w:numPr>
                      <w:ilvl w:val="0"/>
                      <w:numId w:val="42"/>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Co-produce a safeguarding quality management framework aligned with CQC </w:t>
                  </w:r>
                  <w:r w:rsidRPr="00083C53">
                    <w:rPr>
                      <w:rFonts w:eastAsiaTheme="minorHAnsi"/>
                      <w:color w:val="auto"/>
                      <w:sz w:val="22"/>
                    </w:rPr>
                    <w:t>regulation 13 and ELFT standards</w:t>
                  </w:r>
                </w:p>
                <w:p w:rsidRPr="00083C53" w:rsidR="00A21849" w:rsidP="00A21849" w:rsidRDefault="00A21849" w14:paraId="29F6D9E2"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5F3DF3D4"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7DE67E6F" w14:textId="77777777">
                  <w:pPr>
                    <w:numPr>
                      <w:ilvl w:val="0"/>
                      <w:numId w:val="42"/>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Define measurable safeguarding quality indicators in line with statutory reporting</w:t>
                  </w:r>
                </w:p>
                <w:p w:rsidRPr="00083C53" w:rsidR="00A21849" w:rsidP="00A21849" w:rsidRDefault="00A21849" w14:paraId="0E8D568C" w14:textId="77777777">
                  <w:pPr>
                    <w:spacing w:before="100" w:beforeAutospacing="1" w:after="100" w:afterAutospacing="1" w:line="240" w:lineRule="auto"/>
                    <w:ind w:left="0" w:right="0" w:firstLine="0"/>
                    <w:jc w:val="left"/>
                    <w:rPr>
                      <w:rFonts w:eastAsiaTheme="minorHAnsi"/>
                      <w:color w:val="auto"/>
                      <w:sz w:val="22"/>
                    </w:rPr>
                  </w:pPr>
                </w:p>
              </w:tc>
            </w:tr>
            <w:tr w:rsidRPr="00083C53" w:rsidR="00A21849" w:rsidTr="000654B1" w14:paraId="6A99F776"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66BFE3FB" w14:textId="77777777">
                  <w:pPr>
                    <w:numPr>
                      <w:ilvl w:val="0"/>
                      <w:numId w:val="42"/>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 Integrate quality control mechanisms into supervision, audits and training</w:t>
                  </w:r>
                </w:p>
              </w:tc>
            </w:tr>
            <w:tr w:rsidRPr="00083C53" w:rsidR="00A21849" w:rsidTr="000654B1" w14:paraId="288CFBCF" w14:textId="77777777">
              <w:trPr>
                <w:tblCellSpacing w:w="15" w:type="dxa"/>
              </w:trPr>
              <w:tc>
                <w:tcPr>
                  <w:tcW w:w="3409" w:type="dxa"/>
                  <w:tcMar>
                    <w:top w:w="15" w:type="dxa"/>
                    <w:left w:w="15" w:type="dxa"/>
                    <w:bottom w:w="15" w:type="dxa"/>
                    <w:right w:w="15" w:type="dxa"/>
                  </w:tcMar>
                  <w:vAlign w:val="center"/>
                  <w:hideMark/>
                </w:tcPr>
                <w:p w:rsidRPr="00083C53" w:rsidR="00A21849" w:rsidP="00B80E06" w:rsidRDefault="00A21849" w14:paraId="2FB75D8F" w14:textId="77777777">
                  <w:pPr>
                    <w:numPr>
                      <w:ilvl w:val="0"/>
                      <w:numId w:val="42"/>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 Implement quarterly quality assurance safeguarding audit cycle </w:t>
                  </w:r>
                </w:p>
              </w:tc>
            </w:tr>
            <w:tr w:rsidRPr="00083C53" w:rsidR="00A21849" w:rsidTr="000654B1" w14:paraId="2DAE0C17" w14:textId="77777777">
              <w:trPr>
                <w:tblCellSpacing w:w="15" w:type="dxa"/>
              </w:trPr>
              <w:tc>
                <w:tcPr>
                  <w:tcW w:w="3409" w:type="dxa"/>
                  <w:tcMar>
                    <w:top w:w="15" w:type="dxa"/>
                    <w:left w:w="15" w:type="dxa"/>
                    <w:bottom w:w="15" w:type="dxa"/>
                    <w:right w:w="15" w:type="dxa"/>
                  </w:tcMar>
                  <w:vAlign w:val="center"/>
                  <w:hideMark/>
                </w:tcPr>
                <w:p w:rsidRPr="00083C53" w:rsidR="00A21849" w:rsidP="00A21849" w:rsidRDefault="00A21849" w14:paraId="43A50B44" w14:textId="77777777">
                  <w:pPr>
                    <w:spacing w:before="100" w:beforeAutospacing="1" w:after="100" w:afterAutospacing="1" w:line="240" w:lineRule="auto"/>
                    <w:ind w:left="720" w:right="0" w:firstLine="0"/>
                    <w:jc w:val="left"/>
                    <w:rPr>
                      <w:rFonts w:eastAsiaTheme="minorHAnsi"/>
                      <w:color w:val="auto"/>
                      <w:sz w:val="22"/>
                    </w:rPr>
                  </w:pPr>
                </w:p>
              </w:tc>
            </w:tr>
          </w:tbl>
          <w:p w:rsidRPr="00083C53" w:rsidR="00A21849" w:rsidP="00A21849" w:rsidRDefault="00A21849" w14:paraId="0912A6C6" w14:textId="77777777">
            <w:pPr>
              <w:spacing w:after="0" w:line="240" w:lineRule="auto"/>
              <w:ind w:left="0" w:right="0" w:firstLine="0"/>
              <w:jc w:val="left"/>
              <w:rPr>
                <w:rFonts w:eastAsiaTheme="minorHAnsi"/>
                <w:color w:val="auto"/>
                <w:sz w:val="22"/>
              </w:rPr>
            </w:pPr>
          </w:p>
        </w:tc>
        <w:tc>
          <w:tcPr>
            <w:tcW w:w="2480" w:type="dxa"/>
            <w:gridSpan w:val="2"/>
            <w:vMerge w:val="restart"/>
          </w:tcPr>
          <w:p w:rsidRPr="00083C53" w:rsidR="00A21849" w:rsidP="00B80E06" w:rsidRDefault="00A21849" w14:paraId="2B94BA4B"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 xml:space="preserve">The Named Professionals and Lead Professionals are responsible for the </w:t>
            </w:r>
            <w:r w:rsidRPr="00083C53">
              <w:rPr>
                <w:rFonts w:eastAsiaTheme="minorHAnsi"/>
                <w:color w:val="auto"/>
                <w:sz w:val="22"/>
              </w:rPr>
              <w:t>operational delivery of the actions in the work plan.</w:t>
            </w:r>
          </w:p>
          <w:p w:rsidRPr="00083C53" w:rsidR="00A21849" w:rsidP="00A21849" w:rsidRDefault="00A21849" w14:paraId="03BBAA37"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517DA0B9" w14:textId="77777777">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Associate Director is primarily accountable for delivering the safeguarding strategy and coordinating the implementation of the work plan.</w:t>
            </w:r>
          </w:p>
          <w:p w:rsidRPr="00083C53" w:rsidR="00A21849" w:rsidP="00A21849" w:rsidRDefault="00A21849" w14:paraId="5B8BC181"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1B8B6C13"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633591F7" w14:textId="0172DE52">
            <w:pPr>
              <w:numPr>
                <w:ilvl w:val="0"/>
                <w:numId w:val="9"/>
              </w:numPr>
              <w:spacing w:after="0" w:line="240" w:lineRule="auto"/>
              <w:ind w:right="0"/>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tc>
        <w:tc>
          <w:tcPr>
            <w:tcW w:w="3371" w:type="dxa"/>
            <w:gridSpan w:val="2"/>
            <w:vMerge w:val="restart"/>
          </w:tcPr>
          <w:tbl>
            <w:tblPr>
              <w:tblW w:w="2277" w:type="dxa"/>
              <w:tblCellSpacing w:w="15" w:type="dxa"/>
              <w:tblLook w:val="04A0" w:firstRow="1" w:lastRow="0" w:firstColumn="1" w:lastColumn="0" w:noHBand="0" w:noVBand="1"/>
            </w:tblPr>
            <w:tblGrid>
              <w:gridCol w:w="2277"/>
            </w:tblGrid>
            <w:tr w:rsidRPr="00083C53" w:rsidR="00A21849" w:rsidTr="000654B1" w14:paraId="086DF810"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192DADB7"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To develop and published framework document</w:t>
                  </w:r>
                </w:p>
              </w:tc>
            </w:tr>
            <w:tr w:rsidRPr="00083C53" w:rsidR="00A21849" w:rsidTr="000654B1" w14:paraId="0177EF8E"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7DD22239" w14:textId="77777777">
                  <w:pPr>
                    <w:numPr>
                      <w:ilvl w:val="0"/>
                      <w:numId w:val="9"/>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 xml:space="preserve">Agreed set of indicators across children and adults safeguarding- </w:t>
                  </w:r>
                </w:p>
              </w:tc>
            </w:tr>
            <w:tr w:rsidRPr="00083C53" w:rsidR="00A21849" w:rsidTr="000654B1" w14:paraId="02DFE92A" w14:textId="77777777">
              <w:trPr>
                <w:tblCellSpacing w:w="15" w:type="dxa"/>
              </w:trPr>
              <w:tc>
                <w:tcPr>
                  <w:tcW w:w="2217" w:type="dxa"/>
                  <w:tcMar>
                    <w:top w:w="15" w:type="dxa"/>
                    <w:left w:w="15" w:type="dxa"/>
                    <w:bottom w:w="15" w:type="dxa"/>
                    <w:right w:w="15" w:type="dxa"/>
                  </w:tcMar>
                  <w:vAlign w:val="center"/>
                  <w:hideMark/>
                </w:tcPr>
                <w:p w:rsidRPr="00083C53" w:rsidR="00A21849" w:rsidP="00A21849" w:rsidRDefault="00A21849" w14:paraId="712DBE06" w14:textId="77777777">
                  <w:pPr>
                    <w:spacing w:before="100" w:beforeAutospacing="1" w:after="100" w:afterAutospacing="1" w:line="240" w:lineRule="auto"/>
                    <w:ind w:left="720" w:right="0" w:firstLine="0"/>
                    <w:jc w:val="left"/>
                    <w:rPr>
                      <w:rFonts w:eastAsiaTheme="minorHAnsi"/>
                      <w:color w:val="auto"/>
                      <w:sz w:val="22"/>
                    </w:rPr>
                  </w:pPr>
                </w:p>
              </w:tc>
            </w:tr>
            <w:tr w:rsidRPr="00083C53" w:rsidR="00A21849" w:rsidTr="000654B1" w14:paraId="0A89BAF7" w14:textId="77777777">
              <w:trPr>
                <w:tblCellSpacing w:w="15" w:type="dxa"/>
              </w:trPr>
              <w:tc>
                <w:tcPr>
                  <w:tcW w:w="2217" w:type="dxa"/>
                  <w:tcMar>
                    <w:top w:w="15" w:type="dxa"/>
                    <w:left w:w="15" w:type="dxa"/>
                    <w:bottom w:w="15" w:type="dxa"/>
                    <w:right w:w="15" w:type="dxa"/>
                  </w:tcMar>
                  <w:vAlign w:val="center"/>
                  <w:hideMark/>
                </w:tcPr>
                <w:p w:rsidRPr="00083C53" w:rsidR="00A21849" w:rsidP="00A21849" w:rsidRDefault="00A21849" w14:paraId="6300AE5F" w14:textId="77777777">
                  <w:pPr>
                    <w:spacing w:before="100" w:beforeAutospacing="1" w:after="100" w:afterAutospacing="1" w:line="240" w:lineRule="auto"/>
                    <w:ind w:left="720" w:right="0" w:firstLine="0"/>
                    <w:jc w:val="left"/>
                    <w:rPr>
                      <w:rFonts w:eastAsiaTheme="minorHAnsi"/>
                      <w:color w:val="auto"/>
                      <w:sz w:val="22"/>
                    </w:rPr>
                  </w:pPr>
                </w:p>
                <w:p w:rsidRPr="00083C53" w:rsidR="00A21849" w:rsidP="00B80E06" w:rsidRDefault="00A21849" w14:paraId="2C2E629C" w14:textId="77777777">
                  <w:pPr>
                    <w:numPr>
                      <w:ilvl w:val="0"/>
                      <w:numId w:val="4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Percentage of improvement in compliance or outcomes over time</w:t>
                  </w:r>
                </w:p>
              </w:tc>
            </w:tr>
            <w:tr w:rsidRPr="00083C53" w:rsidR="00A21849" w:rsidTr="000654B1" w14:paraId="16E31204" w14:textId="77777777">
              <w:trPr>
                <w:tblCellSpacing w:w="15" w:type="dxa"/>
              </w:trPr>
              <w:tc>
                <w:tcPr>
                  <w:tcW w:w="2217" w:type="dxa"/>
                  <w:tcMar>
                    <w:top w:w="15" w:type="dxa"/>
                    <w:left w:w="15" w:type="dxa"/>
                    <w:bottom w:w="15" w:type="dxa"/>
                    <w:right w:w="15" w:type="dxa"/>
                  </w:tcMar>
                  <w:vAlign w:val="center"/>
                  <w:hideMark/>
                </w:tcPr>
                <w:p w:rsidRPr="00083C53" w:rsidR="00A21849" w:rsidP="00B80E06" w:rsidRDefault="00A21849" w14:paraId="60D6435C" w14:textId="77777777">
                  <w:pPr>
                    <w:numPr>
                      <w:ilvl w:val="0"/>
                      <w:numId w:val="44"/>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Evidence of actions tracked to service improvement</w:t>
                  </w:r>
                </w:p>
              </w:tc>
            </w:tr>
          </w:tbl>
          <w:p w:rsidRPr="00083C53" w:rsidR="00A21849" w:rsidP="00A21849" w:rsidRDefault="00A21849" w14:paraId="2036E505" w14:textId="77777777">
            <w:pPr>
              <w:spacing w:after="0" w:line="240" w:lineRule="auto"/>
              <w:ind w:left="0" w:right="0" w:firstLine="0"/>
              <w:jc w:val="left"/>
              <w:rPr>
                <w:rFonts w:eastAsiaTheme="minorHAnsi"/>
                <w:color w:val="auto"/>
                <w:sz w:val="22"/>
              </w:rPr>
            </w:pPr>
          </w:p>
        </w:tc>
        <w:tc>
          <w:tcPr>
            <w:tcW w:w="1938" w:type="dxa"/>
            <w:vMerge w:val="restart"/>
          </w:tcPr>
          <w:p w:rsidRPr="00083C53" w:rsidR="00A21849" w:rsidP="00A21849" w:rsidRDefault="00A21849" w14:paraId="74FCA1D1" w14:textId="06D7970B">
            <w:pPr>
              <w:spacing w:after="0" w:line="240" w:lineRule="auto"/>
              <w:ind w:left="0" w:right="0" w:firstLine="0"/>
              <w:jc w:val="left"/>
              <w:rPr>
                <w:rFonts w:eastAsiaTheme="minorHAnsi"/>
                <w:color w:val="auto"/>
                <w:sz w:val="22"/>
              </w:rPr>
            </w:pPr>
            <w:r w:rsidRPr="00083C53">
              <w:rPr>
                <w:rFonts w:eastAsiaTheme="minorHAnsi"/>
                <w:color w:val="auto"/>
                <w:sz w:val="22"/>
              </w:rPr>
              <w:t>Quarterly performance report to saf</w:t>
            </w:r>
            <w:r w:rsidR="00EB414A">
              <w:rPr>
                <w:rFonts w:eastAsiaTheme="minorHAnsi"/>
                <w:color w:val="auto"/>
                <w:sz w:val="22"/>
              </w:rPr>
              <w:t xml:space="preserve">eguarding committee evidencing </w:t>
            </w:r>
            <w:r w:rsidRPr="00083C53">
              <w:rPr>
                <w:rFonts w:eastAsiaTheme="minorHAnsi"/>
                <w:color w:val="auto"/>
                <w:sz w:val="22"/>
              </w:rPr>
              <w:t xml:space="preserve">the </w:t>
            </w:r>
            <w:r w:rsidRPr="00083C53">
              <w:rPr>
                <w:rFonts w:eastAsiaTheme="minorHAnsi"/>
                <w:color w:val="auto"/>
                <w:sz w:val="22"/>
              </w:rPr>
              <w:t>following areas of work :</w:t>
            </w:r>
          </w:p>
          <w:p w:rsidRPr="00083C53" w:rsidR="00A21849" w:rsidP="00B80E06" w:rsidRDefault="00A21849" w14:paraId="1AD8C730" w14:textId="77777777">
            <w:pPr>
              <w:numPr>
                <w:ilvl w:val="0"/>
                <w:numId w:val="45"/>
              </w:numPr>
              <w:spacing w:after="0" w:line="240" w:lineRule="auto"/>
              <w:ind w:left="313" w:right="0" w:hanging="283"/>
              <w:contextualSpacing/>
              <w:jc w:val="left"/>
              <w:rPr>
                <w:rFonts w:eastAsiaTheme="minorHAnsi"/>
                <w:color w:val="auto"/>
                <w:sz w:val="22"/>
              </w:rPr>
            </w:pPr>
            <w:r w:rsidRPr="00083C53">
              <w:rPr>
                <w:rFonts w:eastAsiaTheme="minorHAnsi"/>
                <w:color w:val="auto"/>
                <w:sz w:val="22"/>
              </w:rPr>
              <w:t>Changes introduced to improve  the quality of safeguarding reporting</w:t>
            </w:r>
          </w:p>
          <w:p w:rsidRPr="00083C53" w:rsidR="00A21849" w:rsidP="00A21849" w:rsidRDefault="00A21849" w14:paraId="095E4472"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0749240" w14:textId="77777777">
            <w:pPr>
              <w:numPr>
                <w:ilvl w:val="0"/>
                <w:numId w:val="45"/>
              </w:numPr>
              <w:spacing w:after="0" w:line="240" w:lineRule="auto"/>
              <w:ind w:left="313" w:right="0" w:hanging="690"/>
              <w:contextualSpacing/>
              <w:jc w:val="left"/>
              <w:rPr>
                <w:rFonts w:eastAsiaTheme="minorHAnsi"/>
                <w:color w:val="auto"/>
                <w:sz w:val="22"/>
              </w:rPr>
            </w:pPr>
            <w:r w:rsidRPr="00083C53">
              <w:rPr>
                <w:rFonts w:eastAsiaTheme="minorHAnsi"/>
                <w:color w:val="auto"/>
                <w:sz w:val="22"/>
              </w:rPr>
              <w:t xml:space="preserve">Utilising </w:t>
            </w:r>
            <w:proofErr w:type="spellStart"/>
            <w:r w:rsidRPr="00083C53">
              <w:rPr>
                <w:rFonts w:eastAsiaTheme="minorHAnsi"/>
                <w:color w:val="auto"/>
                <w:sz w:val="22"/>
              </w:rPr>
              <w:t>PowerBi</w:t>
            </w:r>
            <w:proofErr w:type="spellEnd"/>
            <w:r w:rsidRPr="00083C53">
              <w:rPr>
                <w:rFonts w:eastAsiaTheme="minorHAnsi"/>
                <w:color w:val="auto"/>
                <w:sz w:val="22"/>
              </w:rPr>
              <w:t xml:space="preserve"> reporting for safeguarding</w:t>
            </w:r>
          </w:p>
          <w:p w:rsidRPr="00083C53" w:rsidR="00A21849" w:rsidP="00A21849" w:rsidRDefault="00A21849" w14:paraId="131B43A5" w14:textId="77777777">
            <w:pPr>
              <w:spacing w:after="0" w:line="240" w:lineRule="auto"/>
              <w:ind w:left="313" w:right="0" w:hanging="690"/>
              <w:contextualSpacing/>
              <w:jc w:val="left"/>
              <w:rPr>
                <w:rFonts w:eastAsiaTheme="minorHAnsi"/>
                <w:color w:val="auto"/>
                <w:sz w:val="22"/>
              </w:rPr>
            </w:pPr>
          </w:p>
          <w:p w:rsidRPr="00083C53" w:rsidR="00A21849" w:rsidP="00B80E06" w:rsidRDefault="00A21849" w14:paraId="17FED2BB" w14:textId="77777777">
            <w:pPr>
              <w:numPr>
                <w:ilvl w:val="0"/>
                <w:numId w:val="45"/>
              </w:numPr>
              <w:spacing w:after="0" w:line="240" w:lineRule="auto"/>
              <w:ind w:left="313" w:right="0" w:hanging="690"/>
              <w:contextualSpacing/>
              <w:jc w:val="left"/>
              <w:rPr>
                <w:rFonts w:eastAsiaTheme="minorHAnsi"/>
                <w:color w:val="auto"/>
                <w:sz w:val="22"/>
              </w:rPr>
            </w:pPr>
            <w:r w:rsidRPr="00083C53">
              <w:rPr>
                <w:rFonts w:eastAsiaTheme="minorHAnsi"/>
                <w:color w:val="auto"/>
                <w:sz w:val="22"/>
              </w:rPr>
              <w:t>Reducing recording duplication</w:t>
            </w:r>
          </w:p>
          <w:p w:rsidRPr="00083C53" w:rsidR="00A21849" w:rsidP="00A21849" w:rsidRDefault="00A21849" w14:paraId="25E72158" w14:textId="77777777">
            <w:pPr>
              <w:spacing w:after="0" w:line="240" w:lineRule="auto"/>
              <w:ind w:left="313" w:right="0" w:hanging="690"/>
              <w:contextualSpacing/>
              <w:jc w:val="left"/>
              <w:rPr>
                <w:rFonts w:eastAsiaTheme="minorHAnsi"/>
                <w:color w:val="auto"/>
                <w:sz w:val="22"/>
              </w:rPr>
            </w:pPr>
          </w:p>
          <w:p w:rsidRPr="00083C53" w:rsidR="00A21849" w:rsidP="00B80E06" w:rsidRDefault="00A21849" w14:paraId="2EF70127" w14:textId="77777777">
            <w:pPr>
              <w:numPr>
                <w:ilvl w:val="0"/>
                <w:numId w:val="45"/>
              </w:numPr>
              <w:spacing w:after="0" w:line="240" w:lineRule="auto"/>
              <w:ind w:left="313" w:right="0" w:hanging="690"/>
              <w:contextualSpacing/>
              <w:jc w:val="left"/>
              <w:rPr>
                <w:rFonts w:eastAsiaTheme="minorHAnsi"/>
                <w:color w:val="auto"/>
                <w:sz w:val="22"/>
              </w:rPr>
            </w:pPr>
            <w:r w:rsidRPr="00083C53">
              <w:rPr>
                <w:rFonts w:eastAsiaTheme="minorHAnsi"/>
                <w:color w:val="auto"/>
                <w:sz w:val="22"/>
              </w:rPr>
              <w:t>Real time progress of the safeguarding activity across the Trust</w:t>
            </w:r>
          </w:p>
          <w:p w:rsidRPr="00083C53" w:rsidR="00A21849" w:rsidP="00A21849" w:rsidRDefault="00A21849" w14:paraId="54F3FEA2"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2F7C7DA8"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A21849" w:rsidTr="00A42FAD" w14:paraId="34AA796B" w14:textId="77777777">
        <w:trPr>
          <w:trHeight w:val="1875"/>
        </w:trPr>
        <w:tc>
          <w:tcPr>
            <w:tcW w:w="1276" w:type="dxa"/>
            <w:vMerge/>
          </w:tcPr>
          <w:p w:rsidRPr="00083C53" w:rsidR="00A21849" w:rsidP="00A21849" w:rsidRDefault="00A21849" w14:paraId="10AD3267"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5F735642"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66C10EB2" w14:textId="77777777">
            <w:pPr>
              <w:numPr>
                <w:ilvl w:val="0"/>
                <w:numId w:val="42"/>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175DB203"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0082CD6C"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1938" w:type="dxa"/>
            <w:vMerge/>
          </w:tcPr>
          <w:p w:rsidRPr="00083C53" w:rsidR="00A21849" w:rsidP="00A21849" w:rsidRDefault="00A21849" w14:paraId="350F61C8"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2A26FC51"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tc>
      </w:tr>
      <w:tr w:rsidRPr="00083C53" w:rsidR="00A21849" w:rsidTr="00A42FAD" w14:paraId="36977386" w14:textId="77777777">
        <w:trPr>
          <w:trHeight w:val="1500"/>
        </w:trPr>
        <w:tc>
          <w:tcPr>
            <w:tcW w:w="1276" w:type="dxa"/>
            <w:vMerge/>
          </w:tcPr>
          <w:p w:rsidRPr="00083C53" w:rsidR="00A21849" w:rsidP="00A21849" w:rsidRDefault="00A21849" w14:paraId="0B00D2BB"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39A10B64"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723EC70A" w14:textId="77777777">
            <w:pPr>
              <w:numPr>
                <w:ilvl w:val="0"/>
                <w:numId w:val="42"/>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6D66CCB5"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1BC8222F"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1938" w:type="dxa"/>
            <w:vMerge/>
          </w:tcPr>
          <w:p w:rsidRPr="00083C53" w:rsidR="00A21849" w:rsidP="00A21849" w:rsidRDefault="00A21849" w14:paraId="67D4243D"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507F16B8"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3</w:t>
            </w:r>
          </w:p>
        </w:tc>
      </w:tr>
      <w:tr w:rsidRPr="00083C53" w:rsidR="00A21849" w:rsidTr="00A42FAD" w14:paraId="5057B388" w14:textId="77777777">
        <w:trPr>
          <w:trHeight w:val="2160"/>
        </w:trPr>
        <w:tc>
          <w:tcPr>
            <w:tcW w:w="1276" w:type="dxa"/>
            <w:vMerge/>
          </w:tcPr>
          <w:p w:rsidRPr="00083C53" w:rsidR="00A21849" w:rsidP="00A21849" w:rsidRDefault="00A21849" w14:paraId="6B37BDFC"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54805260"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59E50105" w14:textId="77777777">
            <w:pPr>
              <w:numPr>
                <w:ilvl w:val="0"/>
                <w:numId w:val="42"/>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4164F5FB"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593D7DDE" w14:textId="77777777">
            <w:pPr>
              <w:numPr>
                <w:ilvl w:val="0"/>
                <w:numId w:val="9"/>
              </w:numPr>
              <w:spacing w:before="100" w:beforeAutospacing="1" w:after="100" w:afterAutospacing="1" w:line="240" w:lineRule="auto"/>
              <w:ind w:right="0"/>
              <w:jc w:val="left"/>
              <w:rPr>
                <w:rFonts w:eastAsiaTheme="minorHAnsi"/>
                <w:color w:val="auto"/>
                <w:sz w:val="22"/>
              </w:rPr>
            </w:pPr>
          </w:p>
        </w:tc>
        <w:tc>
          <w:tcPr>
            <w:tcW w:w="1938" w:type="dxa"/>
            <w:vMerge/>
          </w:tcPr>
          <w:p w:rsidRPr="00083C53" w:rsidR="00A21849" w:rsidP="00A21849" w:rsidRDefault="00A21849" w14:paraId="271285C4" w14:textId="77777777">
            <w:pPr>
              <w:spacing w:after="0" w:line="240" w:lineRule="auto"/>
              <w:ind w:left="0" w:right="0" w:firstLine="0"/>
              <w:jc w:val="left"/>
              <w:rPr>
                <w:rFonts w:eastAsiaTheme="minorHAnsi"/>
                <w:color w:val="auto"/>
                <w:sz w:val="22"/>
              </w:rPr>
            </w:pPr>
          </w:p>
        </w:tc>
        <w:tc>
          <w:tcPr>
            <w:tcW w:w="936" w:type="dxa"/>
          </w:tcPr>
          <w:p w:rsidRPr="00083C53" w:rsidR="00A21849" w:rsidP="00A21849" w:rsidRDefault="00A21849" w14:paraId="0CA27B0F"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r w:rsidRPr="00083C53" w:rsidR="00A21849" w:rsidTr="00A42FAD" w14:paraId="36528F43" w14:textId="77777777">
        <w:tc>
          <w:tcPr>
            <w:tcW w:w="1276" w:type="dxa"/>
            <w:shd w:val="clear" w:color="auto" w:fill="F2F2F2" w:themeFill="background1" w:themeFillShade="F2"/>
          </w:tcPr>
          <w:p w:rsidRPr="00083C53" w:rsidR="00A21849" w:rsidP="00A21849" w:rsidRDefault="00A21849" w14:paraId="4F8F5461" w14:textId="77777777">
            <w:pPr>
              <w:spacing w:after="0" w:line="240" w:lineRule="auto"/>
              <w:ind w:left="0" w:right="0" w:firstLine="0"/>
              <w:jc w:val="left"/>
              <w:rPr>
                <w:rFonts w:eastAsiaTheme="minorHAnsi"/>
                <w:b/>
                <w:color w:val="auto"/>
                <w:sz w:val="22"/>
                <w:lang w:val="en-US"/>
              </w:rPr>
            </w:pPr>
            <w:r w:rsidRPr="00083C53">
              <w:rPr>
                <w:rFonts w:eastAsiaTheme="minorHAnsi"/>
                <w:b/>
                <w:color w:val="auto"/>
                <w:sz w:val="22"/>
              </w:rPr>
              <w:t>ELFT Strategic Objective</w:t>
            </w:r>
          </w:p>
        </w:tc>
        <w:tc>
          <w:tcPr>
            <w:tcW w:w="1576" w:type="dxa"/>
            <w:gridSpan w:val="2"/>
            <w:shd w:val="clear" w:color="auto" w:fill="F2F2F2" w:themeFill="background1" w:themeFillShade="F2"/>
          </w:tcPr>
          <w:p w:rsidRPr="00083C53" w:rsidR="00A21849" w:rsidP="00A21849" w:rsidRDefault="00A21849" w14:paraId="48A4DD43"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No. Safeguarding Objective</w:t>
            </w:r>
          </w:p>
        </w:tc>
        <w:tc>
          <w:tcPr>
            <w:tcW w:w="4237" w:type="dxa"/>
            <w:shd w:val="clear" w:color="auto" w:fill="F2F2F2" w:themeFill="background1" w:themeFillShade="F2"/>
          </w:tcPr>
          <w:p w:rsidRPr="00083C53" w:rsidR="00A21849" w:rsidP="00A21849" w:rsidRDefault="00A21849" w14:paraId="77C92CE0" w14:textId="77777777">
            <w:pPr>
              <w:spacing w:before="100" w:beforeAutospacing="1" w:after="100" w:afterAutospacing="1" w:line="240" w:lineRule="auto"/>
              <w:ind w:left="720" w:right="0" w:firstLine="0"/>
              <w:jc w:val="left"/>
              <w:rPr>
                <w:rFonts w:eastAsiaTheme="minorHAnsi"/>
                <w:color w:val="auto"/>
                <w:sz w:val="22"/>
              </w:rPr>
            </w:pPr>
            <w:r w:rsidRPr="00083C53">
              <w:rPr>
                <w:rFonts w:eastAsiaTheme="minorHAnsi"/>
                <w:b/>
                <w:color w:val="auto"/>
                <w:sz w:val="22"/>
              </w:rPr>
              <w:t>Action Required</w:t>
            </w:r>
          </w:p>
        </w:tc>
        <w:tc>
          <w:tcPr>
            <w:tcW w:w="2480" w:type="dxa"/>
            <w:gridSpan w:val="2"/>
            <w:shd w:val="clear" w:color="auto" w:fill="F2F2F2" w:themeFill="background1" w:themeFillShade="F2"/>
          </w:tcPr>
          <w:p w:rsidRPr="00083C53" w:rsidR="00A21849" w:rsidP="00A21849" w:rsidRDefault="00A21849" w14:paraId="7BCB8FE6" w14:textId="77777777">
            <w:pPr>
              <w:spacing w:after="0" w:line="240" w:lineRule="auto"/>
              <w:ind w:left="720" w:right="0" w:firstLine="0"/>
              <w:contextualSpacing/>
              <w:jc w:val="left"/>
              <w:rPr>
                <w:rFonts w:eastAsiaTheme="minorHAnsi"/>
                <w:color w:val="auto"/>
                <w:sz w:val="22"/>
              </w:rPr>
            </w:pPr>
            <w:r w:rsidRPr="00083C53">
              <w:rPr>
                <w:rFonts w:eastAsiaTheme="minorHAnsi"/>
                <w:b/>
                <w:color w:val="auto"/>
                <w:sz w:val="22"/>
              </w:rPr>
              <w:t>Lead</w:t>
            </w:r>
          </w:p>
        </w:tc>
        <w:tc>
          <w:tcPr>
            <w:tcW w:w="3371" w:type="dxa"/>
            <w:gridSpan w:val="2"/>
            <w:shd w:val="clear" w:color="auto" w:fill="F2F2F2" w:themeFill="background1" w:themeFillShade="F2"/>
          </w:tcPr>
          <w:p w:rsidRPr="00083C53" w:rsidR="00A21849" w:rsidP="00A21849" w:rsidRDefault="00A21849" w14:paraId="4B5C5494"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Evidence Measures</w:t>
            </w:r>
          </w:p>
        </w:tc>
        <w:tc>
          <w:tcPr>
            <w:tcW w:w="1938" w:type="dxa"/>
            <w:shd w:val="clear" w:color="auto" w:fill="F2F2F2" w:themeFill="background1" w:themeFillShade="F2"/>
          </w:tcPr>
          <w:p w:rsidRPr="00083C53" w:rsidR="00A21849" w:rsidP="00A21849" w:rsidRDefault="00A21849" w14:paraId="30258C81"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b/>
                <w:color w:val="auto"/>
                <w:sz w:val="22"/>
              </w:rPr>
              <w:t>Time scale and Progress Update</w:t>
            </w:r>
          </w:p>
        </w:tc>
        <w:tc>
          <w:tcPr>
            <w:tcW w:w="936" w:type="dxa"/>
            <w:shd w:val="clear" w:color="auto" w:fill="F2F2F2" w:themeFill="background1" w:themeFillShade="F2"/>
          </w:tcPr>
          <w:p w:rsidRPr="00083C53" w:rsidR="00A21849" w:rsidP="00A21849" w:rsidRDefault="00A21849" w14:paraId="2B8C096E" w14:textId="77777777">
            <w:pPr>
              <w:spacing w:after="0" w:line="240" w:lineRule="auto"/>
              <w:ind w:left="0" w:right="0" w:firstLine="0"/>
              <w:jc w:val="left"/>
              <w:rPr>
                <w:rFonts w:eastAsiaTheme="minorHAnsi"/>
                <w:color w:val="auto"/>
                <w:sz w:val="22"/>
              </w:rPr>
            </w:pPr>
          </w:p>
        </w:tc>
      </w:tr>
      <w:tr w:rsidRPr="00083C53" w:rsidR="00A21849" w:rsidTr="00A42FAD" w14:paraId="4575DCEB" w14:textId="77777777">
        <w:trPr>
          <w:trHeight w:val="1275"/>
        </w:trPr>
        <w:tc>
          <w:tcPr>
            <w:tcW w:w="1276" w:type="dxa"/>
            <w:vMerge w:val="restart"/>
          </w:tcPr>
          <w:p w:rsidRPr="00083C53" w:rsidR="00A21849" w:rsidP="00A21849" w:rsidRDefault="00A21849" w14:paraId="184ED010" w14:textId="77777777">
            <w:pPr>
              <w:spacing w:after="0" w:line="240" w:lineRule="auto"/>
              <w:ind w:left="0" w:right="0" w:firstLine="0"/>
              <w:jc w:val="left"/>
              <w:rPr>
                <w:rFonts w:eastAsiaTheme="minorHAnsi"/>
                <w:b/>
                <w:color w:val="auto"/>
                <w:sz w:val="22"/>
              </w:rPr>
            </w:pPr>
            <w:r w:rsidRPr="00083C53">
              <w:rPr>
                <w:rFonts w:eastAsiaTheme="minorHAnsi"/>
                <w:b/>
                <w:color w:val="auto"/>
                <w:sz w:val="22"/>
                <w:lang w:val="en-US"/>
              </w:rPr>
              <w:t>Improved Value</w:t>
            </w:r>
          </w:p>
          <w:p w:rsidRPr="00083C53" w:rsidR="00A21849" w:rsidP="00A21849" w:rsidRDefault="00A21849" w14:paraId="2290BDAC" w14:textId="77777777">
            <w:pPr>
              <w:spacing w:after="0" w:line="240" w:lineRule="auto"/>
              <w:ind w:left="0" w:right="0" w:firstLine="0"/>
              <w:jc w:val="left"/>
              <w:rPr>
                <w:rFonts w:eastAsiaTheme="minorHAnsi"/>
                <w:b/>
                <w:color w:val="auto"/>
                <w:sz w:val="22"/>
              </w:rPr>
            </w:pPr>
          </w:p>
        </w:tc>
        <w:tc>
          <w:tcPr>
            <w:tcW w:w="1576" w:type="dxa"/>
            <w:gridSpan w:val="2"/>
            <w:vMerge w:val="restart"/>
          </w:tcPr>
          <w:p w:rsidRPr="00083C53" w:rsidR="00A21849" w:rsidP="00A21849" w:rsidRDefault="00A21849" w14:paraId="25C92A61"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6. Improve data visibility and reduce duplication </w:t>
            </w:r>
          </w:p>
          <w:p w:rsidRPr="00083C53" w:rsidR="00A21849" w:rsidP="00A21849" w:rsidRDefault="00A21849" w14:paraId="316B9C3D" w14:textId="77777777">
            <w:pPr>
              <w:spacing w:before="100" w:beforeAutospacing="1" w:after="100" w:afterAutospacing="1" w:line="240" w:lineRule="auto"/>
              <w:ind w:left="0" w:right="0" w:firstLine="0"/>
              <w:jc w:val="left"/>
              <w:rPr>
                <w:rFonts w:eastAsiaTheme="minorHAnsi"/>
                <w:color w:val="auto"/>
                <w:sz w:val="22"/>
              </w:rPr>
            </w:pPr>
            <w:r w:rsidRPr="00083C53">
              <w:rPr>
                <w:rFonts w:eastAsiaTheme="minorHAnsi"/>
                <w:color w:val="auto"/>
                <w:sz w:val="22"/>
              </w:rPr>
              <w:t xml:space="preserve">Currently, duplicate safeguarding reporting across some areas of the Trust undermines the ability to gain a coherent, accurate view of safeguarding activity and risk. The absence of consistent local data or centralised entries in the Trust’s recording system limits the organisation’s visibility and inhibits </w:t>
            </w:r>
            <w:r w:rsidRPr="00083C53">
              <w:rPr>
                <w:rFonts w:eastAsiaTheme="minorHAnsi"/>
                <w:color w:val="auto"/>
                <w:sz w:val="22"/>
              </w:rPr>
              <w:t>effective risk governance.</w:t>
            </w:r>
          </w:p>
          <w:p w:rsidRPr="00083C53" w:rsidR="00A21849" w:rsidP="00A21849" w:rsidRDefault="00A21849" w14:paraId="08559134"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val="restart"/>
          </w:tcPr>
          <w:p w:rsidRPr="00083C53" w:rsidR="00A21849" w:rsidP="00B80E06" w:rsidRDefault="00A21849" w14:paraId="55B01E7A" w14:textId="77777777">
            <w:pPr>
              <w:numPr>
                <w:ilvl w:val="0"/>
                <w:numId w:val="4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Map current safeguarding reporting pathways</w:t>
            </w:r>
          </w:p>
          <w:p w:rsidRPr="00083C53" w:rsidR="00A21849" w:rsidP="00B80E06" w:rsidRDefault="00A21849" w14:paraId="608E1D10" w14:textId="77777777">
            <w:pPr>
              <w:numPr>
                <w:ilvl w:val="0"/>
                <w:numId w:val="4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Standardise safeguarding data entry protocols</w:t>
            </w:r>
          </w:p>
          <w:p w:rsidRPr="00083C53" w:rsidR="00A21849" w:rsidP="00B80E06" w:rsidRDefault="00A21849" w14:paraId="46FDDA7C" w14:textId="77777777">
            <w:pPr>
              <w:numPr>
                <w:ilvl w:val="0"/>
                <w:numId w:val="4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Integrate unrecorded local safeguarding activity into corporate reporting</w:t>
            </w:r>
          </w:p>
          <w:p w:rsidRPr="00083C53" w:rsidR="00A21849" w:rsidP="00B80E06" w:rsidRDefault="00A21849" w14:paraId="13B3A190" w14:textId="77777777">
            <w:pPr>
              <w:numPr>
                <w:ilvl w:val="0"/>
                <w:numId w:val="4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Define minimum safeguarding data requirements for local teams</w:t>
            </w:r>
          </w:p>
          <w:p w:rsidRPr="00083C53" w:rsidR="00A21849" w:rsidP="00B80E06" w:rsidRDefault="00A21849" w14:paraId="6D49D4F8" w14:textId="77777777">
            <w:pPr>
              <w:numPr>
                <w:ilvl w:val="0"/>
                <w:numId w:val="46"/>
              </w:numPr>
              <w:spacing w:before="100" w:beforeAutospacing="1" w:after="100" w:afterAutospacing="1" w:line="240" w:lineRule="auto"/>
              <w:ind w:right="0"/>
              <w:jc w:val="left"/>
              <w:rPr>
                <w:rFonts w:eastAsiaTheme="minorHAnsi"/>
                <w:color w:val="auto"/>
                <w:sz w:val="22"/>
              </w:rPr>
            </w:pPr>
            <w:r w:rsidRPr="00083C53">
              <w:rPr>
                <w:rFonts w:eastAsiaTheme="minorHAnsi"/>
                <w:color w:val="auto"/>
                <w:sz w:val="22"/>
              </w:rPr>
              <w:t>Audit data quality and duplication</w:t>
            </w:r>
          </w:p>
        </w:tc>
        <w:tc>
          <w:tcPr>
            <w:tcW w:w="2480" w:type="dxa"/>
            <w:gridSpan w:val="2"/>
            <w:vMerge w:val="restart"/>
          </w:tcPr>
          <w:p w:rsidRPr="00083C53" w:rsidR="00A21849" w:rsidP="00B80E06" w:rsidRDefault="00A21849" w14:paraId="447C2F1F" w14:textId="77777777">
            <w:pPr>
              <w:numPr>
                <w:ilvl w:val="0"/>
                <w:numId w:val="9"/>
              </w:numPr>
              <w:spacing w:after="0" w:line="240" w:lineRule="auto"/>
              <w:ind w:left="425" w:right="0" w:hanging="283"/>
              <w:contextualSpacing/>
              <w:jc w:val="left"/>
              <w:rPr>
                <w:rFonts w:eastAsiaTheme="minorHAnsi"/>
                <w:color w:val="auto"/>
                <w:sz w:val="22"/>
              </w:rPr>
            </w:pPr>
            <w:r w:rsidRPr="00083C53">
              <w:rPr>
                <w:rFonts w:eastAsiaTheme="minorHAnsi"/>
                <w:color w:val="auto"/>
                <w:sz w:val="22"/>
              </w:rPr>
              <w:t>The Named Professionals and Lead Professionals are responsible for the operational delivery of the actions in the work plan.</w:t>
            </w:r>
          </w:p>
          <w:p w:rsidRPr="00083C53" w:rsidR="00A21849" w:rsidP="00A21849" w:rsidRDefault="00A21849" w14:paraId="6B288A02"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0D434F16" w14:textId="77777777">
            <w:pPr>
              <w:numPr>
                <w:ilvl w:val="0"/>
                <w:numId w:val="9"/>
              </w:numPr>
              <w:spacing w:after="0" w:line="240" w:lineRule="auto"/>
              <w:ind w:left="425" w:right="0" w:hanging="283"/>
              <w:contextualSpacing/>
              <w:jc w:val="left"/>
              <w:rPr>
                <w:rFonts w:eastAsiaTheme="minorHAnsi"/>
                <w:color w:val="auto"/>
                <w:sz w:val="22"/>
              </w:rPr>
            </w:pPr>
            <w:r w:rsidRPr="00083C53">
              <w:rPr>
                <w:rFonts w:eastAsiaTheme="minorHAnsi"/>
                <w:color w:val="auto"/>
                <w:sz w:val="22"/>
              </w:rPr>
              <w:t>The Associate Director is primarily accountable for delivering the safeguarding strategy and coordinating the implementation of the work plan.</w:t>
            </w:r>
          </w:p>
          <w:p w:rsidRPr="00083C53" w:rsidR="00A21849" w:rsidP="00A21849" w:rsidRDefault="00A21849" w14:paraId="6A3DC93E" w14:textId="77777777">
            <w:pPr>
              <w:spacing w:after="0" w:line="240" w:lineRule="auto"/>
              <w:ind w:left="720" w:right="0" w:firstLine="0"/>
              <w:contextualSpacing/>
              <w:jc w:val="left"/>
              <w:rPr>
                <w:rFonts w:eastAsiaTheme="minorHAnsi"/>
                <w:color w:val="auto"/>
                <w:sz w:val="22"/>
              </w:rPr>
            </w:pPr>
          </w:p>
          <w:p w:rsidRPr="00083C53" w:rsidR="00A21849" w:rsidP="00A21849" w:rsidRDefault="00A21849" w14:paraId="5F5E4FF3" w14:textId="77777777">
            <w:pPr>
              <w:spacing w:after="0" w:line="240" w:lineRule="auto"/>
              <w:ind w:left="720" w:right="0" w:firstLine="0"/>
              <w:contextualSpacing/>
              <w:jc w:val="left"/>
              <w:rPr>
                <w:rFonts w:eastAsiaTheme="minorHAnsi"/>
                <w:color w:val="auto"/>
                <w:sz w:val="22"/>
              </w:rPr>
            </w:pPr>
          </w:p>
          <w:p w:rsidRPr="00083C53" w:rsidR="00A21849" w:rsidP="00B80E06" w:rsidRDefault="00A21849" w14:paraId="402E03DB" w14:textId="77777777">
            <w:pPr>
              <w:numPr>
                <w:ilvl w:val="0"/>
                <w:numId w:val="9"/>
              </w:numPr>
              <w:spacing w:after="0" w:line="240" w:lineRule="auto"/>
              <w:ind w:left="425" w:right="0" w:hanging="283"/>
              <w:contextualSpacing/>
              <w:jc w:val="left"/>
              <w:rPr>
                <w:rFonts w:eastAsiaTheme="minorHAnsi"/>
                <w:color w:val="auto"/>
                <w:sz w:val="22"/>
              </w:rPr>
            </w:pPr>
            <w:r w:rsidRPr="00083C53">
              <w:rPr>
                <w:rFonts w:eastAsiaTheme="minorHAnsi"/>
                <w:color w:val="auto"/>
                <w:sz w:val="22"/>
              </w:rPr>
              <w:t>The Trust Safeguarding Committee provides the strategic governance and assurance</w:t>
            </w:r>
          </w:p>
          <w:p w:rsidRPr="00083C53" w:rsidR="00A21849" w:rsidP="00A21849" w:rsidRDefault="00A21849" w14:paraId="4056B596" w14:textId="77777777">
            <w:pPr>
              <w:spacing w:after="0" w:line="240" w:lineRule="auto"/>
              <w:ind w:left="720" w:right="0" w:firstLine="0"/>
              <w:contextualSpacing/>
              <w:jc w:val="left"/>
              <w:rPr>
                <w:rFonts w:eastAsiaTheme="minorHAnsi"/>
                <w:color w:val="auto"/>
                <w:sz w:val="22"/>
              </w:rPr>
            </w:pPr>
          </w:p>
        </w:tc>
        <w:tc>
          <w:tcPr>
            <w:tcW w:w="3371" w:type="dxa"/>
            <w:gridSpan w:val="2"/>
            <w:vMerge w:val="restart"/>
          </w:tcPr>
          <w:p w:rsidRPr="00083C53" w:rsidR="00A21849" w:rsidP="00B80E06" w:rsidRDefault="00A21849" w14:paraId="59810AD7" w14:textId="77777777">
            <w:pPr>
              <w:numPr>
                <w:ilvl w:val="0"/>
                <w:numId w:val="9"/>
              </w:numPr>
              <w:spacing w:before="100" w:beforeAutospacing="1" w:after="100" w:afterAutospacing="1" w:line="240" w:lineRule="auto"/>
              <w:ind w:left="319" w:right="0" w:hanging="284"/>
              <w:jc w:val="left"/>
              <w:rPr>
                <w:rFonts w:eastAsiaTheme="minorHAnsi"/>
                <w:color w:val="auto"/>
                <w:sz w:val="22"/>
              </w:rPr>
            </w:pPr>
            <w:r w:rsidRPr="00083C53">
              <w:rPr>
                <w:rFonts w:eastAsiaTheme="minorHAnsi"/>
                <w:color w:val="auto"/>
                <w:sz w:val="22"/>
              </w:rPr>
              <w:t>To identify where duplication occurs and where local data is missing.</w:t>
            </w:r>
          </w:p>
          <w:p w:rsidRPr="00083C53" w:rsidR="00A21849" w:rsidP="00B80E06" w:rsidRDefault="00A21849" w14:paraId="4689C1A8" w14:textId="77777777">
            <w:pPr>
              <w:numPr>
                <w:ilvl w:val="0"/>
                <w:numId w:val="9"/>
              </w:numPr>
              <w:spacing w:before="100" w:beforeAutospacing="1" w:after="100" w:afterAutospacing="1" w:line="240" w:lineRule="auto"/>
              <w:ind w:left="319" w:right="0" w:hanging="284"/>
              <w:jc w:val="left"/>
              <w:rPr>
                <w:rFonts w:eastAsiaTheme="minorHAnsi"/>
                <w:color w:val="auto"/>
                <w:sz w:val="22"/>
              </w:rPr>
            </w:pPr>
            <w:r w:rsidRPr="00083C53">
              <w:rPr>
                <w:rFonts w:eastAsiaTheme="minorHAnsi"/>
                <w:color w:val="auto"/>
                <w:sz w:val="22"/>
              </w:rPr>
              <w:t>To ensure all safeguarding activity is consistently captured in the Trust system</w:t>
            </w:r>
          </w:p>
          <w:p w:rsidRPr="00083C53" w:rsidR="00A21849" w:rsidP="00B80E06" w:rsidRDefault="00A21849" w14:paraId="2DD724EC" w14:textId="77777777">
            <w:pPr>
              <w:numPr>
                <w:ilvl w:val="0"/>
                <w:numId w:val="9"/>
              </w:numPr>
              <w:spacing w:before="100" w:beforeAutospacing="1" w:after="100" w:afterAutospacing="1" w:line="240" w:lineRule="auto"/>
              <w:ind w:left="319" w:right="0" w:hanging="284"/>
              <w:jc w:val="left"/>
              <w:rPr>
                <w:rFonts w:eastAsiaTheme="minorHAnsi"/>
                <w:color w:val="auto"/>
                <w:sz w:val="22"/>
              </w:rPr>
            </w:pPr>
            <w:r w:rsidRPr="00083C53">
              <w:rPr>
                <w:rFonts w:eastAsiaTheme="minorHAnsi"/>
                <w:color w:val="auto"/>
                <w:sz w:val="22"/>
              </w:rPr>
              <w:t>To develop plans for integration or local data retention.</w:t>
            </w:r>
          </w:p>
          <w:p w:rsidRPr="00083C53" w:rsidR="00A21849" w:rsidP="00B80E06" w:rsidRDefault="00A21849" w14:paraId="31B031E0" w14:textId="77777777">
            <w:pPr>
              <w:numPr>
                <w:ilvl w:val="0"/>
                <w:numId w:val="9"/>
              </w:numPr>
              <w:spacing w:before="100" w:beforeAutospacing="1" w:after="100" w:afterAutospacing="1" w:line="240" w:lineRule="auto"/>
              <w:ind w:left="319" w:right="0" w:hanging="284"/>
              <w:jc w:val="left"/>
              <w:rPr>
                <w:rFonts w:eastAsiaTheme="minorHAnsi"/>
                <w:color w:val="auto"/>
                <w:sz w:val="22"/>
              </w:rPr>
            </w:pPr>
            <w:r w:rsidRPr="00083C53">
              <w:rPr>
                <w:rFonts w:eastAsiaTheme="minorHAnsi"/>
                <w:color w:val="auto"/>
                <w:sz w:val="22"/>
              </w:rPr>
              <w:t>Establish minimum data requirements for local teams to hold and report</w:t>
            </w:r>
          </w:p>
          <w:p w:rsidRPr="00083C53" w:rsidR="00A21849" w:rsidP="00B80E06" w:rsidRDefault="00A21849" w14:paraId="4F76246F" w14:textId="77777777">
            <w:pPr>
              <w:numPr>
                <w:ilvl w:val="0"/>
                <w:numId w:val="9"/>
              </w:numPr>
              <w:spacing w:before="100" w:beforeAutospacing="1" w:after="100" w:afterAutospacing="1" w:line="240" w:lineRule="auto"/>
              <w:ind w:left="319" w:right="0" w:hanging="284"/>
              <w:jc w:val="left"/>
              <w:rPr>
                <w:rFonts w:eastAsiaTheme="minorHAnsi"/>
                <w:color w:val="auto"/>
                <w:sz w:val="22"/>
              </w:rPr>
            </w:pPr>
            <w:r w:rsidRPr="00083C53">
              <w:rPr>
                <w:rFonts w:eastAsiaTheme="minorHAnsi"/>
                <w:color w:val="auto"/>
                <w:sz w:val="22"/>
              </w:rPr>
              <w:t>Audit to see improvement in data completeness.</w:t>
            </w:r>
          </w:p>
        </w:tc>
        <w:tc>
          <w:tcPr>
            <w:tcW w:w="1938" w:type="dxa"/>
            <w:vMerge w:val="restart"/>
          </w:tcPr>
          <w:p w:rsidRPr="00083C53" w:rsidR="00A21849" w:rsidP="00B80E06" w:rsidRDefault="00A21849" w14:paraId="026089CC" w14:textId="77777777">
            <w:pPr>
              <w:numPr>
                <w:ilvl w:val="0"/>
                <w:numId w:val="9"/>
              </w:numPr>
              <w:spacing w:before="100" w:beforeAutospacing="1" w:after="100" w:afterAutospacing="1" w:line="240" w:lineRule="auto"/>
              <w:ind w:left="172" w:right="0" w:hanging="142"/>
              <w:jc w:val="left"/>
              <w:rPr>
                <w:rFonts w:eastAsiaTheme="minorHAnsi"/>
                <w:color w:val="auto"/>
                <w:sz w:val="22"/>
              </w:rPr>
            </w:pPr>
            <w:r w:rsidRPr="00083C53">
              <w:rPr>
                <w:rFonts w:eastAsiaTheme="minorHAnsi"/>
                <w:color w:val="auto"/>
                <w:sz w:val="22"/>
              </w:rPr>
              <w:t>Monitor and audit data entries quarterly to track reduction in duplication and improvement in data completeness.</w:t>
            </w:r>
          </w:p>
          <w:p w:rsidRPr="00083C53" w:rsidR="00A21849" w:rsidP="00B80E06" w:rsidRDefault="00A21849" w14:paraId="4C9317EC" w14:textId="77777777">
            <w:pPr>
              <w:numPr>
                <w:ilvl w:val="0"/>
                <w:numId w:val="9"/>
              </w:numPr>
              <w:spacing w:before="100" w:beforeAutospacing="1" w:after="100" w:afterAutospacing="1" w:line="240" w:lineRule="auto"/>
              <w:ind w:left="172" w:right="0" w:hanging="142"/>
              <w:jc w:val="left"/>
              <w:rPr>
                <w:rFonts w:eastAsiaTheme="minorHAnsi"/>
                <w:color w:val="auto"/>
                <w:sz w:val="22"/>
              </w:rPr>
            </w:pPr>
            <w:r w:rsidRPr="00083C53">
              <w:rPr>
                <w:rFonts w:eastAsiaTheme="minorHAnsi"/>
                <w:color w:val="auto"/>
                <w:sz w:val="22"/>
              </w:rPr>
              <w:t>Report quarterly to the Safeguarding Committee on progress towards reducing duplication and improving data visibility.</w:t>
            </w:r>
          </w:p>
          <w:p w:rsidRPr="00083C53" w:rsidR="00A21849" w:rsidP="00A21849" w:rsidRDefault="00A21849" w14:paraId="42099726" w14:textId="77777777">
            <w:pPr>
              <w:spacing w:before="100" w:beforeAutospacing="1" w:after="100" w:afterAutospacing="1" w:line="240" w:lineRule="auto"/>
              <w:ind w:left="319" w:right="0" w:firstLine="0"/>
              <w:jc w:val="left"/>
              <w:rPr>
                <w:rFonts w:eastAsiaTheme="minorHAnsi"/>
                <w:color w:val="auto"/>
                <w:sz w:val="22"/>
              </w:rPr>
            </w:pPr>
          </w:p>
        </w:tc>
        <w:tc>
          <w:tcPr>
            <w:tcW w:w="936" w:type="dxa"/>
          </w:tcPr>
          <w:p w:rsidRPr="00083C53" w:rsidR="00A21849" w:rsidP="00A21849" w:rsidRDefault="00A21849" w14:paraId="04F85231"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1</w:t>
            </w:r>
          </w:p>
        </w:tc>
      </w:tr>
      <w:tr w:rsidRPr="00083C53" w:rsidR="00A21849" w:rsidTr="00A42FAD" w14:paraId="7CCC5D74" w14:textId="77777777">
        <w:trPr>
          <w:trHeight w:val="1050"/>
        </w:trPr>
        <w:tc>
          <w:tcPr>
            <w:tcW w:w="1276" w:type="dxa"/>
            <w:vMerge/>
          </w:tcPr>
          <w:p w:rsidRPr="00083C53" w:rsidR="00A21849" w:rsidP="00A21849" w:rsidRDefault="00A21849" w14:paraId="55A90946"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50D59D78"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2E06D2AC" w14:textId="77777777">
            <w:pPr>
              <w:numPr>
                <w:ilvl w:val="0"/>
                <w:numId w:val="46"/>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56CCCE4D"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0A133432" w14:textId="77777777">
            <w:pPr>
              <w:numPr>
                <w:ilvl w:val="0"/>
                <w:numId w:val="9"/>
              </w:numPr>
              <w:spacing w:before="100" w:beforeAutospacing="1" w:after="100" w:afterAutospacing="1" w:line="240" w:lineRule="auto"/>
              <w:ind w:left="319" w:right="0" w:hanging="284"/>
              <w:jc w:val="left"/>
              <w:rPr>
                <w:rFonts w:eastAsiaTheme="minorHAnsi"/>
                <w:color w:val="auto"/>
                <w:sz w:val="22"/>
              </w:rPr>
            </w:pPr>
          </w:p>
        </w:tc>
        <w:tc>
          <w:tcPr>
            <w:tcW w:w="1938" w:type="dxa"/>
            <w:vMerge/>
          </w:tcPr>
          <w:p w:rsidRPr="00083C53" w:rsidR="00A21849" w:rsidP="00B80E06" w:rsidRDefault="00A21849" w14:paraId="1DC61BF0" w14:textId="77777777">
            <w:pPr>
              <w:numPr>
                <w:ilvl w:val="0"/>
                <w:numId w:val="9"/>
              </w:numPr>
              <w:spacing w:before="100" w:beforeAutospacing="1" w:after="100" w:afterAutospacing="1" w:line="240" w:lineRule="auto"/>
              <w:ind w:left="172" w:right="0" w:hanging="142"/>
              <w:jc w:val="left"/>
              <w:rPr>
                <w:rFonts w:eastAsiaTheme="minorHAnsi"/>
                <w:color w:val="auto"/>
                <w:sz w:val="22"/>
              </w:rPr>
            </w:pPr>
          </w:p>
        </w:tc>
        <w:tc>
          <w:tcPr>
            <w:tcW w:w="936" w:type="dxa"/>
          </w:tcPr>
          <w:p w:rsidRPr="00083C53" w:rsidR="00A21849" w:rsidP="00A21849" w:rsidRDefault="00A21849" w14:paraId="542A7B63"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2</w:t>
            </w:r>
          </w:p>
        </w:tc>
      </w:tr>
      <w:tr w:rsidRPr="00083C53" w:rsidR="00A21849" w:rsidTr="00A42FAD" w14:paraId="73BB54E3" w14:textId="77777777">
        <w:trPr>
          <w:trHeight w:val="1830"/>
        </w:trPr>
        <w:tc>
          <w:tcPr>
            <w:tcW w:w="1276" w:type="dxa"/>
            <w:vMerge/>
          </w:tcPr>
          <w:p w:rsidRPr="00083C53" w:rsidR="00A21849" w:rsidP="00A21849" w:rsidRDefault="00A21849" w14:paraId="472A18D6"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3507A096"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00A861FA" w14:textId="77777777">
            <w:pPr>
              <w:numPr>
                <w:ilvl w:val="0"/>
                <w:numId w:val="46"/>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56C3723C"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23024D67" w14:textId="77777777">
            <w:pPr>
              <w:numPr>
                <w:ilvl w:val="0"/>
                <w:numId w:val="9"/>
              </w:numPr>
              <w:spacing w:before="100" w:beforeAutospacing="1" w:after="100" w:afterAutospacing="1" w:line="240" w:lineRule="auto"/>
              <w:ind w:left="319" w:right="0" w:hanging="284"/>
              <w:jc w:val="left"/>
              <w:rPr>
                <w:rFonts w:eastAsiaTheme="minorHAnsi"/>
                <w:color w:val="auto"/>
                <w:sz w:val="22"/>
              </w:rPr>
            </w:pPr>
          </w:p>
        </w:tc>
        <w:tc>
          <w:tcPr>
            <w:tcW w:w="1938" w:type="dxa"/>
            <w:vMerge/>
          </w:tcPr>
          <w:p w:rsidRPr="00083C53" w:rsidR="00A21849" w:rsidP="00B80E06" w:rsidRDefault="00A21849" w14:paraId="2A60330C" w14:textId="77777777">
            <w:pPr>
              <w:numPr>
                <w:ilvl w:val="0"/>
                <w:numId w:val="9"/>
              </w:numPr>
              <w:spacing w:before="100" w:beforeAutospacing="1" w:after="100" w:afterAutospacing="1" w:line="240" w:lineRule="auto"/>
              <w:ind w:left="172" w:right="0" w:hanging="142"/>
              <w:jc w:val="left"/>
              <w:rPr>
                <w:rFonts w:eastAsiaTheme="minorHAnsi"/>
                <w:color w:val="auto"/>
                <w:sz w:val="22"/>
              </w:rPr>
            </w:pPr>
          </w:p>
        </w:tc>
        <w:tc>
          <w:tcPr>
            <w:tcW w:w="936" w:type="dxa"/>
          </w:tcPr>
          <w:p w:rsidRPr="00083C53" w:rsidR="00A21849" w:rsidP="00A21849" w:rsidRDefault="00A21849" w14:paraId="479329E7"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3</w:t>
            </w:r>
          </w:p>
        </w:tc>
      </w:tr>
      <w:tr w:rsidRPr="00083C53" w:rsidR="00A21849" w:rsidTr="00A42FAD" w14:paraId="4FF68CB8" w14:textId="77777777">
        <w:trPr>
          <w:trHeight w:val="1740"/>
        </w:trPr>
        <w:tc>
          <w:tcPr>
            <w:tcW w:w="1276" w:type="dxa"/>
            <w:vMerge/>
          </w:tcPr>
          <w:p w:rsidRPr="00083C53" w:rsidR="00A21849" w:rsidP="00A21849" w:rsidRDefault="00A21849" w14:paraId="74B47DBA" w14:textId="77777777">
            <w:pPr>
              <w:spacing w:after="0" w:line="240" w:lineRule="auto"/>
              <w:ind w:left="0" w:right="0" w:firstLine="0"/>
              <w:jc w:val="left"/>
              <w:rPr>
                <w:rFonts w:eastAsiaTheme="minorHAnsi"/>
                <w:b/>
                <w:color w:val="auto"/>
                <w:sz w:val="22"/>
                <w:lang w:val="en-US"/>
              </w:rPr>
            </w:pPr>
          </w:p>
        </w:tc>
        <w:tc>
          <w:tcPr>
            <w:tcW w:w="1576" w:type="dxa"/>
            <w:gridSpan w:val="2"/>
            <w:vMerge/>
          </w:tcPr>
          <w:p w:rsidRPr="00083C53" w:rsidR="00A21849" w:rsidP="00A21849" w:rsidRDefault="00A21849" w14:paraId="4B482CC0" w14:textId="77777777">
            <w:pPr>
              <w:spacing w:before="100" w:beforeAutospacing="1" w:after="100" w:afterAutospacing="1" w:line="240" w:lineRule="auto"/>
              <w:ind w:left="0" w:right="0" w:firstLine="0"/>
              <w:jc w:val="left"/>
              <w:rPr>
                <w:rFonts w:eastAsiaTheme="minorHAnsi"/>
                <w:color w:val="auto"/>
                <w:sz w:val="22"/>
              </w:rPr>
            </w:pPr>
          </w:p>
        </w:tc>
        <w:tc>
          <w:tcPr>
            <w:tcW w:w="4237" w:type="dxa"/>
            <w:vMerge/>
          </w:tcPr>
          <w:p w:rsidRPr="00083C53" w:rsidR="00A21849" w:rsidP="00B80E06" w:rsidRDefault="00A21849" w14:paraId="2AE9960C" w14:textId="77777777">
            <w:pPr>
              <w:numPr>
                <w:ilvl w:val="0"/>
                <w:numId w:val="46"/>
              </w:numPr>
              <w:spacing w:before="100" w:beforeAutospacing="1" w:after="100" w:afterAutospacing="1" w:line="240" w:lineRule="auto"/>
              <w:ind w:right="0"/>
              <w:jc w:val="left"/>
              <w:rPr>
                <w:rFonts w:eastAsiaTheme="minorHAnsi"/>
                <w:color w:val="auto"/>
                <w:sz w:val="22"/>
              </w:rPr>
            </w:pPr>
          </w:p>
        </w:tc>
        <w:tc>
          <w:tcPr>
            <w:tcW w:w="2480" w:type="dxa"/>
            <w:gridSpan w:val="2"/>
            <w:vMerge/>
          </w:tcPr>
          <w:p w:rsidRPr="00083C53" w:rsidR="00A21849" w:rsidP="00B80E06" w:rsidRDefault="00A21849" w14:paraId="5E2E0B19" w14:textId="77777777">
            <w:pPr>
              <w:numPr>
                <w:ilvl w:val="0"/>
                <w:numId w:val="9"/>
              </w:numPr>
              <w:spacing w:after="0" w:line="240" w:lineRule="auto"/>
              <w:ind w:right="0"/>
              <w:contextualSpacing/>
              <w:jc w:val="left"/>
              <w:rPr>
                <w:rFonts w:eastAsiaTheme="minorHAnsi"/>
                <w:color w:val="auto"/>
                <w:sz w:val="22"/>
              </w:rPr>
            </w:pPr>
          </w:p>
        </w:tc>
        <w:tc>
          <w:tcPr>
            <w:tcW w:w="3371" w:type="dxa"/>
            <w:gridSpan w:val="2"/>
            <w:vMerge/>
          </w:tcPr>
          <w:p w:rsidRPr="00083C53" w:rsidR="00A21849" w:rsidP="00B80E06" w:rsidRDefault="00A21849" w14:paraId="276C9586" w14:textId="77777777">
            <w:pPr>
              <w:numPr>
                <w:ilvl w:val="0"/>
                <w:numId w:val="9"/>
              </w:numPr>
              <w:spacing w:before="100" w:beforeAutospacing="1" w:after="100" w:afterAutospacing="1" w:line="240" w:lineRule="auto"/>
              <w:ind w:left="319" w:right="0" w:hanging="284"/>
              <w:jc w:val="left"/>
              <w:rPr>
                <w:rFonts w:eastAsiaTheme="minorHAnsi"/>
                <w:color w:val="auto"/>
                <w:sz w:val="22"/>
              </w:rPr>
            </w:pPr>
          </w:p>
        </w:tc>
        <w:tc>
          <w:tcPr>
            <w:tcW w:w="1938" w:type="dxa"/>
            <w:vMerge/>
          </w:tcPr>
          <w:p w:rsidRPr="00083C53" w:rsidR="00A21849" w:rsidP="00B80E06" w:rsidRDefault="00A21849" w14:paraId="0BB10E8C" w14:textId="77777777">
            <w:pPr>
              <w:numPr>
                <w:ilvl w:val="0"/>
                <w:numId w:val="9"/>
              </w:numPr>
              <w:spacing w:before="100" w:beforeAutospacing="1" w:after="100" w:afterAutospacing="1" w:line="240" w:lineRule="auto"/>
              <w:ind w:left="172" w:right="0" w:hanging="142"/>
              <w:jc w:val="left"/>
              <w:rPr>
                <w:rFonts w:eastAsiaTheme="minorHAnsi"/>
                <w:color w:val="auto"/>
                <w:sz w:val="22"/>
              </w:rPr>
            </w:pPr>
          </w:p>
        </w:tc>
        <w:tc>
          <w:tcPr>
            <w:tcW w:w="936" w:type="dxa"/>
          </w:tcPr>
          <w:p w:rsidRPr="00083C53" w:rsidR="00A21849" w:rsidP="00A21849" w:rsidRDefault="00A21849" w14:paraId="2287D4AC" w14:textId="77777777">
            <w:pPr>
              <w:spacing w:after="0" w:line="240" w:lineRule="auto"/>
              <w:ind w:left="0" w:right="0" w:firstLine="0"/>
              <w:jc w:val="left"/>
              <w:rPr>
                <w:rFonts w:eastAsiaTheme="minorHAnsi"/>
                <w:color w:val="auto"/>
                <w:sz w:val="22"/>
              </w:rPr>
            </w:pPr>
            <w:proofErr w:type="spellStart"/>
            <w:r w:rsidRPr="00083C53">
              <w:rPr>
                <w:rFonts w:eastAsiaTheme="minorHAnsi"/>
                <w:color w:val="auto"/>
                <w:sz w:val="22"/>
              </w:rPr>
              <w:t>Qtr</w:t>
            </w:r>
            <w:proofErr w:type="spellEnd"/>
            <w:r w:rsidRPr="00083C53">
              <w:rPr>
                <w:rFonts w:eastAsiaTheme="minorHAnsi"/>
                <w:color w:val="auto"/>
                <w:sz w:val="22"/>
              </w:rPr>
              <w:t xml:space="preserve"> 4</w:t>
            </w:r>
          </w:p>
        </w:tc>
      </w:tr>
    </w:tbl>
    <w:p w:rsidRPr="00083C53" w:rsidR="00A21849" w:rsidP="00A21849" w:rsidRDefault="00A21849" w14:paraId="40815E90" w14:textId="77777777">
      <w:pPr>
        <w:spacing w:after="160" w:line="259" w:lineRule="auto"/>
        <w:ind w:left="0" w:right="0" w:firstLine="0"/>
        <w:jc w:val="left"/>
        <w:rPr>
          <w:rFonts w:eastAsiaTheme="minorHAnsi"/>
          <w:color w:val="auto"/>
          <w:sz w:val="22"/>
          <w:lang w:eastAsia="en-US"/>
        </w:rPr>
      </w:pPr>
    </w:p>
    <w:p w:rsidRPr="00083C53" w:rsidR="00FC74BB" w:rsidP="00F55272" w:rsidRDefault="00FC74BB" w14:paraId="7B2C68B7" w14:textId="77777777">
      <w:pPr>
        <w:pStyle w:val="BodyText"/>
        <w:rPr>
          <w:rFonts w:cs="Arial"/>
          <w:lang w:val="en-GB"/>
        </w:rPr>
        <w:sectPr w:rsidRPr="00083C53" w:rsidR="00FC74BB" w:rsidSect="001A326A">
          <w:pgSz w:w="16838" w:h="11906" w:orient="landscape"/>
          <w:pgMar w:top="873" w:right="1440" w:bottom="1123" w:left="1480" w:header="720" w:footer="720" w:gutter="0"/>
          <w:cols w:space="720"/>
          <w:docGrid w:linePitch="326"/>
        </w:sectPr>
      </w:pPr>
    </w:p>
    <w:p w:rsidR="00C833AF" w:rsidP="007F364A" w:rsidRDefault="00C833AF" w14:paraId="0D34BE15" w14:textId="2C577611">
      <w:pPr>
        <w:jc w:val="center"/>
        <w:rPr>
          <w:b/>
          <w:sz w:val="22"/>
        </w:rPr>
      </w:pPr>
      <w:r w:rsidRPr="00083C53">
        <w:rPr>
          <w:b/>
          <w:sz w:val="22"/>
        </w:rPr>
        <w:t xml:space="preserve">Appendix- </w:t>
      </w:r>
      <w:r w:rsidRPr="00083C53" w:rsidR="003B7AA8">
        <w:rPr>
          <w:b/>
          <w:sz w:val="22"/>
        </w:rPr>
        <w:t>2 Organisational</w:t>
      </w:r>
      <w:r w:rsidR="007F364A">
        <w:rPr>
          <w:b/>
          <w:sz w:val="22"/>
        </w:rPr>
        <w:t xml:space="preserve"> Chart</w:t>
      </w:r>
    </w:p>
    <w:p w:rsidRPr="007F364A" w:rsidR="007F364A" w:rsidP="007F364A" w:rsidRDefault="007F364A" w14:paraId="32592525" w14:textId="77777777">
      <w:pPr>
        <w:jc w:val="center"/>
        <w:rPr>
          <w:b/>
          <w:sz w:val="22"/>
        </w:rPr>
      </w:pPr>
    </w:p>
    <w:p w:rsidRPr="0034042B" w:rsidR="00FC74BB" w:rsidP="0034042B" w:rsidRDefault="007F364A" w14:paraId="2585ABFB" w14:textId="18B3ACAD">
      <w:pPr>
        <w:pStyle w:val="Heading1"/>
        <w:numPr>
          <w:ilvl w:val="0"/>
          <w:numId w:val="0"/>
        </w:numPr>
        <w:tabs>
          <w:tab w:val="center" w:pos="1316"/>
        </w:tabs>
        <w:spacing w:after="25" w:line="259" w:lineRule="auto"/>
        <w:jc w:val="center"/>
        <w:rPr>
          <w:rFonts w:ascii="Calibri" w:hAnsi="Calibri" w:eastAsia="Calibri" w:cs="Calibri"/>
          <w:sz w:val="28"/>
        </w:rPr>
      </w:pPr>
      <w:r>
        <w:rPr>
          <w:noProof/>
        </w:rPr>
        <w:drawing>
          <wp:inline distT="0" distB="0" distL="0" distR="0" wp14:anchorId="34C60E31" wp14:editId="2119C1EB">
            <wp:extent cx="6144127" cy="4648362"/>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49498" cy="4652426"/>
                    </a:xfrm>
                    <a:prstGeom prst="rect">
                      <a:avLst/>
                    </a:prstGeom>
                  </pic:spPr>
                </pic:pic>
              </a:graphicData>
            </a:graphic>
          </wp:inline>
        </w:drawing>
      </w:r>
    </w:p>
    <w:p w:rsidRPr="000B0C11" w:rsidR="00F12E26" w:rsidP="007F364A" w:rsidRDefault="00340E70" w14:paraId="2F5FADFB" w14:textId="0C7FC4C1">
      <w:pPr>
        <w:spacing w:after="0" w:line="259" w:lineRule="auto"/>
        <w:ind w:left="595" w:right="0" w:firstLine="0"/>
        <w:jc w:val="left"/>
        <w:sectPr w:rsidRPr="000B0C11" w:rsidR="00F12E26" w:rsidSect="00175AE6">
          <w:pgSz w:w="16838" w:h="11906" w:orient="landscape"/>
          <w:pgMar w:top="396" w:right="1008" w:bottom="1438" w:left="1630" w:header="720" w:footer="720" w:gutter="0"/>
          <w:cols w:space="720"/>
          <w:docGrid w:linePitch="326"/>
        </w:sectPr>
      </w:pPr>
      <w:r w:rsidRPr="000B0C11">
        <w:rPr>
          <w:b/>
        </w:rPr>
        <w:t xml:space="preserve"> </w:t>
      </w:r>
    </w:p>
    <w:p w:rsidR="000C21D7" w:rsidP="0092130D" w:rsidRDefault="000C21D7" w14:paraId="04A2410A" w14:textId="24B69FBE">
      <w:pPr>
        <w:tabs>
          <w:tab w:val="center" w:pos="5080"/>
          <w:tab w:val="center" w:pos="8471"/>
        </w:tabs>
        <w:spacing w:after="0" w:line="259" w:lineRule="auto"/>
        <w:ind w:left="0" w:right="0" w:firstLine="0"/>
        <w:jc w:val="left"/>
      </w:pPr>
    </w:p>
    <w:p w:rsidR="00151CC6" w:rsidP="0092130D" w:rsidRDefault="00151CC6" w14:paraId="0D1B03BC" w14:textId="46791743">
      <w:pPr>
        <w:tabs>
          <w:tab w:val="center" w:pos="5080"/>
          <w:tab w:val="center" w:pos="8471"/>
        </w:tabs>
        <w:spacing w:after="0" w:line="259" w:lineRule="auto"/>
        <w:ind w:left="0" w:right="0" w:firstLine="0"/>
        <w:jc w:val="left"/>
      </w:pPr>
    </w:p>
    <w:p w:rsidRPr="000B0C11" w:rsidR="00151CC6" w:rsidP="0092130D" w:rsidRDefault="00151CC6" w14:paraId="2E7E4F97" w14:textId="5EA4BC3F">
      <w:pPr>
        <w:tabs>
          <w:tab w:val="center" w:pos="5080"/>
          <w:tab w:val="center" w:pos="8471"/>
        </w:tabs>
        <w:spacing w:after="0" w:line="259" w:lineRule="auto"/>
        <w:ind w:left="0" w:right="0" w:firstLine="0"/>
        <w:jc w:val="left"/>
      </w:pPr>
      <w:r>
        <w:rPr>
          <w:noProof/>
        </w:rPr>
        <w:drawing>
          <wp:inline distT="0" distB="0" distL="0" distR="0" wp14:anchorId="70D6B31F" wp14:editId="77A29E39">
            <wp:extent cx="5857875" cy="702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857875" cy="7029450"/>
                    </a:xfrm>
                    <a:prstGeom prst="rect">
                      <a:avLst/>
                    </a:prstGeom>
                  </pic:spPr>
                </pic:pic>
              </a:graphicData>
            </a:graphic>
          </wp:inline>
        </w:drawing>
      </w:r>
    </w:p>
    <w:sectPr w:rsidRPr="000B0C11" w:rsidR="00151CC6">
      <w:pgSz w:w="11906" w:h="16838" w:orient="portrait"/>
      <w:pgMar w:top="284" w:right="776" w:bottom="568"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271" w:rsidP="00B165CF" w:rsidRDefault="00CC4271" w14:paraId="5B8F04EE" w14:textId="77777777">
      <w:pPr>
        <w:spacing w:after="0" w:line="240" w:lineRule="auto"/>
      </w:pPr>
      <w:r>
        <w:separator/>
      </w:r>
    </w:p>
  </w:endnote>
  <w:endnote w:type="continuationSeparator" w:id="0">
    <w:p w:rsidR="00CC4271" w:rsidP="00B165CF" w:rsidRDefault="00CC4271" w14:paraId="27D5CDE2" w14:textId="77777777">
      <w:pPr>
        <w:spacing w:after="0" w:line="240" w:lineRule="auto"/>
      </w:pPr>
      <w:r>
        <w:continuationSeparator/>
      </w:r>
    </w:p>
  </w:endnote>
  <w:endnote w:type="continuationNotice" w:id="1">
    <w:p w:rsidR="00CC4271" w:rsidRDefault="00CC4271" w14:paraId="7A5CB8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MT Std Ligh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174033"/>
      <w:docPartObj>
        <w:docPartGallery w:val="Page Numbers (Bottom of Page)"/>
        <w:docPartUnique/>
      </w:docPartObj>
    </w:sdtPr>
    <w:sdtEndPr>
      <w:rPr>
        <w:noProof/>
      </w:rPr>
    </w:sdtEndPr>
    <w:sdtContent>
      <w:p w:rsidR="000632F3" w:rsidRDefault="000632F3" w14:paraId="7248EE4F" w14:textId="5F170113">
        <w:pPr>
          <w:pStyle w:val="Footer"/>
          <w:jc w:val="center"/>
        </w:pPr>
        <w:r>
          <w:fldChar w:fldCharType="begin"/>
        </w:r>
        <w:r>
          <w:instrText xml:space="preserve"> PAGE   \* MERGEFORMAT </w:instrText>
        </w:r>
        <w:r>
          <w:fldChar w:fldCharType="separate"/>
        </w:r>
        <w:r w:rsidR="00AF6248">
          <w:rPr>
            <w:noProof/>
          </w:rPr>
          <w:t>38</w:t>
        </w:r>
        <w:r>
          <w:rPr>
            <w:noProof/>
          </w:rPr>
          <w:fldChar w:fldCharType="end"/>
        </w:r>
      </w:p>
    </w:sdtContent>
  </w:sdt>
  <w:p w:rsidR="000632F3" w:rsidRDefault="000632F3" w14:paraId="72EB37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271" w:rsidP="00B165CF" w:rsidRDefault="00CC4271" w14:paraId="1B0873BE" w14:textId="77777777">
      <w:pPr>
        <w:spacing w:after="0" w:line="240" w:lineRule="auto"/>
      </w:pPr>
      <w:r>
        <w:separator/>
      </w:r>
    </w:p>
  </w:footnote>
  <w:footnote w:type="continuationSeparator" w:id="0">
    <w:p w:rsidR="00CC4271" w:rsidP="00B165CF" w:rsidRDefault="00CC4271" w14:paraId="5AA495F8" w14:textId="77777777">
      <w:pPr>
        <w:spacing w:after="0" w:line="240" w:lineRule="auto"/>
      </w:pPr>
      <w:r>
        <w:continuationSeparator/>
      </w:r>
    </w:p>
  </w:footnote>
  <w:footnote w:type="continuationNotice" w:id="1">
    <w:p w:rsidR="00CC4271" w:rsidRDefault="00CC4271" w14:paraId="450FA8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0632F3" w:rsidP="00B165CF" w:rsidRDefault="000632F3" w14:paraId="3FB5817F" w14:textId="77777777">
    <w:pPr>
      <w:pStyle w:val="Header"/>
      <w:ind w:left="8650"/>
    </w:pPr>
    <w:r>
      <w:rPr>
        <w:noProof/>
      </w:rPr>
      <w:drawing>
        <wp:inline distT="0" distB="0" distL="0" distR="0" wp14:anchorId="7210C519" wp14:editId="08663311">
          <wp:extent cx="1503807" cy="7575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7785" name="Picture 7785"/>
                  <pic:cNvPicPr/>
                </pic:nvPicPr>
                <pic:blipFill>
                  <a:blip r:embed="rId1"/>
                  <a:stretch>
                    <a:fillRect/>
                  </a:stretch>
                </pic:blipFill>
                <pic:spPr>
                  <a:xfrm>
                    <a:off x="0" y="0"/>
                    <a:ext cx="1503807" cy="757555"/>
                  </a:xfrm>
                  <a:prstGeom prst="rect">
                    <a:avLst/>
                  </a:prstGeom>
                </pic:spPr>
              </pic:pic>
            </a:graphicData>
          </a:graphic>
        </wp:inline>
      </w:drawing>
    </w:r>
  </w:p>
  <w:p w:rsidR="000632F3" w:rsidRDefault="000632F3" w14:paraId="3135ADBE"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CCB"/>
    <w:multiLevelType w:val="multilevel"/>
    <w:tmpl w:val="4FDAEB9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143F2"/>
    <w:multiLevelType w:val="hybridMultilevel"/>
    <w:tmpl w:val="B1301A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3905B9"/>
    <w:multiLevelType w:val="multilevel"/>
    <w:tmpl w:val="AC082AAC"/>
    <w:lvl w:ilvl="0">
      <w:start w:val="1"/>
      <w:numFmt w:val="bullet"/>
      <w:lvlText w:val=""/>
      <w:lvlJc w:val="left"/>
      <w:pPr>
        <w:ind w:left="2160" w:hanging="360"/>
      </w:pPr>
      <w:rPr>
        <w:rFonts w:hint="default" w:ascii="Symbol" w:hAnsi="Symbol"/>
      </w:rPr>
    </w:lvl>
    <w:lvl w:ilvl="1">
      <w:start w:val="2"/>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 w15:restartNumberingAfterBreak="0">
    <w:nsid w:val="096E6A66"/>
    <w:multiLevelType w:val="multilevel"/>
    <w:tmpl w:val="4BC080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345E74"/>
    <w:multiLevelType w:val="hybridMultilevel"/>
    <w:tmpl w:val="9DD2203A"/>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102D4622"/>
    <w:multiLevelType w:val="multilevel"/>
    <w:tmpl w:val="83087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616FA8"/>
    <w:multiLevelType w:val="hybridMultilevel"/>
    <w:tmpl w:val="F1EA3A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1690A9A"/>
    <w:multiLevelType w:val="hybridMultilevel"/>
    <w:tmpl w:val="E82A182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1241738A"/>
    <w:multiLevelType w:val="multilevel"/>
    <w:tmpl w:val="69E88B74"/>
    <w:lvl w:ilvl="0">
      <w:start w:val="1"/>
      <w:numFmt w:val="bullet"/>
      <w:lvlText w:val=""/>
      <w:lvlJc w:val="left"/>
      <w:pPr>
        <w:ind w:left="1800" w:hanging="360"/>
      </w:pPr>
      <w:rPr>
        <w:rFonts w:hint="default" w:ascii="Symbol" w:hAnsi="Symbol"/>
        <w:b/>
      </w:rPr>
    </w:lvl>
    <w:lvl w:ilvl="1">
      <w:start w:val="1"/>
      <w:numFmt w:val="bullet"/>
      <w:lvlText w:val=""/>
      <w:lvlJc w:val="left"/>
      <w:pPr>
        <w:ind w:left="2210" w:hanging="432"/>
      </w:pPr>
      <w:rPr>
        <w:rFonts w:hint="default" w:ascii="Symbol" w:hAnsi="Symbol"/>
        <w:b/>
        <w:sz w:val="20"/>
        <w:szCs w:val="20"/>
      </w:rPr>
    </w:lvl>
    <w:lvl w:ilvl="2">
      <w:start w:val="3"/>
      <w:numFmt w:val="decimal"/>
      <w:lvlText w:val="%1.%2.1"/>
      <w:lvlJc w:val="left"/>
      <w:pPr>
        <w:ind w:left="2664" w:hanging="504"/>
      </w:pPr>
      <w:rPr>
        <w:rFonts w:hint="default"/>
        <w:b/>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166D7CB0"/>
    <w:multiLevelType w:val="hybridMultilevel"/>
    <w:tmpl w:val="90CEA3A8"/>
    <w:lvl w:ilvl="0" w:tplc="08090001">
      <w:start w:val="1"/>
      <w:numFmt w:val="bullet"/>
      <w:lvlText w:val=""/>
      <w:lvlJc w:val="left"/>
      <w:pPr>
        <w:ind w:left="2520" w:hanging="360"/>
      </w:pPr>
      <w:rPr>
        <w:rFonts w:hint="default" w:ascii="Symbol" w:hAnsi="Symbol"/>
      </w:rPr>
    </w:lvl>
    <w:lvl w:ilvl="1" w:tplc="08090003">
      <w:start w:val="1"/>
      <w:numFmt w:val="bullet"/>
      <w:lvlText w:val="o"/>
      <w:lvlJc w:val="left"/>
      <w:pPr>
        <w:ind w:left="3240" w:hanging="360"/>
      </w:pPr>
      <w:rPr>
        <w:rFonts w:hint="default" w:ascii="Courier New" w:hAnsi="Courier New" w:cs="Courier New"/>
      </w:rPr>
    </w:lvl>
    <w:lvl w:ilvl="2" w:tplc="08090005">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0" w15:restartNumberingAfterBreak="0">
    <w:nsid w:val="173F06C4"/>
    <w:multiLevelType w:val="multilevel"/>
    <w:tmpl w:val="5E22C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75830A5"/>
    <w:multiLevelType w:val="hybridMultilevel"/>
    <w:tmpl w:val="CD90A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627268"/>
    <w:multiLevelType w:val="multilevel"/>
    <w:tmpl w:val="81FE5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DD244FB"/>
    <w:multiLevelType w:val="multilevel"/>
    <w:tmpl w:val="49C8CFFC"/>
    <w:lvl w:ilvl="0">
      <w:start w:val="3"/>
      <w:numFmt w:val="decimal"/>
      <w:lvlText w:val="%1"/>
      <w:lvlJc w:val="left"/>
      <w:pPr>
        <w:ind w:left="600" w:hanging="600"/>
      </w:pPr>
      <w:rPr>
        <w:rFonts w:hint="default"/>
      </w:rPr>
    </w:lvl>
    <w:lvl w:ilvl="1">
      <w:start w:val="11"/>
      <w:numFmt w:val="decimal"/>
      <w:lvlText w:val="%1.%2"/>
      <w:lvlJc w:val="left"/>
      <w:pPr>
        <w:ind w:left="888" w:hanging="600"/>
      </w:pPr>
      <w:rPr>
        <w:rFonts w:hint="default"/>
      </w:rPr>
    </w:lvl>
    <w:lvl w:ilvl="2">
      <w:start w:val="9"/>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4" w15:restartNumberingAfterBreak="0">
    <w:nsid w:val="1F4125F6"/>
    <w:multiLevelType w:val="hybridMultilevel"/>
    <w:tmpl w:val="81B0C6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9687E"/>
    <w:multiLevelType w:val="hybridMultilevel"/>
    <w:tmpl w:val="26701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25E2B21"/>
    <w:multiLevelType w:val="multilevel"/>
    <w:tmpl w:val="BC1AC3C2"/>
    <w:lvl w:ilvl="0">
      <w:start w:val="1"/>
      <w:numFmt w:val="bullet"/>
      <w:lvlText w:val=""/>
      <w:lvlJc w:val="left"/>
      <w:pPr>
        <w:ind w:left="2160" w:hanging="360"/>
      </w:pPr>
      <w:rPr>
        <w:rFonts w:hint="default" w:ascii="Wingdings" w:hAnsi="Wingdings"/>
      </w:rPr>
    </w:lvl>
    <w:lvl w:ilvl="1">
      <w:start w:val="2"/>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7" w15:restartNumberingAfterBreak="0">
    <w:nsid w:val="241D24DA"/>
    <w:multiLevelType w:val="hybridMultilevel"/>
    <w:tmpl w:val="45BA6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05E57"/>
    <w:multiLevelType w:val="hybridMultilevel"/>
    <w:tmpl w:val="0CCEAA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7FA6D38"/>
    <w:multiLevelType w:val="multilevel"/>
    <w:tmpl w:val="580E7FB2"/>
    <w:lvl w:ilvl="0">
      <w:start w:val="8"/>
      <w:numFmt w:val="decimal"/>
      <w:lvlText w:val="%1.0"/>
      <w:lvlJc w:val="left"/>
      <w:pPr>
        <w:ind w:left="937" w:hanging="360"/>
      </w:pPr>
      <w:rPr>
        <w:rFonts w:hint="default"/>
        <w:b/>
      </w:rPr>
    </w:lvl>
    <w:lvl w:ilvl="1">
      <w:start w:val="1"/>
      <w:numFmt w:val="decimal"/>
      <w:lvlText w:val="%1.%2"/>
      <w:lvlJc w:val="left"/>
      <w:pPr>
        <w:ind w:left="1657" w:hanging="360"/>
      </w:pPr>
      <w:rPr>
        <w:rFonts w:hint="default"/>
      </w:rPr>
    </w:lvl>
    <w:lvl w:ilvl="2">
      <w:start w:val="1"/>
      <w:numFmt w:val="decimal"/>
      <w:lvlText w:val="%1.%2.%3"/>
      <w:lvlJc w:val="left"/>
      <w:pPr>
        <w:ind w:left="2737" w:hanging="720"/>
      </w:pPr>
      <w:rPr>
        <w:rFonts w:hint="default"/>
      </w:rPr>
    </w:lvl>
    <w:lvl w:ilvl="3">
      <w:start w:val="1"/>
      <w:numFmt w:val="decimal"/>
      <w:lvlText w:val="%1.%2.%3.%4"/>
      <w:lvlJc w:val="left"/>
      <w:pPr>
        <w:ind w:left="3457" w:hanging="720"/>
      </w:pPr>
      <w:rPr>
        <w:rFonts w:hint="default"/>
      </w:rPr>
    </w:lvl>
    <w:lvl w:ilvl="4">
      <w:start w:val="1"/>
      <w:numFmt w:val="decimal"/>
      <w:lvlText w:val="%1.%2.%3.%4.%5"/>
      <w:lvlJc w:val="left"/>
      <w:pPr>
        <w:ind w:left="4537" w:hanging="1080"/>
      </w:pPr>
      <w:rPr>
        <w:rFonts w:hint="default"/>
      </w:rPr>
    </w:lvl>
    <w:lvl w:ilvl="5">
      <w:start w:val="1"/>
      <w:numFmt w:val="decimal"/>
      <w:lvlText w:val="%1.%2.%3.%4.%5.%6"/>
      <w:lvlJc w:val="left"/>
      <w:pPr>
        <w:ind w:left="5257" w:hanging="1080"/>
      </w:pPr>
      <w:rPr>
        <w:rFonts w:hint="default"/>
      </w:rPr>
    </w:lvl>
    <w:lvl w:ilvl="6">
      <w:start w:val="1"/>
      <w:numFmt w:val="decimal"/>
      <w:lvlText w:val="%1.%2.%3.%4.%5.%6.%7"/>
      <w:lvlJc w:val="left"/>
      <w:pPr>
        <w:ind w:left="6337" w:hanging="1440"/>
      </w:pPr>
      <w:rPr>
        <w:rFonts w:hint="default"/>
      </w:rPr>
    </w:lvl>
    <w:lvl w:ilvl="7">
      <w:start w:val="1"/>
      <w:numFmt w:val="decimal"/>
      <w:lvlText w:val="%1.%2.%3.%4.%5.%6.%7.%8"/>
      <w:lvlJc w:val="left"/>
      <w:pPr>
        <w:ind w:left="7057" w:hanging="1440"/>
      </w:pPr>
      <w:rPr>
        <w:rFonts w:hint="default"/>
      </w:rPr>
    </w:lvl>
    <w:lvl w:ilvl="8">
      <w:start w:val="1"/>
      <w:numFmt w:val="decimal"/>
      <w:lvlText w:val="%1.%2.%3.%4.%5.%6.%7.%8.%9"/>
      <w:lvlJc w:val="left"/>
      <w:pPr>
        <w:ind w:left="8137" w:hanging="1800"/>
      </w:pPr>
      <w:rPr>
        <w:rFonts w:hint="default"/>
      </w:rPr>
    </w:lvl>
  </w:abstractNum>
  <w:abstractNum w:abstractNumId="20" w15:restartNumberingAfterBreak="0">
    <w:nsid w:val="2BAB6D95"/>
    <w:multiLevelType w:val="hybridMultilevel"/>
    <w:tmpl w:val="A4D03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E2C1687"/>
    <w:multiLevelType w:val="hybridMultilevel"/>
    <w:tmpl w:val="F800B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03765FF"/>
    <w:multiLevelType w:val="hybridMultilevel"/>
    <w:tmpl w:val="7FD45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0DA46B9"/>
    <w:multiLevelType w:val="multilevel"/>
    <w:tmpl w:val="D248BC92"/>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b/>
        <w:color w:val="auto"/>
      </w:rPr>
    </w:lvl>
    <w:lvl w:ilvl="2">
      <w:start w:val="1"/>
      <w:numFmt w:val="none"/>
      <w:lvlText w:val="3.6.3"/>
      <w:lvlJc w:val="left"/>
      <w:pPr>
        <w:ind w:left="1582" w:hanging="720"/>
      </w:pPr>
      <w:rPr>
        <w:rFonts w:hint="default"/>
        <w:color w:val="auto"/>
      </w:rPr>
    </w:lvl>
    <w:lvl w:ilvl="3">
      <w:start w:val="1"/>
      <w:numFmt w:val="bullet"/>
      <w:lvlText w:val=""/>
      <w:lvlJc w:val="left"/>
      <w:pPr>
        <w:ind w:left="1740" w:hanging="720"/>
      </w:pPr>
      <w:rPr>
        <w:rFonts w:hint="default" w:ascii="Symbol" w:hAnsi="Symbol"/>
      </w:rPr>
    </w:lvl>
    <w:lvl w:ilvl="4">
      <w:start w:val="1"/>
      <w:numFmt w:val="decimal"/>
      <w:lvlText w:val="%1.%2.%3.%4.%5"/>
      <w:lvlJc w:val="left"/>
      <w:pPr>
        <w:ind w:left="2200" w:hanging="1080"/>
      </w:pPr>
      <w:rPr>
        <w:rFonts w:hint="default"/>
      </w:rPr>
    </w:lvl>
    <w:lvl w:ilvl="5">
      <w:start w:val="1"/>
      <w:numFmt w:val="decimal"/>
      <w:lvlText w:val="%1.%2.%3.%4.%5.%6"/>
      <w:lvlJc w:val="left"/>
      <w:pPr>
        <w:ind w:left="230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860" w:hanging="1440"/>
      </w:pPr>
      <w:rPr>
        <w:rFonts w:hint="default"/>
      </w:rPr>
    </w:lvl>
    <w:lvl w:ilvl="8">
      <w:start w:val="1"/>
      <w:numFmt w:val="decimal"/>
      <w:lvlText w:val="%1.%2.%3.%4.%5.%6.%7.%8.%9"/>
      <w:lvlJc w:val="left"/>
      <w:pPr>
        <w:ind w:left="3320" w:hanging="1800"/>
      </w:pPr>
      <w:rPr>
        <w:rFonts w:hint="default"/>
      </w:rPr>
    </w:lvl>
  </w:abstractNum>
  <w:abstractNum w:abstractNumId="24" w15:restartNumberingAfterBreak="0">
    <w:nsid w:val="35C87B0C"/>
    <w:multiLevelType w:val="hybridMultilevel"/>
    <w:tmpl w:val="8ACC5BB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5" w15:restartNumberingAfterBreak="0">
    <w:nsid w:val="35E7199E"/>
    <w:multiLevelType w:val="hybridMultilevel"/>
    <w:tmpl w:val="CC9AAE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38664D6B"/>
    <w:multiLevelType w:val="hybridMultilevel"/>
    <w:tmpl w:val="DF74E46E"/>
    <w:lvl w:ilvl="0" w:tplc="E4C03858">
      <w:start w:val="1"/>
      <w:numFmt w:val="bullet"/>
      <w:lvlText w:val=""/>
      <w:lvlJc w:val="left"/>
      <w:pPr>
        <w:ind w:left="720" w:hanging="360"/>
      </w:pPr>
      <w:rPr>
        <w:rFonts w:hint="default" w:ascii="Symbol" w:hAnsi="Symbol"/>
      </w:rPr>
    </w:lvl>
    <w:lvl w:ilvl="1" w:tplc="F650108E" w:tentative="1">
      <w:start w:val="1"/>
      <w:numFmt w:val="bullet"/>
      <w:lvlText w:val="o"/>
      <w:lvlJc w:val="left"/>
      <w:pPr>
        <w:ind w:left="1440" w:hanging="360"/>
      </w:pPr>
      <w:rPr>
        <w:rFonts w:hint="default" w:ascii="Courier New" w:hAnsi="Courier New" w:cs="Courier New"/>
      </w:rPr>
    </w:lvl>
    <w:lvl w:ilvl="2" w:tplc="653AC870" w:tentative="1">
      <w:start w:val="1"/>
      <w:numFmt w:val="bullet"/>
      <w:lvlText w:val=""/>
      <w:lvlJc w:val="left"/>
      <w:pPr>
        <w:ind w:left="2160" w:hanging="360"/>
      </w:pPr>
      <w:rPr>
        <w:rFonts w:hint="default" w:ascii="Wingdings" w:hAnsi="Wingdings"/>
      </w:rPr>
    </w:lvl>
    <w:lvl w:ilvl="3" w:tplc="21C61A44" w:tentative="1">
      <w:start w:val="1"/>
      <w:numFmt w:val="bullet"/>
      <w:lvlText w:val=""/>
      <w:lvlJc w:val="left"/>
      <w:pPr>
        <w:ind w:left="2880" w:hanging="360"/>
      </w:pPr>
      <w:rPr>
        <w:rFonts w:hint="default" w:ascii="Symbol" w:hAnsi="Symbol"/>
      </w:rPr>
    </w:lvl>
    <w:lvl w:ilvl="4" w:tplc="1EC6E80A" w:tentative="1">
      <w:start w:val="1"/>
      <w:numFmt w:val="bullet"/>
      <w:lvlText w:val="o"/>
      <w:lvlJc w:val="left"/>
      <w:pPr>
        <w:ind w:left="3600" w:hanging="360"/>
      </w:pPr>
      <w:rPr>
        <w:rFonts w:hint="default" w:ascii="Courier New" w:hAnsi="Courier New" w:cs="Courier New"/>
      </w:rPr>
    </w:lvl>
    <w:lvl w:ilvl="5" w:tplc="8DDC9480" w:tentative="1">
      <w:start w:val="1"/>
      <w:numFmt w:val="bullet"/>
      <w:lvlText w:val=""/>
      <w:lvlJc w:val="left"/>
      <w:pPr>
        <w:ind w:left="4320" w:hanging="360"/>
      </w:pPr>
      <w:rPr>
        <w:rFonts w:hint="default" w:ascii="Wingdings" w:hAnsi="Wingdings"/>
      </w:rPr>
    </w:lvl>
    <w:lvl w:ilvl="6" w:tplc="830257FE" w:tentative="1">
      <w:start w:val="1"/>
      <w:numFmt w:val="bullet"/>
      <w:lvlText w:val=""/>
      <w:lvlJc w:val="left"/>
      <w:pPr>
        <w:ind w:left="5040" w:hanging="360"/>
      </w:pPr>
      <w:rPr>
        <w:rFonts w:hint="default" w:ascii="Symbol" w:hAnsi="Symbol"/>
      </w:rPr>
    </w:lvl>
    <w:lvl w:ilvl="7" w:tplc="243EB08A" w:tentative="1">
      <w:start w:val="1"/>
      <w:numFmt w:val="bullet"/>
      <w:lvlText w:val="o"/>
      <w:lvlJc w:val="left"/>
      <w:pPr>
        <w:ind w:left="5760" w:hanging="360"/>
      </w:pPr>
      <w:rPr>
        <w:rFonts w:hint="default" w:ascii="Courier New" w:hAnsi="Courier New" w:cs="Courier New"/>
      </w:rPr>
    </w:lvl>
    <w:lvl w:ilvl="8" w:tplc="12D4CFCA" w:tentative="1">
      <w:start w:val="1"/>
      <w:numFmt w:val="bullet"/>
      <w:lvlText w:val=""/>
      <w:lvlJc w:val="left"/>
      <w:pPr>
        <w:ind w:left="6480" w:hanging="360"/>
      </w:pPr>
      <w:rPr>
        <w:rFonts w:hint="default" w:ascii="Wingdings" w:hAnsi="Wingdings"/>
      </w:rPr>
    </w:lvl>
  </w:abstractNum>
  <w:abstractNum w:abstractNumId="27" w15:restartNumberingAfterBreak="0">
    <w:nsid w:val="4192341B"/>
    <w:multiLevelType w:val="hybridMultilevel"/>
    <w:tmpl w:val="65DE8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3933138"/>
    <w:multiLevelType w:val="hybridMultilevel"/>
    <w:tmpl w:val="D6586A4E"/>
    <w:lvl w:ilvl="0" w:tplc="0809000B">
      <w:start w:val="1"/>
      <w:numFmt w:val="bullet"/>
      <w:lvlText w:val=""/>
      <w:lvlJc w:val="left"/>
      <w:pPr>
        <w:ind w:left="2022" w:hanging="360"/>
      </w:pPr>
      <w:rPr>
        <w:rFonts w:hint="default" w:ascii="Wingdings" w:hAnsi="Wingdings"/>
      </w:rPr>
    </w:lvl>
    <w:lvl w:ilvl="1" w:tplc="08090003" w:tentative="1">
      <w:start w:val="1"/>
      <w:numFmt w:val="bullet"/>
      <w:lvlText w:val="o"/>
      <w:lvlJc w:val="left"/>
      <w:pPr>
        <w:ind w:left="2742" w:hanging="360"/>
      </w:pPr>
      <w:rPr>
        <w:rFonts w:hint="default" w:ascii="Courier New" w:hAnsi="Courier New" w:cs="Courier New"/>
      </w:rPr>
    </w:lvl>
    <w:lvl w:ilvl="2" w:tplc="08090005" w:tentative="1">
      <w:start w:val="1"/>
      <w:numFmt w:val="bullet"/>
      <w:lvlText w:val=""/>
      <w:lvlJc w:val="left"/>
      <w:pPr>
        <w:ind w:left="3462" w:hanging="360"/>
      </w:pPr>
      <w:rPr>
        <w:rFonts w:hint="default" w:ascii="Wingdings" w:hAnsi="Wingdings"/>
      </w:rPr>
    </w:lvl>
    <w:lvl w:ilvl="3" w:tplc="08090001" w:tentative="1">
      <w:start w:val="1"/>
      <w:numFmt w:val="bullet"/>
      <w:lvlText w:val=""/>
      <w:lvlJc w:val="left"/>
      <w:pPr>
        <w:ind w:left="4182" w:hanging="360"/>
      </w:pPr>
      <w:rPr>
        <w:rFonts w:hint="default" w:ascii="Symbol" w:hAnsi="Symbol"/>
      </w:rPr>
    </w:lvl>
    <w:lvl w:ilvl="4" w:tplc="08090003" w:tentative="1">
      <w:start w:val="1"/>
      <w:numFmt w:val="bullet"/>
      <w:lvlText w:val="o"/>
      <w:lvlJc w:val="left"/>
      <w:pPr>
        <w:ind w:left="4902" w:hanging="360"/>
      </w:pPr>
      <w:rPr>
        <w:rFonts w:hint="default" w:ascii="Courier New" w:hAnsi="Courier New" w:cs="Courier New"/>
      </w:rPr>
    </w:lvl>
    <w:lvl w:ilvl="5" w:tplc="08090005" w:tentative="1">
      <w:start w:val="1"/>
      <w:numFmt w:val="bullet"/>
      <w:lvlText w:val=""/>
      <w:lvlJc w:val="left"/>
      <w:pPr>
        <w:ind w:left="5622" w:hanging="360"/>
      </w:pPr>
      <w:rPr>
        <w:rFonts w:hint="default" w:ascii="Wingdings" w:hAnsi="Wingdings"/>
      </w:rPr>
    </w:lvl>
    <w:lvl w:ilvl="6" w:tplc="08090001" w:tentative="1">
      <w:start w:val="1"/>
      <w:numFmt w:val="bullet"/>
      <w:lvlText w:val=""/>
      <w:lvlJc w:val="left"/>
      <w:pPr>
        <w:ind w:left="6342" w:hanging="360"/>
      </w:pPr>
      <w:rPr>
        <w:rFonts w:hint="default" w:ascii="Symbol" w:hAnsi="Symbol"/>
      </w:rPr>
    </w:lvl>
    <w:lvl w:ilvl="7" w:tplc="08090003" w:tentative="1">
      <w:start w:val="1"/>
      <w:numFmt w:val="bullet"/>
      <w:lvlText w:val="o"/>
      <w:lvlJc w:val="left"/>
      <w:pPr>
        <w:ind w:left="7062" w:hanging="360"/>
      </w:pPr>
      <w:rPr>
        <w:rFonts w:hint="default" w:ascii="Courier New" w:hAnsi="Courier New" w:cs="Courier New"/>
      </w:rPr>
    </w:lvl>
    <w:lvl w:ilvl="8" w:tplc="08090005" w:tentative="1">
      <w:start w:val="1"/>
      <w:numFmt w:val="bullet"/>
      <w:lvlText w:val=""/>
      <w:lvlJc w:val="left"/>
      <w:pPr>
        <w:ind w:left="7782" w:hanging="360"/>
      </w:pPr>
      <w:rPr>
        <w:rFonts w:hint="default" w:ascii="Wingdings" w:hAnsi="Wingdings"/>
      </w:rPr>
    </w:lvl>
  </w:abstractNum>
  <w:abstractNum w:abstractNumId="29" w15:restartNumberingAfterBreak="0">
    <w:nsid w:val="43BE216B"/>
    <w:multiLevelType w:val="hybridMultilevel"/>
    <w:tmpl w:val="0F047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BC26D3"/>
    <w:multiLevelType w:val="hybridMultilevel"/>
    <w:tmpl w:val="D6201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D80EC7"/>
    <w:multiLevelType w:val="hybridMultilevel"/>
    <w:tmpl w:val="784C6E6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2" w15:restartNumberingAfterBreak="0">
    <w:nsid w:val="47FE1802"/>
    <w:multiLevelType w:val="hybridMultilevel"/>
    <w:tmpl w:val="31807C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484666B5"/>
    <w:multiLevelType w:val="hybridMultilevel"/>
    <w:tmpl w:val="12EE7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9771AC9"/>
    <w:multiLevelType w:val="multilevel"/>
    <w:tmpl w:val="97087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CC96DD5"/>
    <w:multiLevelType w:val="hybridMultilevel"/>
    <w:tmpl w:val="CE9CEB42"/>
    <w:lvl w:ilvl="0" w:tplc="BE2E8A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E2B05F6"/>
    <w:multiLevelType w:val="hybridMultilevel"/>
    <w:tmpl w:val="AEFEC63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7" w15:restartNumberingAfterBreak="0">
    <w:nsid w:val="5469762F"/>
    <w:multiLevelType w:val="hybridMultilevel"/>
    <w:tmpl w:val="6CE4C3F0"/>
    <w:lvl w:ilvl="0" w:tplc="08090001">
      <w:start w:val="1"/>
      <w:numFmt w:val="bullet"/>
      <w:lvlText w:val=""/>
      <w:lvlJc w:val="left"/>
      <w:pPr>
        <w:ind w:left="2017" w:hanging="360"/>
      </w:pPr>
      <w:rPr>
        <w:rFonts w:hint="default" w:ascii="Symbol" w:hAnsi="Symbol"/>
      </w:rPr>
    </w:lvl>
    <w:lvl w:ilvl="1" w:tplc="08090003" w:tentative="1">
      <w:start w:val="1"/>
      <w:numFmt w:val="bullet"/>
      <w:lvlText w:val="o"/>
      <w:lvlJc w:val="left"/>
      <w:pPr>
        <w:ind w:left="2737" w:hanging="360"/>
      </w:pPr>
      <w:rPr>
        <w:rFonts w:hint="default" w:ascii="Courier New" w:hAnsi="Courier New" w:cs="Courier New"/>
      </w:rPr>
    </w:lvl>
    <w:lvl w:ilvl="2" w:tplc="08090005" w:tentative="1">
      <w:start w:val="1"/>
      <w:numFmt w:val="bullet"/>
      <w:lvlText w:val=""/>
      <w:lvlJc w:val="left"/>
      <w:pPr>
        <w:ind w:left="3457" w:hanging="360"/>
      </w:pPr>
      <w:rPr>
        <w:rFonts w:hint="default" w:ascii="Wingdings" w:hAnsi="Wingdings"/>
      </w:rPr>
    </w:lvl>
    <w:lvl w:ilvl="3" w:tplc="08090001" w:tentative="1">
      <w:start w:val="1"/>
      <w:numFmt w:val="bullet"/>
      <w:lvlText w:val=""/>
      <w:lvlJc w:val="left"/>
      <w:pPr>
        <w:ind w:left="4177" w:hanging="360"/>
      </w:pPr>
      <w:rPr>
        <w:rFonts w:hint="default" w:ascii="Symbol" w:hAnsi="Symbol"/>
      </w:rPr>
    </w:lvl>
    <w:lvl w:ilvl="4" w:tplc="08090003" w:tentative="1">
      <w:start w:val="1"/>
      <w:numFmt w:val="bullet"/>
      <w:lvlText w:val="o"/>
      <w:lvlJc w:val="left"/>
      <w:pPr>
        <w:ind w:left="4897" w:hanging="360"/>
      </w:pPr>
      <w:rPr>
        <w:rFonts w:hint="default" w:ascii="Courier New" w:hAnsi="Courier New" w:cs="Courier New"/>
      </w:rPr>
    </w:lvl>
    <w:lvl w:ilvl="5" w:tplc="08090005" w:tentative="1">
      <w:start w:val="1"/>
      <w:numFmt w:val="bullet"/>
      <w:lvlText w:val=""/>
      <w:lvlJc w:val="left"/>
      <w:pPr>
        <w:ind w:left="5617" w:hanging="360"/>
      </w:pPr>
      <w:rPr>
        <w:rFonts w:hint="default" w:ascii="Wingdings" w:hAnsi="Wingdings"/>
      </w:rPr>
    </w:lvl>
    <w:lvl w:ilvl="6" w:tplc="08090001" w:tentative="1">
      <w:start w:val="1"/>
      <w:numFmt w:val="bullet"/>
      <w:lvlText w:val=""/>
      <w:lvlJc w:val="left"/>
      <w:pPr>
        <w:ind w:left="6337" w:hanging="360"/>
      </w:pPr>
      <w:rPr>
        <w:rFonts w:hint="default" w:ascii="Symbol" w:hAnsi="Symbol"/>
      </w:rPr>
    </w:lvl>
    <w:lvl w:ilvl="7" w:tplc="08090003" w:tentative="1">
      <w:start w:val="1"/>
      <w:numFmt w:val="bullet"/>
      <w:lvlText w:val="o"/>
      <w:lvlJc w:val="left"/>
      <w:pPr>
        <w:ind w:left="7057" w:hanging="360"/>
      </w:pPr>
      <w:rPr>
        <w:rFonts w:hint="default" w:ascii="Courier New" w:hAnsi="Courier New" w:cs="Courier New"/>
      </w:rPr>
    </w:lvl>
    <w:lvl w:ilvl="8" w:tplc="08090005" w:tentative="1">
      <w:start w:val="1"/>
      <w:numFmt w:val="bullet"/>
      <w:lvlText w:val=""/>
      <w:lvlJc w:val="left"/>
      <w:pPr>
        <w:ind w:left="7777" w:hanging="360"/>
      </w:pPr>
      <w:rPr>
        <w:rFonts w:hint="default" w:ascii="Wingdings" w:hAnsi="Wingdings"/>
      </w:rPr>
    </w:lvl>
  </w:abstractNum>
  <w:abstractNum w:abstractNumId="38" w15:restartNumberingAfterBreak="0">
    <w:nsid w:val="579A0A66"/>
    <w:multiLevelType w:val="hybridMultilevel"/>
    <w:tmpl w:val="41F6E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A7754B0"/>
    <w:multiLevelType w:val="multilevel"/>
    <w:tmpl w:val="EBCA3F9C"/>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74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30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860" w:hanging="1440"/>
      </w:pPr>
      <w:rPr>
        <w:rFonts w:hint="default"/>
      </w:rPr>
    </w:lvl>
    <w:lvl w:ilvl="8">
      <w:start w:val="1"/>
      <w:numFmt w:val="decimal"/>
      <w:lvlText w:val="%1.%2.%3.%4.%5.%6.%7.%8.%9"/>
      <w:lvlJc w:val="left"/>
      <w:pPr>
        <w:ind w:left="3320" w:hanging="1800"/>
      </w:pPr>
      <w:rPr>
        <w:rFonts w:hint="default"/>
      </w:rPr>
    </w:lvl>
  </w:abstractNum>
  <w:abstractNum w:abstractNumId="40" w15:restartNumberingAfterBreak="0">
    <w:nsid w:val="5B2025E1"/>
    <w:multiLevelType w:val="hybridMultilevel"/>
    <w:tmpl w:val="CAAEF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E3C5E49"/>
    <w:multiLevelType w:val="hybridMultilevel"/>
    <w:tmpl w:val="BA8E895C"/>
    <w:lvl w:ilvl="0" w:tplc="08090001">
      <w:start w:val="1"/>
      <w:numFmt w:val="bullet"/>
      <w:lvlText w:val=""/>
      <w:lvlJc w:val="left"/>
      <w:pPr>
        <w:ind w:left="1789" w:hanging="360"/>
      </w:pPr>
      <w:rPr>
        <w:rFonts w:hint="default" w:ascii="Symbol" w:hAnsi="Symbol"/>
      </w:rPr>
    </w:lvl>
    <w:lvl w:ilvl="1" w:tplc="08090003" w:tentative="1">
      <w:start w:val="1"/>
      <w:numFmt w:val="bullet"/>
      <w:lvlText w:val="o"/>
      <w:lvlJc w:val="left"/>
      <w:pPr>
        <w:ind w:left="2509" w:hanging="360"/>
      </w:pPr>
      <w:rPr>
        <w:rFonts w:hint="default" w:ascii="Courier New" w:hAnsi="Courier New" w:cs="Courier New"/>
      </w:rPr>
    </w:lvl>
    <w:lvl w:ilvl="2" w:tplc="08090005" w:tentative="1">
      <w:start w:val="1"/>
      <w:numFmt w:val="bullet"/>
      <w:lvlText w:val=""/>
      <w:lvlJc w:val="left"/>
      <w:pPr>
        <w:ind w:left="3229" w:hanging="360"/>
      </w:pPr>
      <w:rPr>
        <w:rFonts w:hint="default" w:ascii="Wingdings" w:hAnsi="Wingdings"/>
      </w:rPr>
    </w:lvl>
    <w:lvl w:ilvl="3" w:tplc="08090001" w:tentative="1">
      <w:start w:val="1"/>
      <w:numFmt w:val="bullet"/>
      <w:lvlText w:val=""/>
      <w:lvlJc w:val="left"/>
      <w:pPr>
        <w:ind w:left="3949" w:hanging="360"/>
      </w:pPr>
      <w:rPr>
        <w:rFonts w:hint="default" w:ascii="Symbol" w:hAnsi="Symbol"/>
      </w:rPr>
    </w:lvl>
    <w:lvl w:ilvl="4" w:tplc="08090003" w:tentative="1">
      <w:start w:val="1"/>
      <w:numFmt w:val="bullet"/>
      <w:lvlText w:val="o"/>
      <w:lvlJc w:val="left"/>
      <w:pPr>
        <w:ind w:left="4669" w:hanging="360"/>
      </w:pPr>
      <w:rPr>
        <w:rFonts w:hint="default" w:ascii="Courier New" w:hAnsi="Courier New" w:cs="Courier New"/>
      </w:rPr>
    </w:lvl>
    <w:lvl w:ilvl="5" w:tplc="08090005" w:tentative="1">
      <w:start w:val="1"/>
      <w:numFmt w:val="bullet"/>
      <w:lvlText w:val=""/>
      <w:lvlJc w:val="left"/>
      <w:pPr>
        <w:ind w:left="5389" w:hanging="360"/>
      </w:pPr>
      <w:rPr>
        <w:rFonts w:hint="default" w:ascii="Wingdings" w:hAnsi="Wingdings"/>
      </w:rPr>
    </w:lvl>
    <w:lvl w:ilvl="6" w:tplc="08090001" w:tentative="1">
      <w:start w:val="1"/>
      <w:numFmt w:val="bullet"/>
      <w:lvlText w:val=""/>
      <w:lvlJc w:val="left"/>
      <w:pPr>
        <w:ind w:left="6109" w:hanging="360"/>
      </w:pPr>
      <w:rPr>
        <w:rFonts w:hint="default" w:ascii="Symbol" w:hAnsi="Symbol"/>
      </w:rPr>
    </w:lvl>
    <w:lvl w:ilvl="7" w:tplc="08090003" w:tentative="1">
      <w:start w:val="1"/>
      <w:numFmt w:val="bullet"/>
      <w:lvlText w:val="o"/>
      <w:lvlJc w:val="left"/>
      <w:pPr>
        <w:ind w:left="6829" w:hanging="360"/>
      </w:pPr>
      <w:rPr>
        <w:rFonts w:hint="default" w:ascii="Courier New" w:hAnsi="Courier New" w:cs="Courier New"/>
      </w:rPr>
    </w:lvl>
    <w:lvl w:ilvl="8" w:tplc="08090005" w:tentative="1">
      <w:start w:val="1"/>
      <w:numFmt w:val="bullet"/>
      <w:lvlText w:val=""/>
      <w:lvlJc w:val="left"/>
      <w:pPr>
        <w:ind w:left="7549" w:hanging="360"/>
      </w:pPr>
      <w:rPr>
        <w:rFonts w:hint="default" w:ascii="Wingdings" w:hAnsi="Wingdings"/>
      </w:rPr>
    </w:lvl>
  </w:abstractNum>
  <w:abstractNum w:abstractNumId="42" w15:restartNumberingAfterBreak="0">
    <w:nsid w:val="629F3D01"/>
    <w:multiLevelType w:val="hybridMultilevel"/>
    <w:tmpl w:val="9CA032A6"/>
    <w:lvl w:ilvl="0" w:tplc="17520E74">
      <w:start w:val="1"/>
      <w:numFmt w:val="bullet"/>
      <w:lvlText w:val=""/>
      <w:lvlJc w:val="left"/>
      <w:pPr>
        <w:ind w:left="720" w:hanging="360"/>
      </w:pPr>
      <w:rPr>
        <w:rFonts w:hint="default" w:ascii="Symbol" w:hAnsi="Symbol"/>
      </w:rPr>
    </w:lvl>
    <w:lvl w:ilvl="1" w:tplc="BBEAB1B4" w:tentative="1">
      <w:start w:val="1"/>
      <w:numFmt w:val="bullet"/>
      <w:lvlText w:val="o"/>
      <w:lvlJc w:val="left"/>
      <w:pPr>
        <w:ind w:left="1440" w:hanging="360"/>
      </w:pPr>
      <w:rPr>
        <w:rFonts w:hint="default" w:ascii="Courier New" w:hAnsi="Courier New" w:cs="Courier New"/>
      </w:rPr>
    </w:lvl>
    <w:lvl w:ilvl="2" w:tplc="E356111A" w:tentative="1">
      <w:start w:val="1"/>
      <w:numFmt w:val="bullet"/>
      <w:lvlText w:val=""/>
      <w:lvlJc w:val="left"/>
      <w:pPr>
        <w:ind w:left="2160" w:hanging="360"/>
      </w:pPr>
      <w:rPr>
        <w:rFonts w:hint="default" w:ascii="Wingdings" w:hAnsi="Wingdings"/>
      </w:rPr>
    </w:lvl>
    <w:lvl w:ilvl="3" w:tplc="6C24285E" w:tentative="1">
      <w:start w:val="1"/>
      <w:numFmt w:val="bullet"/>
      <w:lvlText w:val=""/>
      <w:lvlJc w:val="left"/>
      <w:pPr>
        <w:ind w:left="2880" w:hanging="360"/>
      </w:pPr>
      <w:rPr>
        <w:rFonts w:hint="default" w:ascii="Symbol" w:hAnsi="Symbol"/>
      </w:rPr>
    </w:lvl>
    <w:lvl w:ilvl="4" w:tplc="06424D6A" w:tentative="1">
      <w:start w:val="1"/>
      <w:numFmt w:val="bullet"/>
      <w:lvlText w:val="o"/>
      <w:lvlJc w:val="left"/>
      <w:pPr>
        <w:ind w:left="3600" w:hanging="360"/>
      </w:pPr>
      <w:rPr>
        <w:rFonts w:hint="default" w:ascii="Courier New" w:hAnsi="Courier New" w:cs="Courier New"/>
      </w:rPr>
    </w:lvl>
    <w:lvl w:ilvl="5" w:tplc="433A65D2" w:tentative="1">
      <w:start w:val="1"/>
      <w:numFmt w:val="bullet"/>
      <w:lvlText w:val=""/>
      <w:lvlJc w:val="left"/>
      <w:pPr>
        <w:ind w:left="4320" w:hanging="360"/>
      </w:pPr>
      <w:rPr>
        <w:rFonts w:hint="default" w:ascii="Wingdings" w:hAnsi="Wingdings"/>
      </w:rPr>
    </w:lvl>
    <w:lvl w:ilvl="6" w:tplc="AD38A80E" w:tentative="1">
      <w:start w:val="1"/>
      <w:numFmt w:val="bullet"/>
      <w:lvlText w:val=""/>
      <w:lvlJc w:val="left"/>
      <w:pPr>
        <w:ind w:left="5040" w:hanging="360"/>
      </w:pPr>
      <w:rPr>
        <w:rFonts w:hint="default" w:ascii="Symbol" w:hAnsi="Symbol"/>
      </w:rPr>
    </w:lvl>
    <w:lvl w:ilvl="7" w:tplc="9F38B4E4" w:tentative="1">
      <w:start w:val="1"/>
      <w:numFmt w:val="bullet"/>
      <w:lvlText w:val="o"/>
      <w:lvlJc w:val="left"/>
      <w:pPr>
        <w:ind w:left="5760" w:hanging="360"/>
      </w:pPr>
      <w:rPr>
        <w:rFonts w:hint="default" w:ascii="Courier New" w:hAnsi="Courier New" w:cs="Courier New"/>
      </w:rPr>
    </w:lvl>
    <w:lvl w:ilvl="8" w:tplc="3F340DEE" w:tentative="1">
      <w:start w:val="1"/>
      <w:numFmt w:val="bullet"/>
      <w:lvlText w:val=""/>
      <w:lvlJc w:val="left"/>
      <w:pPr>
        <w:ind w:left="6480" w:hanging="360"/>
      </w:pPr>
      <w:rPr>
        <w:rFonts w:hint="default" w:ascii="Wingdings" w:hAnsi="Wingdings"/>
      </w:rPr>
    </w:lvl>
  </w:abstractNum>
  <w:abstractNum w:abstractNumId="43" w15:restartNumberingAfterBreak="0">
    <w:nsid w:val="62CC6E72"/>
    <w:multiLevelType w:val="hybridMultilevel"/>
    <w:tmpl w:val="56E64B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4" w15:restartNumberingAfterBreak="0">
    <w:nsid w:val="63F572C9"/>
    <w:multiLevelType w:val="hybridMultilevel"/>
    <w:tmpl w:val="792604A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5" w15:restartNumberingAfterBreak="0">
    <w:nsid w:val="64D34255"/>
    <w:multiLevelType w:val="hybridMultilevel"/>
    <w:tmpl w:val="CC660916"/>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6" w15:restartNumberingAfterBreak="0">
    <w:nsid w:val="68431CD9"/>
    <w:multiLevelType w:val="hybridMultilevel"/>
    <w:tmpl w:val="48E62542"/>
    <w:lvl w:ilvl="0" w:tplc="D5908B90">
      <w:start w:val="1"/>
      <w:numFmt w:val="bullet"/>
      <w:lvlText w:val=""/>
      <w:lvlJc w:val="left"/>
      <w:pPr>
        <w:ind w:left="1800" w:hanging="360"/>
      </w:pPr>
      <w:rPr>
        <w:rFonts w:hint="default" w:ascii="Symbol" w:hAnsi="Symbol"/>
      </w:rPr>
    </w:lvl>
    <w:lvl w:ilvl="1" w:tplc="A49C6CF2">
      <w:start w:val="1"/>
      <w:numFmt w:val="bullet"/>
      <w:lvlText w:val="o"/>
      <w:lvlJc w:val="left"/>
      <w:pPr>
        <w:ind w:left="2520" w:hanging="360"/>
      </w:pPr>
      <w:rPr>
        <w:rFonts w:hint="default" w:ascii="Courier New" w:hAnsi="Courier New" w:cs="Courier New"/>
      </w:rPr>
    </w:lvl>
    <w:lvl w:ilvl="2" w:tplc="E294CECC" w:tentative="1">
      <w:start w:val="1"/>
      <w:numFmt w:val="bullet"/>
      <w:lvlText w:val=""/>
      <w:lvlJc w:val="left"/>
      <w:pPr>
        <w:ind w:left="3240" w:hanging="360"/>
      </w:pPr>
      <w:rPr>
        <w:rFonts w:hint="default" w:ascii="Wingdings" w:hAnsi="Wingdings"/>
      </w:rPr>
    </w:lvl>
    <w:lvl w:ilvl="3" w:tplc="0E985662" w:tentative="1">
      <w:start w:val="1"/>
      <w:numFmt w:val="bullet"/>
      <w:lvlText w:val=""/>
      <w:lvlJc w:val="left"/>
      <w:pPr>
        <w:ind w:left="3960" w:hanging="360"/>
      </w:pPr>
      <w:rPr>
        <w:rFonts w:hint="default" w:ascii="Symbol" w:hAnsi="Symbol"/>
      </w:rPr>
    </w:lvl>
    <w:lvl w:ilvl="4" w:tplc="7CD0AA3A" w:tentative="1">
      <w:start w:val="1"/>
      <w:numFmt w:val="bullet"/>
      <w:lvlText w:val="o"/>
      <w:lvlJc w:val="left"/>
      <w:pPr>
        <w:ind w:left="4680" w:hanging="360"/>
      </w:pPr>
      <w:rPr>
        <w:rFonts w:hint="default" w:ascii="Courier New" w:hAnsi="Courier New" w:cs="Courier New"/>
      </w:rPr>
    </w:lvl>
    <w:lvl w:ilvl="5" w:tplc="E66082AC" w:tentative="1">
      <w:start w:val="1"/>
      <w:numFmt w:val="bullet"/>
      <w:lvlText w:val=""/>
      <w:lvlJc w:val="left"/>
      <w:pPr>
        <w:ind w:left="5400" w:hanging="360"/>
      </w:pPr>
      <w:rPr>
        <w:rFonts w:hint="default" w:ascii="Wingdings" w:hAnsi="Wingdings"/>
      </w:rPr>
    </w:lvl>
    <w:lvl w:ilvl="6" w:tplc="8B2EFFB6" w:tentative="1">
      <w:start w:val="1"/>
      <w:numFmt w:val="bullet"/>
      <w:lvlText w:val=""/>
      <w:lvlJc w:val="left"/>
      <w:pPr>
        <w:ind w:left="6120" w:hanging="360"/>
      </w:pPr>
      <w:rPr>
        <w:rFonts w:hint="default" w:ascii="Symbol" w:hAnsi="Symbol"/>
      </w:rPr>
    </w:lvl>
    <w:lvl w:ilvl="7" w:tplc="A4F286A8" w:tentative="1">
      <w:start w:val="1"/>
      <w:numFmt w:val="bullet"/>
      <w:lvlText w:val="o"/>
      <w:lvlJc w:val="left"/>
      <w:pPr>
        <w:ind w:left="6840" w:hanging="360"/>
      </w:pPr>
      <w:rPr>
        <w:rFonts w:hint="default" w:ascii="Courier New" w:hAnsi="Courier New" w:cs="Courier New"/>
      </w:rPr>
    </w:lvl>
    <w:lvl w:ilvl="8" w:tplc="73E48D4E" w:tentative="1">
      <w:start w:val="1"/>
      <w:numFmt w:val="bullet"/>
      <w:lvlText w:val=""/>
      <w:lvlJc w:val="left"/>
      <w:pPr>
        <w:ind w:left="7560" w:hanging="360"/>
      </w:pPr>
      <w:rPr>
        <w:rFonts w:hint="default" w:ascii="Wingdings" w:hAnsi="Wingdings"/>
      </w:rPr>
    </w:lvl>
  </w:abstractNum>
  <w:abstractNum w:abstractNumId="47" w15:restartNumberingAfterBreak="0">
    <w:nsid w:val="68BD6CA0"/>
    <w:multiLevelType w:val="multilevel"/>
    <w:tmpl w:val="C4688236"/>
    <w:styleLink w:val="Style1"/>
    <w:lvl w:ilvl="0">
      <w:start w:val="1"/>
      <w:numFmt w:val="none"/>
      <w:lvlText w:val="3.2"/>
      <w:lvlJc w:val="left"/>
      <w:pPr>
        <w:ind w:left="1063" w:hanging="360"/>
      </w:pPr>
      <w:rPr>
        <w:rFonts w:hint="default"/>
        <w:b/>
      </w:rPr>
    </w:lvl>
    <w:lvl w:ilvl="1">
      <w:start w:val="1"/>
      <w:numFmt w:val="none"/>
      <w:lvlText w:val="3.2"/>
      <w:lvlJc w:val="left"/>
      <w:pPr>
        <w:ind w:left="1783" w:hanging="360"/>
      </w:pPr>
      <w:rPr>
        <w:rFonts w:hint="default"/>
      </w:rPr>
    </w:lvl>
    <w:lvl w:ilvl="2">
      <w:start w:val="1"/>
      <w:numFmt w:val="lowerRoman"/>
      <w:lvlText w:val="%3."/>
      <w:lvlJc w:val="right"/>
      <w:pPr>
        <w:ind w:left="2503" w:hanging="180"/>
      </w:pPr>
      <w:rPr>
        <w:rFonts w:hint="default"/>
      </w:rPr>
    </w:lvl>
    <w:lvl w:ilvl="3">
      <w:start w:val="1"/>
      <w:numFmt w:val="decimal"/>
      <w:lvlText w:val="%4."/>
      <w:lvlJc w:val="left"/>
      <w:pPr>
        <w:ind w:left="3223" w:hanging="360"/>
      </w:pPr>
      <w:rPr>
        <w:rFonts w:hint="default"/>
      </w:rPr>
    </w:lvl>
    <w:lvl w:ilvl="4">
      <w:start w:val="1"/>
      <w:numFmt w:val="lowerLetter"/>
      <w:lvlText w:val="%5."/>
      <w:lvlJc w:val="left"/>
      <w:pPr>
        <w:ind w:left="3943" w:hanging="360"/>
      </w:pPr>
      <w:rPr>
        <w:rFonts w:hint="default"/>
      </w:rPr>
    </w:lvl>
    <w:lvl w:ilvl="5">
      <w:start w:val="1"/>
      <w:numFmt w:val="lowerRoman"/>
      <w:lvlText w:val="%6."/>
      <w:lvlJc w:val="right"/>
      <w:pPr>
        <w:ind w:left="4663" w:hanging="180"/>
      </w:pPr>
      <w:rPr>
        <w:rFonts w:hint="default"/>
      </w:rPr>
    </w:lvl>
    <w:lvl w:ilvl="6">
      <w:start w:val="1"/>
      <w:numFmt w:val="decimal"/>
      <w:lvlText w:val="%7."/>
      <w:lvlJc w:val="left"/>
      <w:pPr>
        <w:ind w:left="5383" w:hanging="360"/>
      </w:pPr>
      <w:rPr>
        <w:rFonts w:hint="default"/>
      </w:rPr>
    </w:lvl>
    <w:lvl w:ilvl="7">
      <w:start w:val="1"/>
      <w:numFmt w:val="lowerLetter"/>
      <w:lvlText w:val="%8."/>
      <w:lvlJc w:val="left"/>
      <w:pPr>
        <w:ind w:left="6103" w:hanging="360"/>
      </w:pPr>
      <w:rPr>
        <w:rFonts w:hint="default"/>
      </w:rPr>
    </w:lvl>
    <w:lvl w:ilvl="8">
      <w:start w:val="1"/>
      <w:numFmt w:val="lowerRoman"/>
      <w:lvlText w:val="%9."/>
      <w:lvlJc w:val="right"/>
      <w:pPr>
        <w:ind w:left="6823" w:hanging="180"/>
      </w:pPr>
      <w:rPr>
        <w:rFonts w:hint="default"/>
      </w:rPr>
    </w:lvl>
  </w:abstractNum>
  <w:abstractNum w:abstractNumId="48" w15:restartNumberingAfterBreak="0">
    <w:nsid w:val="6A5B00A2"/>
    <w:multiLevelType w:val="hybridMultilevel"/>
    <w:tmpl w:val="CA7EC46A"/>
    <w:lvl w:ilvl="0" w:tplc="0809000B">
      <w:start w:val="1"/>
      <w:numFmt w:val="bullet"/>
      <w:lvlText w:val=""/>
      <w:lvlJc w:val="left"/>
      <w:pPr>
        <w:ind w:left="1800" w:hanging="360"/>
      </w:pPr>
      <w:rPr>
        <w:rFonts w:hint="default" w:ascii="Wingdings" w:hAnsi="Wingdings"/>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9" w15:restartNumberingAfterBreak="0">
    <w:nsid w:val="6C5B3F32"/>
    <w:multiLevelType w:val="multilevel"/>
    <w:tmpl w:val="7812AC20"/>
    <w:lvl w:ilvl="0">
      <w:start w:val="3"/>
      <w:numFmt w:val="decimal"/>
      <w:lvlText w:val="%1"/>
      <w:lvlJc w:val="left"/>
      <w:pPr>
        <w:ind w:left="600" w:hanging="600"/>
      </w:pPr>
      <w:rPr>
        <w:rFonts w:hint="default"/>
      </w:rPr>
    </w:lvl>
    <w:lvl w:ilvl="1">
      <w:start w:val="11"/>
      <w:numFmt w:val="decimal"/>
      <w:lvlText w:val="%1.%2"/>
      <w:lvlJc w:val="left"/>
      <w:pPr>
        <w:ind w:left="888" w:hanging="600"/>
      </w:pPr>
      <w:rPr>
        <w:rFonts w:hint="default"/>
      </w:rPr>
    </w:lvl>
    <w:lvl w:ilvl="2">
      <w:start w:val="13"/>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50" w15:restartNumberingAfterBreak="0">
    <w:nsid w:val="73F54674"/>
    <w:multiLevelType w:val="hybridMultilevel"/>
    <w:tmpl w:val="50228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2B60AB"/>
    <w:multiLevelType w:val="hybridMultilevel"/>
    <w:tmpl w:val="2FE270F2"/>
    <w:lvl w:ilvl="0" w:tplc="58A66FC2">
      <w:start w:val="2"/>
      <w:numFmt w:val="decimal"/>
      <w:lvlText w:val="%1.0"/>
      <w:lvlJc w:val="left"/>
      <w:pPr>
        <w:ind w:left="720" w:hanging="360"/>
      </w:pPr>
      <w:rPr>
        <w:rFonts w:hint="default"/>
        <w:sz w:val="22"/>
        <w:szCs w:val="22"/>
      </w:rPr>
    </w:lvl>
    <w:lvl w:ilvl="1" w:tplc="6AC47788" w:tentative="1">
      <w:start w:val="1"/>
      <w:numFmt w:val="lowerLetter"/>
      <w:lvlText w:val="%2."/>
      <w:lvlJc w:val="left"/>
      <w:pPr>
        <w:ind w:left="1440" w:hanging="360"/>
      </w:pPr>
    </w:lvl>
    <w:lvl w:ilvl="2" w:tplc="1E74D054" w:tentative="1">
      <w:start w:val="1"/>
      <w:numFmt w:val="lowerRoman"/>
      <w:lvlText w:val="%3."/>
      <w:lvlJc w:val="right"/>
      <w:pPr>
        <w:ind w:left="2160" w:hanging="180"/>
      </w:pPr>
    </w:lvl>
    <w:lvl w:ilvl="3" w:tplc="BBCC2598" w:tentative="1">
      <w:start w:val="1"/>
      <w:numFmt w:val="decimal"/>
      <w:lvlText w:val="%4."/>
      <w:lvlJc w:val="left"/>
      <w:pPr>
        <w:ind w:left="2880" w:hanging="360"/>
      </w:pPr>
    </w:lvl>
    <w:lvl w:ilvl="4" w:tplc="B77C9CC4" w:tentative="1">
      <w:start w:val="1"/>
      <w:numFmt w:val="lowerLetter"/>
      <w:lvlText w:val="%5."/>
      <w:lvlJc w:val="left"/>
      <w:pPr>
        <w:ind w:left="3600" w:hanging="360"/>
      </w:pPr>
    </w:lvl>
    <w:lvl w:ilvl="5" w:tplc="952AF7FE" w:tentative="1">
      <w:start w:val="1"/>
      <w:numFmt w:val="lowerRoman"/>
      <w:lvlText w:val="%6."/>
      <w:lvlJc w:val="right"/>
      <w:pPr>
        <w:ind w:left="4320" w:hanging="180"/>
      </w:pPr>
    </w:lvl>
    <w:lvl w:ilvl="6" w:tplc="4C62AB30" w:tentative="1">
      <w:start w:val="1"/>
      <w:numFmt w:val="decimal"/>
      <w:lvlText w:val="%7."/>
      <w:lvlJc w:val="left"/>
      <w:pPr>
        <w:ind w:left="5040" w:hanging="360"/>
      </w:pPr>
    </w:lvl>
    <w:lvl w:ilvl="7" w:tplc="E83CE5C2" w:tentative="1">
      <w:start w:val="1"/>
      <w:numFmt w:val="lowerLetter"/>
      <w:lvlText w:val="%8."/>
      <w:lvlJc w:val="left"/>
      <w:pPr>
        <w:ind w:left="5760" w:hanging="360"/>
      </w:pPr>
    </w:lvl>
    <w:lvl w:ilvl="8" w:tplc="DC28665E" w:tentative="1">
      <w:start w:val="1"/>
      <w:numFmt w:val="lowerRoman"/>
      <w:lvlText w:val="%9."/>
      <w:lvlJc w:val="right"/>
      <w:pPr>
        <w:ind w:left="6480" w:hanging="180"/>
      </w:pPr>
    </w:lvl>
  </w:abstractNum>
  <w:abstractNum w:abstractNumId="52" w15:restartNumberingAfterBreak="0">
    <w:nsid w:val="76E168A5"/>
    <w:multiLevelType w:val="hybridMultilevel"/>
    <w:tmpl w:val="AA284014"/>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53" w15:restartNumberingAfterBreak="0">
    <w:nsid w:val="78204884"/>
    <w:multiLevelType w:val="hybridMultilevel"/>
    <w:tmpl w:val="84E6C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A84714B"/>
    <w:multiLevelType w:val="multilevel"/>
    <w:tmpl w:val="B44A0520"/>
    <w:lvl w:ilvl="0">
      <w:start w:val="1"/>
      <w:numFmt w:val="decimal"/>
      <w:pStyle w:val="Heading1"/>
      <w:lvlText w:val="%1.0"/>
      <w:lvlJc w:val="left"/>
      <w:pPr>
        <w:ind w:left="567" w:hanging="567"/>
      </w:pPr>
      <w:rPr>
        <w:rFonts w:hint="default"/>
        <w:sz w:val="22"/>
      </w:rPr>
    </w:lvl>
    <w:lvl w:ilvl="1">
      <w:start w:val="2"/>
      <w:numFmt w:val="decimal"/>
      <w:lvlText w:val="%1.%2"/>
      <w:lvlJc w:val="left"/>
      <w:pPr>
        <w:ind w:left="1080" w:hanging="360"/>
      </w:pPr>
      <w:rPr>
        <w:rFonts w:hint="default"/>
        <w:b/>
        <w:color w:val="auto"/>
        <w:sz w:val="22"/>
        <w:szCs w:val="20"/>
      </w:rPr>
    </w:lvl>
    <w:lvl w:ilvl="2">
      <w:start w:val="1"/>
      <w:numFmt w:val="none"/>
      <w:lvlText w:val="1.1.1"/>
      <w:lvlJc w:val="left"/>
      <w:pPr>
        <w:ind w:left="567" w:firstLine="873"/>
      </w:pPr>
      <w:rPr>
        <w:rFonts w:hint="default"/>
        <w:color w:val="auto"/>
        <w:sz w:val="22"/>
      </w:rPr>
    </w:lvl>
    <w:lvl w:ilvl="3">
      <w:start w:val="1"/>
      <w:numFmt w:val="decimal"/>
      <w:lvlRestart w:val="1"/>
      <w:pStyle w:val="BodyText"/>
      <w:lvlText w:val="%1.%2.%3.%4.1"/>
      <w:lvlJc w:val="left"/>
      <w:pPr>
        <w:ind w:left="1243" w:firstLine="1593"/>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55" w15:restartNumberingAfterBreak="0">
    <w:nsid w:val="7B1C2DD6"/>
    <w:multiLevelType w:val="hybridMultilevel"/>
    <w:tmpl w:val="BD340F1A"/>
    <w:lvl w:ilvl="0" w:tplc="D464AA44">
      <w:start w:val="1"/>
      <w:numFmt w:val="bullet"/>
      <w:lvlText w:val=""/>
      <w:lvlJc w:val="left"/>
      <w:pPr>
        <w:ind w:left="720" w:hanging="360"/>
      </w:pPr>
      <w:rPr>
        <w:rFonts w:hint="default" w:ascii="Symbol" w:hAnsi="Symbol"/>
      </w:rPr>
    </w:lvl>
    <w:lvl w:ilvl="1" w:tplc="9DA0880A" w:tentative="1">
      <w:start w:val="1"/>
      <w:numFmt w:val="bullet"/>
      <w:lvlText w:val="o"/>
      <w:lvlJc w:val="left"/>
      <w:pPr>
        <w:ind w:left="1440" w:hanging="360"/>
      </w:pPr>
      <w:rPr>
        <w:rFonts w:hint="default" w:ascii="Courier New" w:hAnsi="Courier New" w:cs="Courier New"/>
      </w:rPr>
    </w:lvl>
    <w:lvl w:ilvl="2" w:tplc="468A9D58" w:tentative="1">
      <w:start w:val="1"/>
      <w:numFmt w:val="bullet"/>
      <w:lvlText w:val=""/>
      <w:lvlJc w:val="left"/>
      <w:pPr>
        <w:ind w:left="2160" w:hanging="360"/>
      </w:pPr>
      <w:rPr>
        <w:rFonts w:hint="default" w:ascii="Wingdings" w:hAnsi="Wingdings"/>
      </w:rPr>
    </w:lvl>
    <w:lvl w:ilvl="3" w:tplc="D2C45462" w:tentative="1">
      <w:start w:val="1"/>
      <w:numFmt w:val="bullet"/>
      <w:lvlText w:val=""/>
      <w:lvlJc w:val="left"/>
      <w:pPr>
        <w:ind w:left="2880" w:hanging="360"/>
      </w:pPr>
      <w:rPr>
        <w:rFonts w:hint="default" w:ascii="Symbol" w:hAnsi="Symbol"/>
      </w:rPr>
    </w:lvl>
    <w:lvl w:ilvl="4" w:tplc="941CA0BA" w:tentative="1">
      <w:start w:val="1"/>
      <w:numFmt w:val="bullet"/>
      <w:lvlText w:val="o"/>
      <w:lvlJc w:val="left"/>
      <w:pPr>
        <w:ind w:left="3600" w:hanging="360"/>
      </w:pPr>
      <w:rPr>
        <w:rFonts w:hint="default" w:ascii="Courier New" w:hAnsi="Courier New" w:cs="Courier New"/>
      </w:rPr>
    </w:lvl>
    <w:lvl w:ilvl="5" w:tplc="857EDC68" w:tentative="1">
      <w:start w:val="1"/>
      <w:numFmt w:val="bullet"/>
      <w:lvlText w:val=""/>
      <w:lvlJc w:val="left"/>
      <w:pPr>
        <w:ind w:left="4320" w:hanging="360"/>
      </w:pPr>
      <w:rPr>
        <w:rFonts w:hint="default" w:ascii="Wingdings" w:hAnsi="Wingdings"/>
      </w:rPr>
    </w:lvl>
    <w:lvl w:ilvl="6" w:tplc="061CDFDC" w:tentative="1">
      <w:start w:val="1"/>
      <w:numFmt w:val="bullet"/>
      <w:lvlText w:val=""/>
      <w:lvlJc w:val="left"/>
      <w:pPr>
        <w:ind w:left="5040" w:hanging="360"/>
      </w:pPr>
      <w:rPr>
        <w:rFonts w:hint="default" w:ascii="Symbol" w:hAnsi="Symbol"/>
      </w:rPr>
    </w:lvl>
    <w:lvl w:ilvl="7" w:tplc="BC628466" w:tentative="1">
      <w:start w:val="1"/>
      <w:numFmt w:val="bullet"/>
      <w:lvlText w:val="o"/>
      <w:lvlJc w:val="left"/>
      <w:pPr>
        <w:ind w:left="5760" w:hanging="360"/>
      </w:pPr>
      <w:rPr>
        <w:rFonts w:hint="default" w:ascii="Courier New" w:hAnsi="Courier New" w:cs="Courier New"/>
      </w:rPr>
    </w:lvl>
    <w:lvl w:ilvl="8" w:tplc="B936EC4E" w:tentative="1">
      <w:start w:val="1"/>
      <w:numFmt w:val="bullet"/>
      <w:lvlText w:val=""/>
      <w:lvlJc w:val="left"/>
      <w:pPr>
        <w:ind w:left="6480" w:hanging="360"/>
      </w:pPr>
      <w:rPr>
        <w:rFonts w:hint="default" w:ascii="Wingdings" w:hAnsi="Wingdings"/>
      </w:rPr>
    </w:lvl>
  </w:abstractNum>
  <w:num w:numId="1">
    <w:abstractNumId w:val="38"/>
  </w:num>
  <w:num w:numId="2">
    <w:abstractNumId w:val="26"/>
  </w:num>
  <w:num w:numId="3">
    <w:abstractNumId w:val="1"/>
  </w:num>
  <w:num w:numId="4">
    <w:abstractNumId w:val="44"/>
  </w:num>
  <w:num w:numId="5">
    <w:abstractNumId w:val="55"/>
  </w:num>
  <w:num w:numId="6">
    <w:abstractNumId w:val="46"/>
  </w:num>
  <w:num w:numId="7">
    <w:abstractNumId w:val="45"/>
  </w:num>
  <w:num w:numId="8">
    <w:abstractNumId w:val="13"/>
  </w:num>
  <w:num w:numId="9">
    <w:abstractNumId w:val="27"/>
  </w:num>
  <w:num w:numId="10">
    <w:abstractNumId w:val="42"/>
  </w:num>
  <w:num w:numId="11">
    <w:abstractNumId w:val="39"/>
  </w:num>
  <w:num w:numId="12">
    <w:abstractNumId w:val="23"/>
  </w:num>
  <w:num w:numId="13">
    <w:abstractNumId w:val="54"/>
  </w:num>
  <w:num w:numId="14">
    <w:abstractNumId w:val="51"/>
  </w:num>
  <w:num w:numId="15">
    <w:abstractNumId w:val="49"/>
  </w:num>
  <w:num w:numId="16">
    <w:abstractNumId w:val="47"/>
  </w:num>
  <w:num w:numId="17">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24"/>
  </w:num>
  <w:num w:numId="21">
    <w:abstractNumId w:val="0"/>
  </w:num>
  <w:num w:numId="22">
    <w:abstractNumId w:val="2"/>
  </w:num>
  <w:num w:numId="23">
    <w:abstractNumId w:val="41"/>
  </w:num>
  <w:num w:numId="24">
    <w:abstractNumId w:val="36"/>
  </w:num>
  <w:num w:numId="25">
    <w:abstractNumId w:val="7"/>
  </w:num>
  <w:num w:numId="26">
    <w:abstractNumId w:val="8"/>
  </w:num>
  <w:num w:numId="27">
    <w:abstractNumId w:val="19"/>
  </w:num>
  <w:num w:numId="28">
    <w:abstractNumId w:val="28"/>
  </w:num>
  <w:num w:numId="29">
    <w:abstractNumId w:val="31"/>
  </w:num>
  <w:num w:numId="30">
    <w:abstractNumId w:val="37"/>
  </w:num>
  <w:num w:numId="31">
    <w:abstractNumId w:val="16"/>
  </w:num>
  <w:num w:numId="32">
    <w:abstractNumId w:val="48"/>
  </w:num>
  <w:num w:numId="33">
    <w:abstractNumId w:val="15"/>
  </w:num>
  <w:num w:numId="34">
    <w:abstractNumId w:val="53"/>
  </w:num>
  <w:num w:numId="35">
    <w:abstractNumId w:val="17"/>
  </w:num>
  <w:num w:numId="36">
    <w:abstractNumId w:val="30"/>
  </w:num>
  <w:num w:numId="37">
    <w:abstractNumId w:val="29"/>
  </w:num>
  <w:num w:numId="38">
    <w:abstractNumId w:val="11"/>
  </w:num>
  <w:num w:numId="39">
    <w:abstractNumId w:val="40"/>
  </w:num>
  <w:num w:numId="40">
    <w:abstractNumId w:val="33"/>
  </w:num>
  <w:num w:numId="41">
    <w:abstractNumId w:val="14"/>
  </w:num>
  <w:num w:numId="42">
    <w:abstractNumId w:val="50"/>
  </w:num>
  <w:num w:numId="43">
    <w:abstractNumId w:val="21"/>
  </w:num>
  <w:num w:numId="44">
    <w:abstractNumId w:val="20"/>
  </w:num>
  <w:num w:numId="45">
    <w:abstractNumId w:val="22"/>
  </w:num>
  <w:num w:numId="46">
    <w:abstractNumId w:val="35"/>
  </w:num>
  <w:num w:numId="47">
    <w:abstractNumId w:val="52"/>
  </w:num>
  <w:num w:numId="48">
    <w:abstractNumId w:val="34"/>
  </w:num>
  <w:num w:numId="49">
    <w:abstractNumId w:val="43"/>
  </w:num>
  <w:num w:numId="50">
    <w:abstractNumId w:val="12"/>
  </w:num>
  <w:num w:numId="51">
    <w:abstractNumId w:val="5"/>
  </w:num>
  <w:num w:numId="52">
    <w:abstractNumId w:val="10"/>
  </w:num>
  <w:num w:numId="53">
    <w:abstractNumId w:val="32"/>
  </w:num>
  <w:num w:numId="54">
    <w:abstractNumId w:val="6"/>
  </w:num>
  <w:num w:numId="55">
    <w:abstractNumId w:val="25"/>
  </w:num>
  <w:num w:numId="56">
    <w:abstractNumId w:val="18"/>
  </w:num>
  <w:num w:numId="57">
    <w:abstractNumId w:val="3"/>
  </w:num>
  <w:num w:numId="58">
    <w:abstractNumId w:val="46"/>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BB"/>
    <w:rsid w:val="000047A2"/>
    <w:rsid w:val="00005620"/>
    <w:rsid w:val="00007E3E"/>
    <w:rsid w:val="000123B6"/>
    <w:rsid w:val="00012558"/>
    <w:rsid w:val="000169E5"/>
    <w:rsid w:val="00017529"/>
    <w:rsid w:val="0002374E"/>
    <w:rsid w:val="00023BB7"/>
    <w:rsid w:val="00023E1A"/>
    <w:rsid w:val="000245DC"/>
    <w:rsid w:val="00025A1A"/>
    <w:rsid w:val="00027842"/>
    <w:rsid w:val="00030B51"/>
    <w:rsid w:val="00031907"/>
    <w:rsid w:val="00032073"/>
    <w:rsid w:val="000338B9"/>
    <w:rsid w:val="0003700F"/>
    <w:rsid w:val="00037292"/>
    <w:rsid w:val="000409FC"/>
    <w:rsid w:val="0004718F"/>
    <w:rsid w:val="00052AA2"/>
    <w:rsid w:val="00053E4A"/>
    <w:rsid w:val="00054590"/>
    <w:rsid w:val="000562FB"/>
    <w:rsid w:val="000570E3"/>
    <w:rsid w:val="000602D3"/>
    <w:rsid w:val="000628B2"/>
    <w:rsid w:val="000632F3"/>
    <w:rsid w:val="0006472E"/>
    <w:rsid w:val="000654B1"/>
    <w:rsid w:val="00065641"/>
    <w:rsid w:val="00065DB9"/>
    <w:rsid w:val="00065FFC"/>
    <w:rsid w:val="00066346"/>
    <w:rsid w:val="00067204"/>
    <w:rsid w:val="00072E35"/>
    <w:rsid w:val="000732FC"/>
    <w:rsid w:val="0008193F"/>
    <w:rsid w:val="00083C53"/>
    <w:rsid w:val="00092C4A"/>
    <w:rsid w:val="000935B5"/>
    <w:rsid w:val="00095BF9"/>
    <w:rsid w:val="000A0877"/>
    <w:rsid w:val="000A140E"/>
    <w:rsid w:val="000A33F9"/>
    <w:rsid w:val="000A648C"/>
    <w:rsid w:val="000A6ECC"/>
    <w:rsid w:val="000A7121"/>
    <w:rsid w:val="000B0C11"/>
    <w:rsid w:val="000C023B"/>
    <w:rsid w:val="000C21D7"/>
    <w:rsid w:val="000C48BF"/>
    <w:rsid w:val="000C5B86"/>
    <w:rsid w:val="000D13F3"/>
    <w:rsid w:val="000D29CA"/>
    <w:rsid w:val="000D650A"/>
    <w:rsid w:val="000D7022"/>
    <w:rsid w:val="000E02D5"/>
    <w:rsid w:val="000E05ED"/>
    <w:rsid w:val="000E3E6F"/>
    <w:rsid w:val="000E5796"/>
    <w:rsid w:val="000F02AB"/>
    <w:rsid w:val="000F3C39"/>
    <w:rsid w:val="000F5938"/>
    <w:rsid w:val="000F6000"/>
    <w:rsid w:val="0010095F"/>
    <w:rsid w:val="001011FA"/>
    <w:rsid w:val="00103CA7"/>
    <w:rsid w:val="0011157C"/>
    <w:rsid w:val="00116FD6"/>
    <w:rsid w:val="00117E83"/>
    <w:rsid w:val="00122451"/>
    <w:rsid w:val="001243E3"/>
    <w:rsid w:val="00125E91"/>
    <w:rsid w:val="00126193"/>
    <w:rsid w:val="00136199"/>
    <w:rsid w:val="001364D9"/>
    <w:rsid w:val="00146D11"/>
    <w:rsid w:val="00151CC6"/>
    <w:rsid w:val="00156017"/>
    <w:rsid w:val="00160B34"/>
    <w:rsid w:val="001616A3"/>
    <w:rsid w:val="00170C2C"/>
    <w:rsid w:val="001720D3"/>
    <w:rsid w:val="001756DB"/>
    <w:rsid w:val="00175AE6"/>
    <w:rsid w:val="00177FF3"/>
    <w:rsid w:val="00181B8A"/>
    <w:rsid w:val="0018208D"/>
    <w:rsid w:val="001848A4"/>
    <w:rsid w:val="00185CA1"/>
    <w:rsid w:val="00191128"/>
    <w:rsid w:val="00191FE6"/>
    <w:rsid w:val="001926BE"/>
    <w:rsid w:val="001940F7"/>
    <w:rsid w:val="001949B3"/>
    <w:rsid w:val="00195B41"/>
    <w:rsid w:val="001A01EF"/>
    <w:rsid w:val="001A0DDD"/>
    <w:rsid w:val="001A1BFA"/>
    <w:rsid w:val="001A326A"/>
    <w:rsid w:val="001A4C77"/>
    <w:rsid w:val="001A59A8"/>
    <w:rsid w:val="001A6540"/>
    <w:rsid w:val="001A6A68"/>
    <w:rsid w:val="001A7348"/>
    <w:rsid w:val="001B181C"/>
    <w:rsid w:val="001B2E64"/>
    <w:rsid w:val="001B34DF"/>
    <w:rsid w:val="001B3551"/>
    <w:rsid w:val="001B3F24"/>
    <w:rsid w:val="001B5231"/>
    <w:rsid w:val="001B52E6"/>
    <w:rsid w:val="001B7FF0"/>
    <w:rsid w:val="001C0A97"/>
    <w:rsid w:val="001C2014"/>
    <w:rsid w:val="001C2590"/>
    <w:rsid w:val="001C5E3F"/>
    <w:rsid w:val="001C6422"/>
    <w:rsid w:val="001D150D"/>
    <w:rsid w:val="001D1D70"/>
    <w:rsid w:val="001D32B9"/>
    <w:rsid w:val="001F18FC"/>
    <w:rsid w:val="00202122"/>
    <w:rsid w:val="002112F5"/>
    <w:rsid w:val="002159F1"/>
    <w:rsid w:val="00215FB2"/>
    <w:rsid w:val="00216361"/>
    <w:rsid w:val="00222429"/>
    <w:rsid w:val="002300EA"/>
    <w:rsid w:val="0023137F"/>
    <w:rsid w:val="00231AA4"/>
    <w:rsid w:val="0023213F"/>
    <w:rsid w:val="00233F0D"/>
    <w:rsid w:val="002345F3"/>
    <w:rsid w:val="00234788"/>
    <w:rsid w:val="00235120"/>
    <w:rsid w:val="00235B5F"/>
    <w:rsid w:val="00243D88"/>
    <w:rsid w:val="002475B9"/>
    <w:rsid w:val="00250E43"/>
    <w:rsid w:val="002544BA"/>
    <w:rsid w:val="00255EF8"/>
    <w:rsid w:val="002604A9"/>
    <w:rsid w:val="00265C54"/>
    <w:rsid w:val="00265CBC"/>
    <w:rsid w:val="00267C78"/>
    <w:rsid w:val="002723ED"/>
    <w:rsid w:val="00273FE7"/>
    <w:rsid w:val="002766C0"/>
    <w:rsid w:val="00276CB4"/>
    <w:rsid w:val="00281C21"/>
    <w:rsid w:val="0028381F"/>
    <w:rsid w:val="00284665"/>
    <w:rsid w:val="00284700"/>
    <w:rsid w:val="002856F1"/>
    <w:rsid w:val="00290D5D"/>
    <w:rsid w:val="00292819"/>
    <w:rsid w:val="002A1B6B"/>
    <w:rsid w:val="002A712B"/>
    <w:rsid w:val="002A71FF"/>
    <w:rsid w:val="002B0288"/>
    <w:rsid w:val="002B2907"/>
    <w:rsid w:val="002B3296"/>
    <w:rsid w:val="002B3A86"/>
    <w:rsid w:val="002C40C1"/>
    <w:rsid w:val="002C72FE"/>
    <w:rsid w:val="002D1DDB"/>
    <w:rsid w:val="002D5827"/>
    <w:rsid w:val="002E27F5"/>
    <w:rsid w:val="002E42CB"/>
    <w:rsid w:val="002E6311"/>
    <w:rsid w:val="002E65C0"/>
    <w:rsid w:val="002F0673"/>
    <w:rsid w:val="0030196F"/>
    <w:rsid w:val="0030281C"/>
    <w:rsid w:val="0030661A"/>
    <w:rsid w:val="00310253"/>
    <w:rsid w:val="003109B9"/>
    <w:rsid w:val="00311537"/>
    <w:rsid w:val="0031633D"/>
    <w:rsid w:val="00320BE2"/>
    <w:rsid w:val="00325CBA"/>
    <w:rsid w:val="003314C4"/>
    <w:rsid w:val="003337A0"/>
    <w:rsid w:val="00334132"/>
    <w:rsid w:val="0034042B"/>
    <w:rsid w:val="00340E70"/>
    <w:rsid w:val="003418BD"/>
    <w:rsid w:val="00350CFD"/>
    <w:rsid w:val="003532BF"/>
    <w:rsid w:val="003548C5"/>
    <w:rsid w:val="003604FB"/>
    <w:rsid w:val="00366D9A"/>
    <w:rsid w:val="00371B6E"/>
    <w:rsid w:val="00374069"/>
    <w:rsid w:val="003776C9"/>
    <w:rsid w:val="00377CEA"/>
    <w:rsid w:val="00385242"/>
    <w:rsid w:val="00386B2C"/>
    <w:rsid w:val="00387757"/>
    <w:rsid w:val="00395250"/>
    <w:rsid w:val="00396D83"/>
    <w:rsid w:val="0039705C"/>
    <w:rsid w:val="003A016A"/>
    <w:rsid w:val="003A2841"/>
    <w:rsid w:val="003A2EFF"/>
    <w:rsid w:val="003A314F"/>
    <w:rsid w:val="003A4B7E"/>
    <w:rsid w:val="003A7DE3"/>
    <w:rsid w:val="003B141D"/>
    <w:rsid w:val="003B20E4"/>
    <w:rsid w:val="003B64EC"/>
    <w:rsid w:val="003B7AA8"/>
    <w:rsid w:val="003C14DE"/>
    <w:rsid w:val="003C2379"/>
    <w:rsid w:val="003C5124"/>
    <w:rsid w:val="003D08E3"/>
    <w:rsid w:val="003D0E55"/>
    <w:rsid w:val="003D323D"/>
    <w:rsid w:val="003D37A4"/>
    <w:rsid w:val="003D3F6F"/>
    <w:rsid w:val="003D4541"/>
    <w:rsid w:val="003D61C9"/>
    <w:rsid w:val="003E1A86"/>
    <w:rsid w:val="003E3D87"/>
    <w:rsid w:val="003E53A4"/>
    <w:rsid w:val="004028FD"/>
    <w:rsid w:val="00402A9C"/>
    <w:rsid w:val="00405995"/>
    <w:rsid w:val="00406069"/>
    <w:rsid w:val="00406AD5"/>
    <w:rsid w:val="00406D5D"/>
    <w:rsid w:val="00410360"/>
    <w:rsid w:val="00410EB0"/>
    <w:rsid w:val="004118BA"/>
    <w:rsid w:val="004120B0"/>
    <w:rsid w:val="004129A5"/>
    <w:rsid w:val="00416422"/>
    <w:rsid w:val="004169E4"/>
    <w:rsid w:val="00416E08"/>
    <w:rsid w:val="004173AF"/>
    <w:rsid w:val="00421AFA"/>
    <w:rsid w:val="00421CCB"/>
    <w:rsid w:val="0042375D"/>
    <w:rsid w:val="0043090E"/>
    <w:rsid w:val="00432B2A"/>
    <w:rsid w:val="00435F26"/>
    <w:rsid w:val="00445F67"/>
    <w:rsid w:val="004465D7"/>
    <w:rsid w:val="00447D9E"/>
    <w:rsid w:val="00451A71"/>
    <w:rsid w:val="00451CD0"/>
    <w:rsid w:val="00454D1C"/>
    <w:rsid w:val="0046206A"/>
    <w:rsid w:val="0046506E"/>
    <w:rsid w:val="0046629D"/>
    <w:rsid w:val="00470FD3"/>
    <w:rsid w:val="004716B2"/>
    <w:rsid w:val="004733A6"/>
    <w:rsid w:val="00476191"/>
    <w:rsid w:val="004772DD"/>
    <w:rsid w:val="004805F3"/>
    <w:rsid w:val="00485647"/>
    <w:rsid w:val="00485AAF"/>
    <w:rsid w:val="00486583"/>
    <w:rsid w:val="004912F2"/>
    <w:rsid w:val="00496036"/>
    <w:rsid w:val="004A1112"/>
    <w:rsid w:val="004A44CC"/>
    <w:rsid w:val="004A4D2A"/>
    <w:rsid w:val="004A5BEE"/>
    <w:rsid w:val="004A7F99"/>
    <w:rsid w:val="004D27DC"/>
    <w:rsid w:val="004D2FE8"/>
    <w:rsid w:val="004D4948"/>
    <w:rsid w:val="004D6046"/>
    <w:rsid w:val="004D7744"/>
    <w:rsid w:val="004E04D3"/>
    <w:rsid w:val="004E0DE8"/>
    <w:rsid w:val="004E1D66"/>
    <w:rsid w:val="004E62AD"/>
    <w:rsid w:val="004E7B60"/>
    <w:rsid w:val="004E7B7C"/>
    <w:rsid w:val="004F20EA"/>
    <w:rsid w:val="004F3952"/>
    <w:rsid w:val="004F6070"/>
    <w:rsid w:val="004F62B2"/>
    <w:rsid w:val="0050047E"/>
    <w:rsid w:val="00503D07"/>
    <w:rsid w:val="005078A0"/>
    <w:rsid w:val="0051072E"/>
    <w:rsid w:val="005117CE"/>
    <w:rsid w:val="00512DEF"/>
    <w:rsid w:val="00513571"/>
    <w:rsid w:val="00514DF4"/>
    <w:rsid w:val="0051558F"/>
    <w:rsid w:val="00517699"/>
    <w:rsid w:val="00517775"/>
    <w:rsid w:val="00520D7D"/>
    <w:rsid w:val="00523696"/>
    <w:rsid w:val="00525C25"/>
    <w:rsid w:val="005311F0"/>
    <w:rsid w:val="005356C6"/>
    <w:rsid w:val="005373B8"/>
    <w:rsid w:val="00537419"/>
    <w:rsid w:val="00540609"/>
    <w:rsid w:val="00550FD7"/>
    <w:rsid w:val="0055178E"/>
    <w:rsid w:val="00554E2F"/>
    <w:rsid w:val="00564555"/>
    <w:rsid w:val="00566B33"/>
    <w:rsid w:val="00570F51"/>
    <w:rsid w:val="0057350D"/>
    <w:rsid w:val="00575F54"/>
    <w:rsid w:val="00580D86"/>
    <w:rsid w:val="00580E2E"/>
    <w:rsid w:val="00581670"/>
    <w:rsid w:val="00583799"/>
    <w:rsid w:val="00586546"/>
    <w:rsid w:val="00593C78"/>
    <w:rsid w:val="00595235"/>
    <w:rsid w:val="005A15AB"/>
    <w:rsid w:val="005A1885"/>
    <w:rsid w:val="005A209B"/>
    <w:rsid w:val="005A2376"/>
    <w:rsid w:val="005A2B61"/>
    <w:rsid w:val="005A3367"/>
    <w:rsid w:val="005A3E38"/>
    <w:rsid w:val="005A4FFB"/>
    <w:rsid w:val="005B6A90"/>
    <w:rsid w:val="005B6DFF"/>
    <w:rsid w:val="005B7713"/>
    <w:rsid w:val="005C22D3"/>
    <w:rsid w:val="005C6A4C"/>
    <w:rsid w:val="005D1BF8"/>
    <w:rsid w:val="005D476E"/>
    <w:rsid w:val="005E3E06"/>
    <w:rsid w:val="005E479E"/>
    <w:rsid w:val="005F3C31"/>
    <w:rsid w:val="005F4E9A"/>
    <w:rsid w:val="005F7337"/>
    <w:rsid w:val="005F795E"/>
    <w:rsid w:val="00605561"/>
    <w:rsid w:val="006065DF"/>
    <w:rsid w:val="00610632"/>
    <w:rsid w:val="00613680"/>
    <w:rsid w:val="00614B45"/>
    <w:rsid w:val="006151BD"/>
    <w:rsid w:val="00620713"/>
    <w:rsid w:val="00622896"/>
    <w:rsid w:val="006273E9"/>
    <w:rsid w:val="00630D25"/>
    <w:rsid w:val="00637CE1"/>
    <w:rsid w:val="00641F91"/>
    <w:rsid w:val="00642D41"/>
    <w:rsid w:val="00643F6A"/>
    <w:rsid w:val="00644048"/>
    <w:rsid w:val="00644A13"/>
    <w:rsid w:val="00645266"/>
    <w:rsid w:val="00650040"/>
    <w:rsid w:val="00650904"/>
    <w:rsid w:val="0065238E"/>
    <w:rsid w:val="00657CFC"/>
    <w:rsid w:val="0066169B"/>
    <w:rsid w:val="00662B59"/>
    <w:rsid w:val="00670AC1"/>
    <w:rsid w:val="006716AB"/>
    <w:rsid w:val="00672133"/>
    <w:rsid w:val="00673459"/>
    <w:rsid w:val="00676A43"/>
    <w:rsid w:val="00683345"/>
    <w:rsid w:val="006929F0"/>
    <w:rsid w:val="00693656"/>
    <w:rsid w:val="0069403D"/>
    <w:rsid w:val="006947F2"/>
    <w:rsid w:val="00694F23"/>
    <w:rsid w:val="00695650"/>
    <w:rsid w:val="006A3A8E"/>
    <w:rsid w:val="006A69E1"/>
    <w:rsid w:val="006B2124"/>
    <w:rsid w:val="006B5BB0"/>
    <w:rsid w:val="006B7259"/>
    <w:rsid w:val="006C0EBE"/>
    <w:rsid w:val="006C1B9D"/>
    <w:rsid w:val="006C5A38"/>
    <w:rsid w:val="006E0C09"/>
    <w:rsid w:val="006E76BC"/>
    <w:rsid w:val="006F5F99"/>
    <w:rsid w:val="00700826"/>
    <w:rsid w:val="00703934"/>
    <w:rsid w:val="00707231"/>
    <w:rsid w:val="00710DD3"/>
    <w:rsid w:val="00711595"/>
    <w:rsid w:val="00712C20"/>
    <w:rsid w:val="00716384"/>
    <w:rsid w:val="00716D87"/>
    <w:rsid w:val="0071796A"/>
    <w:rsid w:val="007204AB"/>
    <w:rsid w:val="00724377"/>
    <w:rsid w:val="00730C78"/>
    <w:rsid w:val="00732141"/>
    <w:rsid w:val="00735DEA"/>
    <w:rsid w:val="00736322"/>
    <w:rsid w:val="00743500"/>
    <w:rsid w:val="007441C9"/>
    <w:rsid w:val="00747997"/>
    <w:rsid w:val="007502E1"/>
    <w:rsid w:val="00750D03"/>
    <w:rsid w:val="00753FAD"/>
    <w:rsid w:val="007578BA"/>
    <w:rsid w:val="00760BA8"/>
    <w:rsid w:val="00761DD8"/>
    <w:rsid w:val="00763E79"/>
    <w:rsid w:val="00765500"/>
    <w:rsid w:val="00767C00"/>
    <w:rsid w:val="0077003E"/>
    <w:rsid w:val="007841E6"/>
    <w:rsid w:val="00784747"/>
    <w:rsid w:val="007877B3"/>
    <w:rsid w:val="00790A1D"/>
    <w:rsid w:val="00793C6C"/>
    <w:rsid w:val="00796340"/>
    <w:rsid w:val="00796EC9"/>
    <w:rsid w:val="00797CD1"/>
    <w:rsid w:val="007A1929"/>
    <w:rsid w:val="007A391F"/>
    <w:rsid w:val="007B066E"/>
    <w:rsid w:val="007C0ACA"/>
    <w:rsid w:val="007C193A"/>
    <w:rsid w:val="007C3E6F"/>
    <w:rsid w:val="007C3F33"/>
    <w:rsid w:val="007D15D8"/>
    <w:rsid w:val="007D326F"/>
    <w:rsid w:val="007E002E"/>
    <w:rsid w:val="007E1B23"/>
    <w:rsid w:val="007E6221"/>
    <w:rsid w:val="007E69A6"/>
    <w:rsid w:val="007E749D"/>
    <w:rsid w:val="007F0A4A"/>
    <w:rsid w:val="007F0D4E"/>
    <w:rsid w:val="007F1495"/>
    <w:rsid w:val="007F187B"/>
    <w:rsid w:val="007F364A"/>
    <w:rsid w:val="007F375A"/>
    <w:rsid w:val="007F3A31"/>
    <w:rsid w:val="007F3D45"/>
    <w:rsid w:val="007F625D"/>
    <w:rsid w:val="00802658"/>
    <w:rsid w:val="00803805"/>
    <w:rsid w:val="00806BFF"/>
    <w:rsid w:val="008118A8"/>
    <w:rsid w:val="00811E80"/>
    <w:rsid w:val="00815712"/>
    <w:rsid w:val="00815FF4"/>
    <w:rsid w:val="00821240"/>
    <w:rsid w:val="00823681"/>
    <w:rsid w:val="00830DC3"/>
    <w:rsid w:val="00840465"/>
    <w:rsid w:val="00840F12"/>
    <w:rsid w:val="008434A3"/>
    <w:rsid w:val="00845474"/>
    <w:rsid w:val="0085010A"/>
    <w:rsid w:val="008501E2"/>
    <w:rsid w:val="00855BDF"/>
    <w:rsid w:val="00857013"/>
    <w:rsid w:val="00860459"/>
    <w:rsid w:val="00863EA5"/>
    <w:rsid w:val="008640AB"/>
    <w:rsid w:val="00866C82"/>
    <w:rsid w:val="00867D0B"/>
    <w:rsid w:val="00871D7F"/>
    <w:rsid w:val="00874C0C"/>
    <w:rsid w:val="00874C40"/>
    <w:rsid w:val="00874C6D"/>
    <w:rsid w:val="00876112"/>
    <w:rsid w:val="00876F95"/>
    <w:rsid w:val="008779FC"/>
    <w:rsid w:val="00880386"/>
    <w:rsid w:val="008848E2"/>
    <w:rsid w:val="00885B66"/>
    <w:rsid w:val="0089008A"/>
    <w:rsid w:val="00891351"/>
    <w:rsid w:val="008921BF"/>
    <w:rsid w:val="008A1B24"/>
    <w:rsid w:val="008A5B2F"/>
    <w:rsid w:val="008B0837"/>
    <w:rsid w:val="008B15B2"/>
    <w:rsid w:val="008B28E7"/>
    <w:rsid w:val="008B2BB7"/>
    <w:rsid w:val="008B35EE"/>
    <w:rsid w:val="008B3A56"/>
    <w:rsid w:val="008B67F4"/>
    <w:rsid w:val="008B6E62"/>
    <w:rsid w:val="008C20D8"/>
    <w:rsid w:val="008C41C5"/>
    <w:rsid w:val="008C554B"/>
    <w:rsid w:val="008C5CAC"/>
    <w:rsid w:val="008C6371"/>
    <w:rsid w:val="008C6504"/>
    <w:rsid w:val="008E4FF3"/>
    <w:rsid w:val="008E6CEF"/>
    <w:rsid w:val="008E705B"/>
    <w:rsid w:val="008F08E8"/>
    <w:rsid w:val="008F1221"/>
    <w:rsid w:val="008F1E25"/>
    <w:rsid w:val="008F4657"/>
    <w:rsid w:val="008F572A"/>
    <w:rsid w:val="008F5B20"/>
    <w:rsid w:val="008F61AF"/>
    <w:rsid w:val="008F635D"/>
    <w:rsid w:val="008F7B75"/>
    <w:rsid w:val="00900C06"/>
    <w:rsid w:val="00903ED6"/>
    <w:rsid w:val="00904533"/>
    <w:rsid w:val="00905A14"/>
    <w:rsid w:val="00906DC2"/>
    <w:rsid w:val="009077CD"/>
    <w:rsid w:val="009176E7"/>
    <w:rsid w:val="0092130D"/>
    <w:rsid w:val="00921756"/>
    <w:rsid w:val="00923517"/>
    <w:rsid w:val="00923754"/>
    <w:rsid w:val="00930386"/>
    <w:rsid w:val="009321B1"/>
    <w:rsid w:val="009356C1"/>
    <w:rsid w:val="00937B88"/>
    <w:rsid w:val="0094236E"/>
    <w:rsid w:val="00943399"/>
    <w:rsid w:val="00956739"/>
    <w:rsid w:val="00956E53"/>
    <w:rsid w:val="00961D06"/>
    <w:rsid w:val="00964FB7"/>
    <w:rsid w:val="00965B24"/>
    <w:rsid w:val="00967B3C"/>
    <w:rsid w:val="00974ACF"/>
    <w:rsid w:val="0097674C"/>
    <w:rsid w:val="0097780F"/>
    <w:rsid w:val="00982A2D"/>
    <w:rsid w:val="00983337"/>
    <w:rsid w:val="009867DF"/>
    <w:rsid w:val="009906E0"/>
    <w:rsid w:val="00994CDB"/>
    <w:rsid w:val="00995509"/>
    <w:rsid w:val="009960E4"/>
    <w:rsid w:val="00996CE3"/>
    <w:rsid w:val="0099772D"/>
    <w:rsid w:val="009A265B"/>
    <w:rsid w:val="009A44CC"/>
    <w:rsid w:val="009A4DBD"/>
    <w:rsid w:val="009A535E"/>
    <w:rsid w:val="009A5AB5"/>
    <w:rsid w:val="009A7909"/>
    <w:rsid w:val="009B7369"/>
    <w:rsid w:val="009C33D4"/>
    <w:rsid w:val="009D0B42"/>
    <w:rsid w:val="009D2BDC"/>
    <w:rsid w:val="009D50BA"/>
    <w:rsid w:val="009D70B5"/>
    <w:rsid w:val="009D7717"/>
    <w:rsid w:val="009E38F5"/>
    <w:rsid w:val="009E4939"/>
    <w:rsid w:val="009E6285"/>
    <w:rsid w:val="009E6817"/>
    <w:rsid w:val="009E7AAF"/>
    <w:rsid w:val="009E7F31"/>
    <w:rsid w:val="009F0E17"/>
    <w:rsid w:val="009F3C45"/>
    <w:rsid w:val="00A012D9"/>
    <w:rsid w:val="00A04D63"/>
    <w:rsid w:val="00A112B9"/>
    <w:rsid w:val="00A120A9"/>
    <w:rsid w:val="00A12838"/>
    <w:rsid w:val="00A200AF"/>
    <w:rsid w:val="00A2040B"/>
    <w:rsid w:val="00A21849"/>
    <w:rsid w:val="00A24240"/>
    <w:rsid w:val="00A3024E"/>
    <w:rsid w:val="00A33458"/>
    <w:rsid w:val="00A342E5"/>
    <w:rsid w:val="00A34639"/>
    <w:rsid w:val="00A37354"/>
    <w:rsid w:val="00A42A02"/>
    <w:rsid w:val="00A42FAD"/>
    <w:rsid w:val="00A44B86"/>
    <w:rsid w:val="00A44EC8"/>
    <w:rsid w:val="00A45FB3"/>
    <w:rsid w:val="00A478BF"/>
    <w:rsid w:val="00A5027A"/>
    <w:rsid w:val="00A54692"/>
    <w:rsid w:val="00A634AD"/>
    <w:rsid w:val="00A647AC"/>
    <w:rsid w:val="00A649E6"/>
    <w:rsid w:val="00A70F75"/>
    <w:rsid w:val="00A73871"/>
    <w:rsid w:val="00A74656"/>
    <w:rsid w:val="00A74ADD"/>
    <w:rsid w:val="00A8227D"/>
    <w:rsid w:val="00A84A94"/>
    <w:rsid w:val="00A90AC1"/>
    <w:rsid w:val="00AA0F98"/>
    <w:rsid w:val="00AA2991"/>
    <w:rsid w:val="00AA32AA"/>
    <w:rsid w:val="00AA40C2"/>
    <w:rsid w:val="00AB097D"/>
    <w:rsid w:val="00AB2428"/>
    <w:rsid w:val="00AB4FA5"/>
    <w:rsid w:val="00AC1C37"/>
    <w:rsid w:val="00AC25EA"/>
    <w:rsid w:val="00AC5520"/>
    <w:rsid w:val="00AC65AB"/>
    <w:rsid w:val="00AC74AD"/>
    <w:rsid w:val="00AD3594"/>
    <w:rsid w:val="00AD739F"/>
    <w:rsid w:val="00AD7880"/>
    <w:rsid w:val="00AF6248"/>
    <w:rsid w:val="00AF7539"/>
    <w:rsid w:val="00B029F6"/>
    <w:rsid w:val="00B05C18"/>
    <w:rsid w:val="00B064C8"/>
    <w:rsid w:val="00B11083"/>
    <w:rsid w:val="00B12569"/>
    <w:rsid w:val="00B1290B"/>
    <w:rsid w:val="00B165CF"/>
    <w:rsid w:val="00B17C6E"/>
    <w:rsid w:val="00B224C6"/>
    <w:rsid w:val="00B23959"/>
    <w:rsid w:val="00B2419D"/>
    <w:rsid w:val="00B25B07"/>
    <w:rsid w:val="00B317E6"/>
    <w:rsid w:val="00B34301"/>
    <w:rsid w:val="00B36900"/>
    <w:rsid w:val="00B404B9"/>
    <w:rsid w:val="00B41BD7"/>
    <w:rsid w:val="00B42BB9"/>
    <w:rsid w:val="00B42C84"/>
    <w:rsid w:val="00B4392A"/>
    <w:rsid w:val="00B43F9D"/>
    <w:rsid w:val="00B43FED"/>
    <w:rsid w:val="00B4523A"/>
    <w:rsid w:val="00B454B1"/>
    <w:rsid w:val="00B45BD6"/>
    <w:rsid w:val="00B50C8E"/>
    <w:rsid w:val="00B53375"/>
    <w:rsid w:val="00B54B04"/>
    <w:rsid w:val="00B55171"/>
    <w:rsid w:val="00B62999"/>
    <w:rsid w:val="00B64D91"/>
    <w:rsid w:val="00B64F83"/>
    <w:rsid w:val="00B66AC9"/>
    <w:rsid w:val="00B66EB7"/>
    <w:rsid w:val="00B724F7"/>
    <w:rsid w:val="00B76136"/>
    <w:rsid w:val="00B77A41"/>
    <w:rsid w:val="00B80E06"/>
    <w:rsid w:val="00B843FF"/>
    <w:rsid w:val="00B868BB"/>
    <w:rsid w:val="00B94EE9"/>
    <w:rsid w:val="00BA4784"/>
    <w:rsid w:val="00BA642F"/>
    <w:rsid w:val="00BA69BC"/>
    <w:rsid w:val="00BB2D4E"/>
    <w:rsid w:val="00BB46A4"/>
    <w:rsid w:val="00BB4BCC"/>
    <w:rsid w:val="00BC0BCB"/>
    <w:rsid w:val="00BC25F6"/>
    <w:rsid w:val="00BD0106"/>
    <w:rsid w:val="00BD0598"/>
    <w:rsid w:val="00BD4E6D"/>
    <w:rsid w:val="00BD6C17"/>
    <w:rsid w:val="00BE1967"/>
    <w:rsid w:val="00BE2F6C"/>
    <w:rsid w:val="00BE3234"/>
    <w:rsid w:val="00BE5823"/>
    <w:rsid w:val="00BE5EA0"/>
    <w:rsid w:val="00BE6613"/>
    <w:rsid w:val="00BF4FEA"/>
    <w:rsid w:val="00BF6D11"/>
    <w:rsid w:val="00C0077D"/>
    <w:rsid w:val="00C01D47"/>
    <w:rsid w:val="00C03347"/>
    <w:rsid w:val="00C05A8D"/>
    <w:rsid w:val="00C0694B"/>
    <w:rsid w:val="00C075DE"/>
    <w:rsid w:val="00C107C3"/>
    <w:rsid w:val="00C13989"/>
    <w:rsid w:val="00C1760E"/>
    <w:rsid w:val="00C20060"/>
    <w:rsid w:val="00C227EC"/>
    <w:rsid w:val="00C24FA0"/>
    <w:rsid w:val="00C25B18"/>
    <w:rsid w:val="00C25EFF"/>
    <w:rsid w:val="00C2603B"/>
    <w:rsid w:val="00C33408"/>
    <w:rsid w:val="00C35FFE"/>
    <w:rsid w:val="00C40C73"/>
    <w:rsid w:val="00C50AE0"/>
    <w:rsid w:val="00C51BE5"/>
    <w:rsid w:val="00C53216"/>
    <w:rsid w:val="00C53EA3"/>
    <w:rsid w:val="00C56A19"/>
    <w:rsid w:val="00C57BE5"/>
    <w:rsid w:val="00C66712"/>
    <w:rsid w:val="00C7221D"/>
    <w:rsid w:val="00C7514B"/>
    <w:rsid w:val="00C7757F"/>
    <w:rsid w:val="00C82D3C"/>
    <w:rsid w:val="00C833AF"/>
    <w:rsid w:val="00C8354A"/>
    <w:rsid w:val="00C8419A"/>
    <w:rsid w:val="00C85CD9"/>
    <w:rsid w:val="00C86AEA"/>
    <w:rsid w:val="00C87071"/>
    <w:rsid w:val="00C92DE5"/>
    <w:rsid w:val="00C94F36"/>
    <w:rsid w:val="00C96242"/>
    <w:rsid w:val="00C9670D"/>
    <w:rsid w:val="00CA0381"/>
    <w:rsid w:val="00CA4AE3"/>
    <w:rsid w:val="00CB38A7"/>
    <w:rsid w:val="00CB4222"/>
    <w:rsid w:val="00CC387E"/>
    <w:rsid w:val="00CC4271"/>
    <w:rsid w:val="00CC5634"/>
    <w:rsid w:val="00CC769C"/>
    <w:rsid w:val="00CC78C4"/>
    <w:rsid w:val="00CD1D43"/>
    <w:rsid w:val="00CD2A12"/>
    <w:rsid w:val="00CD5E3B"/>
    <w:rsid w:val="00CE1FD8"/>
    <w:rsid w:val="00CE685B"/>
    <w:rsid w:val="00CF27BA"/>
    <w:rsid w:val="00CF2855"/>
    <w:rsid w:val="00CF32A9"/>
    <w:rsid w:val="00CF4551"/>
    <w:rsid w:val="00CF66C6"/>
    <w:rsid w:val="00CF6BE8"/>
    <w:rsid w:val="00CF702C"/>
    <w:rsid w:val="00CF7884"/>
    <w:rsid w:val="00D01140"/>
    <w:rsid w:val="00D029CE"/>
    <w:rsid w:val="00D038DD"/>
    <w:rsid w:val="00D04EEA"/>
    <w:rsid w:val="00D119CA"/>
    <w:rsid w:val="00D135E6"/>
    <w:rsid w:val="00D13B9A"/>
    <w:rsid w:val="00D15635"/>
    <w:rsid w:val="00D15AB4"/>
    <w:rsid w:val="00D201F5"/>
    <w:rsid w:val="00D2137D"/>
    <w:rsid w:val="00D26329"/>
    <w:rsid w:val="00D31BD5"/>
    <w:rsid w:val="00D32199"/>
    <w:rsid w:val="00D33B02"/>
    <w:rsid w:val="00D348FC"/>
    <w:rsid w:val="00D3699A"/>
    <w:rsid w:val="00D40AC6"/>
    <w:rsid w:val="00D42E64"/>
    <w:rsid w:val="00D43233"/>
    <w:rsid w:val="00D47686"/>
    <w:rsid w:val="00D5379B"/>
    <w:rsid w:val="00D538C3"/>
    <w:rsid w:val="00D5404B"/>
    <w:rsid w:val="00D560C2"/>
    <w:rsid w:val="00D56AD5"/>
    <w:rsid w:val="00D63C54"/>
    <w:rsid w:val="00D72B86"/>
    <w:rsid w:val="00D7306D"/>
    <w:rsid w:val="00D80DFA"/>
    <w:rsid w:val="00D82C78"/>
    <w:rsid w:val="00D84577"/>
    <w:rsid w:val="00D85AE7"/>
    <w:rsid w:val="00D93A3D"/>
    <w:rsid w:val="00D94BF0"/>
    <w:rsid w:val="00D96118"/>
    <w:rsid w:val="00DA1086"/>
    <w:rsid w:val="00DA39E0"/>
    <w:rsid w:val="00DA3B9B"/>
    <w:rsid w:val="00DB4DB9"/>
    <w:rsid w:val="00DB7FA5"/>
    <w:rsid w:val="00DC2D09"/>
    <w:rsid w:val="00DC59C2"/>
    <w:rsid w:val="00DC78B6"/>
    <w:rsid w:val="00DD1484"/>
    <w:rsid w:val="00DD1514"/>
    <w:rsid w:val="00DD2BE2"/>
    <w:rsid w:val="00DD39B8"/>
    <w:rsid w:val="00DE1012"/>
    <w:rsid w:val="00DF257B"/>
    <w:rsid w:val="00DF4F9F"/>
    <w:rsid w:val="00DF6967"/>
    <w:rsid w:val="00E01DEF"/>
    <w:rsid w:val="00E04817"/>
    <w:rsid w:val="00E12F9C"/>
    <w:rsid w:val="00E136CD"/>
    <w:rsid w:val="00E16004"/>
    <w:rsid w:val="00E16DA7"/>
    <w:rsid w:val="00E21F8A"/>
    <w:rsid w:val="00E23001"/>
    <w:rsid w:val="00E234F5"/>
    <w:rsid w:val="00E2473C"/>
    <w:rsid w:val="00E2490F"/>
    <w:rsid w:val="00E40FDE"/>
    <w:rsid w:val="00E411A6"/>
    <w:rsid w:val="00E437C0"/>
    <w:rsid w:val="00E4394E"/>
    <w:rsid w:val="00E44086"/>
    <w:rsid w:val="00E47025"/>
    <w:rsid w:val="00E5550A"/>
    <w:rsid w:val="00E57B87"/>
    <w:rsid w:val="00E64E92"/>
    <w:rsid w:val="00E71169"/>
    <w:rsid w:val="00E72FE7"/>
    <w:rsid w:val="00E73F08"/>
    <w:rsid w:val="00E7448C"/>
    <w:rsid w:val="00E81848"/>
    <w:rsid w:val="00E8382D"/>
    <w:rsid w:val="00E83E10"/>
    <w:rsid w:val="00E87904"/>
    <w:rsid w:val="00E933D9"/>
    <w:rsid w:val="00E95025"/>
    <w:rsid w:val="00E9718F"/>
    <w:rsid w:val="00EA1E20"/>
    <w:rsid w:val="00EA294F"/>
    <w:rsid w:val="00EA37DD"/>
    <w:rsid w:val="00EA53ED"/>
    <w:rsid w:val="00EA747A"/>
    <w:rsid w:val="00EA777D"/>
    <w:rsid w:val="00EB0AF3"/>
    <w:rsid w:val="00EB238E"/>
    <w:rsid w:val="00EB2795"/>
    <w:rsid w:val="00EB3EA2"/>
    <w:rsid w:val="00EB414A"/>
    <w:rsid w:val="00EB6A72"/>
    <w:rsid w:val="00EC1072"/>
    <w:rsid w:val="00EC1968"/>
    <w:rsid w:val="00ED3137"/>
    <w:rsid w:val="00ED3AEE"/>
    <w:rsid w:val="00ED4B27"/>
    <w:rsid w:val="00ED6ABC"/>
    <w:rsid w:val="00ED6E33"/>
    <w:rsid w:val="00ED6F7C"/>
    <w:rsid w:val="00EE1318"/>
    <w:rsid w:val="00EE5FBA"/>
    <w:rsid w:val="00EF02BD"/>
    <w:rsid w:val="00EF3BA5"/>
    <w:rsid w:val="00EF6E5D"/>
    <w:rsid w:val="00F0279C"/>
    <w:rsid w:val="00F03F13"/>
    <w:rsid w:val="00F04FD5"/>
    <w:rsid w:val="00F06F19"/>
    <w:rsid w:val="00F103CB"/>
    <w:rsid w:val="00F12E26"/>
    <w:rsid w:val="00F22A81"/>
    <w:rsid w:val="00F2560A"/>
    <w:rsid w:val="00F26BCC"/>
    <w:rsid w:val="00F30A2B"/>
    <w:rsid w:val="00F30BA5"/>
    <w:rsid w:val="00F37B2F"/>
    <w:rsid w:val="00F4294F"/>
    <w:rsid w:val="00F44168"/>
    <w:rsid w:val="00F44CA9"/>
    <w:rsid w:val="00F55272"/>
    <w:rsid w:val="00F5692F"/>
    <w:rsid w:val="00F61646"/>
    <w:rsid w:val="00F63180"/>
    <w:rsid w:val="00F6429F"/>
    <w:rsid w:val="00F65D35"/>
    <w:rsid w:val="00F70BCC"/>
    <w:rsid w:val="00F7322A"/>
    <w:rsid w:val="00F73E5D"/>
    <w:rsid w:val="00F74176"/>
    <w:rsid w:val="00F80FFF"/>
    <w:rsid w:val="00F813BA"/>
    <w:rsid w:val="00F82AF4"/>
    <w:rsid w:val="00F82C5C"/>
    <w:rsid w:val="00F85825"/>
    <w:rsid w:val="00F8675F"/>
    <w:rsid w:val="00F87487"/>
    <w:rsid w:val="00F92973"/>
    <w:rsid w:val="00F97570"/>
    <w:rsid w:val="00FA0851"/>
    <w:rsid w:val="00FA1B9E"/>
    <w:rsid w:val="00FA44DD"/>
    <w:rsid w:val="00FA49A3"/>
    <w:rsid w:val="00FA721D"/>
    <w:rsid w:val="00FB05AA"/>
    <w:rsid w:val="00FB3787"/>
    <w:rsid w:val="00FB39A8"/>
    <w:rsid w:val="00FB405D"/>
    <w:rsid w:val="00FB7941"/>
    <w:rsid w:val="00FC14F8"/>
    <w:rsid w:val="00FC6587"/>
    <w:rsid w:val="00FC74BB"/>
    <w:rsid w:val="00FD232B"/>
    <w:rsid w:val="00FD79B5"/>
    <w:rsid w:val="00FE3DA5"/>
    <w:rsid w:val="00FF1731"/>
    <w:rsid w:val="00FF2230"/>
    <w:rsid w:val="00FF482E"/>
    <w:rsid w:val="00FF78DB"/>
    <w:rsid w:val="01A5262B"/>
    <w:rsid w:val="025583A2"/>
    <w:rsid w:val="0257EFC6"/>
    <w:rsid w:val="03A8A2D7"/>
    <w:rsid w:val="03C55D40"/>
    <w:rsid w:val="0417D91B"/>
    <w:rsid w:val="041E7CF3"/>
    <w:rsid w:val="05CB78B9"/>
    <w:rsid w:val="07D73D45"/>
    <w:rsid w:val="08774256"/>
    <w:rsid w:val="09F78A14"/>
    <w:rsid w:val="0ACA697F"/>
    <w:rsid w:val="0BF47AFB"/>
    <w:rsid w:val="0C0CF2FE"/>
    <w:rsid w:val="0DE0B095"/>
    <w:rsid w:val="0E5778F9"/>
    <w:rsid w:val="0E6EF0AF"/>
    <w:rsid w:val="0F0F70E5"/>
    <w:rsid w:val="102DB81D"/>
    <w:rsid w:val="105CC369"/>
    <w:rsid w:val="10CD0BDC"/>
    <w:rsid w:val="1156AABF"/>
    <w:rsid w:val="12CABBD8"/>
    <w:rsid w:val="13EA8536"/>
    <w:rsid w:val="146379BA"/>
    <w:rsid w:val="18FE63B9"/>
    <w:rsid w:val="193516AF"/>
    <w:rsid w:val="1995DA90"/>
    <w:rsid w:val="1A74B90D"/>
    <w:rsid w:val="1B7A68A4"/>
    <w:rsid w:val="1C0B743A"/>
    <w:rsid w:val="1CC4F1E8"/>
    <w:rsid w:val="1CC7039C"/>
    <w:rsid w:val="1D5252A0"/>
    <w:rsid w:val="1FDB975A"/>
    <w:rsid w:val="2024F890"/>
    <w:rsid w:val="20753824"/>
    <w:rsid w:val="207A108D"/>
    <w:rsid w:val="2089D37A"/>
    <w:rsid w:val="20F15119"/>
    <w:rsid w:val="21A00D11"/>
    <w:rsid w:val="2260F8D5"/>
    <w:rsid w:val="22CB1F9B"/>
    <w:rsid w:val="237BE205"/>
    <w:rsid w:val="2561CAB0"/>
    <w:rsid w:val="260E877E"/>
    <w:rsid w:val="283839AD"/>
    <w:rsid w:val="2883E7E5"/>
    <w:rsid w:val="289C3D21"/>
    <w:rsid w:val="28B20D90"/>
    <w:rsid w:val="28EC99AD"/>
    <w:rsid w:val="29A113F0"/>
    <w:rsid w:val="29D658C5"/>
    <w:rsid w:val="2A3B4110"/>
    <w:rsid w:val="2BBCF2D9"/>
    <w:rsid w:val="2DA02935"/>
    <w:rsid w:val="2E211438"/>
    <w:rsid w:val="302817C8"/>
    <w:rsid w:val="33AD43EC"/>
    <w:rsid w:val="34E091D3"/>
    <w:rsid w:val="3519DA27"/>
    <w:rsid w:val="37C857D8"/>
    <w:rsid w:val="37CC738C"/>
    <w:rsid w:val="38050AD1"/>
    <w:rsid w:val="388FE8A6"/>
    <w:rsid w:val="3A32E61A"/>
    <w:rsid w:val="3B6A1846"/>
    <w:rsid w:val="3D0A0712"/>
    <w:rsid w:val="3D2014AA"/>
    <w:rsid w:val="3E5E75EE"/>
    <w:rsid w:val="3F3056A4"/>
    <w:rsid w:val="4150E99D"/>
    <w:rsid w:val="415650F0"/>
    <w:rsid w:val="41B9D80E"/>
    <w:rsid w:val="42739B85"/>
    <w:rsid w:val="44025AC6"/>
    <w:rsid w:val="44566C3F"/>
    <w:rsid w:val="445E793B"/>
    <w:rsid w:val="45867E8A"/>
    <w:rsid w:val="4731BEC9"/>
    <w:rsid w:val="4811C9AE"/>
    <w:rsid w:val="48BB7DEE"/>
    <w:rsid w:val="493E05EA"/>
    <w:rsid w:val="49584304"/>
    <w:rsid w:val="49EBFB49"/>
    <w:rsid w:val="4A11BC33"/>
    <w:rsid w:val="4AD49BF1"/>
    <w:rsid w:val="4F59AAF4"/>
    <w:rsid w:val="50E125D2"/>
    <w:rsid w:val="5395F356"/>
    <w:rsid w:val="5499DE2E"/>
    <w:rsid w:val="550A5438"/>
    <w:rsid w:val="55842EFD"/>
    <w:rsid w:val="55A581F9"/>
    <w:rsid w:val="57D8DDB8"/>
    <w:rsid w:val="58754D5D"/>
    <w:rsid w:val="589CD277"/>
    <w:rsid w:val="58BF92FF"/>
    <w:rsid w:val="58CB0909"/>
    <w:rsid w:val="5B000BF9"/>
    <w:rsid w:val="5BFA6CEA"/>
    <w:rsid w:val="5E7C2393"/>
    <w:rsid w:val="5EAE4973"/>
    <w:rsid w:val="5F0E7120"/>
    <w:rsid w:val="5FD3D41C"/>
    <w:rsid w:val="61C093D8"/>
    <w:rsid w:val="62868BDD"/>
    <w:rsid w:val="62A8160E"/>
    <w:rsid w:val="636A23D3"/>
    <w:rsid w:val="63D65125"/>
    <w:rsid w:val="646588FD"/>
    <w:rsid w:val="646D435B"/>
    <w:rsid w:val="64BC42B0"/>
    <w:rsid w:val="66152445"/>
    <w:rsid w:val="66573B47"/>
    <w:rsid w:val="6688892C"/>
    <w:rsid w:val="668E9C66"/>
    <w:rsid w:val="67D90F6B"/>
    <w:rsid w:val="67DE2174"/>
    <w:rsid w:val="689EA5C2"/>
    <w:rsid w:val="6AA18355"/>
    <w:rsid w:val="6B3AA9BF"/>
    <w:rsid w:val="6BB69A39"/>
    <w:rsid w:val="6F5CAFB3"/>
    <w:rsid w:val="707E09CB"/>
    <w:rsid w:val="718F33CA"/>
    <w:rsid w:val="73865234"/>
    <w:rsid w:val="74488687"/>
    <w:rsid w:val="74781AE0"/>
    <w:rsid w:val="74D63591"/>
    <w:rsid w:val="757EFF93"/>
    <w:rsid w:val="762F8695"/>
    <w:rsid w:val="7757EE01"/>
    <w:rsid w:val="7758B722"/>
    <w:rsid w:val="777CC9C5"/>
    <w:rsid w:val="78180111"/>
    <w:rsid w:val="792332C0"/>
    <w:rsid w:val="7A242689"/>
    <w:rsid w:val="7AB55F78"/>
    <w:rsid w:val="7AC4F2D6"/>
    <w:rsid w:val="7DDD5834"/>
    <w:rsid w:val="7E3F5EF2"/>
    <w:rsid w:val="7F50C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21AD"/>
  <w15:docId w15:val="{C5BB005A-CC6C-4F10-966B-A56435255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5" w:line="249" w:lineRule="auto"/>
      <w:ind w:left="1297" w:right="318" w:hanging="730"/>
      <w:jc w:val="both"/>
    </w:pPr>
    <w:rPr>
      <w:rFonts w:ascii="Arial" w:hAnsi="Arial" w:eastAsia="Arial" w:cs="Arial"/>
      <w:color w:val="000000"/>
      <w:sz w:val="24"/>
    </w:rPr>
  </w:style>
  <w:style w:type="paragraph" w:styleId="Heading1">
    <w:name w:val="heading 1"/>
    <w:next w:val="Normal"/>
    <w:link w:val="Heading1Char"/>
    <w:uiPriority w:val="9"/>
    <w:unhideWhenUsed/>
    <w:qFormat/>
    <w:pPr>
      <w:keepNext/>
      <w:keepLines/>
      <w:numPr>
        <w:numId w:val="13"/>
      </w:numPr>
      <w:spacing w:after="3" w:line="265" w:lineRule="auto"/>
      <w:outlineLvl w:val="0"/>
    </w:pPr>
    <w:rPr>
      <w:rFonts w:ascii="Arial" w:hAnsi="Arial" w:eastAsia="Arial" w:cs="Arial"/>
      <w:b/>
      <w:color w:val="000000"/>
      <w:sz w:val="24"/>
    </w:rPr>
  </w:style>
  <w:style w:type="paragraph" w:styleId="Heading2">
    <w:name w:val="heading 2"/>
    <w:next w:val="Normal"/>
    <w:link w:val="Heading2Char"/>
    <w:uiPriority w:val="9"/>
    <w:unhideWhenUsed/>
    <w:qFormat/>
    <w:pPr>
      <w:keepNext/>
      <w:keepLines/>
      <w:spacing w:after="3" w:line="265" w:lineRule="auto"/>
      <w:ind w:left="718" w:hanging="10"/>
      <w:outlineLvl w:val="1"/>
    </w:pPr>
    <w:rPr>
      <w:rFonts w:ascii="Arial" w:hAnsi="Arial" w:eastAsia="Arial" w:cs="Arial"/>
      <w:b/>
      <w:color w:val="000000"/>
      <w:sz w:val="24"/>
    </w:rPr>
  </w:style>
  <w:style w:type="paragraph" w:styleId="Heading3">
    <w:name w:val="heading 3"/>
    <w:basedOn w:val="Normal"/>
    <w:next w:val="Normal"/>
    <w:link w:val="Heading3Char"/>
    <w:uiPriority w:val="9"/>
    <w:unhideWhenUsed/>
    <w:qFormat/>
    <w:rsid w:val="00CC78C4"/>
    <w:pPr>
      <w:keepNext/>
      <w:keepLines/>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C9624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Arial" w:hAnsi="Arial" w:eastAsia="Arial" w:cs="Arial"/>
      <w:b/>
      <w:color w:val="000000"/>
      <w:sz w:val="24"/>
    </w:rPr>
  </w:style>
  <w:style w:type="character" w:styleId="Heading2Char" w:customStyle="1">
    <w:name w:val="Heading 2 Char"/>
    <w:link w:val="Heading2"/>
    <w:rPr>
      <w:rFonts w:ascii="Arial" w:hAnsi="Arial" w:eastAsia="Arial" w:cs="Arial"/>
      <w:b/>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1CD0"/>
    <w:pPr>
      <w:ind w:left="720"/>
      <w:contextualSpacing/>
    </w:pPr>
  </w:style>
  <w:style w:type="paragraph" w:styleId="BodyText">
    <w:name w:val="Body Text"/>
    <w:basedOn w:val="Normal"/>
    <w:link w:val="BodyTextChar"/>
    <w:uiPriority w:val="1"/>
    <w:qFormat/>
    <w:rsid w:val="00E2473C"/>
    <w:pPr>
      <w:widowControl w:val="0"/>
      <w:numPr>
        <w:ilvl w:val="3"/>
        <w:numId w:val="13"/>
      </w:numPr>
      <w:spacing w:after="0" w:line="240" w:lineRule="auto"/>
      <w:ind w:right="0"/>
      <w:jc w:val="left"/>
    </w:pPr>
    <w:rPr>
      <w:rFonts w:cstheme="minorBidi"/>
      <w:color w:val="auto"/>
      <w:sz w:val="22"/>
      <w:lang w:val="en-US" w:eastAsia="en-US"/>
    </w:rPr>
  </w:style>
  <w:style w:type="character" w:styleId="BodyTextChar" w:customStyle="1">
    <w:name w:val="Body Text Char"/>
    <w:basedOn w:val="DefaultParagraphFont"/>
    <w:link w:val="BodyText"/>
    <w:uiPriority w:val="1"/>
    <w:rsid w:val="00E2473C"/>
    <w:rPr>
      <w:rFonts w:ascii="Arial" w:hAnsi="Arial" w:eastAsia="Arial"/>
      <w:lang w:val="en-US" w:eastAsia="en-US"/>
    </w:rPr>
  </w:style>
  <w:style w:type="paragraph" w:styleId="NormalWeb">
    <w:name w:val="Normal (Web)"/>
    <w:basedOn w:val="Normal"/>
    <w:uiPriority w:val="99"/>
    <w:unhideWhenUsed/>
    <w:rsid w:val="00BE5823"/>
    <w:pPr>
      <w:spacing w:before="100" w:beforeAutospacing="1" w:after="100" w:afterAutospacing="1" w:line="240" w:lineRule="auto"/>
      <w:ind w:left="0" w:right="0" w:firstLine="0"/>
      <w:jc w:val="left"/>
    </w:pPr>
    <w:rPr>
      <w:rFonts w:ascii="Times New Roman" w:hAnsi="Times New Roman" w:eastAsia="Times New Roman" w:cs="Times New Roman"/>
      <w:color w:val="auto"/>
      <w:szCs w:val="24"/>
    </w:rPr>
  </w:style>
  <w:style w:type="paragraph" w:styleId="Normal1" w:customStyle="1">
    <w:name w:val="Normal1"/>
    <w:basedOn w:val="Normal"/>
    <w:uiPriority w:val="1"/>
    <w:qFormat/>
    <w:rsid w:val="00F12E26"/>
    <w:pPr>
      <w:spacing w:after="160" w:line="256" w:lineRule="auto"/>
      <w:ind w:left="0" w:right="0" w:firstLine="0"/>
      <w:jc w:val="left"/>
    </w:pPr>
    <w:rPr>
      <w:rFonts w:ascii="Calibri" w:hAnsiTheme="minorHAnsi" w:eastAsiaTheme="minorEastAsia" w:cstheme="minorBidi"/>
      <w:color w:val="auto"/>
      <w:sz w:val="22"/>
    </w:rPr>
  </w:style>
  <w:style w:type="character" w:styleId="Strong1" w:customStyle="1">
    <w:name w:val="Strong1"/>
    <w:uiPriority w:val="1"/>
    <w:qFormat/>
    <w:rsid w:val="00F12E26"/>
    <w:rPr>
      <w:rFonts w:hint="default" w:ascii="Calibri" w:hAnsi="Calibri" w:cs="Calibri"/>
      <w:b/>
      <w:bCs w:val="0"/>
    </w:rPr>
  </w:style>
  <w:style w:type="paragraph" w:styleId="xmsonormal" w:customStyle="1">
    <w:name w:val="x_msonormal"/>
    <w:basedOn w:val="Normal"/>
    <w:uiPriority w:val="99"/>
    <w:rsid w:val="007204AB"/>
    <w:pPr>
      <w:spacing w:after="0" w:line="240" w:lineRule="auto"/>
      <w:ind w:left="0" w:right="0" w:firstLine="0"/>
      <w:jc w:val="left"/>
    </w:pPr>
    <w:rPr>
      <w:rFonts w:ascii="Calibri" w:hAnsi="Calibri" w:cs="Calibri" w:eastAsiaTheme="minorHAnsi"/>
      <w:color w:val="auto"/>
      <w:sz w:val="22"/>
    </w:rPr>
  </w:style>
  <w:style w:type="character" w:styleId="contentpasted0" w:customStyle="1">
    <w:name w:val="contentpasted0"/>
    <w:basedOn w:val="DefaultParagraphFont"/>
    <w:rsid w:val="007204AB"/>
  </w:style>
  <w:style w:type="paragraph" w:styleId="Footer">
    <w:name w:val="footer"/>
    <w:basedOn w:val="Normal"/>
    <w:link w:val="FooterChar"/>
    <w:uiPriority w:val="99"/>
    <w:rsid w:val="00C20060"/>
    <w:pPr>
      <w:tabs>
        <w:tab w:val="center" w:pos="4320"/>
        <w:tab w:val="right" w:pos="8640"/>
      </w:tabs>
      <w:spacing w:after="0" w:line="240" w:lineRule="auto"/>
      <w:ind w:left="0" w:right="0" w:firstLine="0"/>
      <w:jc w:val="left"/>
    </w:pPr>
    <w:rPr>
      <w:rFonts w:ascii="Times New Roman" w:hAnsi="Times New Roman" w:eastAsia="Times New Roman" w:cs="Times New Roman"/>
      <w:color w:val="auto"/>
      <w:szCs w:val="24"/>
      <w:lang w:val="en-US" w:eastAsia="en-US"/>
    </w:rPr>
  </w:style>
  <w:style w:type="character" w:styleId="FooterChar" w:customStyle="1">
    <w:name w:val="Footer Char"/>
    <w:basedOn w:val="DefaultParagraphFont"/>
    <w:link w:val="Footer"/>
    <w:uiPriority w:val="99"/>
    <w:rsid w:val="00C20060"/>
    <w:rPr>
      <w:rFonts w:ascii="Times New Roman" w:hAnsi="Times New Roman" w:eastAsia="Times New Roman" w:cs="Times New Roman"/>
      <w:sz w:val="24"/>
      <w:szCs w:val="24"/>
      <w:lang w:val="en-US" w:eastAsia="en-US"/>
    </w:rPr>
  </w:style>
  <w:style w:type="character" w:styleId="CommentReference">
    <w:name w:val="annotation reference"/>
    <w:basedOn w:val="DefaultParagraphFont"/>
    <w:uiPriority w:val="99"/>
    <w:semiHidden/>
    <w:unhideWhenUsed/>
    <w:rsid w:val="00D5379B"/>
    <w:rPr>
      <w:sz w:val="16"/>
      <w:szCs w:val="16"/>
    </w:rPr>
  </w:style>
  <w:style w:type="paragraph" w:styleId="CommentText">
    <w:name w:val="annotation text"/>
    <w:basedOn w:val="Normal"/>
    <w:link w:val="CommentTextChar"/>
    <w:uiPriority w:val="99"/>
    <w:unhideWhenUsed/>
    <w:rsid w:val="00D5379B"/>
    <w:pPr>
      <w:spacing w:line="240" w:lineRule="auto"/>
    </w:pPr>
    <w:rPr>
      <w:sz w:val="20"/>
      <w:szCs w:val="20"/>
    </w:rPr>
  </w:style>
  <w:style w:type="character" w:styleId="CommentTextChar" w:customStyle="1">
    <w:name w:val="Comment Text Char"/>
    <w:basedOn w:val="DefaultParagraphFont"/>
    <w:link w:val="CommentText"/>
    <w:uiPriority w:val="99"/>
    <w:rsid w:val="00D5379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379B"/>
    <w:rPr>
      <w:b/>
      <w:bCs/>
    </w:rPr>
  </w:style>
  <w:style w:type="character" w:styleId="CommentSubjectChar" w:customStyle="1">
    <w:name w:val="Comment Subject Char"/>
    <w:basedOn w:val="CommentTextChar"/>
    <w:link w:val="CommentSubject"/>
    <w:uiPriority w:val="99"/>
    <w:semiHidden/>
    <w:rsid w:val="00D5379B"/>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D537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379B"/>
    <w:rPr>
      <w:rFonts w:ascii="Segoe UI" w:hAnsi="Segoe UI" w:eastAsia="Arial" w:cs="Segoe UI"/>
      <w:color w:val="000000"/>
      <w:sz w:val="18"/>
      <w:szCs w:val="18"/>
    </w:rPr>
  </w:style>
  <w:style w:type="paragraph" w:styleId="Header">
    <w:name w:val="header"/>
    <w:basedOn w:val="Normal"/>
    <w:link w:val="HeaderChar"/>
    <w:uiPriority w:val="99"/>
    <w:unhideWhenUsed/>
    <w:rsid w:val="00B165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65CF"/>
    <w:rPr>
      <w:rFonts w:ascii="Arial" w:hAnsi="Arial" w:eastAsia="Arial" w:cs="Arial"/>
      <w:color w:val="000000"/>
      <w:sz w:val="24"/>
    </w:rPr>
  </w:style>
  <w:style w:type="paragraph" w:styleId="p1" w:customStyle="1">
    <w:name w:val="p1"/>
    <w:basedOn w:val="Normal"/>
    <w:rsid w:val="00435F26"/>
    <w:pPr>
      <w:spacing w:before="100" w:beforeAutospacing="1" w:after="100" w:afterAutospacing="1" w:line="240" w:lineRule="auto"/>
      <w:ind w:left="0" w:right="0" w:firstLine="0"/>
      <w:jc w:val="left"/>
    </w:pPr>
    <w:rPr>
      <w:rFonts w:ascii="Times New Roman" w:hAnsi="Times New Roman" w:cs="Times New Roman" w:eastAsiaTheme="minorHAnsi"/>
      <w:color w:val="auto"/>
      <w:szCs w:val="24"/>
    </w:rPr>
  </w:style>
  <w:style w:type="character" w:styleId="s1" w:customStyle="1">
    <w:name w:val="s1"/>
    <w:basedOn w:val="DefaultParagraphFont"/>
    <w:rsid w:val="00435F26"/>
  </w:style>
  <w:style w:type="table" w:styleId="TableGrid0" w:customStyle="1">
    <w:name w:val="Table Grid0"/>
    <w:basedOn w:val="TableNormal"/>
    <w:uiPriority w:val="39"/>
    <w:rsid w:val="004620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11157C"/>
  </w:style>
  <w:style w:type="character" w:styleId="normaltextrun" w:customStyle="1">
    <w:name w:val="normaltextrun"/>
    <w:basedOn w:val="DefaultParagraphFont"/>
    <w:rsid w:val="00FB3787"/>
  </w:style>
  <w:style w:type="character" w:styleId="Hyperlink">
    <w:name w:val="Hyperlink"/>
    <w:basedOn w:val="DefaultParagraphFont"/>
    <w:uiPriority w:val="99"/>
    <w:unhideWhenUsed/>
    <w:rsid w:val="004E62AD"/>
    <w:rPr>
      <w:color w:val="0563C1"/>
      <w:u w:val="single"/>
    </w:rPr>
  </w:style>
  <w:style w:type="table" w:styleId="TableGrid10" w:customStyle="1">
    <w:name w:val="TableGrid1"/>
    <w:rsid w:val="001011FA"/>
    <w:pPr>
      <w:spacing w:after="0" w:line="240" w:lineRule="auto"/>
    </w:pPr>
    <w:tblPr>
      <w:tblCellMar>
        <w:top w:w="0" w:type="dxa"/>
        <w:left w:w="0" w:type="dxa"/>
        <w:bottom w:w="0" w:type="dxa"/>
        <w:right w:w="0" w:type="dxa"/>
      </w:tblCellMar>
    </w:tblPr>
  </w:style>
  <w:style w:type="paragraph" w:styleId="xmsobodytext" w:customStyle="1">
    <w:name w:val="x_msobodytext"/>
    <w:basedOn w:val="Normal"/>
    <w:uiPriority w:val="99"/>
    <w:rsid w:val="00DC78B6"/>
    <w:pPr>
      <w:spacing w:after="0" w:line="240" w:lineRule="auto"/>
      <w:ind w:left="100" w:right="0" w:firstLine="0"/>
      <w:jc w:val="left"/>
    </w:pPr>
    <w:rPr>
      <w:rFonts w:eastAsiaTheme="minorHAnsi"/>
      <w:color w:val="auto"/>
      <w:sz w:val="22"/>
    </w:rPr>
  </w:style>
  <w:style w:type="paragraph" w:styleId="xmsolistparagraph" w:customStyle="1">
    <w:name w:val="x_msolistparagraph"/>
    <w:basedOn w:val="Normal"/>
    <w:uiPriority w:val="99"/>
    <w:rsid w:val="00DC78B6"/>
    <w:pPr>
      <w:spacing w:line="240" w:lineRule="auto"/>
      <w:ind w:left="720"/>
    </w:pPr>
    <w:rPr>
      <w:rFonts w:eastAsiaTheme="minorHAnsi"/>
      <w:szCs w:val="24"/>
    </w:rPr>
  </w:style>
  <w:style w:type="paragraph" w:styleId="Revision">
    <w:name w:val="Revision"/>
    <w:hidden/>
    <w:uiPriority w:val="99"/>
    <w:semiHidden/>
    <w:rsid w:val="00C94F36"/>
    <w:pPr>
      <w:spacing w:after="0" w:line="240" w:lineRule="auto"/>
    </w:pPr>
    <w:rPr>
      <w:rFonts w:ascii="Arial" w:hAnsi="Arial" w:eastAsia="Arial" w:cs="Arial"/>
      <w:color w:val="000000"/>
      <w:sz w:val="24"/>
    </w:rPr>
  </w:style>
  <w:style w:type="paragraph" w:styleId="Default" w:customStyle="1">
    <w:name w:val="Default"/>
    <w:rsid w:val="005E3E06"/>
    <w:pPr>
      <w:autoSpaceDE w:val="0"/>
      <w:autoSpaceDN w:val="0"/>
      <w:adjustRightInd w:val="0"/>
      <w:spacing w:after="0" w:line="240" w:lineRule="auto"/>
    </w:pPr>
    <w:rPr>
      <w:rFonts w:ascii="Arial MT Std Light" w:hAnsi="Arial MT Std Light" w:cs="Arial MT Std Light" w:eastAsiaTheme="minorHAnsi"/>
      <w:color w:val="000000"/>
      <w:sz w:val="24"/>
      <w:szCs w:val="24"/>
      <w:lang w:eastAsia="en-US"/>
      <w14:ligatures w14:val="standardContextual"/>
    </w:rPr>
  </w:style>
  <w:style w:type="table" w:styleId="TableGrid">
    <w:name w:val="Table Grid"/>
    <w:basedOn w:val="TableNormal"/>
    <w:uiPriority w:val="39"/>
    <w:rsid w:val="001820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CC78C4"/>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C96242"/>
    <w:rPr>
      <w:rFonts w:asciiTheme="majorHAnsi" w:hAnsiTheme="majorHAnsi" w:eastAsiaTheme="majorEastAsia" w:cstheme="majorBidi"/>
      <w:i/>
      <w:iCs/>
      <w:color w:val="2E74B5" w:themeColor="accent1" w:themeShade="BF"/>
      <w:sz w:val="24"/>
    </w:rPr>
  </w:style>
  <w:style w:type="table" w:styleId="TableGrid2" w:customStyle="1">
    <w:name w:val="Table Grid2"/>
    <w:basedOn w:val="TableNormal"/>
    <w:next w:val="TableGrid"/>
    <w:uiPriority w:val="39"/>
    <w:rsid w:val="00DA1086"/>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1A326A"/>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C40C73"/>
    <w:pPr>
      <w:numPr>
        <w:numId w:val="16"/>
      </w:numPr>
    </w:pPr>
  </w:style>
  <w:style w:type="table" w:styleId="TableGrid4" w:customStyle="1">
    <w:name w:val="Table Grid4"/>
    <w:basedOn w:val="TableNormal"/>
    <w:next w:val="TableGrid"/>
    <w:uiPriority w:val="39"/>
    <w:rsid w:val="00885B66"/>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A2184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9C33D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338">
      <w:bodyDiv w:val="1"/>
      <w:marLeft w:val="0"/>
      <w:marRight w:val="0"/>
      <w:marTop w:val="0"/>
      <w:marBottom w:val="0"/>
      <w:divBdr>
        <w:top w:val="none" w:sz="0" w:space="0" w:color="auto"/>
        <w:left w:val="none" w:sz="0" w:space="0" w:color="auto"/>
        <w:bottom w:val="none" w:sz="0" w:space="0" w:color="auto"/>
        <w:right w:val="none" w:sz="0" w:space="0" w:color="auto"/>
      </w:divBdr>
    </w:div>
    <w:div w:id="14960404">
      <w:bodyDiv w:val="1"/>
      <w:marLeft w:val="0"/>
      <w:marRight w:val="0"/>
      <w:marTop w:val="0"/>
      <w:marBottom w:val="0"/>
      <w:divBdr>
        <w:top w:val="none" w:sz="0" w:space="0" w:color="auto"/>
        <w:left w:val="none" w:sz="0" w:space="0" w:color="auto"/>
        <w:bottom w:val="none" w:sz="0" w:space="0" w:color="auto"/>
        <w:right w:val="none" w:sz="0" w:space="0" w:color="auto"/>
      </w:divBdr>
    </w:div>
    <w:div w:id="38669172">
      <w:bodyDiv w:val="1"/>
      <w:marLeft w:val="0"/>
      <w:marRight w:val="0"/>
      <w:marTop w:val="0"/>
      <w:marBottom w:val="0"/>
      <w:divBdr>
        <w:top w:val="none" w:sz="0" w:space="0" w:color="auto"/>
        <w:left w:val="none" w:sz="0" w:space="0" w:color="auto"/>
        <w:bottom w:val="none" w:sz="0" w:space="0" w:color="auto"/>
        <w:right w:val="none" w:sz="0" w:space="0" w:color="auto"/>
      </w:divBdr>
    </w:div>
    <w:div w:id="69470855">
      <w:bodyDiv w:val="1"/>
      <w:marLeft w:val="0"/>
      <w:marRight w:val="0"/>
      <w:marTop w:val="0"/>
      <w:marBottom w:val="0"/>
      <w:divBdr>
        <w:top w:val="none" w:sz="0" w:space="0" w:color="auto"/>
        <w:left w:val="none" w:sz="0" w:space="0" w:color="auto"/>
        <w:bottom w:val="none" w:sz="0" w:space="0" w:color="auto"/>
        <w:right w:val="none" w:sz="0" w:space="0" w:color="auto"/>
      </w:divBdr>
    </w:div>
    <w:div w:id="137965048">
      <w:bodyDiv w:val="1"/>
      <w:marLeft w:val="0"/>
      <w:marRight w:val="0"/>
      <w:marTop w:val="0"/>
      <w:marBottom w:val="0"/>
      <w:divBdr>
        <w:top w:val="none" w:sz="0" w:space="0" w:color="auto"/>
        <w:left w:val="none" w:sz="0" w:space="0" w:color="auto"/>
        <w:bottom w:val="none" w:sz="0" w:space="0" w:color="auto"/>
        <w:right w:val="none" w:sz="0" w:space="0" w:color="auto"/>
      </w:divBdr>
    </w:div>
    <w:div w:id="144981576">
      <w:bodyDiv w:val="1"/>
      <w:marLeft w:val="0"/>
      <w:marRight w:val="0"/>
      <w:marTop w:val="0"/>
      <w:marBottom w:val="0"/>
      <w:divBdr>
        <w:top w:val="none" w:sz="0" w:space="0" w:color="auto"/>
        <w:left w:val="none" w:sz="0" w:space="0" w:color="auto"/>
        <w:bottom w:val="none" w:sz="0" w:space="0" w:color="auto"/>
        <w:right w:val="none" w:sz="0" w:space="0" w:color="auto"/>
      </w:divBdr>
    </w:div>
    <w:div w:id="177741149">
      <w:bodyDiv w:val="1"/>
      <w:marLeft w:val="0"/>
      <w:marRight w:val="0"/>
      <w:marTop w:val="0"/>
      <w:marBottom w:val="0"/>
      <w:divBdr>
        <w:top w:val="none" w:sz="0" w:space="0" w:color="auto"/>
        <w:left w:val="none" w:sz="0" w:space="0" w:color="auto"/>
        <w:bottom w:val="none" w:sz="0" w:space="0" w:color="auto"/>
        <w:right w:val="none" w:sz="0" w:space="0" w:color="auto"/>
      </w:divBdr>
    </w:div>
    <w:div w:id="241643183">
      <w:bodyDiv w:val="1"/>
      <w:marLeft w:val="0"/>
      <w:marRight w:val="0"/>
      <w:marTop w:val="0"/>
      <w:marBottom w:val="0"/>
      <w:divBdr>
        <w:top w:val="none" w:sz="0" w:space="0" w:color="auto"/>
        <w:left w:val="none" w:sz="0" w:space="0" w:color="auto"/>
        <w:bottom w:val="none" w:sz="0" w:space="0" w:color="auto"/>
        <w:right w:val="none" w:sz="0" w:space="0" w:color="auto"/>
      </w:divBdr>
    </w:div>
    <w:div w:id="379285913">
      <w:bodyDiv w:val="1"/>
      <w:marLeft w:val="0"/>
      <w:marRight w:val="0"/>
      <w:marTop w:val="0"/>
      <w:marBottom w:val="0"/>
      <w:divBdr>
        <w:top w:val="none" w:sz="0" w:space="0" w:color="auto"/>
        <w:left w:val="none" w:sz="0" w:space="0" w:color="auto"/>
        <w:bottom w:val="none" w:sz="0" w:space="0" w:color="auto"/>
        <w:right w:val="none" w:sz="0" w:space="0" w:color="auto"/>
      </w:divBdr>
    </w:div>
    <w:div w:id="388575188">
      <w:bodyDiv w:val="1"/>
      <w:marLeft w:val="0"/>
      <w:marRight w:val="0"/>
      <w:marTop w:val="0"/>
      <w:marBottom w:val="0"/>
      <w:divBdr>
        <w:top w:val="none" w:sz="0" w:space="0" w:color="auto"/>
        <w:left w:val="none" w:sz="0" w:space="0" w:color="auto"/>
        <w:bottom w:val="none" w:sz="0" w:space="0" w:color="auto"/>
        <w:right w:val="none" w:sz="0" w:space="0" w:color="auto"/>
      </w:divBdr>
    </w:div>
    <w:div w:id="424351479">
      <w:bodyDiv w:val="1"/>
      <w:marLeft w:val="0"/>
      <w:marRight w:val="0"/>
      <w:marTop w:val="0"/>
      <w:marBottom w:val="0"/>
      <w:divBdr>
        <w:top w:val="none" w:sz="0" w:space="0" w:color="auto"/>
        <w:left w:val="none" w:sz="0" w:space="0" w:color="auto"/>
        <w:bottom w:val="none" w:sz="0" w:space="0" w:color="auto"/>
        <w:right w:val="none" w:sz="0" w:space="0" w:color="auto"/>
      </w:divBdr>
    </w:div>
    <w:div w:id="437801362">
      <w:bodyDiv w:val="1"/>
      <w:marLeft w:val="0"/>
      <w:marRight w:val="0"/>
      <w:marTop w:val="0"/>
      <w:marBottom w:val="0"/>
      <w:divBdr>
        <w:top w:val="none" w:sz="0" w:space="0" w:color="auto"/>
        <w:left w:val="none" w:sz="0" w:space="0" w:color="auto"/>
        <w:bottom w:val="none" w:sz="0" w:space="0" w:color="auto"/>
        <w:right w:val="none" w:sz="0" w:space="0" w:color="auto"/>
      </w:divBdr>
    </w:div>
    <w:div w:id="484470928">
      <w:bodyDiv w:val="1"/>
      <w:marLeft w:val="0"/>
      <w:marRight w:val="0"/>
      <w:marTop w:val="0"/>
      <w:marBottom w:val="0"/>
      <w:divBdr>
        <w:top w:val="none" w:sz="0" w:space="0" w:color="auto"/>
        <w:left w:val="none" w:sz="0" w:space="0" w:color="auto"/>
        <w:bottom w:val="none" w:sz="0" w:space="0" w:color="auto"/>
        <w:right w:val="none" w:sz="0" w:space="0" w:color="auto"/>
      </w:divBdr>
    </w:div>
    <w:div w:id="492643005">
      <w:bodyDiv w:val="1"/>
      <w:marLeft w:val="0"/>
      <w:marRight w:val="0"/>
      <w:marTop w:val="0"/>
      <w:marBottom w:val="0"/>
      <w:divBdr>
        <w:top w:val="none" w:sz="0" w:space="0" w:color="auto"/>
        <w:left w:val="none" w:sz="0" w:space="0" w:color="auto"/>
        <w:bottom w:val="none" w:sz="0" w:space="0" w:color="auto"/>
        <w:right w:val="none" w:sz="0" w:space="0" w:color="auto"/>
      </w:divBdr>
    </w:div>
    <w:div w:id="604535776">
      <w:bodyDiv w:val="1"/>
      <w:marLeft w:val="0"/>
      <w:marRight w:val="0"/>
      <w:marTop w:val="0"/>
      <w:marBottom w:val="0"/>
      <w:divBdr>
        <w:top w:val="none" w:sz="0" w:space="0" w:color="auto"/>
        <w:left w:val="none" w:sz="0" w:space="0" w:color="auto"/>
        <w:bottom w:val="none" w:sz="0" w:space="0" w:color="auto"/>
        <w:right w:val="none" w:sz="0" w:space="0" w:color="auto"/>
      </w:divBdr>
    </w:div>
    <w:div w:id="948002777">
      <w:bodyDiv w:val="1"/>
      <w:marLeft w:val="0"/>
      <w:marRight w:val="0"/>
      <w:marTop w:val="0"/>
      <w:marBottom w:val="0"/>
      <w:divBdr>
        <w:top w:val="none" w:sz="0" w:space="0" w:color="auto"/>
        <w:left w:val="none" w:sz="0" w:space="0" w:color="auto"/>
        <w:bottom w:val="none" w:sz="0" w:space="0" w:color="auto"/>
        <w:right w:val="none" w:sz="0" w:space="0" w:color="auto"/>
      </w:divBdr>
    </w:div>
    <w:div w:id="1057708774">
      <w:bodyDiv w:val="1"/>
      <w:marLeft w:val="0"/>
      <w:marRight w:val="0"/>
      <w:marTop w:val="0"/>
      <w:marBottom w:val="0"/>
      <w:divBdr>
        <w:top w:val="none" w:sz="0" w:space="0" w:color="auto"/>
        <w:left w:val="none" w:sz="0" w:space="0" w:color="auto"/>
        <w:bottom w:val="none" w:sz="0" w:space="0" w:color="auto"/>
        <w:right w:val="none" w:sz="0" w:space="0" w:color="auto"/>
      </w:divBdr>
    </w:div>
    <w:div w:id="1058432296">
      <w:bodyDiv w:val="1"/>
      <w:marLeft w:val="0"/>
      <w:marRight w:val="0"/>
      <w:marTop w:val="0"/>
      <w:marBottom w:val="0"/>
      <w:divBdr>
        <w:top w:val="none" w:sz="0" w:space="0" w:color="auto"/>
        <w:left w:val="none" w:sz="0" w:space="0" w:color="auto"/>
        <w:bottom w:val="none" w:sz="0" w:space="0" w:color="auto"/>
        <w:right w:val="none" w:sz="0" w:space="0" w:color="auto"/>
      </w:divBdr>
    </w:div>
    <w:div w:id="1110080342">
      <w:bodyDiv w:val="1"/>
      <w:marLeft w:val="0"/>
      <w:marRight w:val="0"/>
      <w:marTop w:val="0"/>
      <w:marBottom w:val="0"/>
      <w:divBdr>
        <w:top w:val="none" w:sz="0" w:space="0" w:color="auto"/>
        <w:left w:val="none" w:sz="0" w:space="0" w:color="auto"/>
        <w:bottom w:val="none" w:sz="0" w:space="0" w:color="auto"/>
        <w:right w:val="none" w:sz="0" w:space="0" w:color="auto"/>
      </w:divBdr>
    </w:div>
    <w:div w:id="1279295313">
      <w:bodyDiv w:val="1"/>
      <w:marLeft w:val="0"/>
      <w:marRight w:val="0"/>
      <w:marTop w:val="0"/>
      <w:marBottom w:val="0"/>
      <w:divBdr>
        <w:top w:val="none" w:sz="0" w:space="0" w:color="auto"/>
        <w:left w:val="none" w:sz="0" w:space="0" w:color="auto"/>
        <w:bottom w:val="none" w:sz="0" w:space="0" w:color="auto"/>
        <w:right w:val="none" w:sz="0" w:space="0" w:color="auto"/>
      </w:divBdr>
    </w:div>
    <w:div w:id="1333024443">
      <w:bodyDiv w:val="1"/>
      <w:marLeft w:val="0"/>
      <w:marRight w:val="0"/>
      <w:marTop w:val="0"/>
      <w:marBottom w:val="0"/>
      <w:divBdr>
        <w:top w:val="none" w:sz="0" w:space="0" w:color="auto"/>
        <w:left w:val="none" w:sz="0" w:space="0" w:color="auto"/>
        <w:bottom w:val="none" w:sz="0" w:space="0" w:color="auto"/>
        <w:right w:val="none" w:sz="0" w:space="0" w:color="auto"/>
      </w:divBdr>
    </w:div>
    <w:div w:id="1334257809">
      <w:bodyDiv w:val="1"/>
      <w:marLeft w:val="0"/>
      <w:marRight w:val="0"/>
      <w:marTop w:val="0"/>
      <w:marBottom w:val="0"/>
      <w:divBdr>
        <w:top w:val="none" w:sz="0" w:space="0" w:color="auto"/>
        <w:left w:val="none" w:sz="0" w:space="0" w:color="auto"/>
        <w:bottom w:val="none" w:sz="0" w:space="0" w:color="auto"/>
        <w:right w:val="none" w:sz="0" w:space="0" w:color="auto"/>
      </w:divBdr>
    </w:div>
    <w:div w:id="1339312710">
      <w:bodyDiv w:val="1"/>
      <w:marLeft w:val="0"/>
      <w:marRight w:val="0"/>
      <w:marTop w:val="0"/>
      <w:marBottom w:val="0"/>
      <w:divBdr>
        <w:top w:val="none" w:sz="0" w:space="0" w:color="auto"/>
        <w:left w:val="none" w:sz="0" w:space="0" w:color="auto"/>
        <w:bottom w:val="none" w:sz="0" w:space="0" w:color="auto"/>
        <w:right w:val="none" w:sz="0" w:space="0" w:color="auto"/>
      </w:divBdr>
    </w:div>
    <w:div w:id="1357386584">
      <w:bodyDiv w:val="1"/>
      <w:marLeft w:val="0"/>
      <w:marRight w:val="0"/>
      <w:marTop w:val="0"/>
      <w:marBottom w:val="0"/>
      <w:divBdr>
        <w:top w:val="none" w:sz="0" w:space="0" w:color="auto"/>
        <w:left w:val="none" w:sz="0" w:space="0" w:color="auto"/>
        <w:bottom w:val="none" w:sz="0" w:space="0" w:color="auto"/>
        <w:right w:val="none" w:sz="0" w:space="0" w:color="auto"/>
      </w:divBdr>
    </w:div>
    <w:div w:id="1515345276">
      <w:bodyDiv w:val="1"/>
      <w:marLeft w:val="0"/>
      <w:marRight w:val="0"/>
      <w:marTop w:val="0"/>
      <w:marBottom w:val="0"/>
      <w:divBdr>
        <w:top w:val="none" w:sz="0" w:space="0" w:color="auto"/>
        <w:left w:val="none" w:sz="0" w:space="0" w:color="auto"/>
        <w:bottom w:val="none" w:sz="0" w:space="0" w:color="auto"/>
        <w:right w:val="none" w:sz="0" w:space="0" w:color="auto"/>
      </w:divBdr>
    </w:div>
    <w:div w:id="1526670480">
      <w:bodyDiv w:val="1"/>
      <w:marLeft w:val="0"/>
      <w:marRight w:val="0"/>
      <w:marTop w:val="0"/>
      <w:marBottom w:val="0"/>
      <w:divBdr>
        <w:top w:val="none" w:sz="0" w:space="0" w:color="auto"/>
        <w:left w:val="none" w:sz="0" w:space="0" w:color="auto"/>
        <w:bottom w:val="none" w:sz="0" w:space="0" w:color="auto"/>
        <w:right w:val="none" w:sz="0" w:space="0" w:color="auto"/>
      </w:divBdr>
    </w:div>
    <w:div w:id="1532644941">
      <w:bodyDiv w:val="1"/>
      <w:marLeft w:val="0"/>
      <w:marRight w:val="0"/>
      <w:marTop w:val="0"/>
      <w:marBottom w:val="0"/>
      <w:divBdr>
        <w:top w:val="none" w:sz="0" w:space="0" w:color="auto"/>
        <w:left w:val="none" w:sz="0" w:space="0" w:color="auto"/>
        <w:bottom w:val="none" w:sz="0" w:space="0" w:color="auto"/>
        <w:right w:val="none" w:sz="0" w:space="0" w:color="auto"/>
      </w:divBdr>
    </w:div>
    <w:div w:id="1559241327">
      <w:bodyDiv w:val="1"/>
      <w:marLeft w:val="0"/>
      <w:marRight w:val="0"/>
      <w:marTop w:val="0"/>
      <w:marBottom w:val="0"/>
      <w:divBdr>
        <w:top w:val="none" w:sz="0" w:space="0" w:color="auto"/>
        <w:left w:val="none" w:sz="0" w:space="0" w:color="auto"/>
        <w:bottom w:val="none" w:sz="0" w:space="0" w:color="auto"/>
        <w:right w:val="none" w:sz="0" w:space="0" w:color="auto"/>
      </w:divBdr>
      <w:divsChild>
        <w:div w:id="123429703">
          <w:marLeft w:val="446"/>
          <w:marRight w:val="0"/>
          <w:marTop w:val="0"/>
          <w:marBottom w:val="0"/>
          <w:divBdr>
            <w:top w:val="none" w:sz="0" w:space="0" w:color="auto"/>
            <w:left w:val="none" w:sz="0" w:space="0" w:color="auto"/>
            <w:bottom w:val="none" w:sz="0" w:space="0" w:color="auto"/>
            <w:right w:val="none" w:sz="0" w:space="0" w:color="auto"/>
          </w:divBdr>
        </w:div>
        <w:div w:id="583342189">
          <w:marLeft w:val="446"/>
          <w:marRight w:val="0"/>
          <w:marTop w:val="0"/>
          <w:marBottom w:val="0"/>
          <w:divBdr>
            <w:top w:val="none" w:sz="0" w:space="0" w:color="auto"/>
            <w:left w:val="none" w:sz="0" w:space="0" w:color="auto"/>
            <w:bottom w:val="none" w:sz="0" w:space="0" w:color="auto"/>
            <w:right w:val="none" w:sz="0" w:space="0" w:color="auto"/>
          </w:divBdr>
        </w:div>
        <w:div w:id="694308925">
          <w:marLeft w:val="446"/>
          <w:marRight w:val="0"/>
          <w:marTop w:val="0"/>
          <w:marBottom w:val="0"/>
          <w:divBdr>
            <w:top w:val="none" w:sz="0" w:space="0" w:color="auto"/>
            <w:left w:val="none" w:sz="0" w:space="0" w:color="auto"/>
            <w:bottom w:val="none" w:sz="0" w:space="0" w:color="auto"/>
            <w:right w:val="none" w:sz="0" w:space="0" w:color="auto"/>
          </w:divBdr>
        </w:div>
        <w:div w:id="799804929">
          <w:marLeft w:val="446"/>
          <w:marRight w:val="0"/>
          <w:marTop w:val="0"/>
          <w:marBottom w:val="0"/>
          <w:divBdr>
            <w:top w:val="none" w:sz="0" w:space="0" w:color="auto"/>
            <w:left w:val="none" w:sz="0" w:space="0" w:color="auto"/>
            <w:bottom w:val="none" w:sz="0" w:space="0" w:color="auto"/>
            <w:right w:val="none" w:sz="0" w:space="0" w:color="auto"/>
          </w:divBdr>
        </w:div>
        <w:div w:id="921915753">
          <w:marLeft w:val="446"/>
          <w:marRight w:val="0"/>
          <w:marTop w:val="0"/>
          <w:marBottom w:val="0"/>
          <w:divBdr>
            <w:top w:val="none" w:sz="0" w:space="0" w:color="auto"/>
            <w:left w:val="none" w:sz="0" w:space="0" w:color="auto"/>
            <w:bottom w:val="none" w:sz="0" w:space="0" w:color="auto"/>
            <w:right w:val="none" w:sz="0" w:space="0" w:color="auto"/>
          </w:divBdr>
        </w:div>
        <w:div w:id="1106535560">
          <w:marLeft w:val="446"/>
          <w:marRight w:val="0"/>
          <w:marTop w:val="0"/>
          <w:marBottom w:val="0"/>
          <w:divBdr>
            <w:top w:val="none" w:sz="0" w:space="0" w:color="auto"/>
            <w:left w:val="none" w:sz="0" w:space="0" w:color="auto"/>
            <w:bottom w:val="none" w:sz="0" w:space="0" w:color="auto"/>
            <w:right w:val="none" w:sz="0" w:space="0" w:color="auto"/>
          </w:divBdr>
        </w:div>
        <w:div w:id="1356689227">
          <w:marLeft w:val="446"/>
          <w:marRight w:val="0"/>
          <w:marTop w:val="0"/>
          <w:marBottom w:val="0"/>
          <w:divBdr>
            <w:top w:val="none" w:sz="0" w:space="0" w:color="auto"/>
            <w:left w:val="none" w:sz="0" w:space="0" w:color="auto"/>
            <w:bottom w:val="none" w:sz="0" w:space="0" w:color="auto"/>
            <w:right w:val="none" w:sz="0" w:space="0" w:color="auto"/>
          </w:divBdr>
        </w:div>
        <w:div w:id="1807234563">
          <w:marLeft w:val="446"/>
          <w:marRight w:val="0"/>
          <w:marTop w:val="0"/>
          <w:marBottom w:val="0"/>
          <w:divBdr>
            <w:top w:val="none" w:sz="0" w:space="0" w:color="auto"/>
            <w:left w:val="none" w:sz="0" w:space="0" w:color="auto"/>
            <w:bottom w:val="none" w:sz="0" w:space="0" w:color="auto"/>
            <w:right w:val="none" w:sz="0" w:space="0" w:color="auto"/>
          </w:divBdr>
        </w:div>
        <w:div w:id="1810660186">
          <w:marLeft w:val="446"/>
          <w:marRight w:val="0"/>
          <w:marTop w:val="0"/>
          <w:marBottom w:val="0"/>
          <w:divBdr>
            <w:top w:val="none" w:sz="0" w:space="0" w:color="auto"/>
            <w:left w:val="none" w:sz="0" w:space="0" w:color="auto"/>
            <w:bottom w:val="none" w:sz="0" w:space="0" w:color="auto"/>
            <w:right w:val="none" w:sz="0" w:space="0" w:color="auto"/>
          </w:divBdr>
        </w:div>
        <w:div w:id="2075540236">
          <w:marLeft w:val="446"/>
          <w:marRight w:val="0"/>
          <w:marTop w:val="0"/>
          <w:marBottom w:val="0"/>
          <w:divBdr>
            <w:top w:val="none" w:sz="0" w:space="0" w:color="auto"/>
            <w:left w:val="none" w:sz="0" w:space="0" w:color="auto"/>
            <w:bottom w:val="none" w:sz="0" w:space="0" w:color="auto"/>
            <w:right w:val="none" w:sz="0" w:space="0" w:color="auto"/>
          </w:divBdr>
        </w:div>
        <w:div w:id="2109424764">
          <w:marLeft w:val="446"/>
          <w:marRight w:val="0"/>
          <w:marTop w:val="0"/>
          <w:marBottom w:val="0"/>
          <w:divBdr>
            <w:top w:val="none" w:sz="0" w:space="0" w:color="auto"/>
            <w:left w:val="none" w:sz="0" w:space="0" w:color="auto"/>
            <w:bottom w:val="none" w:sz="0" w:space="0" w:color="auto"/>
            <w:right w:val="none" w:sz="0" w:space="0" w:color="auto"/>
          </w:divBdr>
        </w:div>
      </w:divsChild>
    </w:div>
    <w:div w:id="1574852278">
      <w:bodyDiv w:val="1"/>
      <w:marLeft w:val="0"/>
      <w:marRight w:val="0"/>
      <w:marTop w:val="0"/>
      <w:marBottom w:val="0"/>
      <w:divBdr>
        <w:top w:val="none" w:sz="0" w:space="0" w:color="auto"/>
        <w:left w:val="none" w:sz="0" w:space="0" w:color="auto"/>
        <w:bottom w:val="none" w:sz="0" w:space="0" w:color="auto"/>
        <w:right w:val="none" w:sz="0" w:space="0" w:color="auto"/>
      </w:divBdr>
    </w:div>
    <w:div w:id="1649478196">
      <w:bodyDiv w:val="1"/>
      <w:marLeft w:val="0"/>
      <w:marRight w:val="0"/>
      <w:marTop w:val="0"/>
      <w:marBottom w:val="0"/>
      <w:divBdr>
        <w:top w:val="none" w:sz="0" w:space="0" w:color="auto"/>
        <w:left w:val="none" w:sz="0" w:space="0" w:color="auto"/>
        <w:bottom w:val="none" w:sz="0" w:space="0" w:color="auto"/>
        <w:right w:val="none" w:sz="0" w:space="0" w:color="auto"/>
      </w:divBdr>
      <w:divsChild>
        <w:div w:id="124929081">
          <w:marLeft w:val="547"/>
          <w:marRight w:val="0"/>
          <w:marTop w:val="200"/>
          <w:marBottom w:val="0"/>
          <w:divBdr>
            <w:top w:val="none" w:sz="0" w:space="0" w:color="auto"/>
            <w:left w:val="none" w:sz="0" w:space="0" w:color="auto"/>
            <w:bottom w:val="none" w:sz="0" w:space="0" w:color="auto"/>
            <w:right w:val="none" w:sz="0" w:space="0" w:color="auto"/>
          </w:divBdr>
        </w:div>
        <w:div w:id="1503620910">
          <w:marLeft w:val="547"/>
          <w:marRight w:val="0"/>
          <w:marTop w:val="200"/>
          <w:marBottom w:val="0"/>
          <w:divBdr>
            <w:top w:val="none" w:sz="0" w:space="0" w:color="auto"/>
            <w:left w:val="none" w:sz="0" w:space="0" w:color="auto"/>
            <w:bottom w:val="none" w:sz="0" w:space="0" w:color="auto"/>
            <w:right w:val="none" w:sz="0" w:space="0" w:color="auto"/>
          </w:divBdr>
        </w:div>
        <w:div w:id="1725181828">
          <w:marLeft w:val="547"/>
          <w:marRight w:val="0"/>
          <w:marTop w:val="200"/>
          <w:marBottom w:val="0"/>
          <w:divBdr>
            <w:top w:val="none" w:sz="0" w:space="0" w:color="auto"/>
            <w:left w:val="none" w:sz="0" w:space="0" w:color="auto"/>
            <w:bottom w:val="none" w:sz="0" w:space="0" w:color="auto"/>
            <w:right w:val="none" w:sz="0" w:space="0" w:color="auto"/>
          </w:divBdr>
        </w:div>
        <w:div w:id="1868524105">
          <w:marLeft w:val="547"/>
          <w:marRight w:val="0"/>
          <w:marTop w:val="200"/>
          <w:marBottom w:val="0"/>
          <w:divBdr>
            <w:top w:val="none" w:sz="0" w:space="0" w:color="auto"/>
            <w:left w:val="none" w:sz="0" w:space="0" w:color="auto"/>
            <w:bottom w:val="none" w:sz="0" w:space="0" w:color="auto"/>
            <w:right w:val="none" w:sz="0" w:space="0" w:color="auto"/>
          </w:divBdr>
        </w:div>
        <w:div w:id="2042244401">
          <w:marLeft w:val="547"/>
          <w:marRight w:val="0"/>
          <w:marTop w:val="200"/>
          <w:marBottom w:val="0"/>
          <w:divBdr>
            <w:top w:val="none" w:sz="0" w:space="0" w:color="auto"/>
            <w:left w:val="none" w:sz="0" w:space="0" w:color="auto"/>
            <w:bottom w:val="none" w:sz="0" w:space="0" w:color="auto"/>
            <w:right w:val="none" w:sz="0" w:space="0" w:color="auto"/>
          </w:divBdr>
        </w:div>
      </w:divsChild>
    </w:div>
    <w:div w:id="1653824026">
      <w:bodyDiv w:val="1"/>
      <w:marLeft w:val="0"/>
      <w:marRight w:val="0"/>
      <w:marTop w:val="0"/>
      <w:marBottom w:val="0"/>
      <w:divBdr>
        <w:top w:val="none" w:sz="0" w:space="0" w:color="auto"/>
        <w:left w:val="none" w:sz="0" w:space="0" w:color="auto"/>
        <w:bottom w:val="none" w:sz="0" w:space="0" w:color="auto"/>
        <w:right w:val="none" w:sz="0" w:space="0" w:color="auto"/>
      </w:divBdr>
    </w:div>
    <w:div w:id="1681548277">
      <w:bodyDiv w:val="1"/>
      <w:marLeft w:val="0"/>
      <w:marRight w:val="0"/>
      <w:marTop w:val="0"/>
      <w:marBottom w:val="0"/>
      <w:divBdr>
        <w:top w:val="none" w:sz="0" w:space="0" w:color="auto"/>
        <w:left w:val="none" w:sz="0" w:space="0" w:color="auto"/>
        <w:bottom w:val="none" w:sz="0" w:space="0" w:color="auto"/>
        <w:right w:val="none" w:sz="0" w:space="0" w:color="auto"/>
      </w:divBdr>
    </w:div>
    <w:div w:id="1758283665">
      <w:bodyDiv w:val="1"/>
      <w:marLeft w:val="0"/>
      <w:marRight w:val="0"/>
      <w:marTop w:val="0"/>
      <w:marBottom w:val="0"/>
      <w:divBdr>
        <w:top w:val="none" w:sz="0" w:space="0" w:color="auto"/>
        <w:left w:val="none" w:sz="0" w:space="0" w:color="auto"/>
        <w:bottom w:val="none" w:sz="0" w:space="0" w:color="auto"/>
        <w:right w:val="none" w:sz="0" w:space="0" w:color="auto"/>
      </w:divBdr>
    </w:div>
    <w:div w:id="1788038493">
      <w:bodyDiv w:val="1"/>
      <w:marLeft w:val="0"/>
      <w:marRight w:val="0"/>
      <w:marTop w:val="0"/>
      <w:marBottom w:val="0"/>
      <w:divBdr>
        <w:top w:val="none" w:sz="0" w:space="0" w:color="auto"/>
        <w:left w:val="none" w:sz="0" w:space="0" w:color="auto"/>
        <w:bottom w:val="none" w:sz="0" w:space="0" w:color="auto"/>
        <w:right w:val="none" w:sz="0" w:space="0" w:color="auto"/>
      </w:divBdr>
    </w:div>
    <w:div w:id="1860654666">
      <w:bodyDiv w:val="1"/>
      <w:marLeft w:val="0"/>
      <w:marRight w:val="0"/>
      <w:marTop w:val="0"/>
      <w:marBottom w:val="0"/>
      <w:divBdr>
        <w:top w:val="none" w:sz="0" w:space="0" w:color="auto"/>
        <w:left w:val="none" w:sz="0" w:space="0" w:color="auto"/>
        <w:bottom w:val="none" w:sz="0" w:space="0" w:color="auto"/>
        <w:right w:val="none" w:sz="0" w:space="0" w:color="auto"/>
      </w:divBdr>
    </w:div>
    <w:div w:id="1884974856">
      <w:bodyDiv w:val="1"/>
      <w:marLeft w:val="0"/>
      <w:marRight w:val="0"/>
      <w:marTop w:val="0"/>
      <w:marBottom w:val="0"/>
      <w:divBdr>
        <w:top w:val="none" w:sz="0" w:space="0" w:color="auto"/>
        <w:left w:val="none" w:sz="0" w:space="0" w:color="auto"/>
        <w:bottom w:val="none" w:sz="0" w:space="0" w:color="auto"/>
        <w:right w:val="none" w:sz="0" w:space="0" w:color="auto"/>
      </w:divBdr>
    </w:div>
    <w:div w:id="1889800948">
      <w:bodyDiv w:val="1"/>
      <w:marLeft w:val="0"/>
      <w:marRight w:val="0"/>
      <w:marTop w:val="0"/>
      <w:marBottom w:val="0"/>
      <w:divBdr>
        <w:top w:val="none" w:sz="0" w:space="0" w:color="auto"/>
        <w:left w:val="none" w:sz="0" w:space="0" w:color="auto"/>
        <w:bottom w:val="none" w:sz="0" w:space="0" w:color="auto"/>
        <w:right w:val="none" w:sz="0" w:space="0" w:color="auto"/>
      </w:divBdr>
    </w:div>
    <w:div w:id="1959024764">
      <w:bodyDiv w:val="1"/>
      <w:marLeft w:val="0"/>
      <w:marRight w:val="0"/>
      <w:marTop w:val="0"/>
      <w:marBottom w:val="0"/>
      <w:divBdr>
        <w:top w:val="none" w:sz="0" w:space="0" w:color="auto"/>
        <w:left w:val="none" w:sz="0" w:space="0" w:color="auto"/>
        <w:bottom w:val="none" w:sz="0" w:space="0" w:color="auto"/>
        <w:right w:val="none" w:sz="0" w:space="0" w:color="auto"/>
      </w:divBdr>
    </w:div>
    <w:div w:id="2005817485">
      <w:bodyDiv w:val="1"/>
      <w:marLeft w:val="0"/>
      <w:marRight w:val="0"/>
      <w:marTop w:val="0"/>
      <w:marBottom w:val="0"/>
      <w:divBdr>
        <w:top w:val="none" w:sz="0" w:space="0" w:color="auto"/>
        <w:left w:val="none" w:sz="0" w:space="0" w:color="auto"/>
        <w:bottom w:val="none" w:sz="0" w:space="0" w:color="auto"/>
        <w:right w:val="none" w:sz="0" w:space="0" w:color="auto"/>
      </w:divBdr>
    </w:div>
    <w:div w:id="2009940339">
      <w:bodyDiv w:val="1"/>
      <w:marLeft w:val="0"/>
      <w:marRight w:val="0"/>
      <w:marTop w:val="0"/>
      <w:marBottom w:val="0"/>
      <w:divBdr>
        <w:top w:val="none" w:sz="0" w:space="0" w:color="auto"/>
        <w:left w:val="none" w:sz="0" w:space="0" w:color="auto"/>
        <w:bottom w:val="none" w:sz="0" w:space="0" w:color="auto"/>
        <w:right w:val="none" w:sz="0" w:space="0" w:color="auto"/>
      </w:divBdr>
      <w:divsChild>
        <w:div w:id="277637985">
          <w:marLeft w:val="547"/>
          <w:marRight w:val="0"/>
          <w:marTop w:val="200"/>
          <w:marBottom w:val="0"/>
          <w:divBdr>
            <w:top w:val="none" w:sz="0" w:space="0" w:color="auto"/>
            <w:left w:val="none" w:sz="0" w:space="0" w:color="auto"/>
            <w:bottom w:val="none" w:sz="0" w:space="0" w:color="auto"/>
            <w:right w:val="none" w:sz="0" w:space="0" w:color="auto"/>
          </w:divBdr>
        </w:div>
        <w:div w:id="521436116">
          <w:marLeft w:val="547"/>
          <w:marRight w:val="0"/>
          <w:marTop w:val="200"/>
          <w:marBottom w:val="0"/>
          <w:divBdr>
            <w:top w:val="none" w:sz="0" w:space="0" w:color="auto"/>
            <w:left w:val="none" w:sz="0" w:space="0" w:color="auto"/>
            <w:bottom w:val="none" w:sz="0" w:space="0" w:color="auto"/>
            <w:right w:val="none" w:sz="0" w:space="0" w:color="auto"/>
          </w:divBdr>
        </w:div>
        <w:div w:id="1235240117">
          <w:marLeft w:val="547"/>
          <w:marRight w:val="0"/>
          <w:marTop w:val="200"/>
          <w:marBottom w:val="0"/>
          <w:divBdr>
            <w:top w:val="none" w:sz="0" w:space="0" w:color="auto"/>
            <w:left w:val="none" w:sz="0" w:space="0" w:color="auto"/>
            <w:bottom w:val="none" w:sz="0" w:space="0" w:color="auto"/>
            <w:right w:val="none" w:sz="0" w:space="0" w:color="auto"/>
          </w:divBdr>
        </w:div>
        <w:div w:id="2127189441">
          <w:marLeft w:val="547"/>
          <w:marRight w:val="0"/>
          <w:marTop w:val="200"/>
          <w:marBottom w:val="0"/>
          <w:divBdr>
            <w:top w:val="none" w:sz="0" w:space="0" w:color="auto"/>
            <w:left w:val="none" w:sz="0" w:space="0" w:color="auto"/>
            <w:bottom w:val="none" w:sz="0" w:space="0" w:color="auto"/>
            <w:right w:val="none" w:sz="0" w:space="0" w:color="auto"/>
          </w:divBdr>
        </w:div>
        <w:div w:id="2144620366">
          <w:marLeft w:val="547"/>
          <w:marRight w:val="0"/>
          <w:marTop w:val="200"/>
          <w:marBottom w:val="0"/>
          <w:divBdr>
            <w:top w:val="none" w:sz="0" w:space="0" w:color="auto"/>
            <w:left w:val="none" w:sz="0" w:space="0" w:color="auto"/>
            <w:bottom w:val="none" w:sz="0" w:space="0" w:color="auto"/>
            <w:right w:val="none" w:sz="0" w:space="0" w:color="auto"/>
          </w:divBdr>
        </w:div>
      </w:divsChild>
    </w:div>
    <w:div w:id="2129810088">
      <w:bodyDiv w:val="1"/>
      <w:marLeft w:val="0"/>
      <w:marRight w:val="0"/>
      <w:marTop w:val="0"/>
      <w:marBottom w:val="0"/>
      <w:divBdr>
        <w:top w:val="none" w:sz="0" w:space="0" w:color="auto"/>
        <w:left w:val="none" w:sz="0" w:space="0" w:color="auto"/>
        <w:bottom w:val="none" w:sz="0" w:space="0" w:color="auto"/>
        <w:right w:val="none" w:sz="0" w:space="0" w:color="auto"/>
      </w:divBdr>
    </w:div>
    <w:div w:id="214696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hyperlink" Target="https://gbr01.safelinks.protection.outlook.com/?url=https%3A%2F%2Fwww.newham.gov.uk%2Fdownloads%2Ffile%2F7218%2Flilian-sar-report&amp;data=05%7C02%7Cdinh.padicala%40nhs.net%7C1b29a341f127462ef6cd08dd9a11b551%7C37c354b285b047f5b22207b48d774ee3%7C0%7C0%7C638836123020733309%7CUnknown%7CTWFpbGZsb3d8eyJFbXB0eU1hcGkiOnRydWUsIlYiOiIwLjAuMDAwMCIsIlAiOiJXaW4zMiIsIkFOIjoiTWFpbCIsIldUIjoyfQ%3D%3D%7C0%7C%7C%7C&amp;sdata=gllhsehOJ7v2I%2B9PoOeVv2V2z1Pt%2F3Aq8Wzt7n9v%2F4A%3D&amp;reserved=0" TargetMode="External" Id="rId26" /><Relationship Type="http://schemas.openxmlformats.org/officeDocument/2006/relationships/image" Target="media/image15.png" Id="rId39" /><Relationship Type="http://schemas.openxmlformats.org/officeDocument/2006/relationships/customXml" Target="../customXml/item3.xml" Id="rId3" /><Relationship Type="http://schemas.openxmlformats.org/officeDocument/2006/relationships/hyperlink" Target="https://gbr01.safelinks.protection.outlook.com/?url=https%3A%2F%2Fdocs.google.com%2Fdocument%2Fd%2F17gjw39a992iKUmMwDT2VX1F11JcSCb9Bx6wsC3DOg7A%2Fedit%3Fusp%3Dsharing&amp;data=05%7C02%7Cdinh.padicala%40nhs.net%7C1b29a341f127462ef6cd08dd9a11b551%7C37c354b285b047f5b22207b48d774ee3%7C0%7C0%7C638836123020644675%7CUnknown%7CTWFpbGZsb3d8eyJFbXB0eU1hcGkiOnRydWUsIlYiOiIwLjAuMDAwMCIsIlAiOiJXaW4zMiIsIkFOIjoiTWFpbCIsIldUIjoyfQ%3D%3D%7C0%7C%7C%7C&amp;sdata=BH%2FQuGLwNPrVYQfdSA6APeYg3dyNbkYzCFtwiCQ3%2Fts%3D&amp;reserved=0" TargetMode="External" Id="rId21" /><Relationship Type="http://schemas.openxmlformats.org/officeDocument/2006/relationships/image" Target="media/image12.png" Id="rId34" /><Relationship Type="http://schemas.microsoft.com/office/2020/10/relationships/intelligence" Target="intelligence2.xml" Id="rId42"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hyperlink" Target="https://gbr01.safelinks.protection.outlook.com/?url=https%3A%2F%2Fsafeguardingbedfordshire.org.uk%2Fassets%2Fb3a83ecf%2Ffinal_safeguarding_practice_review_family_t_sept_2024.pdf&amp;data=05%7C02%7Cdinh.padicala%40nhs.net%7C1b29a341f127462ef6cd08dd9a11b551%7C37c354b285b047f5b22207b48d774ee3%7C0%7C0%7C638836123020714933%7CUnknown%7CTWFpbGZsb3d8eyJFbXB0eU1hcGkiOnRydWUsIlYiOiIwLjAuMDAwMCIsIlAiOiJXaW4zMiIsIkFOIjoiTWFpbCIsIldUIjoyfQ%3D%3D%7C0%7C%7C%7C&amp;sdata=vplroJfuSeZdfOqx6XRfSHbkh9%2BTC1vDELHM%2FsEfxFs%3D&amp;reserved=0" TargetMode="External" Id="rId25" /><Relationship Type="http://schemas.openxmlformats.org/officeDocument/2006/relationships/image" Target="media/image11.png" Id="rId33" /><Relationship Type="http://schemas.openxmlformats.org/officeDocument/2006/relationships/image" Target="media/image14.png" Id="rId38"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s://gbr01.safelinks.protection.outlook.com/?url=https%3A%2F%2Fwww.bedford.gov.uk%2Ffiles%2Fjoe-sar-final-report-sept-2024.pdf%2Fdownload%3Finline&amp;data=05%7C02%7Cdinh.padicala%40nhs.net%7C1b29a341f127462ef6cd08dd9a11b551%7C37c354b285b047f5b22207b48d774ee3%7C0%7C0%7C638836123020621377%7CUnknown%7CTWFpbGZsb3d8eyJFbXB0eU1hcGkiOnRydWUsIlYiOiIwLjAuMDAwMCIsIlAiOiJXaW4zMiIsIkFOIjoiTWFpbCIsIldUIjoyfQ%3D%3D%7C0%7C%7C%7C&amp;sdata=%2Fyh6yFVjlL4Lw8AJ4T1cwDAlIpGxYdHNvTZrH1eFobg%3D&amp;reserved=0" TargetMode="External" Id="rId20" /><Relationship Type="http://schemas.openxmlformats.org/officeDocument/2006/relationships/hyperlink" Target="https://gbr01.safelinks.protection.outlook.com/?url=https%3A%2F%2Fwww.newhamscp.org.uk%2Fwp-content%2Fuploads%2F2025%2F01%2FExtra-Familial-Harm-and-Intra-Familial-Abuse-A-Thematic-Safeguarding-Review-March-24-003.docx&amp;data=05%7C02%7Cdinh.padicala%40nhs.net%7C5af2833088254f235c4708dd9d299d5f%7C37c354b285b047f5b22207b48d774ee3%7C0%7C0%7C638839524238277186%7CUnknown%7CTWFpbGZsb3d8eyJFbXB0eU1hcGkiOnRydWUsIlYiOiIwLjAuMDAwMCIsIlAiOiJXaW4zMiIsIkFOIjoiTWFpbCIsIldUIjoyfQ%3D%3D%7C0%7C%7C%7C&amp;sdata=OivGZpLYhArbbUDBox%2FdcLY38VOL8O6%2BC%2Fs6gXBJ%2Bzw%3D&amp;reserved=0"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gbr01.safelinks.protection.outlook.com/?url=https%3A%2F%2Fwww.safeguardingbedfordshire.org.uk%2Fassets%2Fb3a83ecf%2Fexecutive_summary_-_thematic_sar_self_neglect.pdf&amp;data=05%7C02%7Cdinh.padicala%40nhs.net%7C1b29a341f127462ef6cd08dd9a11b551%7C37c354b285b047f5b22207b48d774ee3%7C0%7C0%7C638836123020695618%7CUnknown%7CTWFpbGZsb3d8eyJFbXB0eU1hcGkiOnRydWUsIlYiOiIwLjAuMDAwMCIsIlAiOiJXaW4zMiIsIkFOIjoiTWFpbCIsIldUIjoyfQ%3D%3D%7C0%7C%7C%7C&amp;sdata=mTkS5V2WvAL%2BLvWqaxfQd9wGqn1K9iy5X6%2FuhzEMYLQ%3D&amp;reserved=0" TargetMode="External" Id="rId24" /><Relationship Type="http://schemas.openxmlformats.org/officeDocument/2006/relationships/image" Target="media/image10.png" Id="rId32"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gbr01.safelinks.protection.outlook.com/?url=https%3A%2F%2Fwww.safeguardingbedfordshire.org.uk%2Fassets%2Fb3a83ecf%2Ffinal_luton_safeguarding_adults_board_thematic_review_self-neglect_anonymised.pdf&amp;data=05%7C02%7Cdinh.padicala%40nhs.net%7C1b29a341f127462ef6cd08dd9a11b551%7C37c354b285b047f5b22207b48d774ee3%7C0%7C0%7C638836123020676150%7CUnknown%7CTWFpbGZsb3d8eyJFbXB0eU1hcGkiOnRydWUsIlYiOiIwLjAuMDAwMCIsIlAiOiJXaW4zMiIsIkFOIjoiTWFpbCIsIldUIjoyfQ%3D%3D%7C0%7C%7C%7C&amp;sdata=8PMYPhhrmukh5hultS8NoBZ3AXz3yO47ZArdCO2QRJY%3D&amp;reserved=0" TargetMode="External" Id="rId23" /><Relationship Type="http://schemas.openxmlformats.org/officeDocument/2006/relationships/hyperlink" Target="https://chscp.org.uk/wp-content/uploads/2024/07/FINAL-LCSPR-Case-A-Published-July-2024.pdf"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hyperlink" Target="https://safeguardingbedfordshire.org.uk/assets/b3a83ecf/iw_cspr_final_report_for_publication_10.02.2025.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gbr01.safelinks.protection.outlook.com/?url=https%3A%2F%2Fdocs.google.com%2Fdocument%2Fd%2F1c3QcJOnJuXMUFnF68br_3i8n65PnjUJ9%2Fedit%3Fusp%3Dsharing%26ouid%3D102684217196891564541%26rtpof%3Dtrue%26sd%3Dtrue&amp;data=05%7C02%7Cdinh.padicala%40nhs.net%7C1b29a341f127462ef6cd08dd9a11b551%7C37c354b285b047f5b22207b48d774ee3%7C0%7C0%7C638836123020658388%7CUnknown%7CTWFpbGZsb3d8eyJFbXB0eU1hcGkiOnRydWUsIlYiOiIwLjAuMDAwMCIsIlAiOiJXaW4zMiIsIkFOIjoiTWFpbCIsIldUIjoyfQ%3D%3D%7C0%7C%7C%7C&amp;sdata=QXXwkmf9TtmLOFrjASI730BSCEf69CIMZte5x1lFz08%3D&amp;reserved=0" TargetMode="External" Id="rId22" /><Relationship Type="http://schemas.openxmlformats.org/officeDocument/2006/relationships/hyperlink" Target="https://chscp.org.uk/wp-content/uploads/2024/07/FINAL-LCSPR-Case-A-Published-July-2024.pdf" TargetMode="External" Id="rId27" /><Relationship Type="http://schemas.openxmlformats.org/officeDocument/2006/relationships/hyperlink" Target="https://www.newhamscp.org.uk/wp-content/uploads/2025/01/Child-H-SCPR-Summary-Sept24.docx" TargetMode="External" Id="rId30" /><Relationship Type="http://schemas.openxmlformats.org/officeDocument/2006/relationships/hyperlink" Target="https://www.elft.nhs.uk/information-about-elft/modern-slavery-and-human-trafficking-statement-2023" TargetMode="External" Id="rId35" /></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b264641-12a0-48bf-860b-e8ca73ef8651">
      <Terms xmlns="http://schemas.microsoft.com/office/infopath/2007/PartnerControls"/>
    </lcf76f155ced4ddcb4097134ff3c332f>
    <TaxCatchAll xmlns="f672cb36-e1ae-4642-99aa-62c15c8e56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C7A6947287144916C08794AE14CA7" ma:contentTypeVersion="19" ma:contentTypeDescription="Create a new document." ma:contentTypeScope="" ma:versionID="ce070b113625b8baf2a3da4953f501d4">
  <xsd:schema xmlns:xsd="http://www.w3.org/2001/XMLSchema" xmlns:xs="http://www.w3.org/2001/XMLSchema" xmlns:p="http://schemas.microsoft.com/office/2006/metadata/properties" xmlns:ns1="http://schemas.microsoft.com/sharepoint/v3" xmlns:ns2="fb264641-12a0-48bf-860b-e8ca73ef8651" xmlns:ns3="f672cb36-e1ae-4642-99aa-62c15c8e565d" targetNamespace="http://schemas.microsoft.com/office/2006/metadata/properties" ma:root="true" ma:fieldsID="800abd3a73dedc69cc55a35368161c70" ns1:_="" ns2:_="" ns3:_="">
    <xsd:import namespace="http://schemas.microsoft.com/sharepoint/v3"/>
    <xsd:import namespace="fb264641-12a0-48bf-860b-e8ca73ef8651"/>
    <xsd:import namespace="f672cb36-e1ae-4642-99aa-62c15c8e56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64641-12a0-48bf-860b-e8ca73ef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cb36-e1ae-4642-99aa-62c15c8e56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9bd991-8d0d-4281-86b3-c0f1d4386980}" ma:internalName="TaxCatchAll" ma:showField="CatchAllData" ma:web="f672cb36-e1ae-4642-99aa-62c15c8e5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03BB-8BED-4453-A908-A09162F2EF40}">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693C4052-5034-4D36-96F2-CE4B2476AD8C}">
  <ds:schemaRefs>
    <ds:schemaRef ds:uri="http://schemas.microsoft.com/sharepoint/v3/contenttype/forms"/>
  </ds:schemaRefs>
</ds:datastoreItem>
</file>

<file path=customXml/itemProps3.xml><?xml version="1.0" encoding="utf-8"?>
<ds:datastoreItem xmlns:ds="http://schemas.openxmlformats.org/officeDocument/2006/customXml" ds:itemID="{4CAA7B25-4C51-42DE-97EC-998D7D3CF39C}"/>
</file>

<file path=customXml/itemProps4.xml><?xml version="1.0" encoding="utf-8"?>
<ds:datastoreItem xmlns:ds="http://schemas.openxmlformats.org/officeDocument/2006/customXml" ds:itemID="{865CBAB5-C1DB-4FD3-B647-A351DB0B97B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Akin Ogunyide</dc:creator>
  <keywords/>
  <lastModifiedBy>ABURAM, Dewayne (EAST LONDON NHS FOUNDATION TRUST)</lastModifiedBy>
  <revision>7</revision>
  <dcterms:created xsi:type="dcterms:W3CDTF">2025-06-19T14:16:00.0000000Z</dcterms:created>
  <dcterms:modified xsi:type="dcterms:W3CDTF">2025-09-04T13:32:39.6459075Z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0x010100A75C7A6947287144916C08794AE14CA7</vt:lpwstr>
  </property>
  <property fmtid="{D5CDD505-2E9C-101B-9397-08002B2CF9AE}" pid="3" name="MediaServiceImageTags">
    <vt:lpwstr/>
  </property>
</Properties>
</file>