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83A0" w14:textId="5C1F29E2" w:rsidR="00965683" w:rsidRPr="00433032" w:rsidRDefault="00965683" w:rsidP="00433032">
      <w:pPr>
        <w:jc w:val="center"/>
        <w:rPr>
          <w:rFonts w:ascii="Arial" w:hAnsi="Arial" w:cs="Arial"/>
        </w:rPr>
      </w:pPr>
      <w:r w:rsidRPr="00433032">
        <w:rPr>
          <w:rFonts w:ascii="Arial" w:hAnsi="Arial" w:cs="Arial"/>
          <w:b/>
          <w:bCs/>
        </w:rPr>
        <w:t xml:space="preserve">Policy in a Nutshell </w:t>
      </w:r>
      <w:r w:rsidR="00B72C3E" w:rsidRPr="00433032">
        <w:rPr>
          <w:rFonts w:ascii="Arial" w:hAnsi="Arial" w:cs="Arial"/>
        </w:rPr>
        <w:t>(</w:t>
      </w:r>
      <w:r w:rsidR="00F344B8">
        <w:rPr>
          <w:rFonts w:ascii="Arial" w:hAnsi="Arial" w:cs="Arial"/>
        </w:rPr>
        <w:t>September</w:t>
      </w:r>
      <w:r w:rsidR="00A72E97" w:rsidRPr="00433032">
        <w:rPr>
          <w:rFonts w:ascii="Arial" w:hAnsi="Arial" w:cs="Arial"/>
        </w:rPr>
        <w:t xml:space="preserve"> 2025</w:t>
      </w:r>
      <w:r w:rsidRPr="00433032">
        <w:rPr>
          <w:rFonts w:ascii="Arial" w:hAnsi="Arial" w:cs="Arial"/>
        </w:rPr>
        <w:t>)</w:t>
      </w:r>
    </w:p>
    <w:p w14:paraId="576DF214" w14:textId="10730434" w:rsidR="00FD1F91" w:rsidRDefault="00FD1F91" w:rsidP="00433032">
      <w:pPr>
        <w:jc w:val="both"/>
        <w:rPr>
          <w:rFonts w:ascii="Arial" w:hAnsi="Arial" w:cs="Arial"/>
        </w:rPr>
      </w:pPr>
    </w:p>
    <w:p w14:paraId="2774FAC3" w14:textId="1ACDF20C" w:rsidR="00515AF0" w:rsidRDefault="00515AF0" w:rsidP="00515AF0">
      <w:pPr>
        <w:rPr>
          <w:rFonts w:ascii="Arial" w:hAnsi="Arial" w:cs="Arial"/>
        </w:rPr>
      </w:pPr>
      <w:r>
        <w:rPr>
          <w:rFonts w:ascii="Arial" w:hAnsi="Arial" w:cs="Arial"/>
        </w:rPr>
        <w:t xml:space="preserve">All </w:t>
      </w:r>
      <w:r w:rsidR="00EA45B3">
        <w:rPr>
          <w:rFonts w:ascii="Arial" w:hAnsi="Arial" w:cs="Arial"/>
        </w:rPr>
        <w:t>Trust wide</w:t>
      </w:r>
      <w:r>
        <w:rPr>
          <w:rFonts w:ascii="Arial" w:hAnsi="Arial" w:cs="Arial"/>
        </w:rPr>
        <w:t xml:space="preserve"> policies are available on the ELFT intranet, </w:t>
      </w:r>
      <w:hyperlink r:id="rId7" w:history="1">
        <w:r w:rsidRPr="005A0D5F">
          <w:rPr>
            <w:rStyle w:val="Hyperlink"/>
            <w:rFonts w:ascii="Arial" w:hAnsi="Arial" w:cs="Arial"/>
          </w:rPr>
          <w:t>https://www.elft.nhs.uk/intranet/teams-support-me/governance-and-risk-management/policy-management/trust-policies</w:t>
        </w:r>
      </w:hyperlink>
    </w:p>
    <w:p w14:paraId="617FF10B" w14:textId="2AF0647C" w:rsidR="00D35F98" w:rsidRDefault="004206F3" w:rsidP="00605FB9">
      <w:pPr>
        <w:rPr>
          <w:rFonts w:ascii="Arial" w:hAnsi="Arial" w:cs="Arial"/>
        </w:rPr>
      </w:pPr>
      <w:r>
        <w:rPr>
          <w:rFonts w:ascii="Arial" w:hAnsi="Arial" w:cs="Arial"/>
        </w:rPr>
        <w:t>As a polite reminder p</w:t>
      </w:r>
      <w:r w:rsidR="00515AF0">
        <w:rPr>
          <w:rFonts w:ascii="Arial" w:hAnsi="Arial" w:cs="Arial"/>
        </w:rPr>
        <w:t xml:space="preserve">lease do not search for policies on the internet as not all policies are </w:t>
      </w:r>
      <w:r w:rsidR="0063220F">
        <w:rPr>
          <w:rFonts w:ascii="Arial" w:hAnsi="Arial" w:cs="Arial"/>
        </w:rPr>
        <w:t xml:space="preserve">published </w:t>
      </w:r>
      <w:r w:rsidR="00605FB9">
        <w:rPr>
          <w:rFonts w:ascii="Arial" w:hAnsi="Arial" w:cs="Arial"/>
        </w:rPr>
        <w:t>externally,</w:t>
      </w:r>
      <w:r w:rsidR="0063220F">
        <w:rPr>
          <w:rFonts w:ascii="Arial" w:hAnsi="Arial" w:cs="Arial"/>
        </w:rPr>
        <w:t xml:space="preserve"> and you may not find what you are looking for! </w:t>
      </w:r>
    </w:p>
    <w:p w14:paraId="68729ED2" w14:textId="77777777" w:rsidR="00605FB9" w:rsidRPr="00605FB9" w:rsidRDefault="00605FB9" w:rsidP="00605FB9">
      <w:pPr>
        <w:rPr>
          <w:rFonts w:ascii="Arial" w:hAnsi="Arial" w:cs="Arial"/>
        </w:rPr>
      </w:pPr>
    </w:p>
    <w:p w14:paraId="15CE61F1" w14:textId="4B0A8BFA" w:rsidR="00276368" w:rsidRDefault="00965683" w:rsidP="00433032">
      <w:pPr>
        <w:jc w:val="both"/>
        <w:rPr>
          <w:rFonts w:ascii="Arial" w:hAnsi="Arial" w:cs="Arial"/>
          <w:b/>
        </w:rPr>
      </w:pPr>
      <w:r w:rsidRPr="0063220F">
        <w:rPr>
          <w:rFonts w:ascii="Arial" w:hAnsi="Arial" w:cs="Arial"/>
          <w:b/>
        </w:rPr>
        <w:t>The following policies were ratified or extended recently by the Quality Committee</w:t>
      </w:r>
      <w:r w:rsidR="00FD1F91" w:rsidRPr="0063220F">
        <w:rPr>
          <w:rFonts w:ascii="Arial" w:hAnsi="Arial" w:cs="Arial"/>
          <w:b/>
        </w:rPr>
        <w:t>:</w:t>
      </w:r>
      <w:r w:rsidRPr="0063220F">
        <w:rPr>
          <w:rFonts w:ascii="Arial" w:hAnsi="Arial" w:cs="Arial"/>
          <w:b/>
        </w:rPr>
        <w:t xml:space="preserve"> </w:t>
      </w:r>
    </w:p>
    <w:p w14:paraId="156548D7" w14:textId="77777777" w:rsidR="00605FB9" w:rsidRPr="0063220F" w:rsidRDefault="00605FB9" w:rsidP="00433032">
      <w:pPr>
        <w:jc w:val="both"/>
        <w:rPr>
          <w:rFonts w:ascii="Arial" w:hAnsi="Arial" w:cs="Arial"/>
          <w:b/>
        </w:rPr>
      </w:pPr>
    </w:p>
    <w:p w14:paraId="6BCB5272" w14:textId="42F79D5E" w:rsidR="00CF2C2F" w:rsidRDefault="00CF2C2F" w:rsidP="00CF2C2F">
      <w:pPr>
        <w:jc w:val="both"/>
        <w:rPr>
          <w:rFonts w:ascii="Arial" w:hAnsi="Arial" w:cs="Arial"/>
        </w:rPr>
      </w:pPr>
      <w:r w:rsidRPr="00CF2C2F">
        <w:rPr>
          <w:rFonts w:ascii="Arial" w:hAnsi="Arial" w:cs="Arial"/>
        </w:rPr>
        <w:t>Th</w:t>
      </w:r>
      <w:r>
        <w:rPr>
          <w:rFonts w:ascii="Arial" w:hAnsi="Arial" w:cs="Arial"/>
        </w:rPr>
        <w:t xml:space="preserve">e </w:t>
      </w:r>
      <w:r w:rsidRPr="00E80A26">
        <w:rPr>
          <w:rFonts w:ascii="Arial" w:hAnsi="Arial" w:cs="Arial"/>
          <w:b/>
          <w:bCs/>
        </w:rPr>
        <w:t>Overarching Clinical Policy for the Use of the Marsden Manual</w:t>
      </w:r>
      <w:r w:rsidRPr="00CF2C2F">
        <w:rPr>
          <w:rFonts w:ascii="Arial" w:hAnsi="Arial" w:cs="Arial"/>
        </w:rPr>
        <w:t xml:space="preserve"> establishes standards for clinical procedures, emphasi</w:t>
      </w:r>
      <w:r>
        <w:rPr>
          <w:rFonts w:ascii="Arial" w:hAnsi="Arial" w:cs="Arial"/>
        </w:rPr>
        <w:t>s</w:t>
      </w:r>
      <w:r w:rsidRPr="00CF2C2F">
        <w:rPr>
          <w:rFonts w:ascii="Arial" w:hAnsi="Arial" w:cs="Arial"/>
        </w:rPr>
        <w:t xml:space="preserve">ing patient safety and best practice. It supports staff already deemed competent and does not replace </w:t>
      </w:r>
      <w:r w:rsidR="001C49A2">
        <w:rPr>
          <w:rFonts w:ascii="Arial" w:hAnsi="Arial" w:cs="Arial"/>
        </w:rPr>
        <w:t xml:space="preserve">existing ELFT policies, procedures, </w:t>
      </w:r>
      <w:r w:rsidRPr="00CF2C2F">
        <w:rPr>
          <w:rFonts w:ascii="Arial" w:hAnsi="Arial" w:cs="Arial"/>
        </w:rPr>
        <w:t xml:space="preserve">mandatory training or national guidelines. </w:t>
      </w:r>
    </w:p>
    <w:p w14:paraId="7656E1A2" w14:textId="2E74D7B4" w:rsidR="00CF2C2F" w:rsidRDefault="00CF2C2F" w:rsidP="00CF2C2F">
      <w:pPr>
        <w:jc w:val="both"/>
        <w:rPr>
          <w:rFonts w:ascii="Arial" w:hAnsi="Arial" w:cs="Arial"/>
        </w:rPr>
      </w:pPr>
      <w:r w:rsidRPr="00CF2C2F">
        <w:rPr>
          <w:rFonts w:ascii="Arial" w:hAnsi="Arial" w:cs="Arial"/>
        </w:rPr>
        <w:t>The policy ensures consistent use and regular review of approved procedures, providing access to up-to-date evidence via the Royal Marsden Manual and ELFT policies. No changes were made in the latest 3-year review.</w:t>
      </w:r>
    </w:p>
    <w:p w14:paraId="079EFBE0" w14:textId="40AF6642" w:rsidR="00276368" w:rsidRDefault="00605FB9" w:rsidP="00CF2C2F">
      <w:pPr>
        <w:jc w:val="both"/>
        <w:rPr>
          <w:rFonts w:ascii="Arial" w:hAnsi="Arial" w:cs="Arial"/>
        </w:rPr>
      </w:pPr>
      <w:hyperlink r:id="rId8" w:history="1">
        <w:r w:rsidRPr="00450693">
          <w:rPr>
            <w:rStyle w:val="Hyperlink"/>
            <w:rFonts w:ascii="Arial" w:hAnsi="Arial" w:cs="Arial"/>
          </w:rPr>
          <w:t>https://www.elft.nhs.uk/sites/default/files/202509/Overarching%20Clinical%20Guidelines%20%28Marsden%20Manual%29%20Policy%203.0.doc</w:t>
        </w:r>
      </w:hyperlink>
      <w:r>
        <w:rPr>
          <w:rFonts w:ascii="Arial" w:hAnsi="Arial" w:cs="Arial"/>
        </w:rPr>
        <w:t xml:space="preserve"> </w:t>
      </w:r>
    </w:p>
    <w:p w14:paraId="7AF3CFD2" w14:textId="77777777" w:rsidR="00276368" w:rsidRDefault="00276368" w:rsidP="00CF2C2F">
      <w:pPr>
        <w:jc w:val="both"/>
        <w:rPr>
          <w:rFonts w:ascii="Arial" w:hAnsi="Arial" w:cs="Arial"/>
        </w:rPr>
      </w:pPr>
    </w:p>
    <w:p w14:paraId="6EB3BBEE" w14:textId="77777777" w:rsidR="00605FB9" w:rsidRPr="00CF2C2F" w:rsidRDefault="00605FB9" w:rsidP="00CF2C2F">
      <w:pPr>
        <w:jc w:val="both"/>
        <w:rPr>
          <w:rFonts w:ascii="Arial" w:hAnsi="Arial" w:cs="Arial"/>
        </w:rPr>
      </w:pPr>
    </w:p>
    <w:p w14:paraId="4F2EE9EE" w14:textId="77777777" w:rsidR="00023DF7" w:rsidRDefault="00CF2C2F" w:rsidP="00CF2C2F">
      <w:pPr>
        <w:jc w:val="both"/>
        <w:rPr>
          <w:rFonts w:ascii="Arial" w:hAnsi="Arial" w:cs="Arial"/>
        </w:rPr>
      </w:pPr>
      <w:r w:rsidRPr="00CF2C2F">
        <w:rPr>
          <w:rFonts w:ascii="Arial" w:hAnsi="Arial" w:cs="Arial"/>
        </w:rPr>
        <w:t>Th</w:t>
      </w:r>
      <w:r>
        <w:rPr>
          <w:rFonts w:ascii="Arial" w:hAnsi="Arial" w:cs="Arial"/>
        </w:rPr>
        <w:t xml:space="preserve">e </w:t>
      </w:r>
      <w:r w:rsidRPr="00CF2C2F">
        <w:rPr>
          <w:rFonts w:ascii="Arial" w:hAnsi="Arial" w:cs="Arial"/>
          <w:b/>
          <w:bCs/>
        </w:rPr>
        <w:t>Physical Healthcare Policy</w:t>
      </w:r>
      <w:r w:rsidRPr="00CF2C2F">
        <w:rPr>
          <w:rFonts w:ascii="Arial" w:hAnsi="Arial" w:cs="Arial"/>
        </w:rPr>
        <w:t xml:space="preserve"> guides ELFT's approach to monitoring and managing the physical health of mental health service users, aiming to reduce health inequalities and premature mortality. </w:t>
      </w:r>
    </w:p>
    <w:p w14:paraId="556C3229" w14:textId="77777777" w:rsidR="00023DF7" w:rsidRDefault="00CF2C2F" w:rsidP="00CF2C2F">
      <w:pPr>
        <w:jc w:val="both"/>
        <w:rPr>
          <w:rFonts w:ascii="Arial" w:hAnsi="Arial" w:cs="Arial"/>
        </w:rPr>
      </w:pPr>
      <w:r w:rsidRPr="00CF2C2F">
        <w:rPr>
          <w:rFonts w:ascii="Arial" w:hAnsi="Arial" w:cs="Arial"/>
        </w:rPr>
        <w:t xml:space="preserve">It mandates staff training, consistent physical health recording, and management of key health risks, aligned with NHS England priorities. </w:t>
      </w:r>
    </w:p>
    <w:p w14:paraId="7E1B0C71" w14:textId="5C610041" w:rsidR="00CF2C2F" w:rsidRPr="00CF2C2F" w:rsidRDefault="00CF2C2F" w:rsidP="00CF2C2F">
      <w:pPr>
        <w:jc w:val="both"/>
        <w:rPr>
          <w:rFonts w:ascii="Arial" w:hAnsi="Arial" w:cs="Arial"/>
        </w:rPr>
      </w:pPr>
      <w:r w:rsidRPr="00CF2C2F">
        <w:rPr>
          <w:rFonts w:ascii="Arial" w:hAnsi="Arial" w:cs="Arial"/>
        </w:rPr>
        <w:t xml:space="preserve">Recent updates </w:t>
      </w:r>
      <w:r w:rsidR="00023DF7">
        <w:rPr>
          <w:rFonts w:ascii="Arial" w:hAnsi="Arial" w:cs="Arial"/>
        </w:rPr>
        <w:t xml:space="preserve">include </w:t>
      </w:r>
      <w:r w:rsidRPr="00CF2C2F">
        <w:rPr>
          <w:rFonts w:ascii="Arial" w:hAnsi="Arial" w:cs="Arial"/>
        </w:rPr>
        <w:t xml:space="preserve">improved communication during patient transfers, </w:t>
      </w:r>
      <w:r w:rsidR="00023DF7">
        <w:rPr>
          <w:rFonts w:ascii="Arial" w:hAnsi="Arial" w:cs="Arial"/>
        </w:rPr>
        <w:t xml:space="preserve">the </w:t>
      </w:r>
      <w:r w:rsidRPr="00CF2C2F">
        <w:rPr>
          <w:rFonts w:ascii="Arial" w:hAnsi="Arial" w:cs="Arial"/>
        </w:rPr>
        <w:t>introduc</w:t>
      </w:r>
      <w:r w:rsidR="00023DF7">
        <w:rPr>
          <w:rFonts w:ascii="Arial" w:hAnsi="Arial" w:cs="Arial"/>
        </w:rPr>
        <w:t>tion</w:t>
      </w:r>
      <w:r w:rsidRPr="00CF2C2F">
        <w:rPr>
          <w:rFonts w:ascii="Arial" w:hAnsi="Arial" w:cs="Arial"/>
        </w:rPr>
        <w:t xml:space="preserve"> new assessment flowcharts, and replaced “observation” with “vital signs” monitoring.</w:t>
      </w:r>
    </w:p>
    <w:p w14:paraId="4715A06B" w14:textId="1EE1885D" w:rsidR="00CF2C2F" w:rsidRDefault="00605FB9" w:rsidP="00CF2C2F">
      <w:pPr>
        <w:jc w:val="both"/>
        <w:rPr>
          <w:rFonts w:ascii="Arial" w:hAnsi="Arial" w:cs="Arial"/>
        </w:rPr>
      </w:pPr>
      <w:hyperlink r:id="rId9" w:history="1">
        <w:r w:rsidRPr="00450693">
          <w:rPr>
            <w:rStyle w:val="Hyperlink"/>
            <w:rFonts w:ascii="Arial" w:hAnsi="Arial" w:cs="Arial"/>
          </w:rPr>
          <w:t>https://www.elft.nhs.uk/intranet/documents/physical-healthcare-policy-0</w:t>
        </w:r>
      </w:hyperlink>
      <w:r>
        <w:rPr>
          <w:rFonts w:ascii="Arial" w:hAnsi="Arial" w:cs="Arial"/>
        </w:rPr>
        <w:t xml:space="preserve"> </w:t>
      </w:r>
    </w:p>
    <w:p w14:paraId="17098D9F" w14:textId="77777777" w:rsidR="00276368" w:rsidRDefault="00276368" w:rsidP="00CF2C2F">
      <w:pPr>
        <w:jc w:val="both"/>
        <w:rPr>
          <w:rFonts w:ascii="Arial" w:hAnsi="Arial" w:cs="Arial"/>
        </w:rPr>
      </w:pPr>
    </w:p>
    <w:p w14:paraId="53B05DC9" w14:textId="77777777" w:rsidR="00605FB9" w:rsidRPr="00CF2C2F" w:rsidRDefault="00605FB9" w:rsidP="00CF2C2F">
      <w:pPr>
        <w:jc w:val="both"/>
        <w:rPr>
          <w:rFonts w:ascii="Arial" w:hAnsi="Arial" w:cs="Arial"/>
        </w:rPr>
      </w:pPr>
    </w:p>
    <w:p w14:paraId="6407EB84" w14:textId="77777777" w:rsidR="00023DF7" w:rsidRDefault="00CF2C2F" w:rsidP="00CF2C2F">
      <w:pPr>
        <w:jc w:val="both"/>
        <w:rPr>
          <w:rFonts w:ascii="Arial" w:hAnsi="Arial" w:cs="Arial"/>
        </w:rPr>
      </w:pPr>
      <w:r w:rsidRPr="00CF2C2F">
        <w:rPr>
          <w:rFonts w:ascii="Arial" w:hAnsi="Arial" w:cs="Arial"/>
        </w:rPr>
        <w:t>Th</w:t>
      </w:r>
      <w:r w:rsidR="00023DF7">
        <w:rPr>
          <w:rFonts w:ascii="Arial" w:hAnsi="Arial" w:cs="Arial"/>
        </w:rPr>
        <w:t xml:space="preserve">e </w:t>
      </w:r>
      <w:r w:rsidR="00023DF7" w:rsidRPr="00023DF7">
        <w:rPr>
          <w:rFonts w:ascii="Arial" w:hAnsi="Arial" w:cs="Arial"/>
          <w:b/>
          <w:bCs/>
        </w:rPr>
        <w:t>Was Not Brought / Did Not Attend (WNB/DNA) Policy</w:t>
      </w:r>
      <w:r w:rsidRPr="00CF2C2F">
        <w:rPr>
          <w:rFonts w:ascii="Arial" w:hAnsi="Arial" w:cs="Arial"/>
        </w:rPr>
        <w:t xml:space="preserve"> covers procedures when children or young people miss appointments, distinguishing between Was Not Brought (WNB) for those needing parental support and Did Not Attend (DNA) for competent adolescents. </w:t>
      </w:r>
    </w:p>
    <w:p w14:paraId="23B8136C" w14:textId="1EE3109B" w:rsidR="00CF2C2F" w:rsidRPr="00CF2C2F" w:rsidRDefault="00CF2C2F" w:rsidP="00CF2C2F">
      <w:pPr>
        <w:jc w:val="both"/>
        <w:rPr>
          <w:rFonts w:ascii="Arial" w:hAnsi="Arial" w:cs="Arial"/>
        </w:rPr>
      </w:pPr>
      <w:r w:rsidRPr="00CF2C2F">
        <w:rPr>
          <w:rFonts w:ascii="Arial" w:hAnsi="Arial" w:cs="Arial"/>
        </w:rPr>
        <w:t xml:space="preserve">It requires documentation, clinical risk assessment, safeguarding action, and prohibits discharge solely due to non-attendance without reassessment. The policy supports children’s right to healthcare and reflects safeguarding best practices. </w:t>
      </w:r>
    </w:p>
    <w:p w14:paraId="6E5F565F" w14:textId="4E346FFA" w:rsidR="00CF2C2F" w:rsidRDefault="00605FB9" w:rsidP="00CF2C2F">
      <w:pPr>
        <w:jc w:val="both"/>
        <w:rPr>
          <w:rFonts w:ascii="Arial" w:hAnsi="Arial" w:cs="Arial"/>
        </w:rPr>
      </w:pPr>
      <w:hyperlink r:id="rId10" w:history="1">
        <w:r w:rsidRPr="00450693">
          <w:rPr>
            <w:rStyle w:val="Hyperlink"/>
            <w:rFonts w:ascii="Arial" w:hAnsi="Arial" w:cs="Arial"/>
          </w:rPr>
          <w:t>https://www.elft.nhs.uk/sites/default/files/2025-09/DNAWNB%20Policy%206.0.docx</w:t>
        </w:r>
      </w:hyperlink>
      <w:r>
        <w:rPr>
          <w:rFonts w:ascii="Arial" w:hAnsi="Arial" w:cs="Arial"/>
        </w:rPr>
        <w:t xml:space="preserve"> </w:t>
      </w:r>
    </w:p>
    <w:p w14:paraId="3CEBF414" w14:textId="77777777" w:rsidR="00276368" w:rsidRPr="00CF2C2F" w:rsidRDefault="00276368" w:rsidP="00CF2C2F">
      <w:pPr>
        <w:jc w:val="both"/>
        <w:rPr>
          <w:rFonts w:ascii="Arial" w:hAnsi="Arial" w:cs="Arial"/>
        </w:rPr>
      </w:pPr>
    </w:p>
    <w:p w14:paraId="324E307F" w14:textId="77777777" w:rsidR="00023DF7" w:rsidRDefault="00CF2C2F" w:rsidP="00CF2C2F">
      <w:pPr>
        <w:jc w:val="both"/>
        <w:rPr>
          <w:rFonts w:ascii="Arial" w:hAnsi="Arial" w:cs="Arial"/>
        </w:rPr>
      </w:pPr>
      <w:r w:rsidRPr="00CF2C2F">
        <w:rPr>
          <w:rFonts w:ascii="Arial" w:hAnsi="Arial" w:cs="Arial"/>
        </w:rPr>
        <w:t>Th</w:t>
      </w:r>
      <w:r w:rsidR="00023DF7">
        <w:rPr>
          <w:rFonts w:ascii="Arial" w:hAnsi="Arial" w:cs="Arial"/>
        </w:rPr>
        <w:t xml:space="preserve">e </w:t>
      </w:r>
      <w:r w:rsidR="00023DF7" w:rsidRPr="00023DF7">
        <w:rPr>
          <w:rFonts w:ascii="Arial" w:hAnsi="Arial" w:cs="Arial"/>
          <w:b/>
          <w:bCs/>
        </w:rPr>
        <w:t>Venepuncture Policy</w:t>
      </w:r>
      <w:r w:rsidRPr="00CF2C2F">
        <w:rPr>
          <w:rFonts w:ascii="Arial" w:hAnsi="Arial" w:cs="Arial"/>
        </w:rPr>
        <w:t xml:space="preserve"> sets out training, competency, consent, and clinical standards for safely performing venepuncture on adult patients. It ensures consistent, evidence-based practice to safeguard patients and improve diagnostic quality. </w:t>
      </w:r>
    </w:p>
    <w:p w14:paraId="5A815A92" w14:textId="7CA7478F" w:rsidR="00CF2C2F" w:rsidRDefault="00CF2C2F" w:rsidP="00CF2C2F">
      <w:pPr>
        <w:jc w:val="both"/>
        <w:rPr>
          <w:rFonts w:ascii="Arial" w:hAnsi="Arial" w:cs="Arial"/>
        </w:rPr>
      </w:pPr>
      <w:r w:rsidRPr="00CF2C2F">
        <w:rPr>
          <w:rFonts w:ascii="Arial" w:hAnsi="Arial" w:cs="Arial"/>
        </w:rPr>
        <w:t xml:space="preserve">The latest update includes guidance on blood sampling from Central Venous Access Devices (CVAD) and clarifies student roles in venepuncture. </w:t>
      </w:r>
    </w:p>
    <w:p w14:paraId="6803FD6F" w14:textId="680CA5CB" w:rsidR="00023DF7" w:rsidRPr="00CF2C2F" w:rsidRDefault="00605FB9" w:rsidP="00CF2C2F">
      <w:pPr>
        <w:jc w:val="both"/>
        <w:rPr>
          <w:rFonts w:ascii="Arial" w:hAnsi="Arial" w:cs="Arial"/>
        </w:rPr>
      </w:pPr>
      <w:hyperlink r:id="rId11" w:history="1">
        <w:r w:rsidRPr="00450693">
          <w:rPr>
            <w:rStyle w:val="Hyperlink"/>
            <w:rFonts w:ascii="Arial" w:hAnsi="Arial" w:cs="Arial"/>
          </w:rPr>
          <w:t>https://www.elft.nhs.uk/sites/default/files/2025-09/Venepuncture%20Policy%204.0.docx</w:t>
        </w:r>
      </w:hyperlink>
      <w:r>
        <w:rPr>
          <w:rFonts w:ascii="Arial" w:hAnsi="Arial" w:cs="Arial"/>
        </w:rPr>
        <w:t xml:space="preserve"> </w:t>
      </w:r>
    </w:p>
    <w:p w14:paraId="511305F8" w14:textId="77777777" w:rsidR="00CF2C2F" w:rsidRDefault="00CF2C2F" w:rsidP="00CF2C2F">
      <w:pPr>
        <w:jc w:val="both"/>
        <w:rPr>
          <w:rFonts w:ascii="Arial" w:hAnsi="Arial" w:cs="Arial"/>
        </w:rPr>
      </w:pPr>
    </w:p>
    <w:p w14:paraId="29E0FC48" w14:textId="77777777" w:rsidR="00605FB9" w:rsidRPr="00CF2C2F" w:rsidRDefault="00605FB9" w:rsidP="00CF2C2F">
      <w:pPr>
        <w:jc w:val="both"/>
        <w:rPr>
          <w:rFonts w:ascii="Arial" w:hAnsi="Arial" w:cs="Arial"/>
        </w:rPr>
      </w:pPr>
    </w:p>
    <w:p w14:paraId="60C8BFBB" w14:textId="77777777" w:rsidR="00023DF7" w:rsidRDefault="00CF2C2F" w:rsidP="00CF2C2F">
      <w:pPr>
        <w:jc w:val="both"/>
        <w:rPr>
          <w:rFonts w:ascii="Arial" w:hAnsi="Arial" w:cs="Arial"/>
        </w:rPr>
      </w:pPr>
      <w:r w:rsidRPr="00CF2C2F">
        <w:rPr>
          <w:rFonts w:ascii="Arial" w:hAnsi="Arial" w:cs="Arial"/>
        </w:rPr>
        <w:t xml:space="preserve">In line with health and safety regulations, </w:t>
      </w:r>
      <w:r w:rsidR="00023DF7">
        <w:rPr>
          <w:rFonts w:ascii="Arial" w:hAnsi="Arial" w:cs="Arial"/>
        </w:rPr>
        <w:t xml:space="preserve">the </w:t>
      </w:r>
      <w:r w:rsidR="00023DF7" w:rsidRPr="00023DF7">
        <w:rPr>
          <w:rFonts w:ascii="Arial" w:hAnsi="Arial" w:cs="Arial"/>
          <w:b/>
          <w:bCs/>
        </w:rPr>
        <w:t>Display Screen Equipment (DSE) Policy</w:t>
      </w:r>
      <w:r w:rsidR="00023DF7">
        <w:rPr>
          <w:rFonts w:ascii="Arial" w:hAnsi="Arial" w:cs="Arial"/>
          <w:b/>
          <w:bCs/>
        </w:rPr>
        <w:t xml:space="preserve"> </w:t>
      </w:r>
      <w:r w:rsidRPr="00CF2C2F">
        <w:rPr>
          <w:rFonts w:ascii="Arial" w:hAnsi="Arial" w:cs="Arial"/>
        </w:rPr>
        <w:t xml:space="preserve">ensures safe use of display screen equipment to prevent health issues such as musculoskeletal problems and eye strain. It mandates ergonomic workstation provision, risk assessments, training, and support tailored to individual needs, including staff with health conditions. </w:t>
      </w:r>
    </w:p>
    <w:p w14:paraId="0B956F6B" w14:textId="47A36B28" w:rsidR="00433032" w:rsidRPr="00023DF7" w:rsidRDefault="00CF2C2F" w:rsidP="00CF2C2F">
      <w:pPr>
        <w:jc w:val="both"/>
        <w:rPr>
          <w:rFonts w:ascii="Arial" w:hAnsi="Arial" w:cs="Arial"/>
          <w:b/>
          <w:bCs/>
        </w:rPr>
      </w:pPr>
      <w:r w:rsidRPr="00CF2C2F">
        <w:rPr>
          <w:rFonts w:ascii="Arial" w:hAnsi="Arial" w:cs="Arial"/>
        </w:rPr>
        <w:t xml:space="preserve">The recent update added eye care voucher provision. </w:t>
      </w:r>
    </w:p>
    <w:p w14:paraId="79E26612" w14:textId="1A384675" w:rsidR="00433032" w:rsidRPr="00433032" w:rsidRDefault="00433032" w:rsidP="00433032">
      <w:pPr>
        <w:shd w:val="clear" w:color="auto" w:fill="FFFFFF"/>
        <w:jc w:val="both"/>
        <w:rPr>
          <w:rFonts w:ascii="Arial" w:hAnsi="Arial" w:cs="Arial"/>
          <w:bCs/>
        </w:rPr>
      </w:pPr>
      <w:r>
        <w:rPr>
          <w:rFonts w:ascii="Arial" w:hAnsi="Arial" w:cs="Arial"/>
          <w:bCs/>
        </w:rPr>
        <w:t xml:space="preserve"> </w:t>
      </w:r>
      <w:hyperlink r:id="rId12" w:history="1">
        <w:r w:rsidR="00605FB9" w:rsidRPr="00450693">
          <w:rPr>
            <w:rStyle w:val="Hyperlink"/>
            <w:rFonts w:ascii="Arial" w:hAnsi="Arial" w:cs="Arial"/>
            <w:bCs/>
          </w:rPr>
          <w:t>https://www.elft.nhs.uk/system/files/202509/Display%20Screen%20Equipment%20DSE%20Policy%207.0.docx</w:t>
        </w:r>
      </w:hyperlink>
      <w:r w:rsidR="00605FB9">
        <w:rPr>
          <w:rFonts w:ascii="Arial" w:hAnsi="Arial" w:cs="Arial"/>
          <w:bCs/>
        </w:rPr>
        <w:t xml:space="preserve"> </w:t>
      </w:r>
    </w:p>
    <w:p w14:paraId="680D2EBB" w14:textId="77777777" w:rsidR="00605FB9" w:rsidRDefault="00605FB9" w:rsidP="00433032">
      <w:pPr>
        <w:shd w:val="clear" w:color="auto" w:fill="FFFFFF"/>
        <w:jc w:val="both"/>
        <w:rPr>
          <w:rFonts w:ascii="Arial" w:hAnsi="Arial" w:cs="Arial"/>
          <w:b/>
          <w:bCs/>
          <w:u w:val="single"/>
        </w:rPr>
      </w:pPr>
    </w:p>
    <w:p w14:paraId="0A650337" w14:textId="7D1D4C83" w:rsidR="00FD1F91" w:rsidRPr="00433032" w:rsidRDefault="00FD1F91" w:rsidP="00433032">
      <w:pPr>
        <w:shd w:val="clear" w:color="auto" w:fill="FFFFFF"/>
        <w:jc w:val="both"/>
        <w:rPr>
          <w:rFonts w:ascii="Arial" w:hAnsi="Arial" w:cs="Arial"/>
          <w:b/>
          <w:bCs/>
          <w:u w:val="single"/>
        </w:rPr>
      </w:pPr>
      <w:r w:rsidRPr="00433032">
        <w:rPr>
          <w:rFonts w:ascii="Arial" w:hAnsi="Arial" w:cs="Arial"/>
          <w:b/>
          <w:bCs/>
          <w:u w:val="single"/>
        </w:rPr>
        <w:t>Additional Updates</w:t>
      </w:r>
    </w:p>
    <w:p w14:paraId="4F5E233E" w14:textId="3FE1221D" w:rsidR="00023DF7" w:rsidRPr="00023DF7" w:rsidRDefault="00023DF7" w:rsidP="00023DF7">
      <w:pPr>
        <w:rPr>
          <w:rFonts w:ascii="Arial" w:hAnsi="Arial" w:cs="Arial"/>
          <w:bCs/>
        </w:rPr>
      </w:pPr>
      <w:r w:rsidRPr="00023DF7">
        <w:rPr>
          <w:rFonts w:ascii="Arial" w:hAnsi="Arial" w:cs="Arial"/>
          <w:bCs/>
        </w:rPr>
        <w:t xml:space="preserve">There was a minor update to the </w:t>
      </w:r>
      <w:r w:rsidRPr="00276368">
        <w:rPr>
          <w:rFonts w:ascii="Arial" w:hAnsi="Arial" w:cs="Arial"/>
          <w:b/>
        </w:rPr>
        <w:t>Safeguarding Children Policy</w:t>
      </w:r>
      <w:r w:rsidRPr="00023DF7">
        <w:rPr>
          <w:rFonts w:ascii="Arial" w:hAnsi="Arial" w:cs="Arial"/>
          <w:bCs/>
        </w:rPr>
        <w:t xml:space="preserve"> replacing outdated references with the most current legislation and statutory guidance. These changes ensure the policy remains accurate, compliant, and aligned with best practice in safeguarding children.</w:t>
      </w:r>
      <w:r w:rsidR="00605FB9">
        <w:rPr>
          <w:rFonts w:ascii="Arial" w:hAnsi="Arial" w:cs="Arial"/>
          <w:bCs/>
        </w:rPr>
        <w:t xml:space="preserve"> </w:t>
      </w:r>
    </w:p>
    <w:p w14:paraId="3BDBC616" w14:textId="77777777" w:rsidR="00EA45B3" w:rsidRPr="00433032" w:rsidRDefault="00EA45B3" w:rsidP="00433032">
      <w:pPr>
        <w:shd w:val="clear" w:color="auto" w:fill="FFFFFF"/>
        <w:jc w:val="both"/>
        <w:rPr>
          <w:rFonts w:ascii="Arial" w:hAnsi="Arial" w:cs="Arial"/>
          <w:bCs/>
        </w:rPr>
      </w:pPr>
    </w:p>
    <w:p w14:paraId="661B2039" w14:textId="66F882BD" w:rsidR="00473CC2" w:rsidRPr="00433032" w:rsidRDefault="00AD217C" w:rsidP="00433032">
      <w:pPr>
        <w:shd w:val="clear" w:color="auto" w:fill="FFFFFF"/>
        <w:jc w:val="both"/>
        <w:rPr>
          <w:rFonts w:ascii="Arial" w:hAnsi="Arial" w:cs="Arial"/>
          <w:b/>
          <w:sz w:val="24"/>
          <w:szCs w:val="24"/>
        </w:rPr>
      </w:pPr>
      <w:r w:rsidRPr="00433032">
        <w:rPr>
          <w:rFonts w:ascii="Arial" w:hAnsi="Arial" w:cs="Arial"/>
          <w:b/>
          <w:sz w:val="24"/>
          <w:szCs w:val="24"/>
        </w:rPr>
        <w:t>Other Trust Policies Ratified this month:</w:t>
      </w:r>
    </w:p>
    <w:p w14:paraId="5165AC4B" w14:textId="77777777" w:rsidR="00023DF7" w:rsidRDefault="00023DF7" w:rsidP="00433032">
      <w:pPr>
        <w:shd w:val="clear" w:color="auto" w:fill="FFFFFF"/>
        <w:jc w:val="both"/>
        <w:rPr>
          <w:rFonts w:ascii="Arial" w:hAnsi="Arial" w:cs="Arial"/>
          <w:b/>
        </w:rPr>
      </w:pPr>
      <w:r>
        <w:rPr>
          <w:rFonts w:ascii="Arial" w:hAnsi="Arial" w:cs="Arial"/>
          <w:b/>
        </w:rPr>
        <w:t>Clinical</w:t>
      </w:r>
    </w:p>
    <w:p w14:paraId="28ED52A4" w14:textId="290F5ECF" w:rsidR="00023DF7" w:rsidRPr="00330FEC" w:rsidRDefault="00023DF7" w:rsidP="00023DF7">
      <w:pPr>
        <w:pStyle w:val="ListParagraph"/>
        <w:numPr>
          <w:ilvl w:val="0"/>
          <w:numId w:val="13"/>
        </w:numPr>
        <w:shd w:val="clear" w:color="auto" w:fill="FFFFFF"/>
        <w:jc w:val="both"/>
        <w:rPr>
          <w:rFonts w:ascii="Arial" w:hAnsi="Arial" w:cs="Arial"/>
          <w:b/>
        </w:rPr>
      </w:pPr>
      <w:r w:rsidRPr="00330FEC">
        <w:rPr>
          <w:rFonts w:ascii="Arial" w:hAnsi="Arial" w:cs="Arial"/>
          <w:b/>
        </w:rPr>
        <w:t xml:space="preserve">Conservative Sharp Debridement of Wounds </w:t>
      </w:r>
      <w:r w:rsidR="00276368" w:rsidRPr="00330FEC">
        <w:rPr>
          <w:rFonts w:ascii="Arial" w:hAnsi="Arial" w:cs="Arial"/>
          <w:b/>
        </w:rPr>
        <w:t>SOP –</w:t>
      </w:r>
      <w:r w:rsidR="00BE5CBE" w:rsidRPr="00330FEC">
        <w:rPr>
          <w:rFonts w:ascii="Arial" w:hAnsi="Arial" w:cs="Arial"/>
          <w:b/>
        </w:rPr>
        <w:t xml:space="preserve"> </w:t>
      </w:r>
      <w:r w:rsidR="00E65F53" w:rsidRPr="00330FEC">
        <w:rPr>
          <w:rFonts w:ascii="Arial" w:hAnsi="Arial" w:cs="Arial"/>
          <w:bCs/>
        </w:rPr>
        <w:t>This policy, developed by the Tissue Viability Service, provides guidance specifically for Specialist Tissue Viability Nurses and Pressure Ulcer Improvement Facilitators on performing Conservative Sharp Debridement (CSD) of wounds. It aims to ensure safe, effective, and evidence-based removal of non-viable tissue to promote wound healing, reduce infection risk, and improve patient outcomes.</w:t>
      </w:r>
      <w:r w:rsidR="00E65F53" w:rsidRPr="00330FEC">
        <w:rPr>
          <w:rFonts w:ascii="Arial" w:hAnsi="Arial" w:cs="Arial"/>
          <w:b/>
        </w:rPr>
        <w:t xml:space="preserve"> </w:t>
      </w:r>
    </w:p>
    <w:p w14:paraId="6650B9ED" w14:textId="448F934F" w:rsidR="00AD217C" w:rsidRDefault="00AD217C" w:rsidP="00433032">
      <w:pPr>
        <w:shd w:val="clear" w:color="auto" w:fill="FFFFFF"/>
        <w:jc w:val="both"/>
        <w:rPr>
          <w:rFonts w:ascii="Arial" w:hAnsi="Arial" w:cs="Arial"/>
          <w:b/>
        </w:rPr>
      </w:pPr>
      <w:r w:rsidRPr="00433032">
        <w:rPr>
          <w:rFonts w:ascii="Arial" w:hAnsi="Arial" w:cs="Arial"/>
          <w:b/>
        </w:rPr>
        <w:t>People and Culture Policies</w:t>
      </w:r>
    </w:p>
    <w:p w14:paraId="47DA610F" w14:textId="77777777" w:rsidR="00330FEC" w:rsidRDefault="00330FEC" w:rsidP="00330FEC">
      <w:pPr>
        <w:pStyle w:val="ListParagraph"/>
        <w:numPr>
          <w:ilvl w:val="0"/>
          <w:numId w:val="13"/>
        </w:numPr>
        <w:shd w:val="clear" w:color="auto" w:fill="FFFFFF"/>
        <w:jc w:val="both"/>
        <w:rPr>
          <w:rFonts w:ascii="Arial" w:hAnsi="Arial" w:cs="Arial"/>
          <w:bCs/>
        </w:rPr>
      </w:pPr>
      <w:r>
        <w:rPr>
          <w:rFonts w:ascii="Arial" w:hAnsi="Arial" w:cs="Arial"/>
          <w:b/>
        </w:rPr>
        <w:t xml:space="preserve">Volunteer Policy - </w:t>
      </w:r>
      <w:r w:rsidRPr="00330FEC">
        <w:rPr>
          <w:rFonts w:ascii="Arial" w:hAnsi="Arial" w:cs="Arial"/>
          <w:bCs/>
        </w:rPr>
        <w:t xml:space="preserve">This policy recognises the valuable benefits volunteering brings to individuals, the Trust, and the wider community. It highlights volunteering as a means to engage communities, reduce stigma around long-term health conditions, and support service users’ emotional wellbeing. </w:t>
      </w:r>
    </w:p>
    <w:p w14:paraId="2FB66E0F" w14:textId="77777777" w:rsidR="00330FEC" w:rsidRDefault="00330FEC" w:rsidP="00330FEC">
      <w:pPr>
        <w:pStyle w:val="ListParagraph"/>
        <w:shd w:val="clear" w:color="auto" w:fill="FFFFFF"/>
        <w:jc w:val="both"/>
        <w:rPr>
          <w:rFonts w:ascii="Arial" w:hAnsi="Arial" w:cs="Arial"/>
          <w:b/>
        </w:rPr>
      </w:pPr>
    </w:p>
    <w:p w14:paraId="5E8DD1BD" w14:textId="1FCA51F2" w:rsidR="00330FEC" w:rsidRDefault="00330FEC" w:rsidP="00330FEC">
      <w:pPr>
        <w:pStyle w:val="ListParagraph"/>
        <w:shd w:val="clear" w:color="auto" w:fill="FFFFFF"/>
        <w:jc w:val="both"/>
        <w:rPr>
          <w:rFonts w:ascii="Arial" w:hAnsi="Arial" w:cs="Arial"/>
          <w:bCs/>
        </w:rPr>
      </w:pPr>
      <w:r w:rsidRPr="00330FEC">
        <w:rPr>
          <w:rFonts w:ascii="Arial" w:hAnsi="Arial" w:cs="Arial"/>
          <w:bCs/>
        </w:rPr>
        <w:lastRenderedPageBreak/>
        <w:t>The policy sets out a standardised, evidence-based approach to recruiting and supporting volunteers, ensuring their contributions are valued and Trust requirements are consistently met.</w:t>
      </w:r>
    </w:p>
    <w:p w14:paraId="68396E45" w14:textId="77777777" w:rsidR="005F6E70" w:rsidRPr="005F6E70" w:rsidRDefault="005F6E70" w:rsidP="00330FEC">
      <w:pPr>
        <w:pStyle w:val="ListParagraph"/>
        <w:shd w:val="clear" w:color="auto" w:fill="FFFFFF"/>
        <w:jc w:val="both"/>
        <w:rPr>
          <w:rFonts w:ascii="Arial" w:hAnsi="Arial" w:cs="Arial"/>
          <w:b/>
        </w:rPr>
      </w:pPr>
    </w:p>
    <w:p w14:paraId="449DBEBE" w14:textId="77777777" w:rsidR="008C6803" w:rsidRDefault="005F6E70" w:rsidP="005F6E70">
      <w:pPr>
        <w:pStyle w:val="ListParagraph"/>
        <w:numPr>
          <w:ilvl w:val="0"/>
          <w:numId w:val="13"/>
        </w:numPr>
        <w:shd w:val="clear" w:color="auto" w:fill="FFFFFF"/>
        <w:jc w:val="both"/>
        <w:rPr>
          <w:rFonts w:ascii="Arial" w:hAnsi="Arial" w:cs="Arial"/>
          <w:bCs/>
        </w:rPr>
      </w:pPr>
      <w:r w:rsidRPr="005F6E70">
        <w:rPr>
          <w:rFonts w:ascii="Arial" w:hAnsi="Arial" w:cs="Arial"/>
          <w:b/>
        </w:rPr>
        <w:t>Policy for reward and recognition to Service Users / Carers</w:t>
      </w:r>
      <w:r>
        <w:rPr>
          <w:rFonts w:ascii="Arial" w:hAnsi="Arial" w:cs="Arial"/>
          <w:bCs/>
        </w:rPr>
        <w:t xml:space="preserve"> - </w:t>
      </w:r>
      <w:r w:rsidR="008C6803" w:rsidRPr="008C6803">
        <w:rPr>
          <w:rFonts w:ascii="Arial" w:hAnsi="Arial" w:cs="Arial"/>
          <w:bCs/>
        </w:rPr>
        <w:t xml:space="preserve">This policy outlines how East London NHS Foundation Trust compensates service users and carers for their participation in service improvement activities. </w:t>
      </w:r>
    </w:p>
    <w:p w14:paraId="30F5F98C" w14:textId="77777777" w:rsidR="008C6803" w:rsidRDefault="008C6803" w:rsidP="008C6803">
      <w:pPr>
        <w:pStyle w:val="ListParagraph"/>
        <w:shd w:val="clear" w:color="auto" w:fill="FFFFFF"/>
        <w:jc w:val="both"/>
        <w:rPr>
          <w:rFonts w:ascii="Arial" w:hAnsi="Arial" w:cs="Arial"/>
          <w:b/>
        </w:rPr>
      </w:pPr>
    </w:p>
    <w:p w14:paraId="367B853B" w14:textId="72AB4EAB" w:rsidR="005F6E70" w:rsidRPr="00330FEC" w:rsidRDefault="008C6803" w:rsidP="008C6803">
      <w:pPr>
        <w:pStyle w:val="ListParagraph"/>
        <w:shd w:val="clear" w:color="auto" w:fill="FFFFFF"/>
        <w:jc w:val="both"/>
        <w:rPr>
          <w:rFonts w:ascii="Arial" w:hAnsi="Arial" w:cs="Arial"/>
          <w:bCs/>
        </w:rPr>
      </w:pPr>
      <w:r w:rsidRPr="008C6803">
        <w:rPr>
          <w:rFonts w:ascii="Arial" w:hAnsi="Arial" w:cs="Arial"/>
          <w:bCs/>
        </w:rPr>
        <w:t>Payments are primarily made via BACS to ensure security, prevent fraud, and maintain clear records, with alternative methods available for specific groups. The policy also provides guidance on understanding how these payments may affect government benefits and directs users to sources of additional support.</w:t>
      </w:r>
    </w:p>
    <w:p w14:paraId="2904BB3A" w14:textId="2B4BE935" w:rsidR="00473CC2" w:rsidRDefault="00473CC2" w:rsidP="00433032">
      <w:pPr>
        <w:shd w:val="clear" w:color="auto" w:fill="FFFFFF"/>
        <w:jc w:val="both"/>
        <w:rPr>
          <w:rFonts w:ascii="Arial" w:hAnsi="Arial" w:cs="Arial"/>
          <w:b/>
        </w:rPr>
      </w:pPr>
      <w:r w:rsidRPr="00433032">
        <w:rPr>
          <w:rFonts w:ascii="Arial" w:hAnsi="Arial" w:cs="Arial"/>
          <w:b/>
        </w:rPr>
        <w:t>Medicines Policies</w:t>
      </w:r>
    </w:p>
    <w:p w14:paraId="62844A71" w14:textId="70EA26A1" w:rsidR="00330FEC" w:rsidRDefault="00330FEC" w:rsidP="00330FEC">
      <w:pPr>
        <w:pStyle w:val="ListParagraph"/>
        <w:numPr>
          <w:ilvl w:val="0"/>
          <w:numId w:val="13"/>
        </w:numPr>
        <w:shd w:val="clear" w:color="auto" w:fill="FFFFFF"/>
        <w:jc w:val="both"/>
        <w:rPr>
          <w:rFonts w:ascii="Arial" w:hAnsi="Arial" w:cs="Arial"/>
          <w:bCs/>
        </w:rPr>
      </w:pPr>
      <w:r w:rsidRPr="00330FEC">
        <w:rPr>
          <w:rFonts w:ascii="Arial" w:hAnsi="Arial" w:cs="Arial"/>
          <w:b/>
        </w:rPr>
        <w:t xml:space="preserve">Policy for The Use </w:t>
      </w:r>
      <w:r w:rsidR="00605FB9" w:rsidRPr="00330FEC">
        <w:rPr>
          <w:rFonts w:ascii="Arial" w:hAnsi="Arial" w:cs="Arial"/>
          <w:b/>
        </w:rPr>
        <w:t>of</w:t>
      </w:r>
      <w:r w:rsidRPr="00330FEC">
        <w:rPr>
          <w:rFonts w:ascii="Arial" w:hAnsi="Arial" w:cs="Arial"/>
          <w:b/>
        </w:rPr>
        <w:t xml:space="preserve"> Fp10 Prescription Forms</w:t>
      </w:r>
      <w:r>
        <w:rPr>
          <w:rFonts w:ascii="Arial" w:hAnsi="Arial" w:cs="Arial"/>
          <w:b/>
        </w:rPr>
        <w:t xml:space="preserve"> - </w:t>
      </w:r>
      <w:r w:rsidRPr="00330FEC">
        <w:rPr>
          <w:rFonts w:ascii="Arial" w:hAnsi="Arial" w:cs="Arial"/>
          <w:bCs/>
        </w:rPr>
        <w:t xml:space="preserve">This policy outlines the safe and secure management of FP10 prescription forms used for prescribing medications in community settings. These forms allow patients to choose their community pharmacy but must be controlled to prevent misuse, theft, or financial loss to the Trust. </w:t>
      </w:r>
    </w:p>
    <w:p w14:paraId="3E0CACEE" w14:textId="77777777" w:rsidR="00330FEC" w:rsidRDefault="00330FEC" w:rsidP="00330FEC">
      <w:pPr>
        <w:pStyle w:val="ListParagraph"/>
        <w:shd w:val="clear" w:color="auto" w:fill="FFFFFF"/>
        <w:jc w:val="both"/>
        <w:rPr>
          <w:rFonts w:ascii="Arial" w:hAnsi="Arial" w:cs="Arial"/>
          <w:bCs/>
        </w:rPr>
      </w:pPr>
    </w:p>
    <w:p w14:paraId="675EE671" w14:textId="77777777" w:rsidR="00276368" w:rsidRDefault="00330FEC" w:rsidP="00276368">
      <w:pPr>
        <w:pStyle w:val="ListParagraph"/>
        <w:numPr>
          <w:ilvl w:val="0"/>
          <w:numId w:val="13"/>
        </w:numPr>
        <w:rPr>
          <w:rFonts w:ascii="Arial" w:hAnsi="Arial" w:cs="Arial"/>
          <w:bCs/>
        </w:rPr>
      </w:pPr>
      <w:r w:rsidRPr="00330FEC">
        <w:rPr>
          <w:rFonts w:ascii="Arial" w:hAnsi="Arial" w:cs="Arial"/>
          <w:b/>
        </w:rPr>
        <w:t>Unlicensed and Off-label Medicines Policy</w:t>
      </w:r>
      <w:r w:rsidR="00276368">
        <w:rPr>
          <w:rFonts w:ascii="Arial" w:hAnsi="Arial" w:cs="Arial"/>
          <w:b/>
        </w:rPr>
        <w:t xml:space="preserve"> - </w:t>
      </w:r>
      <w:r w:rsidR="00276368" w:rsidRPr="00276368">
        <w:rPr>
          <w:rFonts w:ascii="Arial" w:hAnsi="Arial" w:cs="Arial"/>
          <w:bCs/>
        </w:rPr>
        <w:t xml:space="preserve">This policy governs the use of unlicensed and off-label medicines within the Trust, ensuring safe, effective prescribing aligned with national regulations. While licensed medicines should be preferred, unlicensed or off-label use is acknowledged as sometimes necessary, especially in fields like psychiatry and paediatrics. </w:t>
      </w:r>
    </w:p>
    <w:p w14:paraId="3EBB6760" w14:textId="77777777" w:rsidR="00276368" w:rsidRPr="00276368" w:rsidRDefault="00276368" w:rsidP="00276368">
      <w:pPr>
        <w:pStyle w:val="ListParagraph"/>
        <w:rPr>
          <w:rFonts w:ascii="Arial" w:hAnsi="Arial" w:cs="Arial"/>
          <w:bCs/>
        </w:rPr>
      </w:pPr>
    </w:p>
    <w:p w14:paraId="76DB255B" w14:textId="6E7DB392" w:rsidR="00330FEC" w:rsidRPr="00276368" w:rsidRDefault="00276368" w:rsidP="00276368">
      <w:pPr>
        <w:pStyle w:val="ListParagraph"/>
        <w:rPr>
          <w:rFonts w:ascii="Arial" w:hAnsi="Arial" w:cs="Arial"/>
          <w:bCs/>
        </w:rPr>
      </w:pPr>
      <w:r w:rsidRPr="00276368">
        <w:rPr>
          <w:rFonts w:ascii="Arial" w:hAnsi="Arial" w:cs="Arial"/>
          <w:bCs/>
        </w:rPr>
        <w:t>The policy applies to all clinical staff involved in prescribing, dispensing, and administering these medicines, and sets out responsibilities to manage risks and ensure compliance. The Trust accepts liability when the policy is properly followed.</w:t>
      </w:r>
    </w:p>
    <w:p w14:paraId="603E8F49" w14:textId="2EF5FFA9" w:rsidR="00330FEC" w:rsidRPr="00330FEC" w:rsidRDefault="00330FEC" w:rsidP="00330FEC">
      <w:pPr>
        <w:pStyle w:val="ListParagraph"/>
        <w:shd w:val="clear" w:color="auto" w:fill="FFFFFF"/>
        <w:jc w:val="both"/>
        <w:rPr>
          <w:rFonts w:ascii="Arial" w:hAnsi="Arial" w:cs="Arial"/>
          <w:b/>
        </w:rPr>
      </w:pPr>
    </w:p>
    <w:p w14:paraId="1F9A6BAD" w14:textId="42D9B6D2" w:rsidR="00330FEC" w:rsidRDefault="00605FB9" w:rsidP="00330FEC">
      <w:pPr>
        <w:pStyle w:val="ListParagraph"/>
        <w:shd w:val="clear" w:color="auto" w:fill="FFFFFF"/>
        <w:jc w:val="both"/>
        <w:rPr>
          <w:rFonts w:ascii="Arial" w:hAnsi="Arial" w:cs="Arial"/>
          <w:b/>
        </w:rPr>
      </w:pPr>
      <w:r>
        <w:rPr>
          <w:rFonts w:ascii="Arial" w:hAnsi="Arial" w:cs="Arial"/>
          <w:b/>
        </w:rPr>
        <w:t>Vaccine PGDs</w:t>
      </w:r>
    </w:p>
    <w:p w14:paraId="10F0304D" w14:textId="77777777" w:rsidR="00605FB9" w:rsidRDefault="00605FB9" w:rsidP="00330FEC">
      <w:pPr>
        <w:pStyle w:val="ListParagraph"/>
        <w:shd w:val="clear" w:color="auto" w:fill="FFFFFF"/>
        <w:jc w:val="both"/>
        <w:rPr>
          <w:rFonts w:ascii="Arial" w:hAnsi="Arial" w:cs="Arial"/>
          <w:b/>
        </w:rPr>
      </w:pPr>
    </w:p>
    <w:p w14:paraId="03747892" w14:textId="5B2F3C90" w:rsidR="00433032" w:rsidRDefault="00330FEC" w:rsidP="00433032">
      <w:pPr>
        <w:pStyle w:val="ListParagraph"/>
        <w:shd w:val="clear" w:color="auto" w:fill="FFFFFF"/>
        <w:jc w:val="both"/>
        <w:rPr>
          <w:rFonts w:ascii="Arial" w:hAnsi="Arial" w:cs="Arial"/>
          <w:bCs/>
        </w:rPr>
      </w:pPr>
      <w:r>
        <w:rPr>
          <w:rFonts w:ascii="Arial" w:hAnsi="Arial" w:cs="Arial"/>
          <w:bCs/>
        </w:rPr>
        <w:t xml:space="preserve">The following </w:t>
      </w:r>
      <w:r w:rsidRPr="00276368">
        <w:rPr>
          <w:rFonts w:ascii="Arial" w:hAnsi="Arial" w:cs="Arial"/>
          <w:b/>
        </w:rPr>
        <w:t>Vaccine PGDs</w:t>
      </w:r>
      <w:r>
        <w:rPr>
          <w:rFonts w:ascii="Arial" w:hAnsi="Arial" w:cs="Arial"/>
          <w:bCs/>
        </w:rPr>
        <w:t xml:space="preserve"> were also updated in time for the 2025-2026 Flu season:</w:t>
      </w:r>
    </w:p>
    <w:p w14:paraId="64DDD058" w14:textId="77777777" w:rsidR="00330FEC" w:rsidRDefault="00330FEC" w:rsidP="00433032">
      <w:pPr>
        <w:pStyle w:val="ListParagraph"/>
        <w:shd w:val="clear" w:color="auto" w:fill="FFFFFF"/>
        <w:jc w:val="both"/>
        <w:rPr>
          <w:rFonts w:ascii="Arial" w:hAnsi="Arial" w:cs="Arial"/>
          <w:bCs/>
        </w:rPr>
      </w:pPr>
    </w:p>
    <w:p w14:paraId="794F0618" w14:textId="4A6C6C05" w:rsidR="00330FEC" w:rsidRDefault="00330FEC" w:rsidP="00330FEC">
      <w:pPr>
        <w:pStyle w:val="ListParagraph"/>
        <w:numPr>
          <w:ilvl w:val="0"/>
          <w:numId w:val="13"/>
        </w:numPr>
        <w:shd w:val="clear" w:color="auto" w:fill="FFFFFF"/>
        <w:jc w:val="both"/>
        <w:rPr>
          <w:rFonts w:ascii="Arial" w:hAnsi="Arial" w:cs="Arial"/>
          <w:bCs/>
        </w:rPr>
      </w:pPr>
      <w:r w:rsidRPr="00330FEC">
        <w:rPr>
          <w:rFonts w:ascii="Arial" w:hAnsi="Arial" w:cs="Arial"/>
          <w:bCs/>
        </w:rPr>
        <w:t>COVID-19 vaccine (5 years and over) Patient Group Direction</w:t>
      </w:r>
    </w:p>
    <w:p w14:paraId="0497C977" w14:textId="77777777" w:rsidR="00276368" w:rsidRPr="00330FEC" w:rsidRDefault="00276368" w:rsidP="00276368">
      <w:pPr>
        <w:pStyle w:val="ListParagraph"/>
        <w:shd w:val="clear" w:color="auto" w:fill="FFFFFF"/>
        <w:jc w:val="both"/>
        <w:rPr>
          <w:rFonts w:ascii="Arial" w:hAnsi="Arial" w:cs="Arial"/>
          <w:bCs/>
        </w:rPr>
      </w:pPr>
    </w:p>
    <w:p w14:paraId="1C328AC2" w14:textId="60AC34B2" w:rsidR="00276368" w:rsidRDefault="00330FEC" w:rsidP="00276368">
      <w:pPr>
        <w:pStyle w:val="ListParagraph"/>
        <w:numPr>
          <w:ilvl w:val="0"/>
          <w:numId w:val="13"/>
        </w:numPr>
        <w:shd w:val="clear" w:color="auto" w:fill="FFFFFF"/>
        <w:jc w:val="both"/>
        <w:rPr>
          <w:rFonts w:ascii="Arial" w:hAnsi="Arial" w:cs="Arial"/>
          <w:bCs/>
        </w:rPr>
      </w:pPr>
      <w:r w:rsidRPr="00330FEC">
        <w:rPr>
          <w:rFonts w:ascii="Arial" w:hAnsi="Arial" w:cs="Arial"/>
          <w:bCs/>
        </w:rPr>
        <w:t xml:space="preserve">Inactivated influenza vaccine Patient Group Direction (PGD) </w:t>
      </w:r>
    </w:p>
    <w:p w14:paraId="2EB0493D" w14:textId="77777777" w:rsidR="00276368" w:rsidRPr="00276368" w:rsidRDefault="00276368" w:rsidP="00276368">
      <w:pPr>
        <w:pStyle w:val="ListParagraph"/>
        <w:shd w:val="clear" w:color="auto" w:fill="FFFFFF"/>
        <w:jc w:val="both"/>
        <w:rPr>
          <w:rFonts w:ascii="Arial" w:hAnsi="Arial" w:cs="Arial"/>
          <w:bCs/>
        </w:rPr>
      </w:pPr>
    </w:p>
    <w:p w14:paraId="7907490B" w14:textId="77777777" w:rsidR="00330FEC" w:rsidRPr="00330FEC" w:rsidRDefault="00330FEC" w:rsidP="00330FEC">
      <w:pPr>
        <w:pStyle w:val="ListParagraph"/>
        <w:numPr>
          <w:ilvl w:val="0"/>
          <w:numId w:val="13"/>
        </w:numPr>
        <w:shd w:val="clear" w:color="auto" w:fill="FFFFFF"/>
        <w:jc w:val="both"/>
        <w:rPr>
          <w:rFonts w:ascii="Arial" w:hAnsi="Arial" w:cs="Arial"/>
          <w:bCs/>
        </w:rPr>
      </w:pPr>
      <w:r w:rsidRPr="00330FEC">
        <w:rPr>
          <w:rFonts w:ascii="Arial" w:hAnsi="Arial" w:cs="Arial"/>
          <w:bCs/>
        </w:rPr>
        <w:t xml:space="preserve">Written instruction to administer inactivated influenza vaccine </w:t>
      </w:r>
    </w:p>
    <w:p w14:paraId="5DF9B48C" w14:textId="77777777" w:rsidR="00276368" w:rsidRDefault="00276368" w:rsidP="00276368">
      <w:pPr>
        <w:pStyle w:val="ListParagraph"/>
        <w:shd w:val="clear" w:color="auto" w:fill="FFFFFF"/>
        <w:jc w:val="both"/>
        <w:rPr>
          <w:rFonts w:ascii="Arial" w:hAnsi="Arial" w:cs="Arial"/>
          <w:bCs/>
        </w:rPr>
      </w:pPr>
    </w:p>
    <w:p w14:paraId="5252AD69" w14:textId="053F06EF" w:rsidR="00330FEC" w:rsidRDefault="00330FEC" w:rsidP="00330FEC">
      <w:pPr>
        <w:pStyle w:val="ListParagraph"/>
        <w:numPr>
          <w:ilvl w:val="0"/>
          <w:numId w:val="13"/>
        </w:numPr>
        <w:shd w:val="clear" w:color="auto" w:fill="FFFFFF"/>
        <w:jc w:val="both"/>
        <w:rPr>
          <w:rFonts w:ascii="Arial" w:hAnsi="Arial" w:cs="Arial"/>
          <w:bCs/>
        </w:rPr>
      </w:pPr>
      <w:r w:rsidRPr="00330FEC">
        <w:rPr>
          <w:rFonts w:ascii="Arial" w:hAnsi="Arial" w:cs="Arial"/>
          <w:bCs/>
        </w:rPr>
        <w:t>Guidance for Prescribing and Administering Influenza Vaccine to eligible inpatient Service Users</w:t>
      </w:r>
    </w:p>
    <w:p w14:paraId="4EF66A01" w14:textId="77777777" w:rsidR="00395D70" w:rsidRPr="00395D70" w:rsidRDefault="00395D70" w:rsidP="00395D70">
      <w:pPr>
        <w:pStyle w:val="ListParagraph"/>
        <w:rPr>
          <w:rFonts w:ascii="Arial" w:hAnsi="Arial" w:cs="Arial"/>
          <w:bCs/>
        </w:rPr>
      </w:pPr>
    </w:p>
    <w:p w14:paraId="1317FDA8" w14:textId="77777777" w:rsidR="00395D70" w:rsidRPr="00395D70" w:rsidRDefault="00395D70" w:rsidP="00395D70">
      <w:pPr>
        <w:pStyle w:val="ListParagraph"/>
        <w:numPr>
          <w:ilvl w:val="0"/>
          <w:numId w:val="13"/>
        </w:numPr>
        <w:rPr>
          <w:rFonts w:ascii="Arial" w:hAnsi="Arial" w:cs="Arial"/>
          <w:bCs/>
        </w:rPr>
      </w:pPr>
      <w:r w:rsidRPr="00395D70">
        <w:rPr>
          <w:rFonts w:ascii="Arial" w:hAnsi="Arial" w:cs="Arial"/>
          <w:bCs/>
        </w:rPr>
        <w:t>COVID-19 Hospital Hub Directorate Mobile Clinics for Inpatients Vaccination</w:t>
      </w:r>
    </w:p>
    <w:p w14:paraId="06B0FD69" w14:textId="77777777" w:rsidR="00395D70" w:rsidRDefault="00395D70" w:rsidP="00395D70">
      <w:pPr>
        <w:pStyle w:val="ListParagraph"/>
        <w:shd w:val="clear" w:color="auto" w:fill="FFFFFF"/>
        <w:jc w:val="both"/>
        <w:rPr>
          <w:rFonts w:ascii="Arial" w:hAnsi="Arial" w:cs="Arial"/>
          <w:bCs/>
        </w:rPr>
      </w:pPr>
    </w:p>
    <w:p w14:paraId="09490567" w14:textId="77777777" w:rsidR="00433032" w:rsidRPr="00DA06F7" w:rsidRDefault="00433032" w:rsidP="00DA06F7">
      <w:pPr>
        <w:shd w:val="clear" w:color="auto" w:fill="FFFFFF"/>
        <w:jc w:val="both"/>
        <w:rPr>
          <w:rFonts w:ascii="Arial" w:hAnsi="Arial" w:cs="Arial"/>
          <w:bCs/>
        </w:rPr>
      </w:pPr>
    </w:p>
    <w:p w14:paraId="66EE05D7" w14:textId="77777777" w:rsidR="00837C00" w:rsidRPr="00433032" w:rsidRDefault="00837C00" w:rsidP="00433032">
      <w:pPr>
        <w:jc w:val="both"/>
        <w:rPr>
          <w:rFonts w:ascii="Arial" w:hAnsi="Arial" w:cs="Arial"/>
        </w:rPr>
      </w:pPr>
    </w:p>
    <w:sectPr w:rsidR="00837C00" w:rsidRPr="0043303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3F0C" w14:textId="77777777" w:rsidR="00DA06F7" w:rsidRDefault="00DA06F7" w:rsidP="00DA06F7">
      <w:pPr>
        <w:spacing w:after="0" w:line="240" w:lineRule="auto"/>
      </w:pPr>
      <w:r>
        <w:separator/>
      </w:r>
    </w:p>
  </w:endnote>
  <w:endnote w:type="continuationSeparator" w:id="0">
    <w:p w14:paraId="28892870" w14:textId="77777777" w:rsidR="00DA06F7" w:rsidRDefault="00DA06F7" w:rsidP="00DA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2E23" w14:textId="2DE157C4" w:rsidR="00DA06F7" w:rsidRPr="00DA06F7" w:rsidRDefault="00DA06F7" w:rsidP="00DA06F7">
    <w:pPr>
      <w:pStyle w:val="Footer"/>
      <w:rPr>
        <w:sz w:val="20"/>
        <w:szCs w:val="20"/>
      </w:rPr>
    </w:pPr>
    <w:r w:rsidRPr="00DA06F7">
      <w:rPr>
        <w:sz w:val="20"/>
        <w:szCs w:val="20"/>
      </w:rPr>
      <w:t xml:space="preserve">Rashida Khatun </w:t>
    </w:r>
  </w:p>
  <w:p w14:paraId="02153180" w14:textId="60A2D292" w:rsidR="00DA06F7" w:rsidRPr="00DA06F7" w:rsidRDefault="00DA06F7" w:rsidP="00DA06F7">
    <w:pPr>
      <w:pStyle w:val="Footer"/>
      <w:rPr>
        <w:sz w:val="20"/>
        <w:szCs w:val="20"/>
      </w:rPr>
    </w:pPr>
    <w:r w:rsidRPr="00DA06F7">
      <w:rPr>
        <w:sz w:val="20"/>
        <w:szCs w:val="20"/>
      </w:rPr>
      <w:t>Governance &amp; Risk Facilitator</w:t>
    </w:r>
  </w:p>
  <w:p w14:paraId="47120551" w14:textId="77777777" w:rsidR="00DA06F7" w:rsidRPr="00DA06F7" w:rsidRDefault="00DA06F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B73E" w14:textId="77777777" w:rsidR="00DA06F7" w:rsidRDefault="00DA06F7" w:rsidP="00DA06F7">
      <w:pPr>
        <w:spacing w:after="0" w:line="240" w:lineRule="auto"/>
      </w:pPr>
      <w:r>
        <w:separator/>
      </w:r>
    </w:p>
  </w:footnote>
  <w:footnote w:type="continuationSeparator" w:id="0">
    <w:p w14:paraId="0F800C2F" w14:textId="77777777" w:rsidR="00DA06F7" w:rsidRDefault="00DA06F7" w:rsidP="00DA0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FBB"/>
    <w:multiLevelType w:val="hybridMultilevel"/>
    <w:tmpl w:val="5D94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B278A"/>
    <w:multiLevelType w:val="hybridMultilevel"/>
    <w:tmpl w:val="EE0A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67F56"/>
    <w:multiLevelType w:val="hybridMultilevel"/>
    <w:tmpl w:val="D1F8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600AC"/>
    <w:multiLevelType w:val="hybridMultilevel"/>
    <w:tmpl w:val="C6E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A45A0"/>
    <w:multiLevelType w:val="hybridMultilevel"/>
    <w:tmpl w:val="9300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E784A"/>
    <w:multiLevelType w:val="hybridMultilevel"/>
    <w:tmpl w:val="F27C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104E1A"/>
    <w:multiLevelType w:val="hybridMultilevel"/>
    <w:tmpl w:val="C632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8144D"/>
    <w:multiLevelType w:val="hybridMultilevel"/>
    <w:tmpl w:val="D46E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F5915"/>
    <w:multiLevelType w:val="hybridMultilevel"/>
    <w:tmpl w:val="A6E8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61D14"/>
    <w:multiLevelType w:val="hybridMultilevel"/>
    <w:tmpl w:val="7C8815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A195F7C"/>
    <w:multiLevelType w:val="hybridMultilevel"/>
    <w:tmpl w:val="17C8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A96680"/>
    <w:multiLevelType w:val="hybridMultilevel"/>
    <w:tmpl w:val="042699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077F67"/>
    <w:multiLevelType w:val="hybridMultilevel"/>
    <w:tmpl w:val="FEB0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215189">
    <w:abstractNumId w:val="10"/>
  </w:num>
  <w:num w:numId="2" w16cid:durableId="1359428831">
    <w:abstractNumId w:val="9"/>
  </w:num>
  <w:num w:numId="3" w16cid:durableId="236330488">
    <w:abstractNumId w:val="7"/>
  </w:num>
  <w:num w:numId="4" w16cid:durableId="935863302">
    <w:abstractNumId w:val="6"/>
  </w:num>
  <w:num w:numId="5" w16cid:durableId="1489441404">
    <w:abstractNumId w:val="12"/>
  </w:num>
  <w:num w:numId="6" w16cid:durableId="757169582">
    <w:abstractNumId w:val="3"/>
  </w:num>
  <w:num w:numId="7" w16cid:durableId="300502201">
    <w:abstractNumId w:val="0"/>
  </w:num>
  <w:num w:numId="8" w16cid:durableId="453982112">
    <w:abstractNumId w:val="8"/>
  </w:num>
  <w:num w:numId="9" w16cid:durableId="824662064">
    <w:abstractNumId w:val="5"/>
  </w:num>
  <w:num w:numId="10" w16cid:durableId="1352144837">
    <w:abstractNumId w:val="2"/>
  </w:num>
  <w:num w:numId="11" w16cid:durableId="2034722542">
    <w:abstractNumId w:val="11"/>
  </w:num>
  <w:num w:numId="12" w16cid:durableId="842554275">
    <w:abstractNumId w:val="4"/>
  </w:num>
  <w:num w:numId="13" w16cid:durableId="194703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83"/>
    <w:rsid w:val="000152F4"/>
    <w:rsid w:val="00023DF7"/>
    <w:rsid w:val="000F0FB4"/>
    <w:rsid w:val="00134492"/>
    <w:rsid w:val="001736A8"/>
    <w:rsid w:val="001C49A2"/>
    <w:rsid w:val="001C4F23"/>
    <w:rsid w:val="001E114B"/>
    <w:rsid w:val="001E1BFE"/>
    <w:rsid w:val="002550DC"/>
    <w:rsid w:val="00276368"/>
    <w:rsid w:val="002C498C"/>
    <w:rsid w:val="002C51CD"/>
    <w:rsid w:val="002C6728"/>
    <w:rsid w:val="00330FEC"/>
    <w:rsid w:val="0037187A"/>
    <w:rsid w:val="00374D7F"/>
    <w:rsid w:val="00395D70"/>
    <w:rsid w:val="003D21EF"/>
    <w:rsid w:val="003F269D"/>
    <w:rsid w:val="004206F3"/>
    <w:rsid w:val="00433032"/>
    <w:rsid w:val="0044140E"/>
    <w:rsid w:val="00453284"/>
    <w:rsid w:val="004642CB"/>
    <w:rsid w:val="004705C3"/>
    <w:rsid w:val="00473CC2"/>
    <w:rsid w:val="00480688"/>
    <w:rsid w:val="00515AF0"/>
    <w:rsid w:val="00595A21"/>
    <w:rsid w:val="005A2BEA"/>
    <w:rsid w:val="005F6E70"/>
    <w:rsid w:val="00605FB9"/>
    <w:rsid w:val="0063220F"/>
    <w:rsid w:val="0069092A"/>
    <w:rsid w:val="006A4EF2"/>
    <w:rsid w:val="006B65C9"/>
    <w:rsid w:val="006D000B"/>
    <w:rsid w:val="006F3F1F"/>
    <w:rsid w:val="0071013B"/>
    <w:rsid w:val="007C726B"/>
    <w:rsid w:val="00821B64"/>
    <w:rsid w:val="00837C00"/>
    <w:rsid w:val="008C6803"/>
    <w:rsid w:val="008F4DB2"/>
    <w:rsid w:val="00965683"/>
    <w:rsid w:val="0097187F"/>
    <w:rsid w:val="00983FE6"/>
    <w:rsid w:val="009B0763"/>
    <w:rsid w:val="009B684D"/>
    <w:rsid w:val="009C15D1"/>
    <w:rsid w:val="009D33ED"/>
    <w:rsid w:val="009D5F7E"/>
    <w:rsid w:val="00A72E97"/>
    <w:rsid w:val="00AD217C"/>
    <w:rsid w:val="00B72C3E"/>
    <w:rsid w:val="00B73BFE"/>
    <w:rsid w:val="00BE3A04"/>
    <w:rsid w:val="00BE5CBE"/>
    <w:rsid w:val="00C826F6"/>
    <w:rsid w:val="00CF2C2F"/>
    <w:rsid w:val="00D3583A"/>
    <w:rsid w:val="00D35F98"/>
    <w:rsid w:val="00D6086E"/>
    <w:rsid w:val="00DA06F7"/>
    <w:rsid w:val="00DD4632"/>
    <w:rsid w:val="00E6405C"/>
    <w:rsid w:val="00E65F53"/>
    <w:rsid w:val="00EA45B3"/>
    <w:rsid w:val="00EA7106"/>
    <w:rsid w:val="00EE356F"/>
    <w:rsid w:val="00F06F81"/>
    <w:rsid w:val="00F344B8"/>
    <w:rsid w:val="00FD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8ACB"/>
  <w15:chartTrackingRefBased/>
  <w15:docId w15:val="{2525C32B-F83A-467B-83D4-9B8E42C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6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56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56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56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56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5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56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56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56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56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5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683"/>
    <w:rPr>
      <w:rFonts w:eastAsiaTheme="majorEastAsia" w:cstheme="majorBidi"/>
      <w:color w:val="272727" w:themeColor="text1" w:themeTint="D8"/>
    </w:rPr>
  </w:style>
  <w:style w:type="paragraph" w:styleId="Title">
    <w:name w:val="Title"/>
    <w:basedOn w:val="Normal"/>
    <w:next w:val="Normal"/>
    <w:link w:val="TitleChar"/>
    <w:uiPriority w:val="10"/>
    <w:qFormat/>
    <w:rsid w:val="00965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683"/>
    <w:pPr>
      <w:spacing w:before="160"/>
      <w:jc w:val="center"/>
    </w:pPr>
    <w:rPr>
      <w:i/>
      <w:iCs/>
      <w:color w:val="404040" w:themeColor="text1" w:themeTint="BF"/>
    </w:rPr>
  </w:style>
  <w:style w:type="character" w:customStyle="1" w:styleId="QuoteChar">
    <w:name w:val="Quote Char"/>
    <w:basedOn w:val="DefaultParagraphFont"/>
    <w:link w:val="Quote"/>
    <w:uiPriority w:val="29"/>
    <w:rsid w:val="00965683"/>
    <w:rPr>
      <w:i/>
      <w:iCs/>
      <w:color w:val="404040" w:themeColor="text1" w:themeTint="BF"/>
    </w:rPr>
  </w:style>
  <w:style w:type="paragraph" w:styleId="ListParagraph">
    <w:name w:val="List Paragraph"/>
    <w:basedOn w:val="Normal"/>
    <w:uiPriority w:val="34"/>
    <w:qFormat/>
    <w:rsid w:val="00965683"/>
    <w:pPr>
      <w:ind w:left="720"/>
      <w:contextualSpacing/>
    </w:pPr>
  </w:style>
  <w:style w:type="character" w:styleId="IntenseEmphasis">
    <w:name w:val="Intense Emphasis"/>
    <w:basedOn w:val="DefaultParagraphFont"/>
    <w:uiPriority w:val="21"/>
    <w:qFormat/>
    <w:rsid w:val="00965683"/>
    <w:rPr>
      <w:i/>
      <w:iCs/>
      <w:color w:val="2E74B5" w:themeColor="accent1" w:themeShade="BF"/>
    </w:rPr>
  </w:style>
  <w:style w:type="paragraph" w:styleId="IntenseQuote">
    <w:name w:val="Intense Quote"/>
    <w:basedOn w:val="Normal"/>
    <w:next w:val="Normal"/>
    <w:link w:val="IntenseQuoteChar"/>
    <w:uiPriority w:val="30"/>
    <w:qFormat/>
    <w:rsid w:val="009656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5683"/>
    <w:rPr>
      <w:i/>
      <w:iCs/>
      <w:color w:val="2E74B5" w:themeColor="accent1" w:themeShade="BF"/>
    </w:rPr>
  </w:style>
  <w:style w:type="character" w:styleId="IntenseReference">
    <w:name w:val="Intense Reference"/>
    <w:basedOn w:val="DefaultParagraphFont"/>
    <w:uiPriority w:val="32"/>
    <w:qFormat/>
    <w:rsid w:val="00965683"/>
    <w:rPr>
      <w:b/>
      <w:bCs/>
      <w:smallCaps/>
      <w:color w:val="2E74B5" w:themeColor="accent1" w:themeShade="BF"/>
      <w:spacing w:val="5"/>
    </w:rPr>
  </w:style>
  <w:style w:type="table" w:styleId="TableGrid">
    <w:name w:val="Table Grid"/>
    <w:basedOn w:val="TableNormal"/>
    <w:rsid w:val="00F06F8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F81"/>
    <w:rPr>
      <w:color w:val="0563C1" w:themeColor="hyperlink"/>
      <w:u w:val="single"/>
    </w:rPr>
  </w:style>
  <w:style w:type="character" w:customStyle="1" w:styleId="UnresolvedMention1">
    <w:name w:val="Unresolved Mention1"/>
    <w:basedOn w:val="DefaultParagraphFont"/>
    <w:uiPriority w:val="99"/>
    <w:semiHidden/>
    <w:unhideWhenUsed/>
    <w:rsid w:val="00C826F6"/>
    <w:rPr>
      <w:color w:val="605E5C"/>
      <w:shd w:val="clear" w:color="auto" w:fill="E1DFDD"/>
    </w:rPr>
  </w:style>
  <w:style w:type="character" w:customStyle="1" w:styleId="UnresolvedMention2">
    <w:name w:val="Unresolved Mention2"/>
    <w:basedOn w:val="DefaultParagraphFont"/>
    <w:uiPriority w:val="99"/>
    <w:semiHidden/>
    <w:unhideWhenUsed/>
    <w:rsid w:val="006D000B"/>
    <w:rPr>
      <w:color w:val="605E5C"/>
      <w:shd w:val="clear" w:color="auto" w:fill="E1DFDD"/>
    </w:rPr>
  </w:style>
  <w:style w:type="paragraph" w:styleId="Revision">
    <w:name w:val="Revision"/>
    <w:hidden/>
    <w:uiPriority w:val="99"/>
    <w:semiHidden/>
    <w:rsid w:val="000152F4"/>
    <w:pPr>
      <w:spacing w:after="0" w:line="240" w:lineRule="auto"/>
    </w:pPr>
  </w:style>
  <w:style w:type="character" w:customStyle="1" w:styleId="UnresolvedMention3">
    <w:name w:val="Unresolved Mention3"/>
    <w:basedOn w:val="DefaultParagraphFont"/>
    <w:uiPriority w:val="99"/>
    <w:semiHidden/>
    <w:unhideWhenUsed/>
    <w:rsid w:val="00A72E97"/>
    <w:rPr>
      <w:color w:val="605E5C"/>
      <w:shd w:val="clear" w:color="auto" w:fill="E1DFDD"/>
    </w:rPr>
  </w:style>
  <w:style w:type="character" w:customStyle="1" w:styleId="UnresolvedMention4">
    <w:name w:val="Unresolved Mention4"/>
    <w:basedOn w:val="DefaultParagraphFont"/>
    <w:uiPriority w:val="99"/>
    <w:semiHidden/>
    <w:unhideWhenUsed/>
    <w:rsid w:val="00605FB9"/>
    <w:rPr>
      <w:color w:val="605E5C"/>
      <w:shd w:val="clear" w:color="auto" w:fill="E1DFDD"/>
    </w:rPr>
  </w:style>
  <w:style w:type="character" w:styleId="FollowedHyperlink">
    <w:name w:val="FollowedHyperlink"/>
    <w:basedOn w:val="DefaultParagraphFont"/>
    <w:uiPriority w:val="99"/>
    <w:semiHidden/>
    <w:unhideWhenUsed/>
    <w:rsid w:val="00605FB9"/>
    <w:rPr>
      <w:color w:val="954F72" w:themeColor="followedHyperlink"/>
      <w:u w:val="single"/>
    </w:rPr>
  </w:style>
  <w:style w:type="paragraph" w:styleId="Header">
    <w:name w:val="header"/>
    <w:basedOn w:val="Normal"/>
    <w:link w:val="HeaderChar"/>
    <w:uiPriority w:val="99"/>
    <w:unhideWhenUsed/>
    <w:rsid w:val="00DA0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6F7"/>
  </w:style>
  <w:style w:type="paragraph" w:styleId="Footer">
    <w:name w:val="footer"/>
    <w:basedOn w:val="Normal"/>
    <w:link w:val="FooterChar"/>
    <w:uiPriority w:val="99"/>
    <w:unhideWhenUsed/>
    <w:rsid w:val="00DA0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sites/default/files/202509/Overarching%20Clinical%20Guidelines%20%28Marsden%20Manual%29%20Policy%203.0.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lft.nhs.uk/intranet/teams-support-me/governance-and-risk-management/policy-management/trust-policies" TargetMode="External"/><Relationship Id="rId12" Type="http://schemas.openxmlformats.org/officeDocument/2006/relationships/hyperlink" Target="https://www.elft.nhs.uk/system/files/202509/Display%20Screen%20Equipment%20DSE%20Policy%207.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ft.nhs.uk/sites/default/files/2025-09/Venepuncture%20Policy%204.0.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lft.nhs.uk/sites/default/files/2025-09/DNAWNB%20Policy%206.0.docx" TargetMode="External"/><Relationship Id="rId4" Type="http://schemas.openxmlformats.org/officeDocument/2006/relationships/webSettings" Target="webSettings.xml"/><Relationship Id="rId9" Type="http://schemas.openxmlformats.org/officeDocument/2006/relationships/hyperlink" Target="https://www.elft.nhs.uk/intranet/documents/physical-healthcare-policy-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3</cp:revision>
  <dcterms:created xsi:type="dcterms:W3CDTF">2025-10-07T09:01:00Z</dcterms:created>
  <dcterms:modified xsi:type="dcterms:W3CDTF">2025-10-07T09:04:00Z</dcterms:modified>
</cp:coreProperties>
</file>