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1414" w14:textId="05E34A2A" w:rsidR="000F6CE4" w:rsidRDefault="00B4413F">
      <w:pPr>
        <w:rPr>
          <w:b/>
          <w:bCs/>
          <w:sz w:val="24"/>
          <w:szCs w:val="24"/>
          <w:u w:val="single"/>
        </w:rPr>
      </w:pPr>
      <w:r w:rsidRPr="00B4413F">
        <w:rPr>
          <w:b/>
          <w:bCs/>
          <w:sz w:val="24"/>
          <w:szCs w:val="24"/>
          <w:u w:val="single"/>
        </w:rPr>
        <w:t>OT/Physio criteria &amp; signposting – info for COD</w:t>
      </w:r>
    </w:p>
    <w:p w14:paraId="43693B7B" w14:textId="63C34014" w:rsidR="007B65DC" w:rsidRDefault="007B65DC">
      <w:pPr>
        <w:rPr>
          <w:sz w:val="24"/>
          <w:szCs w:val="24"/>
        </w:rPr>
      </w:pPr>
      <w:r>
        <w:rPr>
          <w:sz w:val="24"/>
          <w:szCs w:val="24"/>
        </w:rPr>
        <w:t>Overview</w:t>
      </w:r>
    </w:p>
    <w:p w14:paraId="0847A7F0" w14:textId="72173534" w:rsidR="007B65DC" w:rsidRDefault="007B65DC">
      <w:pPr>
        <w:rPr>
          <w:sz w:val="24"/>
          <w:szCs w:val="24"/>
        </w:rPr>
      </w:pPr>
      <w:r>
        <w:rPr>
          <w:sz w:val="24"/>
          <w:szCs w:val="24"/>
        </w:rPr>
        <w:t xml:space="preserve">SPLD OT sits within ELFT’s mental health services and as such focuses primarily on an individual’s needs in terms of their mental health/learning disability. We would not accept a referral that is explicitly for a physical health issue, unless the individual’s </w:t>
      </w:r>
      <w:r w:rsidR="00401AAD">
        <w:rPr>
          <w:sz w:val="24"/>
          <w:szCs w:val="24"/>
        </w:rPr>
        <w:t>behaviours of concern</w:t>
      </w:r>
      <w:r w:rsidR="00C16042">
        <w:rPr>
          <w:sz w:val="24"/>
          <w:szCs w:val="24"/>
        </w:rPr>
        <w:t>/distress</w:t>
      </w:r>
      <w:r w:rsidR="00401AAD">
        <w:rPr>
          <w:sz w:val="24"/>
          <w:szCs w:val="24"/>
        </w:rPr>
        <w:t xml:space="preserve"> were such that an OT in another team could not assess their needs adequately, or the need arises from a cumulative effect of </w:t>
      </w:r>
      <w:r w:rsidR="00401F56">
        <w:rPr>
          <w:sz w:val="24"/>
          <w:szCs w:val="24"/>
        </w:rPr>
        <w:t>physical health needs and one</w:t>
      </w:r>
      <w:r w:rsidR="00401AAD">
        <w:rPr>
          <w:sz w:val="24"/>
          <w:szCs w:val="24"/>
        </w:rPr>
        <w:t xml:space="preserve"> or more of the following: learning disability and/or mental health needs, sensory integration difficulties and/or due to issues inherent in the environment/caregiver approach.</w:t>
      </w:r>
    </w:p>
    <w:p w14:paraId="10B84211" w14:textId="32628AE7" w:rsidR="00401AAD" w:rsidRDefault="00870A35">
      <w:pPr>
        <w:rPr>
          <w:sz w:val="24"/>
          <w:szCs w:val="24"/>
        </w:rPr>
      </w:pPr>
      <w:r>
        <w:rPr>
          <w:sz w:val="24"/>
          <w:szCs w:val="24"/>
        </w:rPr>
        <w:t>Where equipment is required</w:t>
      </w:r>
      <w:r w:rsidR="00401AAD">
        <w:rPr>
          <w:sz w:val="24"/>
          <w:szCs w:val="24"/>
        </w:rPr>
        <w:t>, we would often undertake a joint assessment with our community OT colleagues, but the referral should be sent to the community OT’s in the first instance.</w:t>
      </w:r>
      <w:r w:rsidR="00404F77">
        <w:rPr>
          <w:sz w:val="24"/>
          <w:szCs w:val="24"/>
        </w:rPr>
        <w:t xml:space="preserve"> </w:t>
      </w:r>
    </w:p>
    <w:p w14:paraId="0731EA5C" w14:textId="6648823E" w:rsidR="00ED4545" w:rsidRDefault="00ED4545">
      <w:pPr>
        <w:rPr>
          <w:sz w:val="24"/>
          <w:szCs w:val="24"/>
        </w:rPr>
      </w:pPr>
      <w:r>
        <w:rPr>
          <w:sz w:val="24"/>
          <w:szCs w:val="24"/>
        </w:rPr>
        <w:t xml:space="preserve">There are some </w:t>
      </w:r>
      <w:r w:rsidR="00E5626E">
        <w:rPr>
          <w:sz w:val="24"/>
          <w:szCs w:val="24"/>
        </w:rPr>
        <w:t>differences in scope, funding and line management for each of the services</w:t>
      </w:r>
      <w:r w:rsidR="00DF3144">
        <w:rPr>
          <w:sz w:val="24"/>
          <w:szCs w:val="24"/>
        </w:rPr>
        <w:t>, including:</w:t>
      </w:r>
    </w:p>
    <w:p w14:paraId="400A577D" w14:textId="77777777" w:rsidR="00D24094" w:rsidRPr="00DF3144" w:rsidRDefault="00D24094" w:rsidP="00D240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3144">
        <w:rPr>
          <w:sz w:val="24"/>
          <w:szCs w:val="24"/>
        </w:rPr>
        <w:t>SPLD Physio is employed by Bedfordshire Hospital and seconded to ELFT, therefore is managed by the acute hospital Trust.</w:t>
      </w:r>
    </w:p>
    <w:p w14:paraId="7C0D68AC" w14:textId="200083AC" w:rsidR="00401AAD" w:rsidRPr="00DF3144" w:rsidRDefault="00401AAD" w:rsidP="00DF31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3144">
        <w:rPr>
          <w:sz w:val="24"/>
          <w:szCs w:val="24"/>
        </w:rPr>
        <w:t>SPLD physiotherapy will, for the most part, accept the same referrals as another physiotherapy team with the exception of pure respiratory interventions</w:t>
      </w:r>
      <w:r w:rsidR="00C66E0A">
        <w:rPr>
          <w:sz w:val="24"/>
          <w:szCs w:val="24"/>
        </w:rPr>
        <w:t>, which sit with a specific community respiratory team</w:t>
      </w:r>
      <w:r w:rsidRPr="00DF3144">
        <w:rPr>
          <w:sz w:val="24"/>
          <w:szCs w:val="24"/>
        </w:rPr>
        <w:t>.</w:t>
      </w:r>
      <w:r w:rsidR="00DF3144">
        <w:rPr>
          <w:sz w:val="24"/>
          <w:szCs w:val="24"/>
        </w:rPr>
        <w:t xml:space="preserve"> </w:t>
      </w:r>
    </w:p>
    <w:p w14:paraId="6E08E9D0" w14:textId="77777777" w:rsidR="004A2373" w:rsidRPr="00DF3144" w:rsidRDefault="00DB398A" w:rsidP="00DF31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3144">
        <w:rPr>
          <w:sz w:val="24"/>
          <w:szCs w:val="24"/>
        </w:rPr>
        <w:t>SPLD OT sits under the ELFT Luton &amp; Beds mental health directorate</w:t>
      </w:r>
      <w:r w:rsidR="00A07DED" w:rsidRPr="00DF3144">
        <w:rPr>
          <w:sz w:val="24"/>
          <w:szCs w:val="24"/>
        </w:rPr>
        <w:t xml:space="preserve"> and has a different management structure to the OT’s in </w:t>
      </w:r>
      <w:r w:rsidR="0042023C" w:rsidRPr="00DF3144">
        <w:rPr>
          <w:sz w:val="24"/>
          <w:szCs w:val="24"/>
        </w:rPr>
        <w:t xml:space="preserve">Bedfordshire Community Health Services. </w:t>
      </w:r>
    </w:p>
    <w:p w14:paraId="67580FBE" w14:textId="77777777" w:rsidR="007D0734" w:rsidRPr="00DF3144" w:rsidRDefault="004A2373" w:rsidP="00DF31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3144">
        <w:rPr>
          <w:sz w:val="24"/>
          <w:szCs w:val="24"/>
        </w:rPr>
        <w:t xml:space="preserve">Bedfordshire Community Health Services only cover </w:t>
      </w:r>
      <w:r w:rsidR="006432C9" w:rsidRPr="00DF3144">
        <w:rPr>
          <w:sz w:val="24"/>
          <w:szCs w:val="24"/>
        </w:rPr>
        <w:t xml:space="preserve">Bedford and Central Beds local authority areas. </w:t>
      </w:r>
      <w:r w:rsidR="009626E4" w:rsidRPr="00DF3144">
        <w:rPr>
          <w:sz w:val="24"/>
          <w:szCs w:val="24"/>
        </w:rPr>
        <w:t xml:space="preserve">There are three main teams that sit within this structure, namely </w:t>
      </w:r>
      <w:r w:rsidR="00C6504C" w:rsidRPr="00DF3144">
        <w:rPr>
          <w:sz w:val="24"/>
          <w:szCs w:val="24"/>
        </w:rPr>
        <w:t xml:space="preserve">the North Team (Bedford, based in the admin block in </w:t>
      </w:r>
      <w:r w:rsidR="00F3583C" w:rsidRPr="00DF3144">
        <w:rPr>
          <w:sz w:val="24"/>
          <w:szCs w:val="24"/>
        </w:rPr>
        <w:t>Twinwoods</w:t>
      </w:r>
      <w:r w:rsidR="00C6504C" w:rsidRPr="00DF3144">
        <w:rPr>
          <w:sz w:val="24"/>
          <w:szCs w:val="24"/>
        </w:rPr>
        <w:t>)</w:t>
      </w:r>
      <w:r w:rsidR="00F3583C" w:rsidRPr="00DF3144">
        <w:rPr>
          <w:sz w:val="24"/>
          <w:szCs w:val="24"/>
        </w:rPr>
        <w:t>,</w:t>
      </w:r>
      <w:r w:rsidR="00C6504C" w:rsidRPr="00DF3144">
        <w:rPr>
          <w:sz w:val="24"/>
          <w:szCs w:val="24"/>
        </w:rPr>
        <w:t xml:space="preserve"> Mid</w:t>
      </w:r>
      <w:r w:rsidR="00F3583C" w:rsidRPr="00DF3144">
        <w:rPr>
          <w:sz w:val="24"/>
          <w:szCs w:val="24"/>
        </w:rPr>
        <w:t xml:space="preserve"> (Ampthill/Biggleswade areas, based in Shefford Health Centre) and South (Dunstable and Leighton Buzzard area, based in Grove View in Dunstable). </w:t>
      </w:r>
      <w:r w:rsidR="001B1F01" w:rsidRPr="00DF3144">
        <w:rPr>
          <w:sz w:val="24"/>
          <w:szCs w:val="24"/>
        </w:rPr>
        <w:t xml:space="preserve">All three teams </w:t>
      </w:r>
      <w:r w:rsidR="007D0734" w:rsidRPr="00DF3144">
        <w:rPr>
          <w:sz w:val="24"/>
          <w:szCs w:val="24"/>
        </w:rPr>
        <w:t>take referrals via the Single Point of Access.</w:t>
      </w:r>
    </w:p>
    <w:p w14:paraId="24B3B3F1" w14:textId="6DBE5BF8" w:rsidR="00ED4545" w:rsidRPr="00DF3144" w:rsidRDefault="00ED4545" w:rsidP="00DF31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3144">
        <w:rPr>
          <w:sz w:val="24"/>
          <w:szCs w:val="24"/>
        </w:rPr>
        <w:t>The wheelchair service is a countywide service, based in Steppingly Hospital.</w:t>
      </w:r>
    </w:p>
    <w:p w14:paraId="799AD414" w14:textId="38547BCE" w:rsidR="009626E4" w:rsidRPr="00DF3144" w:rsidRDefault="006432C9" w:rsidP="00DF31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3144">
        <w:rPr>
          <w:sz w:val="24"/>
          <w:szCs w:val="24"/>
        </w:rPr>
        <w:t xml:space="preserve">In Luton, all </w:t>
      </w:r>
      <w:r w:rsidR="009626E4" w:rsidRPr="00DF3144">
        <w:rPr>
          <w:sz w:val="24"/>
          <w:szCs w:val="24"/>
        </w:rPr>
        <w:t>non-mental health equipment services are provided by the Local Authority.</w:t>
      </w:r>
    </w:p>
    <w:p w14:paraId="2172A0D2" w14:textId="794A9F21" w:rsidR="00EF26E3" w:rsidRDefault="00C81247" w:rsidP="00DF31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3144">
        <w:rPr>
          <w:sz w:val="24"/>
          <w:szCs w:val="24"/>
        </w:rPr>
        <w:t xml:space="preserve">As well as each having particular areas of focus and </w:t>
      </w:r>
      <w:r w:rsidR="00DA133D" w:rsidRPr="00DF3144">
        <w:rPr>
          <w:sz w:val="24"/>
          <w:szCs w:val="24"/>
        </w:rPr>
        <w:t xml:space="preserve">expertise, each OT and physiotherapy team has </w:t>
      </w:r>
      <w:r w:rsidR="007D0734" w:rsidRPr="00DF3144">
        <w:rPr>
          <w:sz w:val="24"/>
          <w:szCs w:val="24"/>
        </w:rPr>
        <w:t>funding</w:t>
      </w:r>
      <w:r w:rsidR="00DA133D" w:rsidRPr="00DF3144">
        <w:rPr>
          <w:sz w:val="24"/>
          <w:szCs w:val="24"/>
        </w:rPr>
        <w:t xml:space="preserve"> limits, beyond which they cannot prescribe</w:t>
      </w:r>
      <w:r w:rsidR="009B1E5F" w:rsidRPr="00DF3144">
        <w:rPr>
          <w:sz w:val="24"/>
          <w:szCs w:val="24"/>
        </w:rPr>
        <w:t xml:space="preserve"> equipment.</w:t>
      </w:r>
    </w:p>
    <w:p w14:paraId="634034BE" w14:textId="4ACA2ACB" w:rsidR="00343846" w:rsidRPr="00955BE7" w:rsidRDefault="00343846" w:rsidP="00DF31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55BE7">
        <w:rPr>
          <w:sz w:val="24"/>
          <w:szCs w:val="24"/>
        </w:rPr>
        <w:t>Major adaptations require referral to the client’s relevant Local Authority – Bedford Borough Council OT’s, Central Bedfordshire Borough Council OT’s and Luton Borough Council OT’s.</w:t>
      </w:r>
    </w:p>
    <w:p w14:paraId="7509076E" w14:textId="1CDF5CEF" w:rsidR="009B1E5F" w:rsidRDefault="009B1E5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Below is a table which seeks to </w:t>
      </w:r>
      <w:r w:rsidR="001452A6">
        <w:rPr>
          <w:sz w:val="24"/>
          <w:szCs w:val="24"/>
        </w:rPr>
        <w:t xml:space="preserve">clarify which teams to refer specific pieces of work to, and which teams to refer to in the first instance </w:t>
      </w:r>
      <w:r w:rsidR="004A2373">
        <w:rPr>
          <w:sz w:val="24"/>
          <w:szCs w:val="24"/>
        </w:rPr>
        <w:t>if unsure</w:t>
      </w:r>
      <w:r w:rsidR="007D0734">
        <w:rPr>
          <w:sz w:val="24"/>
          <w:szCs w:val="24"/>
        </w:rPr>
        <w:t xml:space="preserve">, along with </w:t>
      </w:r>
      <w:r w:rsidR="00125670">
        <w:rPr>
          <w:sz w:val="24"/>
          <w:szCs w:val="24"/>
        </w:rPr>
        <w:t xml:space="preserve">contact details.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5"/>
        <w:gridCol w:w="1136"/>
        <w:gridCol w:w="1418"/>
        <w:gridCol w:w="1841"/>
        <w:gridCol w:w="2268"/>
        <w:gridCol w:w="3320"/>
      </w:tblGrid>
      <w:tr w:rsidR="00000401" w:rsidRPr="005A6630" w14:paraId="2619B9E8" w14:textId="77777777" w:rsidTr="002153ED">
        <w:tc>
          <w:tcPr>
            <w:tcW w:w="1421" w:type="pct"/>
          </w:tcPr>
          <w:p w14:paraId="1FFB197C" w14:textId="424AC955" w:rsidR="000A4D1E" w:rsidRPr="005A6630" w:rsidRDefault="000A4D1E">
            <w:pPr>
              <w:rPr>
                <w:b/>
                <w:bCs/>
                <w:sz w:val="24"/>
                <w:szCs w:val="24"/>
              </w:rPr>
            </w:pPr>
            <w:r w:rsidRPr="005A6630">
              <w:rPr>
                <w:b/>
                <w:bCs/>
                <w:sz w:val="24"/>
                <w:szCs w:val="24"/>
              </w:rPr>
              <w:t>Clinical need/area</w:t>
            </w:r>
          </w:p>
        </w:tc>
        <w:tc>
          <w:tcPr>
            <w:tcW w:w="407" w:type="pct"/>
          </w:tcPr>
          <w:p w14:paraId="7F0D7A97" w14:textId="6AACEE3B" w:rsidR="000A4D1E" w:rsidRPr="005A6630" w:rsidRDefault="000A4D1E">
            <w:pPr>
              <w:rPr>
                <w:b/>
                <w:bCs/>
                <w:sz w:val="24"/>
                <w:szCs w:val="24"/>
              </w:rPr>
            </w:pPr>
            <w:r w:rsidRPr="005A6630">
              <w:rPr>
                <w:b/>
                <w:bCs/>
                <w:sz w:val="24"/>
                <w:szCs w:val="24"/>
              </w:rPr>
              <w:t>SPLD OT</w:t>
            </w:r>
          </w:p>
        </w:tc>
        <w:tc>
          <w:tcPr>
            <w:tcW w:w="508" w:type="pct"/>
          </w:tcPr>
          <w:p w14:paraId="4324FD2C" w14:textId="440A2604" w:rsidR="000A4D1E" w:rsidRPr="005A6630" w:rsidRDefault="000A4D1E">
            <w:pPr>
              <w:rPr>
                <w:b/>
                <w:bCs/>
                <w:sz w:val="24"/>
                <w:szCs w:val="24"/>
              </w:rPr>
            </w:pPr>
            <w:r w:rsidRPr="005A6630">
              <w:rPr>
                <w:b/>
                <w:bCs/>
                <w:sz w:val="24"/>
                <w:szCs w:val="24"/>
              </w:rPr>
              <w:t>SPLD Physio</w:t>
            </w:r>
          </w:p>
        </w:tc>
        <w:tc>
          <w:tcPr>
            <w:tcW w:w="660" w:type="pct"/>
          </w:tcPr>
          <w:p w14:paraId="7D1166CF" w14:textId="468D7857" w:rsidR="000A4D1E" w:rsidRPr="005A6630" w:rsidRDefault="005A6630">
            <w:pPr>
              <w:rPr>
                <w:b/>
                <w:bCs/>
                <w:sz w:val="24"/>
                <w:szCs w:val="24"/>
              </w:rPr>
            </w:pPr>
            <w:r w:rsidRPr="005A6630">
              <w:rPr>
                <w:b/>
                <w:bCs/>
                <w:sz w:val="24"/>
                <w:szCs w:val="24"/>
              </w:rPr>
              <w:t>Beds Community OT</w:t>
            </w:r>
          </w:p>
        </w:tc>
        <w:tc>
          <w:tcPr>
            <w:tcW w:w="813" w:type="pct"/>
          </w:tcPr>
          <w:p w14:paraId="1FA20DA2" w14:textId="7DB0C1B8" w:rsidR="000A4D1E" w:rsidRPr="005A6630" w:rsidRDefault="005A6630">
            <w:pPr>
              <w:rPr>
                <w:b/>
                <w:bCs/>
                <w:sz w:val="24"/>
                <w:szCs w:val="24"/>
              </w:rPr>
            </w:pPr>
            <w:r w:rsidRPr="005A6630">
              <w:rPr>
                <w:b/>
                <w:bCs/>
                <w:sz w:val="24"/>
                <w:szCs w:val="24"/>
              </w:rPr>
              <w:t>Local Authority OT</w:t>
            </w:r>
          </w:p>
        </w:tc>
        <w:tc>
          <w:tcPr>
            <w:tcW w:w="1190" w:type="pct"/>
          </w:tcPr>
          <w:p w14:paraId="26F1D233" w14:textId="155D3E49" w:rsidR="000A4D1E" w:rsidRPr="005A6630" w:rsidRDefault="005A6630">
            <w:pPr>
              <w:rPr>
                <w:b/>
                <w:bCs/>
                <w:sz w:val="24"/>
                <w:szCs w:val="24"/>
              </w:rPr>
            </w:pPr>
            <w:r w:rsidRPr="005A6630">
              <w:rPr>
                <w:b/>
                <w:bCs/>
                <w:sz w:val="24"/>
                <w:szCs w:val="24"/>
              </w:rPr>
              <w:t>Other</w:t>
            </w:r>
          </w:p>
        </w:tc>
      </w:tr>
      <w:tr w:rsidR="00000401" w14:paraId="78741019" w14:textId="77777777" w:rsidTr="002153ED">
        <w:tc>
          <w:tcPr>
            <w:tcW w:w="1421" w:type="pct"/>
          </w:tcPr>
          <w:p w14:paraId="7AAFF690" w14:textId="18B11B72" w:rsidR="00DB6D51" w:rsidRDefault="00DB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Sensory integration difficulties, </w:t>
            </w:r>
            <w:r w:rsidR="006A7D3B">
              <w:rPr>
                <w:sz w:val="24"/>
                <w:szCs w:val="24"/>
              </w:rPr>
              <w:t xml:space="preserve">environment or caregiver approach possibly </w:t>
            </w:r>
            <w:r w:rsidR="00000401">
              <w:rPr>
                <w:sz w:val="24"/>
                <w:szCs w:val="24"/>
              </w:rPr>
              <w:t>causing/increasing behaviours of distress/concern</w:t>
            </w:r>
          </w:p>
        </w:tc>
        <w:tc>
          <w:tcPr>
            <w:tcW w:w="407" w:type="pct"/>
          </w:tcPr>
          <w:p w14:paraId="4B92D990" w14:textId="45CE5606" w:rsidR="00DB6D51" w:rsidRDefault="00000401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508" w:type="pct"/>
          </w:tcPr>
          <w:p w14:paraId="5BB14ED7" w14:textId="77777777" w:rsidR="00DB6D51" w:rsidRDefault="00DB6D51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</w:tcPr>
          <w:p w14:paraId="3C2A6CAA" w14:textId="77777777" w:rsidR="00DB6D51" w:rsidRDefault="00DB6D51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42979870" w14:textId="77777777" w:rsidR="00DB6D51" w:rsidRDefault="00DB6D51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</w:tcPr>
          <w:p w14:paraId="4CBFE2FE" w14:textId="77777777" w:rsidR="00DB6D51" w:rsidRDefault="00DB6D51" w:rsidP="004D2B70">
            <w:pPr>
              <w:jc w:val="center"/>
              <w:rPr>
                <w:sz w:val="24"/>
                <w:szCs w:val="24"/>
              </w:rPr>
            </w:pPr>
          </w:p>
        </w:tc>
      </w:tr>
      <w:tr w:rsidR="00000401" w14:paraId="185D912A" w14:textId="77777777" w:rsidTr="002153ED">
        <w:tc>
          <w:tcPr>
            <w:tcW w:w="1421" w:type="pct"/>
          </w:tcPr>
          <w:p w14:paraId="43FDC8C8" w14:textId="11E77C59" w:rsidR="000A4D1E" w:rsidRDefault="004D2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Wheelchairs</w:t>
            </w:r>
          </w:p>
        </w:tc>
        <w:tc>
          <w:tcPr>
            <w:tcW w:w="407" w:type="pct"/>
          </w:tcPr>
          <w:p w14:paraId="7A0C6FC7" w14:textId="4A3238A6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14:paraId="4A291E4D" w14:textId="109C16AE" w:rsidR="000A4D1E" w:rsidRDefault="004D2B70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Yes, with LD diagnosis</w:t>
            </w:r>
          </w:p>
        </w:tc>
        <w:tc>
          <w:tcPr>
            <w:tcW w:w="660" w:type="pct"/>
          </w:tcPr>
          <w:p w14:paraId="267C574D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0B2DEAF6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</w:tcPr>
          <w:p w14:paraId="7B9B8581" w14:textId="2EB52E5F" w:rsidR="000A4D1E" w:rsidRDefault="004D2B70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Wheelchair services</w:t>
            </w:r>
            <w:r w:rsidR="00B10D48">
              <w:rPr>
                <w:sz w:val="24"/>
                <w:szCs w:val="24"/>
              </w:rPr>
              <w:t>*</w:t>
            </w:r>
          </w:p>
        </w:tc>
      </w:tr>
      <w:tr w:rsidR="00000401" w14:paraId="33489668" w14:textId="77777777" w:rsidTr="002153ED">
        <w:tc>
          <w:tcPr>
            <w:tcW w:w="1421" w:type="pct"/>
          </w:tcPr>
          <w:p w14:paraId="5896AFEE" w14:textId="6F819A0C" w:rsidR="000A4D1E" w:rsidRDefault="00360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Adaptations**</w:t>
            </w:r>
          </w:p>
        </w:tc>
        <w:tc>
          <w:tcPr>
            <w:tcW w:w="407" w:type="pct"/>
          </w:tcPr>
          <w:p w14:paraId="27E815BA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14:paraId="0D96595D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</w:tcPr>
          <w:p w14:paraId="5BEF01A0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7B1E43D8" w14:textId="713C82B2" w:rsidR="000A4D1E" w:rsidRDefault="003606C7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190" w:type="pct"/>
          </w:tcPr>
          <w:p w14:paraId="531DA4D0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</w:tr>
      <w:tr w:rsidR="00000401" w14:paraId="66190562" w14:textId="77777777" w:rsidTr="002153ED">
        <w:tc>
          <w:tcPr>
            <w:tcW w:w="1421" w:type="pct"/>
          </w:tcPr>
          <w:p w14:paraId="02BEDB44" w14:textId="34880811" w:rsidR="000A4D1E" w:rsidRDefault="008C3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Minor Adaptations </w:t>
            </w:r>
            <w:r w:rsidR="00FA4E3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C66E0A">
              <w:rPr>
                <w:sz w:val="24"/>
                <w:szCs w:val="24"/>
              </w:rPr>
              <w:t>Beds</w:t>
            </w:r>
            <w:r w:rsidR="00FA4E31">
              <w:rPr>
                <w:sz w:val="24"/>
                <w:szCs w:val="24"/>
              </w:rPr>
              <w:t xml:space="preserve"> resident </w:t>
            </w:r>
          </w:p>
        </w:tc>
        <w:tc>
          <w:tcPr>
            <w:tcW w:w="407" w:type="pct"/>
          </w:tcPr>
          <w:p w14:paraId="6EEE7E1E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14:paraId="4E692A81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</w:tcPr>
          <w:p w14:paraId="33906D1B" w14:textId="49405A82" w:rsidR="000A4D1E" w:rsidRDefault="00FA4E31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3" w:type="pct"/>
          </w:tcPr>
          <w:p w14:paraId="46B68145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</w:tcPr>
          <w:p w14:paraId="628A1373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</w:tr>
      <w:tr w:rsidR="00000401" w14:paraId="5B1BB05E" w14:textId="77777777" w:rsidTr="002153ED">
        <w:tc>
          <w:tcPr>
            <w:tcW w:w="1421" w:type="pct"/>
          </w:tcPr>
          <w:p w14:paraId="68F05BF0" w14:textId="53CD3CC0" w:rsidR="000A4D1E" w:rsidRDefault="00FA4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Minor Adaptations – </w:t>
            </w:r>
            <w:r w:rsidR="00C66E0A">
              <w:rPr>
                <w:sz w:val="24"/>
                <w:szCs w:val="24"/>
              </w:rPr>
              <w:t>Luton</w:t>
            </w:r>
            <w:r>
              <w:rPr>
                <w:sz w:val="24"/>
                <w:szCs w:val="24"/>
              </w:rPr>
              <w:t xml:space="preserve"> resident </w:t>
            </w:r>
          </w:p>
        </w:tc>
        <w:tc>
          <w:tcPr>
            <w:tcW w:w="407" w:type="pct"/>
          </w:tcPr>
          <w:p w14:paraId="6803F022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14:paraId="7A204268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</w:tcPr>
          <w:p w14:paraId="42A08BDD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24226F55" w14:textId="63CB920D" w:rsidR="000A4D1E" w:rsidRDefault="00FA4E31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190" w:type="pct"/>
          </w:tcPr>
          <w:p w14:paraId="5815E5BF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</w:tr>
      <w:tr w:rsidR="00000401" w14:paraId="4EC26DDC" w14:textId="77777777" w:rsidTr="002153ED">
        <w:tc>
          <w:tcPr>
            <w:tcW w:w="1421" w:type="pct"/>
          </w:tcPr>
          <w:p w14:paraId="5049FA23" w14:textId="5476D734" w:rsidR="000A4D1E" w:rsidRDefault="00FA4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Pressure relief</w:t>
            </w:r>
          </w:p>
        </w:tc>
        <w:tc>
          <w:tcPr>
            <w:tcW w:w="407" w:type="pct"/>
          </w:tcPr>
          <w:p w14:paraId="410DF173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14:paraId="4EF48F5C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</w:tcPr>
          <w:p w14:paraId="172C9A4F" w14:textId="58518770" w:rsidR="000A4D1E" w:rsidRDefault="00E113CB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3" w:type="pct"/>
          </w:tcPr>
          <w:p w14:paraId="25289308" w14:textId="283BB5A9" w:rsidR="000A4D1E" w:rsidRDefault="00E113CB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190" w:type="pct"/>
          </w:tcPr>
          <w:p w14:paraId="209D5494" w14:textId="77777777" w:rsidR="000A4D1E" w:rsidRDefault="000A4D1E" w:rsidP="004D2B70">
            <w:pPr>
              <w:jc w:val="center"/>
              <w:rPr>
                <w:sz w:val="24"/>
                <w:szCs w:val="24"/>
              </w:rPr>
            </w:pPr>
          </w:p>
        </w:tc>
      </w:tr>
      <w:tr w:rsidR="00000401" w14:paraId="72F86CA5" w14:textId="77777777" w:rsidTr="002153ED">
        <w:tc>
          <w:tcPr>
            <w:tcW w:w="1421" w:type="pct"/>
          </w:tcPr>
          <w:p w14:paraId="654A2BD2" w14:textId="5968847C" w:rsidR="00E113CB" w:rsidRDefault="00E11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Postural Seating</w:t>
            </w:r>
          </w:p>
        </w:tc>
        <w:tc>
          <w:tcPr>
            <w:tcW w:w="407" w:type="pct"/>
          </w:tcPr>
          <w:p w14:paraId="69800F66" w14:textId="77777777" w:rsidR="00E113CB" w:rsidRDefault="00E113CB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14:paraId="70DB9C69" w14:textId="798FE653" w:rsidR="00E113CB" w:rsidRDefault="00E113CB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660" w:type="pct"/>
          </w:tcPr>
          <w:p w14:paraId="340C589D" w14:textId="63E3C160" w:rsidR="00E113CB" w:rsidRDefault="00870A35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3" w:type="pct"/>
          </w:tcPr>
          <w:p w14:paraId="58B04B3C" w14:textId="77777777" w:rsidR="00E113CB" w:rsidRDefault="00E113CB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</w:tcPr>
          <w:p w14:paraId="7E433295" w14:textId="77777777" w:rsidR="00E113CB" w:rsidRDefault="00E113CB" w:rsidP="004D2B70">
            <w:pPr>
              <w:jc w:val="center"/>
              <w:rPr>
                <w:sz w:val="24"/>
                <w:szCs w:val="24"/>
              </w:rPr>
            </w:pPr>
          </w:p>
        </w:tc>
      </w:tr>
      <w:tr w:rsidR="00000401" w14:paraId="2C14FA6B" w14:textId="77777777" w:rsidTr="002153ED">
        <w:tc>
          <w:tcPr>
            <w:tcW w:w="1421" w:type="pct"/>
          </w:tcPr>
          <w:p w14:paraId="7896E8C8" w14:textId="09E6C6FF" w:rsidR="00E113CB" w:rsidRDefault="00E11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Mobility Assessment, falls risks</w:t>
            </w:r>
          </w:p>
        </w:tc>
        <w:tc>
          <w:tcPr>
            <w:tcW w:w="407" w:type="pct"/>
          </w:tcPr>
          <w:p w14:paraId="506D26EF" w14:textId="77777777" w:rsidR="00E113CB" w:rsidRDefault="00E113CB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14:paraId="067B766B" w14:textId="3686A6FC" w:rsidR="00E113CB" w:rsidRDefault="00E113CB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660" w:type="pct"/>
          </w:tcPr>
          <w:p w14:paraId="497AA74F" w14:textId="77777777" w:rsidR="00E113CB" w:rsidRDefault="00E113CB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017163A2" w14:textId="77777777" w:rsidR="00E113CB" w:rsidRDefault="00E113CB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</w:tcPr>
          <w:p w14:paraId="760800D6" w14:textId="20FAD735" w:rsidR="00E113CB" w:rsidRDefault="00E113CB" w:rsidP="004D2B70">
            <w:pPr>
              <w:jc w:val="center"/>
              <w:rPr>
                <w:sz w:val="24"/>
                <w:szCs w:val="24"/>
              </w:rPr>
            </w:pPr>
          </w:p>
        </w:tc>
      </w:tr>
      <w:tr w:rsidR="00000401" w14:paraId="2E831E3F" w14:textId="77777777" w:rsidTr="002153ED">
        <w:tc>
          <w:tcPr>
            <w:tcW w:w="1421" w:type="pct"/>
          </w:tcPr>
          <w:p w14:paraId="53DC7F6A" w14:textId="38210DA4" w:rsidR="00E113CB" w:rsidRDefault="00AA0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 systems</w:t>
            </w:r>
          </w:p>
        </w:tc>
        <w:tc>
          <w:tcPr>
            <w:tcW w:w="407" w:type="pct"/>
          </w:tcPr>
          <w:p w14:paraId="4D10F84C" w14:textId="77777777" w:rsidR="00E113CB" w:rsidRDefault="00E113CB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14:paraId="1F125FF1" w14:textId="5EA24183" w:rsidR="00E113CB" w:rsidRDefault="00AA0390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660" w:type="pct"/>
          </w:tcPr>
          <w:p w14:paraId="1EF75C59" w14:textId="77777777" w:rsidR="00E113CB" w:rsidRDefault="00E113CB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129E73DD" w14:textId="77777777" w:rsidR="00E113CB" w:rsidRDefault="00E113CB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</w:tcPr>
          <w:p w14:paraId="63CF9B3B" w14:textId="77777777" w:rsidR="00E113CB" w:rsidRDefault="00E113CB" w:rsidP="004D2B70">
            <w:pPr>
              <w:jc w:val="center"/>
              <w:rPr>
                <w:sz w:val="24"/>
                <w:szCs w:val="24"/>
              </w:rPr>
            </w:pPr>
          </w:p>
        </w:tc>
      </w:tr>
      <w:tr w:rsidR="00000401" w14:paraId="4B855F5E" w14:textId="77777777" w:rsidTr="002153ED">
        <w:tc>
          <w:tcPr>
            <w:tcW w:w="1421" w:type="pct"/>
          </w:tcPr>
          <w:p w14:paraId="64B8FBD4" w14:textId="1CD1381A" w:rsidR="00AA0390" w:rsidRDefault="0087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Minor</w:t>
            </w:r>
            <w:r w:rsidR="00AA0390">
              <w:rPr>
                <w:sz w:val="24"/>
                <w:szCs w:val="24"/>
              </w:rPr>
              <w:t xml:space="preserve"> equipment – Beds</w:t>
            </w:r>
            <w:r w:rsidR="00C66E0A">
              <w:rPr>
                <w:sz w:val="24"/>
                <w:szCs w:val="24"/>
              </w:rPr>
              <w:t xml:space="preserve"> </w:t>
            </w:r>
            <w:r w:rsidR="00AA0390">
              <w:rPr>
                <w:sz w:val="24"/>
                <w:szCs w:val="24"/>
              </w:rPr>
              <w:t>resident</w:t>
            </w:r>
          </w:p>
        </w:tc>
        <w:tc>
          <w:tcPr>
            <w:tcW w:w="407" w:type="pct"/>
          </w:tcPr>
          <w:p w14:paraId="27A1D62C" w14:textId="6137380F" w:rsidR="00AA0390" w:rsidRDefault="00AA0390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14:paraId="06A22DE1" w14:textId="77777777" w:rsidR="00AA0390" w:rsidRDefault="00AA0390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</w:tcPr>
          <w:p w14:paraId="16C6C6B1" w14:textId="3330745C" w:rsidR="00AA0390" w:rsidRDefault="00AA0390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3" w:type="pct"/>
          </w:tcPr>
          <w:p w14:paraId="62C11F62" w14:textId="77777777" w:rsidR="00AA0390" w:rsidRDefault="00AA0390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</w:tcPr>
          <w:p w14:paraId="25DDDD74" w14:textId="77777777" w:rsidR="00AA0390" w:rsidRDefault="00AA0390" w:rsidP="004D2B70">
            <w:pPr>
              <w:jc w:val="center"/>
              <w:rPr>
                <w:sz w:val="24"/>
                <w:szCs w:val="24"/>
              </w:rPr>
            </w:pPr>
          </w:p>
        </w:tc>
      </w:tr>
      <w:tr w:rsidR="00000401" w14:paraId="48764E5D" w14:textId="77777777" w:rsidTr="002153ED">
        <w:tc>
          <w:tcPr>
            <w:tcW w:w="1421" w:type="pct"/>
          </w:tcPr>
          <w:p w14:paraId="123D8E46" w14:textId="3907DD61" w:rsidR="00AA0390" w:rsidRDefault="0087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Minor</w:t>
            </w:r>
            <w:r w:rsidR="00AA0390">
              <w:rPr>
                <w:sz w:val="24"/>
                <w:szCs w:val="24"/>
              </w:rPr>
              <w:t xml:space="preserve"> equipment – Luton</w:t>
            </w:r>
            <w:r w:rsidR="00C66E0A">
              <w:rPr>
                <w:sz w:val="24"/>
                <w:szCs w:val="24"/>
              </w:rPr>
              <w:t xml:space="preserve"> </w:t>
            </w:r>
            <w:r w:rsidR="00AA0390">
              <w:rPr>
                <w:sz w:val="24"/>
                <w:szCs w:val="24"/>
              </w:rPr>
              <w:t>resident</w:t>
            </w:r>
          </w:p>
        </w:tc>
        <w:tc>
          <w:tcPr>
            <w:tcW w:w="407" w:type="pct"/>
          </w:tcPr>
          <w:p w14:paraId="5E87C0D6" w14:textId="77777777" w:rsidR="00AA0390" w:rsidRDefault="00AA0390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14:paraId="18FDAE6E" w14:textId="77777777" w:rsidR="00AA0390" w:rsidRDefault="00AA0390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</w:tcPr>
          <w:p w14:paraId="57197FE3" w14:textId="77777777" w:rsidR="00AA0390" w:rsidRDefault="00AA0390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084BFDB6" w14:textId="6529E733" w:rsidR="00AA0390" w:rsidRDefault="001F53C2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Yes***</w:t>
            </w:r>
          </w:p>
        </w:tc>
        <w:tc>
          <w:tcPr>
            <w:tcW w:w="1190" w:type="pct"/>
          </w:tcPr>
          <w:p w14:paraId="6650E537" w14:textId="1DAB5902" w:rsidR="00AA0390" w:rsidRDefault="00AA0390" w:rsidP="004D2B70">
            <w:pPr>
              <w:jc w:val="center"/>
              <w:rPr>
                <w:sz w:val="24"/>
                <w:szCs w:val="24"/>
              </w:rPr>
            </w:pPr>
          </w:p>
        </w:tc>
      </w:tr>
      <w:tr w:rsidR="00000401" w14:paraId="695FA687" w14:textId="77777777" w:rsidTr="002153ED">
        <w:tc>
          <w:tcPr>
            <w:tcW w:w="1421" w:type="pct"/>
          </w:tcPr>
          <w:p w14:paraId="73A21C6D" w14:textId="47E6145C" w:rsidR="00BA2CE5" w:rsidRDefault="00BA2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Slings, hoists</w:t>
            </w:r>
            <w:r w:rsidR="00C66E0A">
              <w:rPr>
                <w:sz w:val="24"/>
                <w:szCs w:val="24"/>
              </w:rPr>
              <w:t xml:space="preserve"> – Beds resident</w:t>
            </w:r>
          </w:p>
        </w:tc>
        <w:tc>
          <w:tcPr>
            <w:tcW w:w="407" w:type="pct"/>
          </w:tcPr>
          <w:p w14:paraId="2D29709D" w14:textId="77777777" w:rsidR="00BA2CE5" w:rsidRDefault="00BA2CE5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14:paraId="29D1F9F3" w14:textId="75B01D1C" w:rsidR="00BA2CE5" w:rsidRDefault="00BA2CE5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</w:tcPr>
          <w:p w14:paraId="776E9A9E" w14:textId="7AD7AC04" w:rsidR="00BA2CE5" w:rsidRDefault="00BA2CE5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13" w:type="pct"/>
          </w:tcPr>
          <w:p w14:paraId="692E9A34" w14:textId="277265F8" w:rsidR="00BA2CE5" w:rsidRDefault="00BA2CE5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</w:tcPr>
          <w:p w14:paraId="3BDEB201" w14:textId="77777777" w:rsidR="00BA2CE5" w:rsidRDefault="00BA2CE5" w:rsidP="004D2B70">
            <w:pPr>
              <w:jc w:val="center"/>
              <w:rPr>
                <w:sz w:val="24"/>
                <w:szCs w:val="24"/>
              </w:rPr>
            </w:pPr>
          </w:p>
        </w:tc>
      </w:tr>
      <w:tr w:rsidR="00C66E0A" w14:paraId="2D962944" w14:textId="77777777" w:rsidTr="002153ED">
        <w:tc>
          <w:tcPr>
            <w:tcW w:w="1421" w:type="pct"/>
          </w:tcPr>
          <w:p w14:paraId="180C1ACC" w14:textId="4DC50D34" w:rsidR="00C66E0A" w:rsidRDefault="00C66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Slings, hoists – Luton resident</w:t>
            </w:r>
          </w:p>
        </w:tc>
        <w:tc>
          <w:tcPr>
            <w:tcW w:w="407" w:type="pct"/>
          </w:tcPr>
          <w:p w14:paraId="236CD290" w14:textId="77777777" w:rsidR="00C66E0A" w:rsidRDefault="00C66E0A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14:paraId="20D6989C" w14:textId="77777777" w:rsidR="00C66E0A" w:rsidRDefault="00C66E0A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</w:tcPr>
          <w:p w14:paraId="63A95849" w14:textId="77777777" w:rsidR="00C66E0A" w:rsidRDefault="00C66E0A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72ACCA86" w14:textId="6ABE9C5B" w:rsidR="00C66E0A" w:rsidRDefault="00C66E0A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190" w:type="pct"/>
          </w:tcPr>
          <w:p w14:paraId="69E266FF" w14:textId="77777777" w:rsidR="00C66E0A" w:rsidRDefault="00C66E0A" w:rsidP="004D2B70">
            <w:pPr>
              <w:jc w:val="center"/>
              <w:rPr>
                <w:sz w:val="24"/>
                <w:szCs w:val="24"/>
              </w:rPr>
            </w:pPr>
          </w:p>
        </w:tc>
      </w:tr>
      <w:tr w:rsidR="00000401" w14:paraId="7A8C3717" w14:textId="77777777" w:rsidTr="002153ED">
        <w:tc>
          <w:tcPr>
            <w:tcW w:w="1421" w:type="pct"/>
          </w:tcPr>
          <w:p w14:paraId="38718547" w14:textId="52D5B915" w:rsidR="00BA2CE5" w:rsidRDefault="006C7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Strength training, exercise plans</w:t>
            </w:r>
          </w:p>
        </w:tc>
        <w:tc>
          <w:tcPr>
            <w:tcW w:w="407" w:type="pct"/>
          </w:tcPr>
          <w:p w14:paraId="7612BD3F" w14:textId="77777777" w:rsidR="00BA2CE5" w:rsidRDefault="00BA2CE5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14:paraId="47F30C87" w14:textId="086546C2" w:rsidR="00BA2CE5" w:rsidRDefault="006C7FFD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660" w:type="pct"/>
          </w:tcPr>
          <w:p w14:paraId="52346D96" w14:textId="77777777" w:rsidR="00BA2CE5" w:rsidRDefault="00BA2CE5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405CE577" w14:textId="77777777" w:rsidR="00BA2CE5" w:rsidRDefault="00BA2CE5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</w:tcPr>
          <w:p w14:paraId="46DBD521" w14:textId="77777777" w:rsidR="00BA2CE5" w:rsidRDefault="00BA2CE5" w:rsidP="004D2B70">
            <w:pPr>
              <w:jc w:val="center"/>
              <w:rPr>
                <w:sz w:val="24"/>
                <w:szCs w:val="24"/>
              </w:rPr>
            </w:pPr>
          </w:p>
        </w:tc>
      </w:tr>
      <w:tr w:rsidR="00000401" w14:paraId="5A32A3C7" w14:textId="77777777" w:rsidTr="002153ED">
        <w:tc>
          <w:tcPr>
            <w:tcW w:w="1421" w:type="pct"/>
          </w:tcPr>
          <w:p w14:paraId="74BC913B" w14:textId="2606CCC3" w:rsidR="006C7FFD" w:rsidRDefault="003E4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Transfers</w:t>
            </w:r>
            <w:r w:rsidR="00C66E0A">
              <w:rPr>
                <w:sz w:val="24"/>
                <w:szCs w:val="24"/>
              </w:rPr>
              <w:t xml:space="preserve"> (sit </w:t>
            </w:r>
            <w:r w:rsidR="00C66E0A">
              <w:rPr>
                <w:rFonts w:ascii="Arial" w:hAnsi="Arial" w:cs="Arial"/>
                <w:sz w:val="24"/>
                <w:szCs w:val="24"/>
              </w:rPr>
              <w:t>↔</w:t>
            </w:r>
            <w:r w:rsidR="00C66E0A">
              <w:rPr>
                <w:sz w:val="24"/>
                <w:szCs w:val="24"/>
              </w:rPr>
              <w:t xml:space="preserve"> stand </w:t>
            </w:r>
            <w:r w:rsidR="00C66E0A">
              <w:rPr>
                <w:rFonts w:ascii="Arial" w:hAnsi="Arial" w:cs="Arial"/>
                <w:sz w:val="24"/>
                <w:szCs w:val="24"/>
              </w:rPr>
              <w:t>↔</w:t>
            </w:r>
            <w:r w:rsidR="00C66E0A">
              <w:rPr>
                <w:sz w:val="24"/>
                <w:szCs w:val="24"/>
              </w:rPr>
              <w:t xml:space="preserve"> lay </w:t>
            </w:r>
            <w:r w:rsidR="00C66E0A">
              <w:rPr>
                <w:rFonts w:ascii="Arial" w:hAnsi="Arial" w:cs="Arial"/>
                <w:sz w:val="24"/>
                <w:szCs w:val="24"/>
              </w:rPr>
              <w:t>↔ sit</w:t>
            </w:r>
            <w:r w:rsidR="00C66E0A">
              <w:rPr>
                <w:sz w:val="24"/>
                <w:szCs w:val="24"/>
              </w:rPr>
              <w:t>)</w:t>
            </w:r>
          </w:p>
        </w:tc>
        <w:tc>
          <w:tcPr>
            <w:tcW w:w="407" w:type="pct"/>
          </w:tcPr>
          <w:p w14:paraId="011C6E89" w14:textId="77777777" w:rsidR="006C7FFD" w:rsidRDefault="006C7FFD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14:paraId="3AC9390A" w14:textId="2AADFE36" w:rsidR="006C7FFD" w:rsidRDefault="003E4CCF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660" w:type="pct"/>
          </w:tcPr>
          <w:p w14:paraId="549E021C" w14:textId="77777777" w:rsidR="006C7FFD" w:rsidRDefault="006C7FFD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4CC3CA6E" w14:textId="77777777" w:rsidR="006C7FFD" w:rsidRDefault="006C7FFD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</w:tcPr>
          <w:p w14:paraId="0E39CB23" w14:textId="77777777" w:rsidR="006C7FFD" w:rsidRDefault="006C7FFD" w:rsidP="004D2B70">
            <w:pPr>
              <w:jc w:val="center"/>
              <w:rPr>
                <w:sz w:val="24"/>
                <w:szCs w:val="24"/>
              </w:rPr>
            </w:pPr>
          </w:p>
        </w:tc>
      </w:tr>
      <w:tr w:rsidR="00B42CB0" w14:paraId="03DCA480" w14:textId="77777777" w:rsidTr="002153ED">
        <w:tc>
          <w:tcPr>
            <w:tcW w:w="1421" w:type="pct"/>
          </w:tcPr>
          <w:p w14:paraId="08303EF5" w14:textId="1168A2DA" w:rsidR="00B42CB0" w:rsidRDefault="00B42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 safety </w:t>
            </w:r>
            <w:r w:rsidRPr="002019F9">
              <w:rPr>
                <w:b/>
                <w:bCs/>
                <w:sz w:val="24"/>
                <w:szCs w:val="24"/>
                <w:u w:val="single"/>
              </w:rPr>
              <w:t>strategies</w:t>
            </w:r>
            <w:r>
              <w:rPr>
                <w:sz w:val="24"/>
                <w:szCs w:val="24"/>
              </w:rPr>
              <w:t xml:space="preserve"> (distraction, </w:t>
            </w:r>
            <w:r w:rsidR="00044407">
              <w:rPr>
                <w:sz w:val="24"/>
                <w:szCs w:val="24"/>
              </w:rPr>
              <w:t>support, communication, driving strategies)</w:t>
            </w:r>
          </w:p>
        </w:tc>
        <w:tc>
          <w:tcPr>
            <w:tcW w:w="407" w:type="pct"/>
          </w:tcPr>
          <w:p w14:paraId="3DEC0276" w14:textId="3B0AE4F6" w:rsidR="00B42CB0" w:rsidRDefault="00044407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508" w:type="pct"/>
          </w:tcPr>
          <w:p w14:paraId="22275152" w14:textId="77777777" w:rsidR="00B42CB0" w:rsidRDefault="00B42CB0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</w:tcPr>
          <w:p w14:paraId="59677235" w14:textId="77777777" w:rsidR="00B42CB0" w:rsidRDefault="00B42CB0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709536AA" w14:textId="77777777" w:rsidR="00B42CB0" w:rsidRDefault="00B42CB0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</w:tcPr>
          <w:p w14:paraId="275F08AD" w14:textId="77777777" w:rsidR="00B42CB0" w:rsidRPr="00955BE7" w:rsidRDefault="00B42CB0" w:rsidP="004D2B70">
            <w:pPr>
              <w:jc w:val="center"/>
              <w:rPr>
                <w:sz w:val="24"/>
                <w:szCs w:val="24"/>
              </w:rPr>
            </w:pPr>
          </w:p>
        </w:tc>
      </w:tr>
      <w:tr w:rsidR="00000401" w14:paraId="4C250241" w14:textId="77777777" w:rsidTr="002153ED">
        <w:tc>
          <w:tcPr>
            <w:tcW w:w="1421" w:type="pct"/>
          </w:tcPr>
          <w:p w14:paraId="7AA387F7" w14:textId="204920A9" w:rsidR="003E4CCF" w:rsidRDefault="003E4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 safety </w:t>
            </w:r>
            <w:r w:rsidRPr="002019F9">
              <w:rPr>
                <w:b/>
                <w:bCs/>
                <w:sz w:val="24"/>
                <w:szCs w:val="24"/>
                <w:u w:val="single"/>
              </w:rPr>
              <w:t>equipment</w:t>
            </w:r>
          </w:p>
        </w:tc>
        <w:tc>
          <w:tcPr>
            <w:tcW w:w="407" w:type="pct"/>
          </w:tcPr>
          <w:p w14:paraId="6EA40FE8" w14:textId="77777777" w:rsidR="003E4CCF" w:rsidRDefault="003E4CCF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14:paraId="270316D1" w14:textId="77777777" w:rsidR="003E4CCF" w:rsidRDefault="003E4CCF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</w:tcPr>
          <w:p w14:paraId="3C8F1A2E" w14:textId="77777777" w:rsidR="003E4CCF" w:rsidRDefault="003E4CCF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58EC30C6" w14:textId="77777777" w:rsidR="003E4CCF" w:rsidRDefault="003E4CCF" w:rsidP="004D2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</w:tcPr>
          <w:p w14:paraId="78180281" w14:textId="7BB4648B" w:rsidR="003E4CCF" w:rsidRPr="00955BE7" w:rsidRDefault="003E4CCF" w:rsidP="004D2B70">
            <w:pPr>
              <w:jc w:val="center"/>
              <w:rPr>
                <w:sz w:val="24"/>
                <w:szCs w:val="24"/>
              </w:rPr>
            </w:pPr>
            <w:r w:rsidRPr="00955BE7">
              <w:rPr>
                <w:sz w:val="24"/>
                <w:szCs w:val="24"/>
              </w:rPr>
              <w:t xml:space="preserve">Can seek advice from the in-car safety centre but there are </w:t>
            </w:r>
            <w:r w:rsidRPr="00955BE7">
              <w:rPr>
                <w:sz w:val="24"/>
                <w:szCs w:val="24"/>
              </w:rPr>
              <w:lastRenderedPageBreak/>
              <w:t>limitations due to concerns re: safety</w:t>
            </w:r>
            <w:r w:rsidR="004A7B54" w:rsidRPr="00955BE7">
              <w:rPr>
                <w:sz w:val="24"/>
                <w:szCs w:val="24"/>
              </w:rPr>
              <w:t xml:space="preserve">. Car safety assessments can also be obtained from the Regional Driving Assessment Centre. </w:t>
            </w:r>
          </w:p>
        </w:tc>
      </w:tr>
      <w:tr w:rsidR="00343846" w14:paraId="252F4AC0" w14:textId="77777777" w:rsidTr="002153ED">
        <w:tc>
          <w:tcPr>
            <w:tcW w:w="1421" w:type="pct"/>
          </w:tcPr>
          <w:p w14:paraId="278611E8" w14:textId="111D874C" w:rsidR="00343846" w:rsidRPr="00343846" w:rsidRDefault="00343846">
            <w:pPr>
              <w:rPr>
                <w:sz w:val="24"/>
                <w:szCs w:val="24"/>
                <w:highlight w:val="yellow"/>
              </w:rPr>
            </w:pPr>
            <w:r w:rsidRPr="00955BE7">
              <w:rPr>
                <w:sz w:val="24"/>
                <w:szCs w:val="24"/>
              </w:rPr>
              <w:lastRenderedPageBreak/>
              <w:t>Helmets/Splints</w:t>
            </w:r>
          </w:p>
        </w:tc>
        <w:tc>
          <w:tcPr>
            <w:tcW w:w="407" w:type="pct"/>
          </w:tcPr>
          <w:p w14:paraId="5D69C4AD" w14:textId="77777777" w:rsidR="00343846" w:rsidRPr="00343846" w:rsidRDefault="00343846" w:rsidP="004D2B7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8" w:type="pct"/>
          </w:tcPr>
          <w:p w14:paraId="3DAB010E" w14:textId="77777777" w:rsidR="00343846" w:rsidRPr="00343846" w:rsidRDefault="00343846" w:rsidP="004D2B7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pct"/>
          </w:tcPr>
          <w:p w14:paraId="6454589D" w14:textId="77777777" w:rsidR="00343846" w:rsidRPr="00343846" w:rsidRDefault="00343846" w:rsidP="004D2B7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13" w:type="pct"/>
          </w:tcPr>
          <w:p w14:paraId="12D879C5" w14:textId="77777777" w:rsidR="00343846" w:rsidRPr="00343846" w:rsidRDefault="00343846" w:rsidP="004D2B7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90" w:type="pct"/>
          </w:tcPr>
          <w:p w14:paraId="15C44247" w14:textId="20E0A85B" w:rsidR="00343846" w:rsidRPr="00955BE7" w:rsidRDefault="00343846" w:rsidP="004D2B70">
            <w:pPr>
              <w:jc w:val="center"/>
              <w:rPr>
                <w:sz w:val="24"/>
                <w:szCs w:val="24"/>
              </w:rPr>
            </w:pPr>
            <w:r w:rsidRPr="00955BE7">
              <w:rPr>
                <w:sz w:val="24"/>
                <w:szCs w:val="24"/>
              </w:rPr>
              <w:t>GP referral to relevant hospital Orthotics or Hand Therapy department</w:t>
            </w:r>
          </w:p>
        </w:tc>
      </w:tr>
      <w:tr w:rsidR="00870A35" w14:paraId="26085EA5" w14:textId="77777777" w:rsidTr="002153ED">
        <w:tc>
          <w:tcPr>
            <w:tcW w:w="1421" w:type="pct"/>
          </w:tcPr>
          <w:p w14:paraId="3705819A" w14:textId="2EFFC547" w:rsidR="00870A35" w:rsidRPr="00955BE7" w:rsidRDefault="0087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Telecare AKA assistive technology</w:t>
            </w:r>
          </w:p>
        </w:tc>
        <w:tc>
          <w:tcPr>
            <w:tcW w:w="407" w:type="pct"/>
          </w:tcPr>
          <w:p w14:paraId="6949C7EF" w14:textId="77777777" w:rsidR="00870A35" w:rsidRPr="00343846" w:rsidRDefault="00870A35" w:rsidP="004D2B7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8" w:type="pct"/>
          </w:tcPr>
          <w:p w14:paraId="4E88179B" w14:textId="77777777" w:rsidR="00870A35" w:rsidRPr="00343846" w:rsidRDefault="00870A35" w:rsidP="004D2B7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pct"/>
          </w:tcPr>
          <w:p w14:paraId="55FE71D8" w14:textId="77777777" w:rsidR="00870A35" w:rsidRPr="00343846" w:rsidRDefault="00870A35" w:rsidP="004D2B7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13" w:type="pct"/>
          </w:tcPr>
          <w:p w14:paraId="1D6251D3" w14:textId="77777777" w:rsidR="00870A35" w:rsidRPr="00343846" w:rsidRDefault="00870A35" w:rsidP="004D2B7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90" w:type="pct"/>
          </w:tcPr>
          <w:p w14:paraId="5FE9C3C6" w14:textId="6011F5A8" w:rsidR="00870A35" w:rsidRPr="00955BE7" w:rsidRDefault="00870A35" w:rsidP="004D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LA’s have a dedicated team to assess and prescribe this</w:t>
            </w:r>
          </w:p>
        </w:tc>
      </w:tr>
    </w:tbl>
    <w:p w14:paraId="4ABBCD30" w14:textId="77777777" w:rsidR="007F3572" w:rsidRDefault="007F3572">
      <w:pPr>
        <w:rPr>
          <w:sz w:val="24"/>
          <w:szCs w:val="24"/>
        </w:rPr>
      </w:pPr>
    </w:p>
    <w:p w14:paraId="61AB53F7" w14:textId="657F8DB6" w:rsidR="00401AAD" w:rsidRDefault="00B10D48" w:rsidP="00B10D48">
      <w:pPr>
        <w:rPr>
          <w:sz w:val="24"/>
          <w:szCs w:val="24"/>
        </w:rPr>
      </w:pPr>
      <w:r w:rsidRPr="00B10D48">
        <w:rPr>
          <w:sz w:val="24"/>
          <w:szCs w:val="24"/>
        </w:rPr>
        <w:t>*</w:t>
      </w:r>
      <w:r>
        <w:rPr>
          <w:sz w:val="24"/>
          <w:szCs w:val="24"/>
        </w:rPr>
        <w:t xml:space="preserve"> Prescribing rules have recently (July 2025) changed, so only wheelchairs needed indoors </w:t>
      </w:r>
      <w:r w:rsidR="001A42F0">
        <w:rPr>
          <w:sz w:val="24"/>
          <w:szCs w:val="24"/>
        </w:rPr>
        <w:t>will be prescribed, however Sue (physio) has tried to challenge this for LD clients</w:t>
      </w:r>
    </w:p>
    <w:p w14:paraId="40CEA833" w14:textId="1E705FEF" w:rsidR="003606C7" w:rsidRPr="00B10D48" w:rsidRDefault="003606C7" w:rsidP="00B10D48">
      <w:pPr>
        <w:rPr>
          <w:sz w:val="24"/>
          <w:szCs w:val="24"/>
        </w:rPr>
      </w:pPr>
      <w:r>
        <w:rPr>
          <w:sz w:val="24"/>
          <w:szCs w:val="24"/>
        </w:rPr>
        <w:t>** Major adaptations are classed as anything that requires modification to the property</w:t>
      </w:r>
      <w:r w:rsidR="007E672D">
        <w:rPr>
          <w:sz w:val="24"/>
          <w:szCs w:val="24"/>
        </w:rPr>
        <w:t xml:space="preserve"> and requiring permission of the owner</w:t>
      </w:r>
      <w:r>
        <w:rPr>
          <w:sz w:val="24"/>
          <w:szCs w:val="24"/>
        </w:rPr>
        <w:t xml:space="preserve">, such as </w:t>
      </w:r>
      <w:r w:rsidR="007E672D">
        <w:rPr>
          <w:sz w:val="24"/>
          <w:szCs w:val="24"/>
        </w:rPr>
        <w:t xml:space="preserve">permanent ramps, ceiling track hoists, wet rooms, </w:t>
      </w:r>
      <w:r w:rsidR="008C3014">
        <w:rPr>
          <w:sz w:val="24"/>
          <w:szCs w:val="24"/>
        </w:rPr>
        <w:t>stair lifts</w:t>
      </w:r>
      <w:r w:rsidR="00C66E0A">
        <w:rPr>
          <w:sz w:val="24"/>
          <w:szCs w:val="24"/>
        </w:rPr>
        <w:t xml:space="preserve"> and so on.</w:t>
      </w:r>
      <w:r w:rsidR="00870A35">
        <w:rPr>
          <w:sz w:val="24"/>
          <w:szCs w:val="24"/>
        </w:rPr>
        <w:t xml:space="preserve"> Minor equipment does not require structural changes.</w:t>
      </w:r>
    </w:p>
    <w:p w14:paraId="3461396C" w14:textId="16AE9EAF" w:rsidR="001F53C2" w:rsidRPr="00B10D48" w:rsidRDefault="001F53C2" w:rsidP="00B10D48">
      <w:pPr>
        <w:rPr>
          <w:sz w:val="24"/>
          <w:szCs w:val="24"/>
        </w:rPr>
      </w:pPr>
      <w:r>
        <w:rPr>
          <w:sz w:val="24"/>
          <w:szCs w:val="24"/>
        </w:rPr>
        <w:t xml:space="preserve">*** Luton will usually try to </w:t>
      </w:r>
      <w:r w:rsidR="00404F77">
        <w:rPr>
          <w:sz w:val="24"/>
          <w:szCs w:val="24"/>
        </w:rPr>
        <w:t xml:space="preserve">push back on referrals for small aids and advise people to contact Medequip themselves to purchase these items themselves. Their waiting list is around 18 months otherwise. </w:t>
      </w:r>
    </w:p>
    <w:p w14:paraId="65E8BD52" w14:textId="1BB31D54" w:rsidR="00B4413F" w:rsidRDefault="00B4413F"/>
    <w:p w14:paraId="4178D4B7" w14:textId="09C1A33F" w:rsidR="00404F77" w:rsidRPr="00DD12D9" w:rsidRDefault="00404F77">
      <w:pPr>
        <w:rPr>
          <w:b/>
          <w:u w:val="single"/>
        </w:rPr>
      </w:pPr>
      <w:r w:rsidRPr="00DD12D9">
        <w:rPr>
          <w:b/>
          <w:u w:val="single"/>
        </w:rPr>
        <w:t>Contact Information:</w:t>
      </w:r>
    </w:p>
    <w:p w14:paraId="64A0651A" w14:textId="0A4C2B9A" w:rsidR="00404F77" w:rsidRDefault="00404F77">
      <w:r>
        <w:t xml:space="preserve">SPLD OT – for advice/queries pop into the office or drop us an email to lbspldot. Referrals can be sent to </w:t>
      </w:r>
      <w:hyperlink r:id="rId7" w:history="1">
        <w:r w:rsidRPr="006C492D">
          <w:rPr>
            <w:rStyle w:val="Hyperlink"/>
          </w:rPr>
          <w:t>elft.lbspldotreferrals@nhs.net</w:t>
        </w:r>
      </w:hyperlink>
      <w:r>
        <w:t xml:space="preserve"> </w:t>
      </w:r>
    </w:p>
    <w:p w14:paraId="27317675" w14:textId="3B2D3169" w:rsidR="00404F77" w:rsidRDefault="00404F77">
      <w:r>
        <w:t>SPLD physio – pop into the office or sen</w:t>
      </w:r>
      <w:r w:rsidR="00E8295A">
        <w:t>d</w:t>
      </w:r>
      <w:r>
        <w:t xml:space="preserve"> emails to Sue Steveni, Pat Dougan, Anita </w:t>
      </w:r>
      <w:r w:rsidR="00E8295A">
        <w:t>Gipson (</w:t>
      </w:r>
      <w:r w:rsidR="00B37D3C">
        <w:t xml:space="preserve">NB – Anita’s email address is </w:t>
      </w:r>
      <w:r w:rsidR="00E8295A">
        <w:t>anita.worley@nhs.net)</w:t>
      </w:r>
      <w:r>
        <w:t xml:space="preserve"> and Keeley Bradshaw</w:t>
      </w:r>
    </w:p>
    <w:p w14:paraId="7399A504" w14:textId="0D2D8583" w:rsidR="00404F77" w:rsidRDefault="00404F77">
      <w:r>
        <w:t xml:space="preserve">Beds community OT - </w:t>
      </w:r>
      <w:hyperlink r:id="rId8" w:history="1">
        <w:r w:rsidRPr="006C492D">
          <w:rPr>
            <w:rStyle w:val="Hyperlink"/>
          </w:rPr>
          <w:t>singlepoint.ofcontact@nhs.net</w:t>
        </w:r>
      </w:hyperlink>
      <w:r>
        <w:t xml:space="preserve"> or call </w:t>
      </w:r>
      <w:r w:rsidR="00DD12D9">
        <w:t>0345 602 4064</w:t>
      </w:r>
    </w:p>
    <w:p w14:paraId="31E96DCC" w14:textId="29648A31" w:rsidR="00DD12D9" w:rsidRDefault="00DD12D9">
      <w:r>
        <w:t xml:space="preserve">Luton Borough Council OT team – </w:t>
      </w:r>
      <w:r w:rsidR="00F80C40" w:rsidRPr="00F80C40">
        <w:t>01582 547659 or 547660</w:t>
      </w:r>
    </w:p>
    <w:p w14:paraId="52503BA5" w14:textId="73BDD515" w:rsidR="00DD12D9" w:rsidRDefault="00DD12D9">
      <w:r>
        <w:lastRenderedPageBreak/>
        <w:t>Bedford Borough Council OT Team – 01234 718006 or OTmanagement.service@bedford.gov.uk</w:t>
      </w:r>
    </w:p>
    <w:p w14:paraId="5D9839E0" w14:textId="71C22730" w:rsidR="00DD12D9" w:rsidRDefault="00DD12D9">
      <w:r>
        <w:t xml:space="preserve">Central Beds Council OT team – 0300 300 8050 or </w:t>
      </w:r>
      <w:hyperlink r:id="rId9" w:history="1">
        <w:r w:rsidRPr="006C492D">
          <w:rPr>
            <w:rStyle w:val="Hyperlink"/>
          </w:rPr>
          <w:t>OT@centralbedfordshire.gov.uk</w:t>
        </w:r>
      </w:hyperlink>
      <w:r>
        <w:t xml:space="preserve"> with as much detail as possible</w:t>
      </w:r>
    </w:p>
    <w:p w14:paraId="1055B5A5" w14:textId="1888168D" w:rsidR="00DD12D9" w:rsidRDefault="00DD12D9">
      <w:r>
        <w:t>Wheelchair services – via single point of contact 0345 602 4064</w:t>
      </w:r>
    </w:p>
    <w:p w14:paraId="5BEFC5C9" w14:textId="295C53AE" w:rsidR="00E93AC4" w:rsidRDefault="00E93AC4">
      <w:r>
        <w:t xml:space="preserve">In-car safety centre - </w:t>
      </w:r>
      <w:r w:rsidR="000B6427" w:rsidRPr="000B6427">
        <w:t>01908 220909</w:t>
      </w:r>
    </w:p>
    <w:p w14:paraId="2334555A" w14:textId="063E5213" w:rsidR="00DD12D9" w:rsidRDefault="004A7B54">
      <w:r w:rsidRPr="00955BE7">
        <w:t xml:space="preserve">RDAC - </w:t>
      </w:r>
      <w:hyperlink r:id="rId10" w:history="1">
        <w:r w:rsidRPr="00955BE7">
          <w:rPr>
            <w:rStyle w:val="Hyperlink"/>
          </w:rPr>
          <w:t>https://www.rdac.co.uk/services/car-seat-assessment/</w:t>
        </w:r>
      </w:hyperlink>
      <w:r>
        <w:t xml:space="preserve"> </w:t>
      </w:r>
    </w:p>
    <w:p w14:paraId="0DEC98D8" w14:textId="08A82432" w:rsidR="00DD12D9" w:rsidRPr="00DD12D9" w:rsidRDefault="00DD12D9">
      <w:pPr>
        <w:rPr>
          <w:b/>
          <w:u w:val="single"/>
        </w:rPr>
      </w:pPr>
      <w:r w:rsidRPr="00DD12D9">
        <w:rPr>
          <w:b/>
          <w:u w:val="single"/>
        </w:rPr>
        <w:t>Other services that may be useful:</w:t>
      </w:r>
    </w:p>
    <w:p w14:paraId="277F27BE" w14:textId="0AE3C5BC" w:rsidR="00DD12D9" w:rsidRDefault="00DD12D9">
      <w:r>
        <w:t>Medequip</w:t>
      </w:r>
      <w:r w:rsidR="006B1F7E">
        <w:t xml:space="preserve"> – </w:t>
      </w:r>
      <w:r w:rsidR="006B1F7E" w:rsidRPr="006B1F7E">
        <w:t>0333 091 7763</w:t>
      </w:r>
    </w:p>
    <w:p w14:paraId="3C3534E9" w14:textId="2761817E" w:rsidR="00DD12D9" w:rsidRDefault="00DD12D9">
      <w:r>
        <w:t xml:space="preserve">Disability resource centre </w:t>
      </w:r>
      <w:r w:rsidR="006B1F7E">
        <w:t>–</w:t>
      </w:r>
      <w:r>
        <w:t xml:space="preserve"> </w:t>
      </w:r>
      <w:hyperlink r:id="rId11" w:history="1">
        <w:r w:rsidR="00923EAF" w:rsidRPr="001355F4">
          <w:rPr>
            <w:rStyle w:val="Hyperlink"/>
          </w:rPr>
          <w:t>https://yourwellbeingbedfordshire.org.uk/support_groups/disability-resource-centre</w:t>
        </w:r>
      </w:hyperlink>
      <w:r w:rsidR="004A6BBB">
        <w:t xml:space="preserve"> </w:t>
      </w:r>
    </w:p>
    <w:p w14:paraId="119DA043" w14:textId="7ECC1DBE" w:rsidR="00FF077B" w:rsidRDefault="00EB0195">
      <w:r>
        <w:t xml:space="preserve">British Red Cross – short term hire of standard wheelchairs - </w:t>
      </w:r>
      <w:hyperlink r:id="rId12" w:history="1">
        <w:r w:rsidR="004A6BBB" w:rsidRPr="001355F4">
          <w:rPr>
            <w:rStyle w:val="Hyperlink"/>
          </w:rPr>
          <w:t>https://www.redcross.org.uk/</w:t>
        </w:r>
      </w:hyperlink>
      <w:r w:rsidR="004A6BBB">
        <w:t xml:space="preserve"> </w:t>
      </w:r>
    </w:p>
    <w:p w14:paraId="29B27336" w14:textId="77777777" w:rsidR="00B4413F" w:rsidRDefault="00B4413F"/>
    <w:sectPr w:rsidR="00B4413F" w:rsidSect="00000401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B99C" w14:textId="77777777" w:rsidR="00D62129" w:rsidRDefault="00D62129" w:rsidP="00D12E93">
      <w:pPr>
        <w:spacing w:after="0" w:line="240" w:lineRule="auto"/>
      </w:pPr>
      <w:r>
        <w:separator/>
      </w:r>
    </w:p>
  </w:endnote>
  <w:endnote w:type="continuationSeparator" w:id="0">
    <w:p w14:paraId="50766A11" w14:textId="77777777" w:rsidR="00D62129" w:rsidRDefault="00D62129" w:rsidP="00D1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BDCAC" w14:textId="77777777" w:rsidR="00D62129" w:rsidRDefault="00D62129" w:rsidP="00D12E93">
      <w:pPr>
        <w:spacing w:after="0" w:line="240" w:lineRule="auto"/>
      </w:pPr>
      <w:r>
        <w:separator/>
      </w:r>
    </w:p>
  </w:footnote>
  <w:footnote w:type="continuationSeparator" w:id="0">
    <w:p w14:paraId="5CBB9222" w14:textId="77777777" w:rsidR="00D62129" w:rsidRDefault="00D62129" w:rsidP="00D1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6D3E" w14:textId="7650B31C" w:rsidR="00D12E93" w:rsidRDefault="00404F77">
    <w:pPr>
      <w:pStyle w:val="Header"/>
    </w:pPr>
    <w:r>
      <w:t>SPLD OT &amp; Physio Teams</w:t>
    </w:r>
    <w:r>
      <w:tab/>
    </w:r>
    <w:r>
      <w:tab/>
    </w:r>
    <w:r>
      <w:tab/>
    </w:r>
    <w:r>
      <w:tab/>
    </w:r>
    <w:r>
      <w:tab/>
    </w:r>
    <w:r>
      <w:tab/>
    </w:r>
    <w:r>
      <w:tab/>
      <w:t>July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3699"/>
    <w:multiLevelType w:val="hybridMultilevel"/>
    <w:tmpl w:val="A008F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15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3F"/>
    <w:rsid w:val="00000401"/>
    <w:rsid w:val="0002228E"/>
    <w:rsid w:val="000302B1"/>
    <w:rsid w:val="00034BFC"/>
    <w:rsid w:val="00044407"/>
    <w:rsid w:val="000A4D1E"/>
    <w:rsid w:val="000B6427"/>
    <w:rsid w:val="000F6CE4"/>
    <w:rsid w:val="00102084"/>
    <w:rsid w:val="00103E3F"/>
    <w:rsid w:val="00111179"/>
    <w:rsid w:val="00121F7F"/>
    <w:rsid w:val="00125670"/>
    <w:rsid w:val="001320E3"/>
    <w:rsid w:val="001452A6"/>
    <w:rsid w:val="00176416"/>
    <w:rsid w:val="001A42F0"/>
    <w:rsid w:val="001B1F01"/>
    <w:rsid w:val="001F53C2"/>
    <w:rsid w:val="002019F9"/>
    <w:rsid w:val="00211508"/>
    <w:rsid w:val="002153ED"/>
    <w:rsid w:val="00343846"/>
    <w:rsid w:val="003606C7"/>
    <w:rsid w:val="003E4CCF"/>
    <w:rsid w:val="00401AAD"/>
    <w:rsid w:val="00401F56"/>
    <w:rsid w:val="00404F77"/>
    <w:rsid w:val="0042023C"/>
    <w:rsid w:val="00463226"/>
    <w:rsid w:val="00477CC9"/>
    <w:rsid w:val="004A2373"/>
    <w:rsid w:val="004A6BBB"/>
    <w:rsid w:val="004A7B54"/>
    <w:rsid w:val="004D2B70"/>
    <w:rsid w:val="004D679F"/>
    <w:rsid w:val="005A6630"/>
    <w:rsid w:val="006432C9"/>
    <w:rsid w:val="006A7D3B"/>
    <w:rsid w:val="006B1F7E"/>
    <w:rsid w:val="006C7FFD"/>
    <w:rsid w:val="00700147"/>
    <w:rsid w:val="00735427"/>
    <w:rsid w:val="007B65DC"/>
    <w:rsid w:val="007D0734"/>
    <w:rsid w:val="007E672D"/>
    <w:rsid w:val="007F3572"/>
    <w:rsid w:val="00870A35"/>
    <w:rsid w:val="008C3014"/>
    <w:rsid w:val="008E3970"/>
    <w:rsid w:val="00920CDE"/>
    <w:rsid w:val="00923EAF"/>
    <w:rsid w:val="00955BE7"/>
    <w:rsid w:val="009626E4"/>
    <w:rsid w:val="009B1E5F"/>
    <w:rsid w:val="00A07DED"/>
    <w:rsid w:val="00A623DD"/>
    <w:rsid w:val="00AA0390"/>
    <w:rsid w:val="00AE0EA3"/>
    <w:rsid w:val="00B10D48"/>
    <w:rsid w:val="00B363A7"/>
    <w:rsid w:val="00B37D3C"/>
    <w:rsid w:val="00B42CB0"/>
    <w:rsid w:val="00B4413F"/>
    <w:rsid w:val="00B912B5"/>
    <w:rsid w:val="00BA2CE5"/>
    <w:rsid w:val="00C07CAD"/>
    <w:rsid w:val="00C16042"/>
    <w:rsid w:val="00C6504C"/>
    <w:rsid w:val="00C66E0A"/>
    <w:rsid w:val="00C81247"/>
    <w:rsid w:val="00CB0D39"/>
    <w:rsid w:val="00CF4C09"/>
    <w:rsid w:val="00CF590D"/>
    <w:rsid w:val="00D01275"/>
    <w:rsid w:val="00D12E93"/>
    <w:rsid w:val="00D24094"/>
    <w:rsid w:val="00D62129"/>
    <w:rsid w:val="00DA133D"/>
    <w:rsid w:val="00DB398A"/>
    <w:rsid w:val="00DB6D51"/>
    <w:rsid w:val="00DD12D9"/>
    <w:rsid w:val="00DF3144"/>
    <w:rsid w:val="00E113CB"/>
    <w:rsid w:val="00E5626E"/>
    <w:rsid w:val="00E72E44"/>
    <w:rsid w:val="00E8295A"/>
    <w:rsid w:val="00E93AC4"/>
    <w:rsid w:val="00EB0195"/>
    <w:rsid w:val="00ED4545"/>
    <w:rsid w:val="00EF26E3"/>
    <w:rsid w:val="00F0072C"/>
    <w:rsid w:val="00F3583C"/>
    <w:rsid w:val="00F80C40"/>
    <w:rsid w:val="00F84E94"/>
    <w:rsid w:val="00FA4E31"/>
    <w:rsid w:val="00FC643D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0AE7"/>
  <w15:chartTrackingRefBased/>
  <w15:docId w15:val="{B0CBA29F-146C-4B99-9448-C3F8DFC2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1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1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1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1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1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13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13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13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1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13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13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4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2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E93"/>
  </w:style>
  <w:style w:type="paragraph" w:styleId="Footer">
    <w:name w:val="footer"/>
    <w:basedOn w:val="Normal"/>
    <w:link w:val="FooterChar"/>
    <w:uiPriority w:val="99"/>
    <w:unhideWhenUsed/>
    <w:rsid w:val="00D12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E93"/>
  </w:style>
  <w:style w:type="character" w:styleId="Hyperlink">
    <w:name w:val="Hyperlink"/>
    <w:basedOn w:val="DefaultParagraphFont"/>
    <w:uiPriority w:val="99"/>
    <w:unhideWhenUsed/>
    <w:rsid w:val="00D12E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glepoint.ofcontact@nhs.ne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ft.lbspldotreferrals@nhs.net" TargetMode="External"/><Relationship Id="rId12" Type="http://schemas.openxmlformats.org/officeDocument/2006/relationships/hyperlink" Target="https://www.redcross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rwellbeingbedfordshire.org.uk/support_groups/disability-resource-centr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dac.co.uk/services/car-seat-assess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@centralbedfordshire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Links>
    <vt:vector size="24" baseType="variant">
      <vt:variant>
        <vt:i4>7340057</vt:i4>
      </vt:variant>
      <vt:variant>
        <vt:i4>9</vt:i4>
      </vt:variant>
      <vt:variant>
        <vt:i4>0</vt:i4>
      </vt:variant>
      <vt:variant>
        <vt:i4>5</vt:i4>
      </vt:variant>
      <vt:variant>
        <vt:lpwstr>https://yourwellbeingbedfordshire.org.uk/support_groups/disability-resource-centre</vt:lpwstr>
      </vt:variant>
      <vt:variant>
        <vt:lpwstr/>
      </vt:variant>
      <vt:variant>
        <vt:i4>3014727</vt:i4>
      </vt:variant>
      <vt:variant>
        <vt:i4>6</vt:i4>
      </vt:variant>
      <vt:variant>
        <vt:i4>0</vt:i4>
      </vt:variant>
      <vt:variant>
        <vt:i4>5</vt:i4>
      </vt:variant>
      <vt:variant>
        <vt:lpwstr>mailto:OT@centralbedfordshire.gov.uk</vt:lpwstr>
      </vt:variant>
      <vt:variant>
        <vt:lpwstr/>
      </vt:variant>
      <vt:variant>
        <vt:i4>917619</vt:i4>
      </vt:variant>
      <vt:variant>
        <vt:i4>3</vt:i4>
      </vt:variant>
      <vt:variant>
        <vt:i4>0</vt:i4>
      </vt:variant>
      <vt:variant>
        <vt:i4>5</vt:i4>
      </vt:variant>
      <vt:variant>
        <vt:lpwstr>mailto:singlepoint.ofcontact@nhs.net</vt:lpwstr>
      </vt:variant>
      <vt:variant>
        <vt:lpwstr/>
      </vt:variant>
      <vt:variant>
        <vt:i4>3145801</vt:i4>
      </vt:variant>
      <vt:variant>
        <vt:i4>0</vt:i4>
      </vt:variant>
      <vt:variant>
        <vt:i4>0</vt:i4>
      </vt:variant>
      <vt:variant>
        <vt:i4>5</vt:i4>
      </vt:variant>
      <vt:variant>
        <vt:lpwstr>mailto:elft.lbspldotreferrals@nhs.net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MAULE, Danielle (EAST LONDON NHS FOUNDATION TRUST)</dc:creator>
  <cp:keywords/>
  <dc:description/>
  <cp:lastModifiedBy>Mingay Simone</cp:lastModifiedBy>
  <cp:revision>2</cp:revision>
  <dcterms:created xsi:type="dcterms:W3CDTF">2025-09-03T08:19:00Z</dcterms:created>
  <dcterms:modified xsi:type="dcterms:W3CDTF">2025-09-03T08:19:00Z</dcterms:modified>
</cp:coreProperties>
</file>