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41B70" w14:textId="77777777" w:rsidR="00C13F16" w:rsidRDefault="00C13F16" w:rsidP="00C13F16">
      <w:pPr>
        <w:jc w:val="right"/>
        <w:rPr>
          <w:sz w:val="32"/>
          <w:szCs w:val="32"/>
        </w:rPr>
      </w:pPr>
      <w:r>
        <w:rPr>
          <w:noProof/>
        </w:rPr>
        <w:drawing>
          <wp:anchor distT="0" distB="0" distL="114300" distR="114300" simplePos="0" relativeHeight="251658240" behindDoc="0" locked="0" layoutInCell="1" allowOverlap="1" wp14:anchorId="320C8C47" wp14:editId="266E4601">
            <wp:simplePos x="0" y="0"/>
            <wp:positionH relativeFrom="margin">
              <wp:posOffset>3622675</wp:posOffset>
            </wp:positionH>
            <wp:positionV relativeFrom="margin">
              <wp:posOffset>0</wp:posOffset>
            </wp:positionV>
            <wp:extent cx="1704975" cy="762000"/>
            <wp:effectExtent l="0" t="0" r="9525" b="0"/>
            <wp:wrapSquare wrapText="bothSides"/>
            <wp:docPr id="1" name="Picture 1" descr="East London NHS Foundation Trust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t London NHS Foundation Trust RGB BLUE"/>
                    <pic:cNvPicPr>
                      <a:picLocks noChangeAspect="1" noChangeArrowheads="1"/>
                    </pic:cNvPicPr>
                  </pic:nvPicPr>
                  <pic:blipFill>
                    <a:blip r:embed="rId11">
                      <a:extLst>
                        <a:ext uri="{28A0092B-C50C-407E-A947-70E740481C1C}">
                          <a14:useLocalDpi xmlns:a14="http://schemas.microsoft.com/office/drawing/2010/main" val="0"/>
                        </a:ext>
                      </a:extLst>
                    </a:blip>
                    <a:srcRect l="47881" t="15767" b="32674"/>
                    <a:stretch>
                      <a:fillRect/>
                    </a:stretch>
                  </pic:blipFill>
                  <pic:spPr bwMode="auto">
                    <a:xfrm>
                      <a:off x="0" y="0"/>
                      <a:ext cx="1704975" cy="762000"/>
                    </a:xfrm>
                    <a:prstGeom prst="rect">
                      <a:avLst/>
                    </a:prstGeom>
                    <a:noFill/>
                  </pic:spPr>
                </pic:pic>
              </a:graphicData>
            </a:graphic>
            <wp14:sizeRelH relativeFrom="page">
              <wp14:pctWidth>0</wp14:pctWidth>
            </wp14:sizeRelH>
            <wp14:sizeRelV relativeFrom="page">
              <wp14:pctHeight>0</wp14:pctHeight>
            </wp14:sizeRelV>
          </wp:anchor>
        </w:drawing>
      </w:r>
    </w:p>
    <w:p w14:paraId="520D4E9C" w14:textId="77777777" w:rsidR="00C13F16" w:rsidRDefault="00C13F16" w:rsidP="00C13F16"/>
    <w:p w14:paraId="638D95FB" w14:textId="77777777" w:rsidR="00C13F16" w:rsidRDefault="00C13F16" w:rsidP="00C13F16"/>
    <w:p w14:paraId="49BF99D2" w14:textId="77777777" w:rsidR="00C13F16" w:rsidRDefault="00C13F16" w:rsidP="00C13F16"/>
    <w:p w14:paraId="567CECBF" w14:textId="77777777" w:rsidR="00C13F16" w:rsidRDefault="00C13F16" w:rsidP="00C13F16"/>
    <w:p w14:paraId="119344F7" w14:textId="77777777" w:rsidR="00C13F16" w:rsidRDefault="00C13F16" w:rsidP="00C13F16"/>
    <w:p w14:paraId="59C96895" w14:textId="77777777" w:rsidR="00C13F16" w:rsidRDefault="00C13F16" w:rsidP="00C13F16"/>
    <w:p w14:paraId="1EBE0674" w14:textId="77777777" w:rsidR="00C13F16" w:rsidRDefault="00C13F16" w:rsidP="00C13F16"/>
    <w:p w14:paraId="7B0A6050" w14:textId="77777777" w:rsidR="00C13F16" w:rsidRDefault="00C13F16" w:rsidP="00C13F16"/>
    <w:p w14:paraId="581DC48A" w14:textId="77777777" w:rsidR="00C13F16" w:rsidRDefault="00C13F16" w:rsidP="00C13F16"/>
    <w:p w14:paraId="0909B622" w14:textId="3E238CAC" w:rsidR="00C13F16" w:rsidRDefault="00C13F16" w:rsidP="00C13F16">
      <w:pPr>
        <w:jc w:val="center"/>
        <w:rPr>
          <w:sz w:val="40"/>
          <w:szCs w:val="40"/>
        </w:rPr>
      </w:pPr>
      <w:r>
        <w:rPr>
          <w:sz w:val="40"/>
          <w:szCs w:val="40"/>
        </w:rPr>
        <w:t xml:space="preserve">ELFT </w:t>
      </w:r>
      <w:r w:rsidR="00CF3C30">
        <w:rPr>
          <w:sz w:val="40"/>
          <w:szCs w:val="40"/>
        </w:rPr>
        <w:t>Trust wide</w:t>
      </w:r>
      <w:r>
        <w:rPr>
          <w:sz w:val="40"/>
          <w:szCs w:val="40"/>
        </w:rPr>
        <w:t xml:space="preserve"> Waiting Times and Access Policy</w:t>
      </w:r>
    </w:p>
    <w:p w14:paraId="549CDB37" w14:textId="77777777" w:rsidR="00C13F16" w:rsidRDefault="00C13F16" w:rsidP="00C13F16"/>
    <w:p w14:paraId="2092B4E9" w14:textId="77777777" w:rsidR="00C13F16" w:rsidRDefault="00C13F16" w:rsidP="00C13F16"/>
    <w:p w14:paraId="3732FFA6" w14:textId="77777777" w:rsidR="00C13F16" w:rsidRDefault="00C13F16" w:rsidP="00C13F16"/>
    <w:p w14:paraId="3A865534" w14:textId="77777777" w:rsidR="00C13F16" w:rsidRDefault="00C13F16" w:rsidP="00C13F16"/>
    <w:p w14:paraId="4E7F73D2" w14:textId="77777777" w:rsidR="00C13F16" w:rsidRDefault="00C13F16" w:rsidP="00C13F16"/>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C13F16" w14:paraId="68070FCA"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0A8B2785" w14:textId="77777777" w:rsidR="00C13F16" w:rsidRDefault="00C13F16">
            <w:pPr>
              <w:spacing w:before="40" w:after="40"/>
              <w:rPr>
                <w:bCs/>
              </w:rPr>
            </w:pPr>
            <w:r>
              <w:rPr>
                <w:bCs/>
              </w:rPr>
              <w:t>Version number:</w:t>
            </w:r>
          </w:p>
        </w:tc>
        <w:tc>
          <w:tcPr>
            <w:tcW w:w="4487" w:type="dxa"/>
            <w:tcBorders>
              <w:top w:val="single" w:sz="4" w:space="0" w:color="auto"/>
              <w:left w:val="single" w:sz="4" w:space="0" w:color="auto"/>
              <w:bottom w:val="single" w:sz="4" w:space="0" w:color="auto"/>
              <w:right w:val="single" w:sz="4" w:space="0" w:color="auto"/>
            </w:tcBorders>
            <w:hideMark/>
          </w:tcPr>
          <w:p w14:paraId="1777BFD5" w14:textId="25020218" w:rsidR="00C13F16" w:rsidRDefault="001553E7">
            <w:pPr>
              <w:spacing w:before="40" w:after="40"/>
            </w:pPr>
            <w:r>
              <w:t>2</w:t>
            </w:r>
            <w:r w:rsidR="00C13F16">
              <w:t>.0</w:t>
            </w:r>
          </w:p>
        </w:tc>
      </w:tr>
      <w:tr w:rsidR="00C13F16" w14:paraId="08B6A2AC"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71F5A82C" w14:textId="77777777" w:rsidR="00C13F16" w:rsidRDefault="00C13F16">
            <w:pPr>
              <w:spacing w:before="40" w:after="40"/>
              <w:rPr>
                <w:bCs/>
              </w:rPr>
            </w:pPr>
            <w:r>
              <w:rPr>
                <w:bCs/>
              </w:rPr>
              <w:t xml:space="preserve">Consultation Groups </w:t>
            </w:r>
          </w:p>
        </w:tc>
        <w:tc>
          <w:tcPr>
            <w:tcW w:w="4487" w:type="dxa"/>
            <w:tcBorders>
              <w:top w:val="single" w:sz="4" w:space="0" w:color="auto"/>
              <w:left w:val="single" w:sz="4" w:space="0" w:color="auto"/>
              <w:bottom w:val="single" w:sz="4" w:space="0" w:color="auto"/>
              <w:right w:val="single" w:sz="4" w:space="0" w:color="auto"/>
            </w:tcBorders>
            <w:hideMark/>
          </w:tcPr>
          <w:p w14:paraId="7841A07C" w14:textId="77777777" w:rsidR="00C13F16" w:rsidRDefault="00C13F16">
            <w:pPr>
              <w:spacing w:before="40" w:after="40"/>
            </w:pPr>
            <w:r>
              <w:t xml:space="preserve">Key governance leads / Service and Clinical Directors / Performance leads </w:t>
            </w:r>
          </w:p>
        </w:tc>
      </w:tr>
      <w:tr w:rsidR="00C13F16" w14:paraId="5F717D74"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618B4A11" w14:textId="77777777" w:rsidR="00C13F16" w:rsidRDefault="00C13F16">
            <w:pPr>
              <w:spacing w:before="40" w:after="40"/>
              <w:rPr>
                <w:bCs/>
              </w:rPr>
            </w:pPr>
            <w:r>
              <w:rPr>
                <w:bCs/>
              </w:rPr>
              <w:t>Approved by (Sponsor Group)</w:t>
            </w:r>
          </w:p>
        </w:tc>
        <w:tc>
          <w:tcPr>
            <w:tcW w:w="4487" w:type="dxa"/>
            <w:tcBorders>
              <w:top w:val="single" w:sz="4" w:space="0" w:color="auto"/>
              <w:left w:val="single" w:sz="4" w:space="0" w:color="auto"/>
              <w:bottom w:val="single" w:sz="4" w:space="0" w:color="auto"/>
              <w:right w:val="single" w:sz="4" w:space="0" w:color="auto"/>
            </w:tcBorders>
            <w:hideMark/>
          </w:tcPr>
          <w:p w14:paraId="37A5671C" w14:textId="5A29D010" w:rsidR="00C13F16" w:rsidRDefault="00CF3C30">
            <w:pPr>
              <w:spacing w:before="40" w:after="40"/>
            </w:pPr>
            <w:r w:rsidRPr="00CF3C30">
              <w:t>Operations Board Meeting</w:t>
            </w:r>
          </w:p>
        </w:tc>
      </w:tr>
      <w:tr w:rsidR="00C13F16" w14:paraId="2F7AD819"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1FE6B4A4" w14:textId="77777777" w:rsidR="00C13F16" w:rsidRDefault="00C13F16">
            <w:pPr>
              <w:spacing w:before="40" w:after="40"/>
              <w:rPr>
                <w:bCs/>
              </w:rPr>
            </w:pPr>
            <w:r>
              <w:rPr>
                <w:bCs/>
              </w:rPr>
              <w:t>Date approved</w:t>
            </w:r>
          </w:p>
        </w:tc>
        <w:tc>
          <w:tcPr>
            <w:tcW w:w="4487" w:type="dxa"/>
            <w:tcBorders>
              <w:top w:val="single" w:sz="4" w:space="0" w:color="auto"/>
              <w:left w:val="single" w:sz="4" w:space="0" w:color="auto"/>
              <w:bottom w:val="single" w:sz="4" w:space="0" w:color="auto"/>
              <w:right w:val="single" w:sz="4" w:space="0" w:color="auto"/>
            </w:tcBorders>
          </w:tcPr>
          <w:p w14:paraId="70ACC7D3" w14:textId="52E3B04D" w:rsidR="00C13F16" w:rsidRDefault="00CF3C30">
            <w:pPr>
              <w:spacing w:before="40" w:after="40"/>
            </w:pPr>
            <w:r w:rsidRPr="00CF3C30">
              <w:t>15th October 2025</w:t>
            </w:r>
          </w:p>
        </w:tc>
      </w:tr>
      <w:tr w:rsidR="00C13F16" w14:paraId="1CAE789B"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16C10709" w14:textId="77777777" w:rsidR="00C13F16" w:rsidRDefault="00C13F16">
            <w:pPr>
              <w:spacing w:before="40" w:after="40"/>
              <w:rPr>
                <w:bCs/>
              </w:rPr>
            </w:pPr>
            <w:r>
              <w:rPr>
                <w:bCs/>
              </w:rPr>
              <w:t>Ratified by:</w:t>
            </w:r>
          </w:p>
        </w:tc>
        <w:tc>
          <w:tcPr>
            <w:tcW w:w="4487" w:type="dxa"/>
            <w:tcBorders>
              <w:top w:val="single" w:sz="4" w:space="0" w:color="auto"/>
              <w:left w:val="single" w:sz="4" w:space="0" w:color="auto"/>
              <w:bottom w:val="single" w:sz="4" w:space="0" w:color="auto"/>
              <w:right w:val="single" w:sz="4" w:space="0" w:color="auto"/>
            </w:tcBorders>
            <w:hideMark/>
          </w:tcPr>
          <w:p w14:paraId="0637907B" w14:textId="77777777" w:rsidR="00C13F16" w:rsidRDefault="00C13F16">
            <w:pPr>
              <w:spacing w:before="40" w:after="40"/>
            </w:pPr>
            <w:r>
              <w:t xml:space="preserve">Quality Committee </w:t>
            </w:r>
          </w:p>
        </w:tc>
      </w:tr>
      <w:tr w:rsidR="00C13F16" w14:paraId="4E336FEA"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6C559571" w14:textId="77777777" w:rsidR="00C13F16" w:rsidRDefault="00C13F16">
            <w:pPr>
              <w:spacing w:before="40" w:after="40"/>
              <w:rPr>
                <w:bCs/>
              </w:rPr>
            </w:pPr>
            <w:r>
              <w:rPr>
                <w:bCs/>
              </w:rPr>
              <w:t>Date ratified:</w:t>
            </w:r>
          </w:p>
        </w:tc>
        <w:tc>
          <w:tcPr>
            <w:tcW w:w="4487" w:type="dxa"/>
            <w:tcBorders>
              <w:top w:val="single" w:sz="4" w:space="0" w:color="auto"/>
              <w:left w:val="single" w:sz="4" w:space="0" w:color="auto"/>
              <w:bottom w:val="single" w:sz="4" w:space="0" w:color="auto"/>
              <w:right w:val="single" w:sz="4" w:space="0" w:color="auto"/>
            </w:tcBorders>
          </w:tcPr>
          <w:p w14:paraId="2A5306AA" w14:textId="6608571C" w:rsidR="00C13F16" w:rsidRDefault="00CF3C30">
            <w:pPr>
              <w:spacing w:before="40" w:after="40"/>
            </w:pPr>
            <w:r>
              <w:t>22</w:t>
            </w:r>
            <w:r w:rsidRPr="00CF3C30">
              <w:rPr>
                <w:vertAlign w:val="superscript"/>
              </w:rPr>
              <w:t>nd</w:t>
            </w:r>
            <w:r>
              <w:t xml:space="preserve"> October 2025</w:t>
            </w:r>
          </w:p>
        </w:tc>
      </w:tr>
      <w:tr w:rsidR="00C13F16" w14:paraId="0D2F5BBD"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26593AC7" w14:textId="77777777" w:rsidR="00C13F16" w:rsidRDefault="00C13F16">
            <w:pPr>
              <w:spacing w:before="40" w:after="40"/>
              <w:rPr>
                <w:bCs/>
              </w:rPr>
            </w:pPr>
            <w:r>
              <w:rPr>
                <w:bCs/>
              </w:rPr>
              <w:t>Name and Job Title of author:</w:t>
            </w:r>
          </w:p>
        </w:tc>
        <w:tc>
          <w:tcPr>
            <w:tcW w:w="4487" w:type="dxa"/>
            <w:tcBorders>
              <w:top w:val="single" w:sz="4" w:space="0" w:color="auto"/>
              <w:left w:val="single" w:sz="4" w:space="0" w:color="auto"/>
              <w:bottom w:val="single" w:sz="4" w:space="0" w:color="auto"/>
              <w:right w:val="single" w:sz="4" w:space="0" w:color="auto"/>
            </w:tcBorders>
            <w:hideMark/>
          </w:tcPr>
          <w:p w14:paraId="4830A4CE" w14:textId="77777777" w:rsidR="00C13F16" w:rsidRDefault="00C13F16">
            <w:pPr>
              <w:spacing w:before="40" w:after="40"/>
            </w:pPr>
            <w:r>
              <w:t>Associate Director for Planning and Performance</w:t>
            </w:r>
          </w:p>
        </w:tc>
      </w:tr>
      <w:tr w:rsidR="00C13F16" w14:paraId="7182DBE2"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6CDF2086" w14:textId="77777777" w:rsidR="00C13F16" w:rsidRDefault="00C13F16">
            <w:pPr>
              <w:spacing w:before="40" w:after="40"/>
              <w:rPr>
                <w:bCs/>
              </w:rPr>
            </w:pPr>
            <w:r>
              <w:rPr>
                <w:bCs/>
              </w:rPr>
              <w:t>Executive Director lead:</w:t>
            </w:r>
          </w:p>
        </w:tc>
        <w:tc>
          <w:tcPr>
            <w:tcW w:w="4487" w:type="dxa"/>
            <w:tcBorders>
              <w:top w:val="single" w:sz="4" w:space="0" w:color="auto"/>
              <w:left w:val="single" w:sz="4" w:space="0" w:color="auto"/>
              <w:bottom w:val="single" w:sz="4" w:space="0" w:color="auto"/>
              <w:right w:val="single" w:sz="4" w:space="0" w:color="auto"/>
            </w:tcBorders>
            <w:hideMark/>
          </w:tcPr>
          <w:p w14:paraId="46EF9DBB" w14:textId="77777777" w:rsidR="00C13F16" w:rsidRDefault="00C13F16">
            <w:pPr>
              <w:spacing w:before="40" w:after="40"/>
            </w:pPr>
            <w:r>
              <w:t>Chief Quality Officer</w:t>
            </w:r>
          </w:p>
        </w:tc>
      </w:tr>
      <w:tr w:rsidR="00C13F16" w14:paraId="3F885455"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443A5BD8" w14:textId="77777777" w:rsidR="00C13F16" w:rsidRDefault="00C13F16">
            <w:pPr>
              <w:spacing w:before="40" w:after="40"/>
              <w:rPr>
                <w:bCs/>
              </w:rPr>
            </w:pPr>
            <w:r>
              <w:rPr>
                <w:bCs/>
              </w:rPr>
              <w:t>Implementation Date:</w:t>
            </w:r>
          </w:p>
        </w:tc>
        <w:tc>
          <w:tcPr>
            <w:tcW w:w="4487" w:type="dxa"/>
            <w:tcBorders>
              <w:top w:val="single" w:sz="4" w:space="0" w:color="auto"/>
              <w:left w:val="single" w:sz="4" w:space="0" w:color="auto"/>
              <w:bottom w:val="single" w:sz="4" w:space="0" w:color="auto"/>
              <w:right w:val="single" w:sz="4" w:space="0" w:color="auto"/>
            </w:tcBorders>
          </w:tcPr>
          <w:p w14:paraId="0DE2594B" w14:textId="57D496A1" w:rsidR="00C13F16" w:rsidRDefault="005A7C85">
            <w:pPr>
              <w:spacing w:before="40" w:after="40"/>
            </w:pPr>
            <w:r>
              <w:t>October</w:t>
            </w:r>
            <w:r w:rsidR="00C13F16">
              <w:t xml:space="preserve"> 2025 </w:t>
            </w:r>
          </w:p>
        </w:tc>
      </w:tr>
      <w:tr w:rsidR="00C13F16" w14:paraId="30EB37C1"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6C1822A8" w14:textId="77777777" w:rsidR="00C13F16" w:rsidRDefault="00C13F16">
            <w:pPr>
              <w:spacing w:before="40" w:after="40"/>
              <w:rPr>
                <w:bCs/>
              </w:rPr>
            </w:pPr>
            <w:r>
              <w:rPr>
                <w:bCs/>
              </w:rPr>
              <w:t xml:space="preserve">Last Review Date </w:t>
            </w:r>
          </w:p>
        </w:tc>
        <w:tc>
          <w:tcPr>
            <w:tcW w:w="4487" w:type="dxa"/>
            <w:tcBorders>
              <w:top w:val="single" w:sz="4" w:space="0" w:color="auto"/>
              <w:left w:val="single" w:sz="4" w:space="0" w:color="auto"/>
              <w:bottom w:val="single" w:sz="4" w:space="0" w:color="auto"/>
              <w:right w:val="single" w:sz="4" w:space="0" w:color="auto"/>
            </w:tcBorders>
          </w:tcPr>
          <w:p w14:paraId="74F688CE" w14:textId="2CDB249E" w:rsidR="00C13F16" w:rsidRDefault="005A7C85">
            <w:pPr>
              <w:spacing w:before="40" w:after="40"/>
            </w:pPr>
            <w:r>
              <w:t>October</w:t>
            </w:r>
            <w:r w:rsidR="00C13F16">
              <w:t xml:space="preserve"> 2025</w:t>
            </w:r>
          </w:p>
        </w:tc>
      </w:tr>
      <w:tr w:rsidR="00C13F16" w14:paraId="6CF9EF52" w14:textId="77777777" w:rsidTr="00C13F16">
        <w:tc>
          <w:tcPr>
            <w:tcW w:w="4513" w:type="dxa"/>
            <w:tcBorders>
              <w:top w:val="single" w:sz="4" w:space="0" w:color="auto"/>
              <w:left w:val="single" w:sz="4" w:space="0" w:color="auto"/>
              <w:bottom w:val="single" w:sz="4" w:space="0" w:color="auto"/>
              <w:right w:val="single" w:sz="4" w:space="0" w:color="auto"/>
            </w:tcBorders>
            <w:hideMark/>
          </w:tcPr>
          <w:p w14:paraId="4AC6B6C3" w14:textId="77777777" w:rsidR="00C13F16" w:rsidRDefault="00C13F16">
            <w:pPr>
              <w:spacing w:before="40" w:after="40"/>
              <w:rPr>
                <w:bCs/>
              </w:rPr>
            </w:pPr>
            <w:r>
              <w:rPr>
                <w:bCs/>
              </w:rPr>
              <w:t>Next Review date:</w:t>
            </w:r>
          </w:p>
        </w:tc>
        <w:tc>
          <w:tcPr>
            <w:tcW w:w="4487" w:type="dxa"/>
            <w:tcBorders>
              <w:top w:val="single" w:sz="4" w:space="0" w:color="auto"/>
              <w:left w:val="single" w:sz="4" w:space="0" w:color="auto"/>
              <w:bottom w:val="single" w:sz="4" w:space="0" w:color="auto"/>
              <w:right w:val="single" w:sz="4" w:space="0" w:color="auto"/>
            </w:tcBorders>
          </w:tcPr>
          <w:p w14:paraId="445E33E7" w14:textId="5C814C17" w:rsidR="00C13F16" w:rsidRDefault="005A7C85">
            <w:pPr>
              <w:spacing w:before="40" w:after="40"/>
            </w:pPr>
            <w:r>
              <w:t>October</w:t>
            </w:r>
            <w:r w:rsidR="004D2732">
              <w:t xml:space="preserve"> 202</w:t>
            </w:r>
            <w:r w:rsidR="00701895">
              <w:t>8</w:t>
            </w:r>
          </w:p>
        </w:tc>
      </w:tr>
    </w:tbl>
    <w:p w14:paraId="4B5F04CA" w14:textId="77777777" w:rsidR="00C13F16" w:rsidRDefault="00C13F16" w:rsidP="00C13F16"/>
    <w:p w14:paraId="174797B8" w14:textId="77777777" w:rsidR="00C13F16" w:rsidRDefault="00C13F16" w:rsidP="00C13F16"/>
    <w:p w14:paraId="30943B9F" w14:textId="77777777" w:rsidR="00C13F16" w:rsidRDefault="00C13F16" w:rsidP="00C13F16"/>
    <w:p w14:paraId="41C00B11" w14:textId="77777777" w:rsidR="00C13F16" w:rsidRDefault="00C13F16" w:rsidP="00C13F16"/>
    <w:p w14:paraId="7F756FE0" w14:textId="77777777" w:rsidR="00C13F16" w:rsidRDefault="00C13F16" w:rsidP="00C13F16"/>
    <w:p w14:paraId="5751E95F" w14:textId="77777777" w:rsidR="00C13F16" w:rsidRDefault="00C13F16" w:rsidP="00C13F16"/>
    <w:p w14:paraId="7C72CB3B" w14:textId="77777777" w:rsidR="00C13F16" w:rsidRDefault="00C13F16" w:rsidP="00C13F16"/>
    <w:p w14:paraId="5AEBA1F3" w14:textId="77777777" w:rsidR="00C13F16" w:rsidRDefault="00C13F16" w:rsidP="00C13F16">
      <w:pPr>
        <w:rPr>
          <w:vanish/>
        </w:rPr>
      </w:pPr>
    </w:p>
    <w:p w14:paraId="1CB0C983" w14:textId="77777777" w:rsidR="00C13F16" w:rsidRDefault="00C13F16" w:rsidP="00C13F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6"/>
      </w:tblGrid>
      <w:tr w:rsidR="00C13F16" w14:paraId="019D87E6" w14:textId="77777777" w:rsidTr="00C13F16">
        <w:tc>
          <w:tcPr>
            <w:tcW w:w="4510" w:type="dxa"/>
            <w:tcBorders>
              <w:top w:val="single" w:sz="4" w:space="0" w:color="auto"/>
              <w:left w:val="single" w:sz="4" w:space="0" w:color="auto"/>
              <w:bottom w:val="single" w:sz="4" w:space="0" w:color="auto"/>
              <w:right w:val="single" w:sz="4" w:space="0" w:color="auto"/>
            </w:tcBorders>
            <w:hideMark/>
          </w:tcPr>
          <w:p w14:paraId="452F5F16" w14:textId="77777777" w:rsidR="00C13F16" w:rsidRDefault="00C13F16">
            <w:pPr>
              <w:spacing w:before="200"/>
              <w:jc w:val="both"/>
              <w:rPr>
                <w:rFonts w:eastAsia="Calibri"/>
                <w:szCs w:val="22"/>
              </w:rPr>
            </w:pPr>
            <w:r>
              <w:rPr>
                <w:rFonts w:eastAsia="Calibri"/>
                <w:szCs w:val="22"/>
              </w:rPr>
              <w:t xml:space="preserve">Services </w:t>
            </w:r>
          </w:p>
        </w:tc>
        <w:tc>
          <w:tcPr>
            <w:tcW w:w="4506" w:type="dxa"/>
            <w:tcBorders>
              <w:top w:val="single" w:sz="4" w:space="0" w:color="auto"/>
              <w:left w:val="single" w:sz="4" w:space="0" w:color="auto"/>
              <w:bottom w:val="single" w:sz="4" w:space="0" w:color="auto"/>
              <w:right w:val="single" w:sz="4" w:space="0" w:color="auto"/>
            </w:tcBorders>
            <w:hideMark/>
          </w:tcPr>
          <w:p w14:paraId="455FA72F" w14:textId="77777777" w:rsidR="00C13F16" w:rsidRDefault="00C13F16">
            <w:pPr>
              <w:spacing w:before="200"/>
              <w:jc w:val="both"/>
              <w:rPr>
                <w:rFonts w:eastAsia="Calibri"/>
                <w:szCs w:val="22"/>
              </w:rPr>
            </w:pPr>
            <w:r>
              <w:rPr>
                <w:rFonts w:eastAsia="Calibri"/>
                <w:szCs w:val="22"/>
              </w:rPr>
              <w:t xml:space="preserve">Applicable </w:t>
            </w:r>
          </w:p>
        </w:tc>
      </w:tr>
      <w:tr w:rsidR="00C13F16" w14:paraId="2BA860FA" w14:textId="77777777" w:rsidTr="00C13F16">
        <w:tc>
          <w:tcPr>
            <w:tcW w:w="4510" w:type="dxa"/>
            <w:tcBorders>
              <w:top w:val="single" w:sz="4" w:space="0" w:color="auto"/>
              <w:left w:val="single" w:sz="4" w:space="0" w:color="auto"/>
              <w:bottom w:val="single" w:sz="4" w:space="0" w:color="auto"/>
              <w:right w:val="single" w:sz="4" w:space="0" w:color="auto"/>
            </w:tcBorders>
            <w:hideMark/>
          </w:tcPr>
          <w:p w14:paraId="13734385" w14:textId="77777777" w:rsidR="00C13F16" w:rsidRDefault="00C13F16">
            <w:pPr>
              <w:spacing w:before="200"/>
              <w:jc w:val="both"/>
              <w:rPr>
                <w:rFonts w:eastAsia="Calibri"/>
                <w:szCs w:val="22"/>
              </w:rPr>
            </w:pPr>
            <w:r>
              <w:rPr>
                <w:rFonts w:eastAsia="Calibri"/>
                <w:szCs w:val="22"/>
              </w:rPr>
              <w:t>Trust wide</w:t>
            </w:r>
          </w:p>
        </w:tc>
        <w:tc>
          <w:tcPr>
            <w:tcW w:w="4506" w:type="dxa"/>
            <w:tcBorders>
              <w:top w:val="single" w:sz="4" w:space="0" w:color="auto"/>
              <w:left w:val="single" w:sz="4" w:space="0" w:color="auto"/>
              <w:bottom w:val="single" w:sz="4" w:space="0" w:color="auto"/>
              <w:right w:val="single" w:sz="4" w:space="0" w:color="auto"/>
            </w:tcBorders>
            <w:hideMark/>
          </w:tcPr>
          <w:p w14:paraId="47F20B4D" w14:textId="301BD8A1" w:rsidR="00C13F16" w:rsidRDefault="008D140A">
            <w:pPr>
              <w:spacing w:before="200"/>
              <w:jc w:val="both"/>
              <w:rPr>
                <w:rFonts w:eastAsia="Calibri"/>
                <w:szCs w:val="22"/>
              </w:rPr>
            </w:pPr>
            <w:r>
              <w:rPr>
                <w:rFonts w:eastAsia="Calibri"/>
                <w:szCs w:val="22"/>
              </w:rPr>
              <w:t>X</w:t>
            </w:r>
          </w:p>
        </w:tc>
      </w:tr>
      <w:tr w:rsidR="00C13F16" w14:paraId="156F31B8" w14:textId="77777777" w:rsidTr="00C13F16">
        <w:tc>
          <w:tcPr>
            <w:tcW w:w="4510" w:type="dxa"/>
            <w:tcBorders>
              <w:top w:val="single" w:sz="4" w:space="0" w:color="auto"/>
              <w:left w:val="single" w:sz="4" w:space="0" w:color="auto"/>
              <w:bottom w:val="single" w:sz="4" w:space="0" w:color="auto"/>
              <w:right w:val="single" w:sz="4" w:space="0" w:color="auto"/>
            </w:tcBorders>
            <w:hideMark/>
          </w:tcPr>
          <w:p w14:paraId="759D2A70" w14:textId="77777777" w:rsidR="00C13F16" w:rsidRDefault="00C13F16">
            <w:pPr>
              <w:spacing w:before="200"/>
              <w:jc w:val="both"/>
              <w:rPr>
                <w:rFonts w:eastAsia="Calibri"/>
                <w:szCs w:val="22"/>
              </w:rPr>
            </w:pPr>
            <w:r>
              <w:rPr>
                <w:rFonts w:eastAsia="Calibri"/>
                <w:szCs w:val="22"/>
              </w:rPr>
              <w:t xml:space="preserve">Mental Health and LD </w:t>
            </w:r>
          </w:p>
        </w:tc>
        <w:tc>
          <w:tcPr>
            <w:tcW w:w="4506" w:type="dxa"/>
            <w:tcBorders>
              <w:top w:val="single" w:sz="4" w:space="0" w:color="auto"/>
              <w:left w:val="single" w:sz="4" w:space="0" w:color="auto"/>
              <w:bottom w:val="single" w:sz="4" w:space="0" w:color="auto"/>
              <w:right w:val="single" w:sz="4" w:space="0" w:color="auto"/>
            </w:tcBorders>
          </w:tcPr>
          <w:p w14:paraId="2971FFCD" w14:textId="67C92B9F" w:rsidR="00C13F16" w:rsidRDefault="00C13F16">
            <w:pPr>
              <w:spacing w:before="200"/>
              <w:jc w:val="both"/>
              <w:rPr>
                <w:rFonts w:eastAsia="Calibri"/>
                <w:szCs w:val="22"/>
              </w:rPr>
            </w:pPr>
          </w:p>
        </w:tc>
      </w:tr>
      <w:tr w:rsidR="00C13F16" w14:paraId="35A0BC6E" w14:textId="77777777" w:rsidTr="00C13F16">
        <w:tc>
          <w:tcPr>
            <w:tcW w:w="4510" w:type="dxa"/>
            <w:tcBorders>
              <w:top w:val="single" w:sz="4" w:space="0" w:color="auto"/>
              <w:left w:val="single" w:sz="4" w:space="0" w:color="auto"/>
              <w:bottom w:val="single" w:sz="4" w:space="0" w:color="auto"/>
              <w:right w:val="single" w:sz="4" w:space="0" w:color="auto"/>
            </w:tcBorders>
            <w:hideMark/>
          </w:tcPr>
          <w:p w14:paraId="65D315F1" w14:textId="77777777" w:rsidR="00C13F16" w:rsidRDefault="00C13F16">
            <w:pPr>
              <w:spacing w:before="200"/>
              <w:jc w:val="both"/>
              <w:rPr>
                <w:rFonts w:eastAsia="Calibri"/>
                <w:szCs w:val="22"/>
              </w:rPr>
            </w:pPr>
            <w:r>
              <w:rPr>
                <w:rFonts w:eastAsia="Calibri"/>
                <w:szCs w:val="22"/>
              </w:rPr>
              <w:t xml:space="preserve">Community Health Services </w:t>
            </w:r>
          </w:p>
        </w:tc>
        <w:tc>
          <w:tcPr>
            <w:tcW w:w="4506" w:type="dxa"/>
            <w:tcBorders>
              <w:top w:val="single" w:sz="4" w:space="0" w:color="auto"/>
              <w:left w:val="single" w:sz="4" w:space="0" w:color="auto"/>
              <w:bottom w:val="single" w:sz="4" w:space="0" w:color="auto"/>
              <w:right w:val="single" w:sz="4" w:space="0" w:color="auto"/>
            </w:tcBorders>
          </w:tcPr>
          <w:p w14:paraId="6DFD9DEF" w14:textId="4FBEE969" w:rsidR="00C13F16" w:rsidRDefault="00C13F16">
            <w:pPr>
              <w:spacing w:before="200"/>
              <w:jc w:val="both"/>
              <w:rPr>
                <w:rFonts w:eastAsia="Calibri"/>
                <w:szCs w:val="22"/>
              </w:rPr>
            </w:pPr>
          </w:p>
        </w:tc>
      </w:tr>
      <w:tr w:rsidR="00C13F16" w14:paraId="7DAC35CA" w14:textId="77777777" w:rsidTr="00C13F16">
        <w:tc>
          <w:tcPr>
            <w:tcW w:w="4510" w:type="dxa"/>
            <w:tcBorders>
              <w:top w:val="single" w:sz="4" w:space="0" w:color="auto"/>
              <w:left w:val="single" w:sz="4" w:space="0" w:color="auto"/>
              <w:bottom w:val="single" w:sz="4" w:space="0" w:color="auto"/>
              <w:right w:val="single" w:sz="4" w:space="0" w:color="auto"/>
            </w:tcBorders>
            <w:hideMark/>
          </w:tcPr>
          <w:p w14:paraId="7269A34C" w14:textId="77777777" w:rsidR="00C13F16" w:rsidRDefault="00C13F16">
            <w:pPr>
              <w:spacing w:before="200"/>
              <w:jc w:val="both"/>
              <w:rPr>
                <w:rFonts w:eastAsia="Calibri"/>
                <w:szCs w:val="22"/>
              </w:rPr>
            </w:pPr>
            <w:r>
              <w:rPr>
                <w:rFonts w:eastAsia="Calibri"/>
                <w:szCs w:val="22"/>
              </w:rPr>
              <w:t>Primary Care</w:t>
            </w:r>
          </w:p>
        </w:tc>
        <w:tc>
          <w:tcPr>
            <w:tcW w:w="4506" w:type="dxa"/>
            <w:tcBorders>
              <w:top w:val="single" w:sz="4" w:space="0" w:color="auto"/>
              <w:left w:val="single" w:sz="4" w:space="0" w:color="auto"/>
              <w:bottom w:val="single" w:sz="4" w:space="0" w:color="auto"/>
              <w:right w:val="single" w:sz="4" w:space="0" w:color="auto"/>
            </w:tcBorders>
          </w:tcPr>
          <w:p w14:paraId="59AA848F" w14:textId="77777777" w:rsidR="00C13F16" w:rsidRDefault="00C13F16">
            <w:pPr>
              <w:spacing w:before="200"/>
              <w:jc w:val="both"/>
              <w:rPr>
                <w:rFonts w:eastAsia="Calibri"/>
                <w:szCs w:val="22"/>
              </w:rPr>
            </w:pPr>
          </w:p>
        </w:tc>
      </w:tr>
    </w:tbl>
    <w:p w14:paraId="52989066" w14:textId="77777777" w:rsidR="00D86822" w:rsidRDefault="00D86822"/>
    <w:p w14:paraId="41E8895F" w14:textId="77777777" w:rsidR="00C13F16" w:rsidRDefault="00C13F16"/>
    <w:p w14:paraId="10EAE612" w14:textId="77777777" w:rsidR="00C13F16" w:rsidRDefault="00C13F16" w:rsidP="00C13F16">
      <w:pPr>
        <w:jc w:val="center"/>
        <w:rPr>
          <w:sz w:val="32"/>
          <w:szCs w:val="40"/>
        </w:rPr>
      </w:pPr>
      <w:r>
        <w:rPr>
          <w:sz w:val="32"/>
          <w:szCs w:val="40"/>
        </w:rPr>
        <w:lastRenderedPageBreak/>
        <w:t>Version Control Summary</w:t>
      </w:r>
    </w:p>
    <w:p w14:paraId="1E88EAE0" w14:textId="77777777" w:rsidR="00C13F16" w:rsidRDefault="00C13F16" w:rsidP="00C13F16">
      <w:pPr>
        <w:rPr>
          <w:sz w:val="32"/>
          <w:szCs w:val="4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207"/>
        <w:gridCol w:w="1810"/>
        <w:gridCol w:w="1517"/>
        <w:gridCol w:w="3351"/>
      </w:tblGrid>
      <w:tr w:rsidR="00C13F16" w14:paraId="1E381366" w14:textId="77777777" w:rsidTr="00C13F16">
        <w:tc>
          <w:tcPr>
            <w:tcW w:w="10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5A75EE8" w14:textId="77777777" w:rsidR="00C13F16" w:rsidRDefault="00C13F16">
            <w:pPr>
              <w:rPr>
                <w:b/>
              </w:rPr>
            </w:pPr>
            <w:r>
              <w:rPr>
                <w:b/>
              </w:rPr>
              <w:t>Version</w:t>
            </w:r>
          </w:p>
          <w:p w14:paraId="00F0A15C" w14:textId="77777777" w:rsidR="00C13F16" w:rsidRDefault="00C13F16">
            <w:pPr>
              <w:rPr>
                <w:b/>
              </w:rPr>
            </w:pPr>
          </w:p>
        </w:tc>
        <w:tc>
          <w:tcPr>
            <w:tcW w:w="124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A6AE6F1" w14:textId="77777777" w:rsidR="00C13F16" w:rsidRDefault="00C13F16">
            <w:pPr>
              <w:rPr>
                <w:b/>
              </w:rPr>
            </w:pPr>
            <w:r>
              <w:rPr>
                <w:b/>
              </w:rPr>
              <w:t>Date</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22A7EF2" w14:textId="77777777" w:rsidR="00C13F16" w:rsidRDefault="00C13F16">
            <w:pPr>
              <w:rPr>
                <w:b/>
              </w:rPr>
            </w:pPr>
            <w:r>
              <w:rPr>
                <w:b/>
              </w:rPr>
              <w:t>Author</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354F5A0" w14:textId="77777777" w:rsidR="00C13F16" w:rsidRDefault="00C13F16">
            <w:pPr>
              <w:rPr>
                <w:b/>
              </w:rPr>
            </w:pPr>
            <w:r>
              <w:rPr>
                <w:b/>
              </w:rPr>
              <w:t>Status</w:t>
            </w:r>
          </w:p>
        </w:tc>
        <w:tc>
          <w:tcPr>
            <w:tcW w:w="346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D5FC5E7" w14:textId="77777777" w:rsidR="00C13F16" w:rsidRDefault="00C13F16">
            <w:pPr>
              <w:rPr>
                <w:b/>
              </w:rPr>
            </w:pPr>
            <w:r>
              <w:rPr>
                <w:b/>
              </w:rPr>
              <w:t>Comment</w:t>
            </w:r>
          </w:p>
        </w:tc>
      </w:tr>
      <w:tr w:rsidR="00C13F16" w14:paraId="6D42ECE7" w14:textId="77777777" w:rsidTr="00C13F16">
        <w:tc>
          <w:tcPr>
            <w:tcW w:w="1023" w:type="dxa"/>
            <w:tcBorders>
              <w:top w:val="single" w:sz="4" w:space="0" w:color="auto"/>
              <w:left w:val="single" w:sz="4" w:space="0" w:color="auto"/>
              <w:bottom w:val="single" w:sz="4" w:space="0" w:color="auto"/>
              <w:right w:val="single" w:sz="4" w:space="0" w:color="auto"/>
            </w:tcBorders>
            <w:hideMark/>
          </w:tcPr>
          <w:p w14:paraId="684CF9C8" w14:textId="77777777" w:rsidR="00C13F16" w:rsidRDefault="00C13F16">
            <w:pPr>
              <w:rPr>
                <w:sz w:val="20"/>
                <w:szCs w:val="22"/>
              </w:rPr>
            </w:pPr>
            <w:r>
              <w:rPr>
                <w:sz w:val="20"/>
                <w:szCs w:val="22"/>
              </w:rPr>
              <w:t>1.0</w:t>
            </w:r>
          </w:p>
        </w:tc>
        <w:tc>
          <w:tcPr>
            <w:tcW w:w="1245" w:type="dxa"/>
            <w:tcBorders>
              <w:top w:val="single" w:sz="4" w:space="0" w:color="auto"/>
              <w:left w:val="single" w:sz="4" w:space="0" w:color="auto"/>
              <w:bottom w:val="single" w:sz="4" w:space="0" w:color="auto"/>
              <w:right w:val="single" w:sz="4" w:space="0" w:color="auto"/>
            </w:tcBorders>
            <w:hideMark/>
          </w:tcPr>
          <w:p w14:paraId="6C1763AA" w14:textId="77777777" w:rsidR="00C13F16" w:rsidRDefault="00C13F16">
            <w:pPr>
              <w:rPr>
                <w:sz w:val="20"/>
                <w:szCs w:val="22"/>
              </w:rPr>
            </w:pPr>
            <w:r>
              <w:rPr>
                <w:sz w:val="20"/>
                <w:szCs w:val="22"/>
              </w:rPr>
              <w:t>01 Sept 2025</w:t>
            </w:r>
          </w:p>
        </w:tc>
        <w:tc>
          <w:tcPr>
            <w:tcW w:w="1843" w:type="dxa"/>
            <w:tcBorders>
              <w:top w:val="single" w:sz="4" w:space="0" w:color="auto"/>
              <w:left w:val="single" w:sz="4" w:space="0" w:color="auto"/>
              <w:bottom w:val="single" w:sz="4" w:space="0" w:color="auto"/>
              <w:right w:val="single" w:sz="4" w:space="0" w:color="auto"/>
            </w:tcBorders>
            <w:hideMark/>
          </w:tcPr>
          <w:p w14:paraId="5857742E" w14:textId="62DA26FD" w:rsidR="00C13F16" w:rsidRDefault="00E36C0C">
            <w:pPr>
              <w:rPr>
                <w:sz w:val="20"/>
                <w:szCs w:val="22"/>
              </w:rPr>
            </w:pPr>
            <w:r>
              <w:rPr>
                <w:sz w:val="20"/>
                <w:szCs w:val="22"/>
              </w:rPr>
              <w:t>Trust wide</w:t>
            </w:r>
            <w:r w:rsidR="00C13F16">
              <w:rPr>
                <w:sz w:val="20"/>
                <w:szCs w:val="22"/>
              </w:rPr>
              <w:t xml:space="preserve"> Planning and Performance Manager</w:t>
            </w:r>
          </w:p>
        </w:tc>
        <w:tc>
          <w:tcPr>
            <w:tcW w:w="1559" w:type="dxa"/>
            <w:tcBorders>
              <w:top w:val="single" w:sz="4" w:space="0" w:color="auto"/>
              <w:left w:val="single" w:sz="4" w:space="0" w:color="auto"/>
              <w:bottom w:val="single" w:sz="4" w:space="0" w:color="auto"/>
              <w:right w:val="single" w:sz="4" w:space="0" w:color="auto"/>
            </w:tcBorders>
            <w:hideMark/>
          </w:tcPr>
          <w:p w14:paraId="2E10F9A1" w14:textId="77777777" w:rsidR="00C13F16" w:rsidRDefault="00C13F16">
            <w:pPr>
              <w:rPr>
                <w:sz w:val="20"/>
                <w:szCs w:val="22"/>
              </w:rPr>
            </w:pPr>
            <w:r>
              <w:rPr>
                <w:sz w:val="20"/>
                <w:szCs w:val="22"/>
              </w:rPr>
              <w:t>Final Draft</w:t>
            </w:r>
          </w:p>
        </w:tc>
        <w:tc>
          <w:tcPr>
            <w:tcW w:w="3464" w:type="dxa"/>
            <w:tcBorders>
              <w:top w:val="single" w:sz="4" w:space="0" w:color="auto"/>
              <w:left w:val="single" w:sz="4" w:space="0" w:color="auto"/>
              <w:bottom w:val="single" w:sz="4" w:space="0" w:color="auto"/>
              <w:right w:val="single" w:sz="4" w:space="0" w:color="auto"/>
            </w:tcBorders>
            <w:hideMark/>
          </w:tcPr>
          <w:p w14:paraId="5C456510" w14:textId="54B4BC5C" w:rsidR="00C13F16" w:rsidRDefault="00C13F16" w:rsidP="00C13F16">
            <w:pPr>
              <w:rPr>
                <w:i/>
                <w:sz w:val="20"/>
                <w:szCs w:val="22"/>
              </w:rPr>
            </w:pPr>
            <w:r>
              <w:rPr>
                <w:sz w:val="20"/>
                <w:szCs w:val="22"/>
              </w:rPr>
              <w:t xml:space="preserve">A new policy was required in line with the guidance and CQC recommendations to implement a </w:t>
            </w:r>
            <w:r w:rsidR="00E36C0C">
              <w:rPr>
                <w:sz w:val="20"/>
                <w:szCs w:val="22"/>
              </w:rPr>
              <w:t>Trust wide</w:t>
            </w:r>
            <w:r>
              <w:rPr>
                <w:sz w:val="20"/>
                <w:szCs w:val="22"/>
              </w:rPr>
              <w:t xml:space="preserve"> waiting times and access policy.  </w:t>
            </w:r>
            <w:r w:rsidR="00E36C0C">
              <w:rPr>
                <w:sz w:val="20"/>
                <w:szCs w:val="22"/>
              </w:rPr>
              <w:t>Version 1.0 was never ratified.</w:t>
            </w:r>
          </w:p>
        </w:tc>
      </w:tr>
      <w:tr w:rsidR="00C13F16" w14:paraId="4B99B0D5" w14:textId="77777777" w:rsidTr="00C13F16">
        <w:tc>
          <w:tcPr>
            <w:tcW w:w="1023" w:type="dxa"/>
            <w:tcBorders>
              <w:top w:val="single" w:sz="4" w:space="0" w:color="auto"/>
              <w:left w:val="single" w:sz="4" w:space="0" w:color="auto"/>
              <w:bottom w:val="single" w:sz="4" w:space="0" w:color="auto"/>
              <w:right w:val="single" w:sz="4" w:space="0" w:color="auto"/>
            </w:tcBorders>
          </w:tcPr>
          <w:p w14:paraId="3B874ECF" w14:textId="0BD52976" w:rsidR="00C13F16" w:rsidRDefault="00E36C0C">
            <w:pPr>
              <w:rPr>
                <w:sz w:val="20"/>
                <w:szCs w:val="22"/>
              </w:rPr>
            </w:pPr>
            <w:r>
              <w:rPr>
                <w:sz w:val="20"/>
                <w:szCs w:val="22"/>
              </w:rPr>
              <w:t>2</w:t>
            </w:r>
            <w:r w:rsidR="00C13F16">
              <w:rPr>
                <w:sz w:val="20"/>
                <w:szCs w:val="22"/>
              </w:rPr>
              <w:t>.0</w:t>
            </w:r>
          </w:p>
        </w:tc>
        <w:tc>
          <w:tcPr>
            <w:tcW w:w="1245" w:type="dxa"/>
            <w:tcBorders>
              <w:top w:val="single" w:sz="4" w:space="0" w:color="auto"/>
              <w:left w:val="single" w:sz="4" w:space="0" w:color="auto"/>
              <w:bottom w:val="single" w:sz="4" w:space="0" w:color="auto"/>
              <w:right w:val="single" w:sz="4" w:space="0" w:color="auto"/>
            </w:tcBorders>
          </w:tcPr>
          <w:p w14:paraId="50E71C76" w14:textId="77777777" w:rsidR="00C13F16" w:rsidRDefault="00C13F16">
            <w:pPr>
              <w:rPr>
                <w:sz w:val="20"/>
                <w:szCs w:val="22"/>
              </w:rPr>
            </w:pPr>
            <w:r>
              <w:rPr>
                <w:sz w:val="20"/>
                <w:szCs w:val="22"/>
              </w:rPr>
              <w:t>19 Sept 2025</w:t>
            </w:r>
          </w:p>
        </w:tc>
        <w:tc>
          <w:tcPr>
            <w:tcW w:w="1843" w:type="dxa"/>
            <w:tcBorders>
              <w:top w:val="single" w:sz="4" w:space="0" w:color="auto"/>
              <w:left w:val="single" w:sz="4" w:space="0" w:color="auto"/>
              <w:bottom w:val="single" w:sz="4" w:space="0" w:color="auto"/>
              <w:right w:val="single" w:sz="4" w:space="0" w:color="auto"/>
            </w:tcBorders>
          </w:tcPr>
          <w:p w14:paraId="4D3BBCB9" w14:textId="77777777" w:rsidR="00C13F16" w:rsidRDefault="00C13F16">
            <w:pPr>
              <w:rPr>
                <w:sz w:val="20"/>
                <w:szCs w:val="22"/>
              </w:rPr>
            </w:pPr>
            <w:r>
              <w:rPr>
                <w:sz w:val="20"/>
                <w:szCs w:val="22"/>
              </w:rPr>
              <w:t>Associate Director of Planning and Performance</w:t>
            </w:r>
          </w:p>
        </w:tc>
        <w:tc>
          <w:tcPr>
            <w:tcW w:w="1559" w:type="dxa"/>
            <w:tcBorders>
              <w:top w:val="single" w:sz="4" w:space="0" w:color="auto"/>
              <w:left w:val="single" w:sz="4" w:space="0" w:color="auto"/>
              <w:bottom w:val="single" w:sz="4" w:space="0" w:color="auto"/>
              <w:right w:val="single" w:sz="4" w:space="0" w:color="auto"/>
            </w:tcBorders>
          </w:tcPr>
          <w:p w14:paraId="07C3E797" w14:textId="77777777" w:rsidR="00C13F16" w:rsidRDefault="00C13F16">
            <w:pPr>
              <w:rPr>
                <w:sz w:val="20"/>
                <w:szCs w:val="22"/>
              </w:rPr>
            </w:pPr>
            <w:r>
              <w:rPr>
                <w:sz w:val="20"/>
                <w:szCs w:val="22"/>
              </w:rPr>
              <w:t>Revised Draft</w:t>
            </w:r>
          </w:p>
        </w:tc>
        <w:tc>
          <w:tcPr>
            <w:tcW w:w="3464" w:type="dxa"/>
            <w:tcBorders>
              <w:top w:val="single" w:sz="4" w:space="0" w:color="auto"/>
              <w:left w:val="single" w:sz="4" w:space="0" w:color="auto"/>
              <w:bottom w:val="single" w:sz="4" w:space="0" w:color="auto"/>
              <w:right w:val="single" w:sz="4" w:space="0" w:color="auto"/>
            </w:tcBorders>
          </w:tcPr>
          <w:p w14:paraId="0198524B" w14:textId="17FBF4C3" w:rsidR="00C13F16" w:rsidRDefault="00C13F16" w:rsidP="00C13F16">
            <w:pPr>
              <w:rPr>
                <w:sz w:val="20"/>
                <w:szCs w:val="22"/>
              </w:rPr>
            </w:pPr>
            <w:r>
              <w:rPr>
                <w:sz w:val="20"/>
                <w:szCs w:val="22"/>
              </w:rPr>
              <w:t>Presented at the Trust’s Operations Board for final recommendations to incorporate into the final draft of the policy</w:t>
            </w:r>
            <w:r w:rsidR="00E36C0C">
              <w:rPr>
                <w:sz w:val="20"/>
                <w:szCs w:val="22"/>
              </w:rPr>
              <w:t>. This was the ratified final version.</w:t>
            </w:r>
          </w:p>
        </w:tc>
      </w:tr>
      <w:tr w:rsidR="00C13F16" w14:paraId="63173761" w14:textId="77777777" w:rsidTr="00C13F16">
        <w:trPr>
          <w:trHeight w:val="1030"/>
        </w:trPr>
        <w:tc>
          <w:tcPr>
            <w:tcW w:w="1023" w:type="dxa"/>
            <w:tcBorders>
              <w:top w:val="single" w:sz="4" w:space="0" w:color="auto"/>
              <w:left w:val="single" w:sz="4" w:space="0" w:color="auto"/>
              <w:bottom w:val="single" w:sz="4" w:space="0" w:color="auto"/>
              <w:right w:val="single" w:sz="4" w:space="0" w:color="auto"/>
            </w:tcBorders>
          </w:tcPr>
          <w:p w14:paraId="6221ADF3" w14:textId="1A1819A6" w:rsidR="00C13F16" w:rsidRDefault="00E36C0C">
            <w:pPr>
              <w:rPr>
                <w:sz w:val="20"/>
                <w:szCs w:val="22"/>
              </w:rPr>
            </w:pPr>
            <w:r>
              <w:rPr>
                <w:sz w:val="20"/>
                <w:szCs w:val="22"/>
              </w:rPr>
              <w:t>3</w:t>
            </w:r>
            <w:r w:rsidR="00C13F16">
              <w:rPr>
                <w:sz w:val="20"/>
                <w:szCs w:val="22"/>
              </w:rPr>
              <w:t>.0</w:t>
            </w:r>
          </w:p>
        </w:tc>
        <w:tc>
          <w:tcPr>
            <w:tcW w:w="1245" w:type="dxa"/>
            <w:tcBorders>
              <w:top w:val="single" w:sz="4" w:space="0" w:color="auto"/>
              <w:left w:val="single" w:sz="4" w:space="0" w:color="auto"/>
              <w:bottom w:val="single" w:sz="4" w:space="0" w:color="auto"/>
              <w:right w:val="single" w:sz="4" w:space="0" w:color="auto"/>
            </w:tcBorders>
          </w:tcPr>
          <w:p w14:paraId="411B2F06" w14:textId="77777777" w:rsidR="00C13F16" w:rsidRDefault="00C13F16">
            <w:pPr>
              <w:rPr>
                <w:sz w:val="20"/>
                <w:szCs w:val="22"/>
              </w:rPr>
            </w:pPr>
          </w:p>
        </w:tc>
        <w:tc>
          <w:tcPr>
            <w:tcW w:w="1843" w:type="dxa"/>
            <w:tcBorders>
              <w:top w:val="single" w:sz="4" w:space="0" w:color="auto"/>
              <w:left w:val="single" w:sz="4" w:space="0" w:color="auto"/>
              <w:bottom w:val="single" w:sz="4" w:space="0" w:color="auto"/>
              <w:right w:val="single" w:sz="4" w:space="0" w:color="auto"/>
            </w:tcBorders>
          </w:tcPr>
          <w:p w14:paraId="4AE7DAA9" w14:textId="77777777" w:rsidR="00C13F16" w:rsidRDefault="00C13F16">
            <w:pPr>
              <w:rPr>
                <w:sz w:val="20"/>
                <w:szCs w:val="22"/>
              </w:rPr>
            </w:pPr>
          </w:p>
        </w:tc>
        <w:tc>
          <w:tcPr>
            <w:tcW w:w="1559" w:type="dxa"/>
            <w:tcBorders>
              <w:top w:val="single" w:sz="4" w:space="0" w:color="auto"/>
              <w:left w:val="single" w:sz="4" w:space="0" w:color="auto"/>
              <w:bottom w:val="single" w:sz="4" w:space="0" w:color="auto"/>
              <w:right w:val="single" w:sz="4" w:space="0" w:color="auto"/>
            </w:tcBorders>
          </w:tcPr>
          <w:p w14:paraId="3BBC6B4C" w14:textId="77777777" w:rsidR="00C13F16" w:rsidRDefault="00C13F16">
            <w:pPr>
              <w:rPr>
                <w:sz w:val="20"/>
                <w:szCs w:val="22"/>
              </w:rPr>
            </w:pPr>
          </w:p>
        </w:tc>
        <w:tc>
          <w:tcPr>
            <w:tcW w:w="3464" w:type="dxa"/>
            <w:tcBorders>
              <w:top w:val="single" w:sz="4" w:space="0" w:color="auto"/>
              <w:left w:val="single" w:sz="4" w:space="0" w:color="auto"/>
              <w:bottom w:val="single" w:sz="4" w:space="0" w:color="auto"/>
              <w:right w:val="single" w:sz="4" w:space="0" w:color="auto"/>
            </w:tcBorders>
          </w:tcPr>
          <w:p w14:paraId="466D1DA6" w14:textId="77777777" w:rsidR="00C13F16" w:rsidRDefault="00C13F16" w:rsidP="00C13F16">
            <w:pPr>
              <w:rPr>
                <w:sz w:val="20"/>
                <w:szCs w:val="22"/>
              </w:rPr>
            </w:pPr>
          </w:p>
        </w:tc>
      </w:tr>
      <w:tr w:rsidR="00C13F16" w14:paraId="2436B6D1" w14:textId="77777777" w:rsidTr="00C13F16">
        <w:trPr>
          <w:trHeight w:val="1130"/>
        </w:trPr>
        <w:tc>
          <w:tcPr>
            <w:tcW w:w="1023" w:type="dxa"/>
            <w:tcBorders>
              <w:top w:val="single" w:sz="4" w:space="0" w:color="auto"/>
              <w:left w:val="single" w:sz="4" w:space="0" w:color="auto"/>
              <w:bottom w:val="single" w:sz="4" w:space="0" w:color="auto"/>
              <w:right w:val="single" w:sz="4" w:space="0" w:color="auto"/>
            </w:tcBorders>
          </w:tcPr>
          <w:p w14:paraId="0CB4686C" w14:textId="7968994F" w:rsidR="00C13F16" w:rsidRDefault="00E36C0C">
            <w:pPr>
              <w:rPr>
                <w:sz w:val="20"/>
                <w:szCs w:val="22"/>
              </w:rPr>
            </w:pPr>
            <w:r>
              <w:rPr>
                <w:sz w:val="20"/>
                <w:szCs w:val="22"/>
              </w:rPr>
              <w:t>4</w:t>
            </w:r>
            <w:r w:rsidR="00C13F16">
              <w:rPr>
                <w:sz w:val="20"/>
                <w:szCs w:val="22"/>
              </w:rPr>
              <w:t>.0</w:t>
            </w:r>
          </w:p>
        </w:tc>
        <w:tc>
          <w:tcPr>
            <w:tcW w:w="1245" w:type="dxa"/>
            <w:tcBorders>
              <w:top w:val="single" w:sz="4" w:space="0" w:color="auto"/>
              <w:left w:val="single" w:sz="4" w:space="0" w:color="auto"/>
              <w:bottom w:val="single" w:sz="4" w:space="0" w:color="auto"/>
              <w:right w:val="single" w:sz="4" w:space="0" w:color="auto"/>
            </w:tcBorders>
          </w:tcPr>
          <w:p w14:paraId="0016A518" w14:textId="77777777" w:rsidR="00C13F16" w:rsidRDefault="00C13F16">
            <w:pPr>
              <w:rPr>
                <w:sz w:val="20"/>
                <w:szCs w:val="22"/>
              </w:rPr>
            </w:pPr>
          </w:p>
        </w:tc>
        <w:tc>
          <w:tcPr>
            <w:tcW w:w="1843" w:type="dxa"/>
            <w:tcBorders>
              <w:top w:val="single" w:sz="4" w:space="0" w:color="auto"/>
              <w:left w:val="single" w:sz="4" w:space="0" w:color="auto"/>
              <w:bottom w:val="single" w:sz="4" w:space="0" w:color="auto"/>
              <w:right w:val="single" w:sz="4" w:space="0" w:color="auto"/>
            </w:tcBorders>
          </w:tcPr>
          <w:p w14:paraId="7FC8437C" w14:textId="77777777" w:rsidR="00C13F16" w:rsidRDefault="00C13F16">
            <w:pPr>
              <w:rPr>
                <w:sz w:val="20"/>
                <w:szCs w:val="22"/>
              </w:rPr>
            </w:pPr>
          </w:p>
        </w:tc>
        <w:tc>
          <w:tcPr>
            <w:tcW w:w="1559" w:type="dxa"/>
            <w:tcBorders>
              <w:top w:val="single" w:sz="4" w:space="0" w:color="auto"/>
              <w:left w:val="single" w:sz="4" w:space="0" w:color="auto"/>
              <w:bottom w:val="single" w:sz="4" w:space="0" w:color="auto"/>
              <w:right w:val="single" w:sz="4" w:space="0" w:color="auto"/>
            </w:tcBorders>
          </w:tcPr>
          <w:p w14:paraId="40D1EDF9" w14:textId="77777777" w:rsidR="00C13F16" w:rsidRDefault="00C13F16">
            <w:pPr>
              <w:rPr>
                <w:sz w:val="20"/>
                <w:szCs w:val="22"/>
              </w:rPr>
            </w:pPr>
          </w:p>
        </w:tc>
        <w:tc>
          <w:tcPr>
            <w:tcW w:w="3464" w:type="dxa"/>
            <w:tcBorders>
              <w:top w:val="single" w:sz="4" w:space="0" w:color="auto"/>
              <w:left w:val="single" w:sz="4" w:space="0" w:color="auto"/>
              <w:bottom w:val="single" w:sz="4" w:space="0" w:color="auto"/>
              <w:right w:val="single" w:sz="4" w:space="0" w:color="auto"/>
            </w:tcBorders>
          </w:tcPr>
          <w:p w14:paraId="50A34FBC" w14:textId="77777777" w:rsidR="00C13F16" w:rsidRDefault="00C13F16" w:rsidP="00C13F16">
            <w:pPr>
              <w:rPr>
                <w:sz w:val="20"/>
                <w:szCs w:val="22"/>
              </w:rPr>
            </w:pPr>
          </w:p>
        </w:tc>
      </w:tr>
    </w:tbl>
    <w:p w14:paraId="62102965" w14:textId="77777777" w:rsidR="00C13F16" w:rsidRDefault="00C13F16" w:rsidP="00C13F16">
      <w:pPr>
        <w:rPr>
          <w:sz w:val="32"/>
          <w:szCs w:val="40"/>
        </w:rPr>
      </w:pPr>
    </w:p>
    <w:p w14:paraId="2110EDBF" w14:textId="77777777" w:rsidR="00C13F16" w:rsidRDefault="00C13F16" w:rsidP="00C13F16">
      <w:pPr>
        <w:rPr>
          <w:sz w:val="32"/>
          <w:szCs w:val="40"/>
        </w:rPr>
      </w:pPr>
    </w:p>
    <w:p w14:paraId="217D7B00" w14:textId="77777777" w:rsidR="00C13F16" w:rsidRDefault="00C13F16" w:rsidP="00C13F16">
      <w:pPr>
        <w:rPr>
          <w:sz w:val="32"/>
          <w:szCs w:val="40"/>
        </w:rPr>
      </w:pPr>
    </w:p>
    <w:p w14:paraId="65E474D5" w14:textId="77777777" w:rsidR="00C13F16" w:rsidRDefault="00C13F16" w:rsidP="00C13F16">
      <w:pPr>
        <w:rPr>
          <w:sz w:val="32"/>
          <w:szCs w:val="40"/>
        </w:rPr>
      </w:pPr>
    </w:p>
    <w:p w14:paraId="0862F450" w14:textId="77777777" w:rsidR="00C13F16" w:rsidRDefault="00C13F16" w:rsidP="00C13F16">
      <w:pPr>
        <w:rPr>
          <w:sz w:val="32"/>
          <w:szCs w:val="40"/>
        </w:rPr>
      </w:pPr>
    </w:p>
    <w:p w14:paraId="574347E0" w14:textId="77777777" w:rsidR="00C13F16" w:rsidRDefault="00C13F16" w:rsidP="00C13F16">
      <w:pPr>
        <w:rPr>
          <w:sz w:val="32"/>
          <w:szCs w:val="40"/>
        </w:rPr>
      </w:pPr>
    </w:p>
    <w:p w14:paraId="4B2939A9" w14:textId="77777777" w:rsidR="00C13F16" w:rsidRDefault="00C13F16" w:rsidP="00C13F16">
      <w:pPr>
        <w:rPr>
          <w:sz w:val="32"/>
          <w:szCs w:val="40"/>
        </w:rPr>
      </w:pPr>
    </w:p>
    <w:p w14:paraId="0795E7B5" w14:textId="77777777" w:rsidR="00C13F16" w:rsidRDefault="00C13F16" w:rsidP="00C13F16">
      <w:pPr>
        <w:rPr>
          <w:sz w:val="32"/>
          <w:szCs w:val="40"/>
        </w:rPr>
      </w:pPr>
    </w:p>
    <w:p w14:paraId="1CE6C008" w14:textId="77777777" w:rsidR="00C13F16" w:rsidRDefault="00C13F16" w:rsidP="00C13F16">
      <w:pPr>
        <w:rPr>
          <w:sz w:val="32"/>
          <w:szCs w:val="40"/>
        </w:rPr>
      </w:pPr>
    </w:p>
    <w:p w14:paraId="5B61AC00" w14:textId="77777777" w:rsidR="00C13F16" w:rsidRDefault="00C13F16" w:rsidP="00C13F16">
      <w:pPr>
        <w:rPr>
          <w:sz w:val="32"/>
          <w:szCs w:val="40"/>
        </w:rPr>
      </w:pPr>
    </w:p>
    <w:p w14:paraId="4D106593" w14:textId="77777777" w:rsidR="00C13F16" w:rsidRDefault="00C13F16" w:rsidP="00C13F16">
      <w:pPr>
        <w:rPr>
          <w:sz w:val="32"/>
          <w:szCs w:val="40"/>
        </w:rPr>
      </w:pPr>
    </w:p>
    <w:p w14:paraId="09158F9F" w14:textId="77777777" w:rsidR="00C13F16" w:rsidRDefault="00C13F16" w:rsidP="00C13F16">
      <w:pPr>
        <w:rPr>
          <w:sz w:val="32"/>
          <w:szCs w:val="40"/>
        </w:rPr>
      </w:pPr>
    </w:p>
    <w:p w14:paraId="1B338AB9" w14:textId="77777777" w:rsidR="00C13F16" w:rsidRDefault="00C13F16" w:rsidP="00C13F16">
      <w:pPr>
        <w:rPr>
          <w:sz w:val="32"/>
          <w:szCs w:val="40"/>
        </w:rPr>
      </w:pPr>
    </w:p>
    <w:p w14:paraId="235DAB62" w14:textId="77777777" w:rsidR="00C13F16" w:rsidRDefault="00C13F16" w:rsidP="00C13F16">
      <w:pPr>
        <w:rPr>
          <w:sz w:val="32"/>
          <w:szCs w:val="40"/>
        </w:rPr>
      </w:pPr>
    </w:p>
    <w:p w14:paraId="5B848FB7" w14:textId="77777777" w:rsidR="00C13F16" w:rsidRDefault="00C13F16" w:rsidP="00C13F16">
      <w:pPr>
        <w:rPr>
          <w:sz w:val="32"/>
          <w:szCs w:val="40"/>
        </w:rPr>
      </w:pPr>
    </w:p>
    <w:p w14:paraId="078A3367" w14:textId="77777777" w:rsidR="00C13F16" w:rsidRDefault="00C13F16" w:rsidP="00C13F16">
      <w:pPr>
        <w:rPr>
          <w:sz w:val="32"/>
          <w:szCs w:val="40"/>
        </w:rPr>
      </w:pPr>
    </w:p>
    <w:p w14:paraId="5BE2BAAD" w14:textId="77777777" w:rsidR="00C13F16" w:rsidRDefault="00C13F16" w:rsidP="00C13F16">
      <w:pPr>
        <w:rPr>
          <w:sz w:val="32"/>
          <w:szCs w:val="40"/>
        </w:rPr>
      </w:pPr>
    </w:p>
    <w:p w14:paraId="24206AE5" w14:textId="77777777" w:rsidR="00C13F16" w:rsidRDefault="00C13F16" w:rsidP="00C13F16">
      <w:pPr>
        <w:rPr>
          <w:sz w:val="32"/>
          <w:szCs w:val="40"/>
        </w:rPr>
      </w:pPr>
    </w:p>
    <w:p w14:paraId="0AB1AA30" w14:textId="77777777" w:rsidR="00C13F16" w:rsidRDefault="00C13F16" w:rsidP="00C13F16">
      <w:pPr>
        <w:rPr>
          <w:sz w:val="32"/>
          <w:szCs w:val="40"/>
        </w:rPr>
      </w:pPr>
    </w:p>
    <w:p w14:paraId="5CDAA27E" w14:textId="77777777" w:rsidR="00C13F16" w:rsidRDefault="00C13F16" w:rsidP="00C13F16">
      <w:pPr>
        <w:rPr>
          <w:sz w:val="32"/>
          <w:szCs w:val="40"/>
        </w:rPr>
      </w:pPr>
    </w:p>
    <w:p w14:paraId="4A98984F" w14:textId="77777777" w:rsidR="00C13F16" w:rsidRDefault="00C13F16" w:rsidP="00C13F16">
      <w:pPr>
        <w:rPr>
          <w:sz w:val="32"/>
          <w:szCs w:val="40"/>
        </w:rPr>
      </w:pPr>
    </w:p>
    <w:p w14:paraId="5B17F50D" w14:textId="77777777" w:rsidR="00C13F16" w:rsidRDefault="00C13F16" w:rsidP="00C13F16">
      <w:pPr>
        <w:rPr>
          <w:sz w:val="32"/>
          <w:szCs w:val="40"/>
        </w:rPr>
      </w:pPr>
    </w:p>
    <w:bookmarkStart w:id="0" w:name="_Toc209002692" w:displacedByCustomXml="next"/>
    <w:sdt>
      <w:sdtPr>
        <w:rPr>
          <w:rFonts w:eastAsia="Times New Roman" w:cs="Times New Roman"/>
          <w:b w:val="0"/>
          <w:color w:val="auto"/>
          <w:sz w:val="20"/>
          <w:szCs w:val="22"/>
          <w:lang w:val="en-GB" w:eastAsia="en-GB"/>
        </w:rPr>
        <w:id w:val="814990216"/>
        <w:docPartObj>
          <w:docPartGallery w:val="Table of Contents"/>
          <w:docPartUnique/>
        </w:docPartObj>
      </w:sdtPr>
      <w:sdtEndPr>
        <w:rPr>
          <w:bCs/>
          <w:noProof/>
          <w:sz w:val="22"/>
          <w:szCs w:val="24"/>
        </w:rPr>
      </w:sdtEndPr>
      <w:sdtContent>
        <w:p w14:paraId="4BD2EC5E" w14:textId="2D7E3015" w:rsidR="009C20C9" w:rsidRPr="00CF3C30" w:rsidRDefault="009C20C9">
          <w:pPr>
            <w:pStyle w:val="TOCHeading"/>
            <w:rPr>
              <w:sz w:val="22"/>
              <w:szCs w:val="28"/>
            </w:rPr>
          </w:pPr>
          <w:r w:rsidRPr="00CF3C30">
            <w:rPr>
              <w:sz w:val="22"/>
              <w:szCs w:val="28"/>
            </w:rPr>
            <w:t>Contents</w:t>
          </w:r>
        </w:p>
        <w:p w14:paraId="5D074F66" w14:textId="77777777" w:rsidR="009C20C9" w:rsidRPr="00CF3C30" w:rsidRDefault="009C20C9" w:rsidP="009C20C9">
          <w:pPr>
            <w:rPr>
              <w:sz w:val="20"/>
              <w:szCs w:val="22"/>
              <w:lang w:val="en-US" w:eastAsia="en-US"/>
            </w:rPr>
          </w:pPr>
        </w:p>
        <w:p w14:paraId="39B0C8EB" w14:textId="3DD86599" w:rsidR="00FC197F" w:rsidRPr="00CF3C30" w:rsidRDefault="009C20C9">
          <w:pPr>
            <w:pStyle w:val="TOC2"/>
            <w:rPr>
              <w:rFonts w:asciiTheme="minorHAnsi" w:eastAsiaTheme="minorEastAsia" w:hAnsiTheme="minorHAnsi" w:cstheme="minorBidi"/>
              <w:noProof/>
              <w:sz w:val="20"/>
              <w:szCs w:val="20"/>
            </w:rPr>
          </w:pPr>
          <w:r w:rsidRPr="00CF3C30">
            <w:rPr>
              <w:sz w:val="20"/>
              <w:szCs w:val="22"/>
            </w:rPr>
            <w:fldChar w:fldCharType="begin"/>
          </w:r>
          <w:r w:rsidRPr="00CF3C30">
            <w:rPr>
              <w:sz w:val="20"/>
              <w:szCs w:val="22"/>
            </w:rPr>
            <w:instrText xml:space="preserve"> TOC \o "1-3" \h \z \u </w:instrText>
          </w:r>
          <w:r w:rsidRPr="00CF3C30">
            <w:rPr>
              <w:sz w:val="20"/>
              <w:szCs w:val="22"/>
            </w:rPr>
            <w:fldChar w:fldCharType="separate"/>
          </w:r>
          <w:hyperlink w:anchor="_Toc211502252" w:history="1">
            <w:r w:rsidR="00FC197F" w:rsidRPr="00CF3C30">
              <w:rPr>
                <w:rStyle w:val="Hyperlink"/>
                <w:rFonts w:eastAsiaTheme="majorEastAsia" w:cs="Arial"/>
                <w:b/>
                <w:noProof/>
                <w:sz w:val="20"/>
                <w:szCs w:val="22"/>
              </w:rPr>
              <w:t>1.0.</w:t>
            </w:r>
            <w:r w:rsidR="00FC197F" w:rsidRPr="00CF3C30">
              <w:rPr>
                <w:rFonts w:asciiTheme="minorHAnsi" w:eastAsiaTheme="minorEastAsia" w:hAnsiTheme="minorHAnsi" w:cstheme="minorBidi"/>
                <w:noProof/>
                <w:sz w:val="20"/>
                <w:szCs w:val="20"/>
              </w:rPr>
              <w:tab/>
            </w:r>
            <w:r w:rsidR="00FC197F" w:rsidRPr="00CF3C30">
              <w:rPr>
                <w:rStyle w:val="Hyperlink"/>
                <w:rFonts w:eastAsiaTheme="majorEastAsia" w:cs="Arial"/>
                <w:b/>
                <w:noProof/>
                <w:sz w:val="20"/>
                <w:szCs w:val="22"/>
              </w:rPr>
              <w:t>Executive Summary</w:t>
            </w:r>
            <w:r w:rsidR="00FC197F" w:rsidRPr="00CF3C30">
              <w:rPr>
                <w:noProof/>
                <w:webHidden/>
                <w:sz w:val="20"/>
                <w:szCs w:val="22"/>
              </w:rPr>
              <w:tab/>
            </w:r>
            <w:r w:rsidR="00FC197F" w:rsidRPr="00CF3C30">
              <w:rPr>
                <w:noProof/>
                <w:webHidden/>
                <w:sz w:val="20"/>
                <w:szCs w:val="22"/>
              </w:rPr>
              <w:fldChar w:fldCharType="begin"/>
            </w:r>
            <w:r w:rsidR="00FC197F" w:rsidRPr="00CF3C30">
              <w:rPr>
                <w:noProof/>
                <w:webHidden/>
                <w:sz w:val="20"/>
                <w:szCs w:val="22"/>
              </w:rPr>
              <w:instrText xml:space="preserve"> PAGEREF _Toc211502252 \h </w:instrText>
            </w:r>
            <w:r w:rsidR="00FC197F" w:rsidRPr="00CF3C30">
              <w:rPr>
                <w:noProof/>
                <w:webHidden/>
                <w:sz w:val="20"/>
                <w:szCs w:val="22"/>
              </w:rPr>
            </w:r>
            <w:r w:rsidR="00FC197F" w:rsidRPr="00CF3C30">
              <w:rPr>
                <w:noProof/>
                <w:webHidden/>
                <w:sz w:val="20"/>
                <w:szCs w:val="22"/>
              </w:rPr>
              <w:fldChar w:fldCharType="separate"/>
            </w:r>
            <w:r w:rsidR="00362ACF">
              <w:rPr>
                <w:noProof/>
                <w:webHidden/>
                <w:sz w:val="20"/>
                <w:szCs w:val="22"/>
              </w:rPr>
              <w:t>4</w:t>
            </w:r>
            <w:r w:rsidR="00FC197F" w:rsidRPr="00CF3C30">
              <w:rPr>
                <w:noProof/>
                <w:webHidden/>
                <w:sz w:val="20"/>
                <w:szCs w:val="22"/>
              </w:rPr>
              <w:fldChar w:fldCharType="end"/>
            </w:r>
          </w:hyperlink>
        </w:p>
        <w:p w14:paraId="4E18AB7F" w14:textId="7207C573" w:rsidR="00FC197F" w:rsidRPr="00CF3C30" w:rsidRDefault="00FC197F">
          <w:pPr>
            <w:pStyle w:val="TOC1"/>
            <w:rPr>
              <w:rFonts w:asciiTheme="minorHAnsi" w:eastAsiaTheme="minorEastAsia" w:hAnsiTheme="minorHAnsi" w:cstheme="minorBidi"/>
              <w:b w:val="0"/>
              <w:sz w:val="20"/>
              <w:szCs w:val="20"/>
              <w:lang w:eastAsia="en-GB"/>
            </w:rPr>
          </w:pPr>
          <w:hyperlink w:anchor="_Toc211502253" w:history="1">
            <w:r w:rsidRPr="00CF3C30">
              <w:rPr>
                <w:rStyle w:val="Hyperlink"/>
                <w:sz w:val="20"/>
                <w:szCs w:val="20"/>
              </w:rPr>
              <w:t>2.0.</w:t>
            </w:r>
            <w:r w:rsidRPr="00CF3C30">
              <w:rPr>
                <w:rFonts w:asciiTheme="minorHAnsi" w:eastAsiaTheme="minorEastAsia" w:hAnsiTheme="minorHAnsi" w:cstheme="minorBidi"/>
                <w:b w:val="0"/>
                <w:sz w:val="20"/>
                <w:szCs w:val="20"/>
                <w:lang w:eastAsia="en-GB"/>
              </w:rPr>
              <w:tab/>
            </w:r>
            <w:r w:rsidRPr="00CF3C30">
              <w:rPr>
                <w:rStyle w:val="Hyperlink"/>
                <w:sz w:val="20"/>
                <w:szCs w:val="20"/>
              </w:rPr>
              <w:t>Introduction</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_Toc211502253 \h </w:instrText>
            </w:r>
            <w:r w:rsidRPr="00CF3C30">
              <w:rPr>
                <w:webHidden/>
                <w:sz w:val="20"/>
                <w:szCs w:val="20"/>
              </w:rPr>
            </w:r>
            <w:r w:rsidRPr="00CF3C30">
              <w:rPr>
                <w:webHidden/>
                <w:sz w:val="20"/>
                <w:szCs w:val="20"/>
              </w:rPr>
              <w:fldChar w:fldCharType="separate"/>
            </w:r>
            <w:r w:rsidR="00362ACF">
              <w:rPr>
                <w:webHidden/>
                <w:sz w:val="20"/>
                <w:szCs w:val="20"/>
              </w:rPr>
              <w:t>5</w:t>
            </w:r>
            <w:r w:rsidRPr="00CF3C30">
              <w:rPr>
                <w:webHidden/>
                <w:sz w:val="20"/>
                <w:szCs w:val="20"/>
              </w:rPr>
              <w:fldChar w:fldCharType="end"/>
            </w:r>
          </w:hyperlink>
        </w:p>
        <w:p w14:paraId="237815F5" w14:textId="2E13920B" w:rsidR="00FC197F" w:rsidRPr="00CF3C30" w:rsidRDefault="00FC197F">
          <w:pPr>
            <w:pStyle w:val="TOC3"/>
            <w:rPr>
              <w:rFonts w:asciiTheme="minorHAnsi" w:hAnsiTheme="minorHAnsi" w:cstheme="minorBidi"/>
              <w:sz w:val="20"/>
              <w:szCs w:val="20"/>
              <w:lang w:val="en-GB" w:eastAsia="en-GB"/>
            </w:rPr>
          </w:pPr>
          <w:hyperlink w:anchor="_Toc211502254" w:history="1">
            <w:r w:rsidRPr="00CF3C30">
              <w:rPr>
                <w:rStyle w:val="Hyperlink"/>
                <w:sz w:val="20"/>
                <w:szCs w:val="20"/>
              </w:rPr>
              <w:t>2.1.</w:t>
            </w:r>
            <w:r w:rsidRPr="00CF3C30">
              <w:rPr>
                <w:rFonts w:asciiTheme="minorHAnsi" w:hAnsiTheme="minorHAnsi" w:cstheme="minorBidi"/>
                <w:sz w:val="20"/>
                <w:szCs w:val="20"/>
                <w:lang w:val="en-GB" w:eastAsia="en-GB"/>
              </w:rPr>
              <w:tab/>
            </w:r>
            <w:r w:rsidRPr="00CF3C30">
              <w:rPr>
                <w:rStyle w:val="Hyperlink"/>
                <w:sz w:val="20"/>
                <w:szCs w:val="20"/>
              </w:rPr>
              <w:t>Policy Purpose</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_Toc211502254 \h </w:instrText>
            </w:r>
            <w:r w:rsidRPr="00CF3C30">
              <w:rPr>
                <w:webHidden/>
                <w:sz w:val="20"/>
                <w:szCs w:val="20"/>
              </w:rPr>
            </w:r>
            <w:r w:rsidRPr="00CF3C30">
              <w:rPr>
                <w:webHidden/>
                <w:sz w:val="20"/>
                <w:szCs w:val="20"/>
              </w:rPr>
              <w:fldChar w:fldCharType="separate"/>
            </w:r>
            <w:r w:rsidR="00362ACF">
              <w:rPr>
                <w:webHidden/>
                <w:sz w:val="20"/>
                <w:szCs w:val="20"/>
              </w:rPr>
              <w:t>5</w:t>
            </w:r>
            <w:r w:rsidRPr="00CF3C30">
              <w:rPr>
                <w:webHidden/>
                <w:sz w:val="20"/>
                <w:szCs w:val="20"/>
              </w:rPr>
              <w:fldChar w:fldCharType="end"/>
            </w:r>
          </w:hyperlink>
        </w:p>
        <w:p w14:paraId="50EF2448" w14:textId="21C96711" w:rsidR="00FC197F" w:rsidRPr="00CF3C30" w:rsidRDefault="00FC197F">
          <w:pPr>
            <w:pStyle w:val="TOC3"/>
            <w:rPr>
              <w:rFonts w:asciiTheme="minorHAnsi" w:hAnsiTheme="minorHAnsi" w:cstheme="minorBidi"/>
              <w:sz w:val="20"/>
              <w:szCs w:val="20"/>
              <w:lang w:val="en-GB" w:eastAsia="en-GB"/>
            </w:rPr>
          </w:pPr>
          <w:hyperlink w:anchor="_Toc211502255" w:history="1">
            <w:r w:rsidRPr="00CF3C30">
              <w:rPr>
                <w:rStyle w:val="Hyperlink"/>
                <w:sz w:val="20"/>
                <w:szCs w:val="20"/>
              </w:rPr>
              <w:t>2.2.</w:t>
            </w:r>
            <w:r w:rsidRPr="00CF3C30">
              <w:rPr>
                <w:rFonts w:asciiTheme="minorHAnsi" w:hAnsiTheme="minorHAnsi" w:cstheme="minorBidi"/>
                <w:sz w:val="20"/>
                <w:szCs w:val="20"/>
                <w:lang w:val="en-GB" w:eastAsia="en-GB"/>
              </w:rPr>
              <w:tab/>
            </w:r>
            <w:r w:rsidRPr="00CF3C30">
              <w:rPr>
                <w:rStyle w:val="Hyperlink"/>
                <w:sz w:val="20"/>
                <w:szCs w:val="20"/>
              </w:rPr>
              <w:t>Who This Policy Affects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_Toc211502255 \h </w:instrText>
            </w:r>
            <w:r w:rsidRPr="00CF3C30">
              <w:rPr>
                <w:webHidden/>
                <w:sz w:val="20"/>
                <w:szCs w:val="20"/>
              </w:rPr>
            </w:r>
            <w:r w:rsidRPr="00CF3C30">
              <w:rPr>
                <w:webHidden/>
                <w:sz w:val="20"/>
                <w:szCs w:val="20"/>
              </w:rPr>
              <w:fldChar w:fldCharType="separate"/>
            </w:r>
            <w:r w:rsidR="00362ACF">
              <w:rPr>
                <w:webHidden/>
                <w:sz w:val="20"/>
                <w:szCs w:val="20"/>
              </w:rPr>
              <w:t>5</w:t>
            </w:r>
            <w:r w:rsidRPr="00CF3C30">
              <w:rPr>
                <w:webHidden/>
                <w:sz w:val="20"/>
                <w:szCs w:val="20"/>
              </w:rPr>
              <w:fldChar w:fldCharType="end"/>
            </w:r>
          </w:hyperlink>
        </w:p>
        <w:p w14:paraId="014FB48D" w14:textId="46C8DCB9" w:rsidR="00FC197F" w:rsidRPr="00CF3C30" w:rsidRDefault="00FC197F">
          <w:pPr>
            <w:pStyle w:val="TOC1"/>
            <w:rPr>
              <w:rFonts w:asciiTheme="minorHAnsi" w:eastAsiaTheme="minorEastAsia" w:hAnsiTheme="minorHAnsi" w:cstheme="minorBidi"/>
              <w:b w:val="0"/>
              <w:sz w:val="20"/>
              <w:szCs w:val="20"/>
              <w:lang w:eastAsia="en-GB"/>
            </w:rPr>
          </w:pPr>
          <w:hyperlink w:anchor="_Toc211502256" w:history="1">
            <w:r w:rsidRPr="00CF3C30">
              <w:rPr>
                <w:rStyle w:val="Hyperlink"/>
                <w:sz w:val="20"/>
                <w:szCs w:val="20"/>
              </w:rPr>
              <w:t>3.0.</w:t>
            </w:r>
            <w:r w:rsidRPr="00CF3C30">
              <w:rPr>
                <w:rFonts w:asciiTheme="minorHAnsi" w:eastAsiaTheme="minorEastAsia" w:hAnsiTheme="minorHAnsi" w:cstheme="minorBidi"/>
                <w:b w:val="0"/>
                <w:sz w:val="20"/>
                <w:szCs w:val="20"/>
                <w:lang w:eastAsia="en-GB"/>
              </w:rPr>
              <w:tab/>
            </w:r>
            <w:r w:rsidRPr="00CF3C30">
              <w:rPr>
                <w:rStyle w:val="Hyperlink"/>
                <w:sz w:val="20"/>
                <w:szCs w:val="20"/>
              </w:rPr>
              <w:t>Definitions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_Toc211502256 \h </w:instrText>
            </w:r>
            <w:r w:rsidRPr="00CF3C30">
              <w:rPr>
                <w:webHidden/>
                <w:sz w:val="20"/>
                <w:szCs w:val="20"/>
              </w:rPr>
            </w:r>
            <w:r w:rsidRPr="00CF3C30">
              <w:rPr>
                <w:webHidden/>
                <w:sz w:val="20"/>
                <w:szCs w:val="20"/>
              </w:rPr>
              <w:fldChar w:fldCharType="separate"/>
            </w:r>
            <w:r w:rsidR="00362ACF">
              <w:rPr>
                <w:webHidden/>
                <w:sz w:val="20"/>
                <w:szCs w:val="20"/>
              </w:rPr>
              <w:t>6</w:t>
            </w:r>
            <w:r w:rsidRPr="00CF3C30">
              <w:rPr>
                <w:webHidden/>
                <w:sz w:val="20"/>
                <w:szCs w:val="20"/>
              </w:rPr>
              <w:fldChar w:fldCharType="end"/>
            </w:r>
          </w:hyperlink>
        </w:p>
        <w:p w14:paraId="69CE4941" w14:textId="02FAC74D" w:rsidR="00FC197F" w:rsidRPr="00CF3C30" w:rsidRDefault="00FC197F">
          <w:pPr>
            <w:pStyle w:val="TOC3"/>
            <w:rPr>
              <w:rFonts w:asciiTheme="minorHAnsi" w:hAnsiTheme="minorHAnsi" w:cstheme="minorBidi"/>
              <w:sz w:val="20"/>
              <w:szCs w:val="20"/>
              <w:lang w:val="en-GB" w:eastAsia="en-GB"/>
            </w:rPr>
          </w:pPr>
          <w:hyperlink w:anchor="_Toc211502257" w:history="1">
            <w:r w:rsidRPr="00CF3C30">
              <w:rPr>
                <w:rStyle w:val="Hyperlink"/>
                <w:sz w:val="20"/>
                <w:szCs w:val="20"/>
              </w:rPr>
              <w:t>3.1.</w:t>
            </w:r>
            <w:r w:rsidRPr="00CF3C30">
              <w:rPr>
                <w:rFonts w:asciiTheme="minorHAnsi" w:hAnsiTheme="minorHAnsi" w:cstheme="minorBidi"/>
                <w:sz w:val="20"/>
                <w:szCs w:val="20"/>
                <w:lang w:val="en-GB" w:eastAsia="en-GB"/>
              </w:rPr>
              <w:tab/>
            </w:r>
            <w:r w:rsidRPr="00CF3C30">
              <w:rPr>
                <w:rStyle w:val="Hyperlink"/>
                <w:sz w:val="20"/>
                <w:szCs w:val="20"/>
              </w:rPr>
              <w:t>Referral to Assessment (RTA) and meaningful intervention</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_Toc211502257 \h </w:instrText>
            </w:r>
            <w:r w:rsidRPr="00CF3C30">
              <w:rPr>
                <w:webHidden/>
                <w:sz w:val="20"/>
                <w:szCs w:val="20"/>
              </w:rPr>
            </w:r>
            <w:r w:rsidRPr="00CF3C30">
              <w:rPr>
                <w:webHidden/>
                <w:sz w:val="20"/>
                <w:szCs w:val="20"/>
              </w:rPr>
              <w:fldChar w:fldCharType="separate"/>
            </w:r>
            <w:r w:rsidR="00362ACF">
              <w:rPr>
                <w:webHidden/>
                <w:sz w:val="20"/>
                <w:szCs w:val="20"/>
              </w:rPr>
              <w:t>6</w:t>
            </w:r>
            <w:r w:rsidRPr="00CF3C30">
              <w:rPr>
                <w:webHidden/>
                <w:sz w:val="20"/>
                <w:szCs w:val="20"/>
              </w:rPr>
              <w:fldChar w:fldCharType="end"/>
            </w:r>
          </w:hyperlink>
        </w:p>
        <w:p w14:paraId="29DD401F" w14:textId="7E8F6F2F" w:rsidR="00FC197F" w:rsidRPr="00CF3C30" w:rsidRDefault="00FC197F">
          <w:pPr>
            <w:pStyle w:val="TOC3"/>
            <w:rPr>
              <w:rFonts w:asciiTheme="minorHAnsi" w:hAnsiTheme="minorHAnsi" w:cstheme="minorBidi"/>
              <w:sz w:val="20"/>
              <w:szCs w:val="20"/>
              <w:lang w:val="en-GB" w:eastAsia="en-GB"/>
            </w:rPr>
          </w:pPr>
          <w:hyperlink w:anchor="_Toc211502258" w:history="1">
            <w:r w:rsidRPr="00CF3C30">
              <w:rPr>
                <w:rStyle w:val="Hyperlink"/>
                <w:sz w:val="20"/>
                <w:szCs w:val="20"/>
              </w:rPr>
              <w:t>3.2.</w:t>
            </w:r>
            <w:r w:rsidRPr="00CF3C30">
              <w:rPr>
                <w:rFonts w:asciiTheme="minorHAnsi" w:hAnsiTheme="minorHAnsi" w:cstheme="minorBidi"/>
                <w:sz w:val="20"/>
                <w:szCs w:val="20"/>
                <w:lang w:val="en-GB" w:eastAsia="en-GB"/>
              </w:rPr>
              <w:tab/>
            </w:r>
            <w:r w:rsidRPr="00CF3C30">
              <w:rPr>
                <w:rStyle w:val="Hyperlink"/>
                <w:sz w:val="20"/>
                <w:szCs w:val="20"/>
              </w:rPr>
              <w:t>Referral to Treatment (RTT)</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_Toc211502258 \h </w:instrText>
            </w:r>
            <w:r w:rsidRPr="00CF3C30">
              <w:rPr>
                <w:webHidden/>
                <w:sz w:val="20"/>
                <w:szCs w:val="20"/>
              </w:rPr>
            </w:r>
            <w:r w:rsidRPr="00CF3C30">
              <w:rPr>
                <w:webHidden/>
                <w:sz w:val="20"/>
                <w:szCs w:val="20"/>
              </w:rPr>
              <w:fldChar w:fldCharType="separate"/>
            </w:r>
            <w:r w:rsidR="00362ACF">
              <w:rPr>
                <w:webHidden/>
                <w:sz w:val="20"/>
                <w:szCs w:val="20"/>
              </w:rPr>
              <w:t>6</w:t>
            </w:r>
            <w:r w:rsidRPr="00CF3C30">
              <w:rPr>
                <w:webHidden/>
                <w:sz w:val="20"/>
                <w:szCs w:val="20"/>
              </w:rPr>
              <w:fldChar w:fldCharType="end"/>
            </w:r>
          </w:hyperlink>
        </w:p>
        <w:p w14:paraId="27F1ADB8" w14:textId="7F5EDDDD" w:rsidR="00FC197F" w:rsidRPr="00CF3C30" w:rsidRDefault="00FC197F">
          <w:pPr>
            <w:pStyle w:val="TOC3"/>
            <w:rPr>
              <w:rFonts w:asciiTheme="minorHAnsi" w:hAnsiTheme="minorHAnsi" w:cstheme="minorBidi"/>
              <w:sz w:val="20"/>
              <w:szCs w:val="20"/>
              <w:lang w:val="en-GB" w:eastAsia="en-GB"/>
            </w:rPr>
          </w:pPr>
          <w:hyperlink w:anchor="_Toc211502259" w:history="1">
            <w:r w:rsidRPr="00CF3C30">
              <w:rPr>
                <w:rStyle w:val="Hyperlink"/>
                <w:sz w:val="20"/>
                <w:szCs w:val="20"/>
              </w:rPr>
              <w:t>3.3.</w:t>
            </w:r>
            <w:r w:rsidRPr="00CF3C30">
              <w:rPr>
                <w:rFonts w:asciiTheme="minorHAnsi" w:hAnsiTheme="minorHAnsi" w:cstheme="minorBidi"/>
                <w:sz w:val="20"/>
                <w:szCs w:val="20"/>
                <w:lang w:val="en-GB" w:eastAsia="en-GB"/>
              </w:rPr>
              <w:tab/>
            </w:r>
            <w:r w:rsidRPr="00CF3C30">
              <w:rPr>
                <w:rStyle w:val="Hyperlink"/>
                <w:sz w:val="20"/>
                <w:szCs w:val="20"/>
              </w:rPr>
              <w:t>First Definitive Treatment</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_Toc211502259 \h </w:instrText>
            </w:r>
            <w:r w:rsidRPr="00CF3C30">
              <w:rPr>
                <w:webHidden/>
                <w:sz w:val="20"/>
                <w:szCs w:val="20"/>
              </w:rPr>
            </w:r>
            <w:r w:rsidRPr="00CF3C30">
              <w:rPr>
                <w:webHidden/>
                <w:sz w:val="20"/>
                <w:szCs w:val="20"/>
              </w:rPr>
              <w:fldChar w:fldCharType="separate"/>
            </w:r>
            <w:r w:rsidR="00362ACF">
              <w:rPr>
                <w:webHidden/>
                <w:sz w:val="20"/>
                <w:szCs w:val="20"/>
              </w:rPr>
              <w:t>6</w:t>
            </w:r>
            <w:r w:rsidRPr="00CF3C30">
              <w:rPr>
                <w:webHidden/>
                <w:sz w:val="20"/>
                <w:szCs w:val="20"/>
              </w:rPr>
              <w:fldChar w:fldCharType="end"/>
            </w:r>
          </w:hyperlink>
        </w:p>
        <w:p w14:paraId="7DA2381E" w14:textId="4191513A" w:rsidR="00FC197F" w:rsidRPr="00CF3C30" w:rsidRDefault="00FC197F">
          <w:pPr>
            <w:pStyle w:val="TOC3"/>
            <w:rPr>
              <w:rFonts w:asciiTheme="minorHAnsi" w:hAnsiTheme="minorHAnsi" w:cstheme="minorBidi"/>
              <w:sz w:val="20"/>
              <w:szCs w:val="20"/>
              <w:lang w:val="en-GB" w:eastAsia="en-GB"/>
            </w:rPr>
          </w:pPr>
          <w:hyperlink w:anchor="_Toc211502260" w:history="1">
            <w:r w:rsidRPr="00CF3C30">
              <w:rPr>
                <w:rStyle w:val="Hyperlink"/>
                <w:sz w:val="20"/>
                <w:szCs w:val="20"/>
              </w:rPr>
              <w:t>3.4.</w:t>
            </w:r>
            <w:r w:rsidRPr="00CF3C30">
              <w:rPr>
                <w:rFonts w:asciiTheme="minorHAnsi" w:hAnsiTheme="minorHAnsi" w:cstheme="minorBidi"/>
                <w:sz w:val="20"/>
                <w:szCs w:val="20"/>
                <w:lang w:val="en-GB" w:eastAsia="en-GB"/>
              </w:rPr>
              <w:tab/>
            </w:r>
            <w:r w:rsidRPr="00CF3C30">
              <w:rPr>
                <w:rStyle w:val="Hyperlink"/>
                <w:sz w:val="20"/>
                <w:szCs w:val="20"/>
              </w:rPr>
              <w:t>Did Not Attend (DNA) / Was Not Brought (WNB)</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_Toc211502260 \h </w:instrText>
            </w:r>
            <w:r w:rsidRPr="00CF3C30">
              <w:rPr>
                <w:webHidden/>
                <w:sz w:val="20"/>
                <w:szCs w:val="20"/>
              </w:rPr>
            </w:r>
            <w:r w:rsidRPr="00CF3C30">
              <w:rPr>
                <w:webHidden/>
                <w:sz w:val="20"/>
                <w:szCs w:val="20"/>
              </w:rPr>
              <w:fldChar w:fldCharType="separate"/>
            </w:r>
            <w:r w:rsidR="00362ACF">
              <w:rPr>
                <w:webHidden/>
                <w:sz w:val="20"/>
                <w:szCs w:val="20"/>
              </w:rPr>
              <w:t>6</w:t>
            </w:r>
            <w:r w:rsidRPr="00CF3C30">
              <w:rPr>
                <w:webHidden/>
                <w:sz w:val="20"/>
                <w:szCs w:val="20"/>
              </w:rPr>
              <w:fldChar w:fldCharType="end"/>
            </w:r>
          </w:hyperlink>
        </w:p>
        <w:p w14:paraId="534FD3A7" w14:textId="591963A8" w:rsidR="00FC197F" w:rsidRPr="00CF3C30" w:rsidRDefault="00FC197F">
          <w:pPr>
            <w:pStyle w:val="TOC3"/>
            <w:rPr>
              <w:rFonts w:asciiTheme="minorHAnsi" w:hAnsiTheme="minorHAnsi" w:cstheme="minorBidi"/>
              <w:sz w:val="20"/>
              <w:szCs w:val="20"/>
              <w:lang w:val="en-GB" w:eastAsia="en-GB"/>
            </w:rPr>
          </w:pPr>
          <w:hyperlink w:anchor="_Toc211502261" w:history="1">
            <w:r w:rsidRPr="00CF3C30">
              <w:rPr>
                <w:rStyle w:val="Hyperlink"/>
                <w:sz w:val="20"/>
                <w:szCs w:val="20"/>
              </w:rPr>
              <w:t>3.5.</w:t>
            </w:r>
            <w:r w:rsidRPr="00CF3C30">
              <w:rPr>
                <w:rFonts w:asciiTheme="minorHAnsi" w:hAnsiTheme="minorHAnsi" w:cstheme="minorBidi"/>
                <w:sz w:val="20"/>
                <w:szCs w:val="20"/>
                <w:lang w:val="en-GB" w:eastAsia="en-GB"/>
              </w:rPr>
              <w:tab/>
            </w:r>
            <w:r w:rsidRPr="00CF3C30">
              <w:rPr>
                <w:rStyle w:val="Hyperlink"/>
                <w:sz w:val="20"/>
                <w:szCs w:val="20"/>
              </w:rPr>
              <w:t>Managing DNA/WNB Safeguarding Concerns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_Toc211502261 \h </w:instrText>
            </w:r>
            <w:r w:rsidRPr="00CF3C30">
              <w:rPr>
                <w:webHidden/>
                <w:sz w:val="20"/>
                <w:szCs w:val="20"/>
              </w:rPr>
            </w:r>
            <w:r w:rsidRPr="00CF3C30">
              <w:rPr>
                <w:webHidden/>
                <w:sz w:val="20"/>
                <w:szCs w:val="20"/>
              </w:rPr>
              <w:fldChar w:fldCharType="separate"/>
            </w:r>
            <w:r w:rsidR="00362ACF">
              <w:rPr>
                <w:webHidden/>
                <w:sz w:val="20"/>
                <w:szCs w:val="20"/>
              </w:rPr>
              <w:t>7</w:t>
            </w:r>
            <w:r w:rsidRPr="00CF3C30">
              <w:rPr>
                <w:webHidden/>
                <w:sz w:val="20"/>
                <w:szCs w:val="20"/>
              </w:rPr>
              <w:fldChar w:fldCharType="end"/>
            </w:r>
          </w:hyperlink>
        </w:p>
        <w:p w14:paraId="38779824" w14:textId="30B979B7" w:rsidR="00FC197F" w:rsidRPr="00CF3C30" w:rsidRDefault="00FC197F">
          <w:pPr>
            <w:pStyle w:val="TOC1"/>
            <w:rPr>
              <w:rFonts w:asciiTheme="minorHAnsi" w:eastAsiaTheme="minorEastAsia" w:hAnsiTheme="minorHAnsi" w:cstheme="minorBidi"/>
              <w:b w:val="0"/>
              <w:sz w:val="20"/>
              <w:szCs w:val="20"/>
              <w:lang w:eastAsia="en-GB"/>
            </w:rPr>
          </w:pPr>
          <w:hyperlink w:anchor="_Toc211502262" w:history="1">
            <w:r w:rsidRPr="00CF3C30">
              <w:rPr>
                <w:rStyle w:val="Hyperlink"/>
                <w:sz w:val="20"/>
                <w:szCs w:val="20"/>
              </w:rPr>
              <w:t>4.0.</w:t>
            </w:r>
            <w:r w:rsidRPr="00CF3C30">
              <w:rPr>
                <w:rFonts w:asciiTheme="minorHAnsi" w:eastAsiaTheme="minorEastAsia" w:hAnsiTheme="minorHAnsi" w:cstheme="minorBidi"/>
                <w:b w:val="0"/>
                <w:sz w:val="20"/>
                <w:szCs w:val="20"/>
                <w:lang w:eastAsia="en-GB"/>
              </w:rPr>
              <w:tab/>
            </w:r>
            <w:r w:rsidRPr="00CF3C30">
              <w:rPr>
                <w:rStyle w:val="Hyperlink"/>
                <w:sz w:val="20"/>
                <w:szCs w:val="20"/>
              </w:rPr>
              <w:t>Scope</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_Toc211502262 \h </w:instrText>
            </w:r>
            <w:r w:rsidRPr="00CF3C30">
              <w:rPr>
                <w:webHidden/>
                <w:sz w:val="20"/>
                <w:szCs w:val="20"/>
              </w:rPr>
            </w:r>
            <w:r w:rsidRPr="00CF3C30">
              <w:rPr>
                <w:webHidden/>
                <w:sz w:val="20"/>
                <w:szCs w:val="20"/>
              </w:rPr>
              <w:fldChar w:fldCharType="separate"/>
            </w:r>
            <w:r w:rsidR="00362ACF">
              <w:rPr>
                <w:webHidden/>
                <w:sz w:val="20"/>
                <w:szCs w:val="20"/>
              </w:rPr>
              <w:t>7</w:t>
            </w:r>
            <w:r w:rsidRPr="00CF3C30">
              <w:rPr>
                <w:webHidden/>
                <w:sz w:val="20"/>
                <w:szCs w:val="20"/>
              </w:rPr>
              <w:fldChar w:fldCharType="end"/>
            </w:r>
          </w:hyperlink>
        </w:p>
        <w:p w14:paraId="5F147B30" w14:textId="66FFEDE5" w:rsidR="00FC197F" w:rsidRPr="00CF3C30" w:rsidRDefault="00FC197F">
          <w:pPr>
            <w:pStyle w:val="TOC3"/>
            <w:rPr>
              <w:rFonts w:asciiTheme="minorHAnsi" w:hAnsiTheme="minorHAnsi" w:cstheme="minorBidi"/>
              <w:sz w:val="20"/>
              <w:szCs w:val="20"/>
              <w:lang w:val="en-GB" w:eastAsia="en-GB"/>
            </w:rPr>
          </w:pPr>
          <w:hyperlink w:anchor="_Toc211502263" w:history="1">
            <w:r w:rsidRPr="00CF3C30">
              <w:rPr>
                <w:rStyle w:val="Hyperlink"/>
                <w:b/>
                <w:sz w:val="20"/>
                <w:szCs w:val="20"/>
              </w:rPr>
              <w:t>4.1.</w:t>
            </w:r>
            <w:r w:rsidRPr="00CF3C30">
              <w:rPr>
                <w:rFonts w:asciiTheme="minorHAnsi" w:hAnsiTheme="minorHAnsi" w:cstheme="minorBidi"/>
                <w:sz w:val="20"/>
                <w:szCs w:val="20"/>
                <w:lang w:val="en-GB" w:eastAsia="en-GB"/>
              </w:rPr>
              <w:tab/>
            </w:r>
            <w:r w:rsidRPr="00CF3C30">
              <w:rPr>
                <w:rStyle w:val="Hyperlink"/>
                <w:sz w:val="20"/>
                <w:szCs w:val="20"/>
              </w:rPr>
              <w:t>Overview of Access Standards by Service Type</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_Toc211502263 \h </w:instrText>
            </w:r>
            <w:r w:rsidRPr="00CF3C30">
              <w:rPr>
                <w:webHidden/>
                <w:sz w:val="20"/>
                <w:szCs w:val="20"/>
              </w:rPr>
            </w:r>
            <w:r w:rsidRPr="00CF3C30">
              <w:rPr>
                <w:webHidden/>
                <w:sz w:val="20"/>
                <w:szCs w:val="20"/>
              </w:rPr>
              <w:fldChar w:fldCharType="separate"/>
            </w:r>
            <w:r w:rsidR="00362ACF">
              <w:rPr>
                <w:webHidden/>
                <w:sz w:val="20"/>
                <w:szCs w:val="20"/>
              </w:rPr>
              <w:t>8</w:t>
            </w:r>
            <w:r w:rsidRPr="00CF3C30">
              <w:rPr>
                <w:webHidden/>
                <w:sz w:val="20"/>
                <w:szCs w:val="20"/>
              </w:rPr>
              <w:fldChar w:fldCharType="end"/>
            </w:r>
          </w:hyperlink>
        </w:p>
        <w:p w14:paraId="2FC6BFAC" w14:textId="21E99CA5" w:rsidR="00FC197F" w:rsidRPr="00CF3C30" w:rsidRDefault="00FC197F">
          <w:pPr>
            <w:pStyle w:val="TOC1"/>
            <w:rPr>
              <w:rFonts w:asciiTheme="minorHAnsi" w:eastAsiaTheme="minorEastAsia" w:hAnsiTheme="minorHAnsi" w:cstheme="minorBidi"/>
              <w:b w:val="0"/>
              <w:sz w:val="20"/>
              <w:szCs w:val="20"/>
              <w:lang w:eastAsia="en-GB"/>
            </w:rPr>
          </w:pPr>
          <w:hyperlink w:anchor="_Toc211502264" w:history="1">
            <w:r w:rsidRPr="00CF3C30">
              <w:rPr>
                <w:rStyle w:val="Hyperlink"/>
                <w:sz w:val="20"/>
                <w:szCs w:val="20"/>
              </w:rPr>
              <w:t>5.0.</w:t>
            </w:r>
            <w:r w:rsidRPr="00CF3C30">
              <w:rPr>
                <w:rFonts w:asciiTheme="minorHAnsi" w:eastAsiaTheme="minorEastAsia" w:hAnsiTheme="minorHAnsi" w:cstheme="minorBidi"/>
                <w:b w:val="0"/>
                <w:sz w:val="20"/>
                <w:szCs w:val="20"/>
                <w:lang w:eastAsia="en-GB"/>
              </w:rPr>
              <w:tab/>
            </w:r>
            <w:r w:rsidRPr="00CF3C30">
              <w:rPr>
                <w:rStyle w:val="Hyperlink"/>
                <w:sz w:val="20"/>
                <w:szCs w:val="20"/>
              </w:rPr>
              <w:t>Principles and Guidance for Managing Access and Waiting Lists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_Toc211502264 \h </w:instrText>
            </w:r>
            <w:r w:rsidRPr="00CF3C30">
              <w:rPr>
                <w:webHidden/>
                <w:sz w:val="20"/>
                <w:szCs w:val="20"/>
              </w:rPr>
            </w:r>
            <w:r w:rsidRPr="00CF3C30">
              <w:rPr>
                <w:webHidden/>
                <w:sz w:val="20"/>
                <w:szCs w:val="20"/>
              </w:rPr>
              <w:fldChar w:fldCharType="separate"/>
            </w:r>
            <w:r w:rsidR="00362ACF">
              <w:rPr>
                <w:webHidden/>
                <w:sz w:val="20"/>
                <w:szCs w:val="20"/>
              </w:rPr>
              <w:t>9</w:t>
            </w:r>
            <w:r w:rsidRPr="00CF3C30">
              <w:rPr>
                <w:webHidden/>
                <w:sz w:val="20"/>
                <w:szCs w:val="20"/>
              </w:rPr>
              <w:fldChar w:fldCharType="end"/>
            </w:r>
          </w:hyperlink>
        </w:p>
        <w:p w14:paraId="76B3FE26" w14:textId="06FE7B8F" w:rsidR="00FC197F" w:rsidRPr="00CF3C30" w:rsidRDefault="00FC197F">
          <w:pPr>
            <w:pStyle w:val="TOC3"/>
            <w:rPr>
              <w:rFonts w:asciiTheme="minorHAnsi" w:hAnsiTheme="minorHAnsi" w:cstheme="minorBidi"/>
              <w:sz w:val="20"/>
              <w:szCs w:val="20"/>
              <w:lang w:val="en-GB" w:eastAsia="en-GB"/>
            </w:rPr>
          </w:pPr>
          <w:hyperlink w:anchor="_Toc211502265" w:history="1">
            <w:r w:rsidRPr="00CF3C30">
              <w:rPr>
                <w:rStyle w:val="Hyperlink"/>
                <w:b/>
                <w:sz w:val="20"/>
                <w:szCs w:val="20"/>
              </w:rPr>
              <w:t>5.1.</w:t>
            </w:r>
            <w:r w:rsidRPr="00CF3C30">
              <w:rPr>
                <w:rFonts w:asciiTheme="minorHAnsi" w:hAnsiTheme="minorHAnsi" w:cstheme="minorBidi"/>
                <w:sz w:val="20"/>
                <w:szCs w:val="20"/>
                <w:lang w:val="en-GB" w:eastAsia="en-GB"/>
              </w:rPr>
              <w:tab/>
            </w:r>
            <w:r w:rsidRPr="00CF3C30">
              <w:rPr>
                <w:rStyle w:val="Hyperlink"/>
                <w:sz w:val="20"/>
                <w:szCs w:val="20"/>
              </w:rPr>
              <w:t>Principles for managing access and waiting lists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_Toc211502265 \h </w:instrText>
            </w:r>
            <w:r w:rsidRPr="00CF3C30">
              <w:rPr>
                <w:webHidden/>
                <w:sz w:val="20"/>
                <w:szCs w:val="20"/>
              </w:rPr>
            </w:r>
            <w:r w:rsidRPr="00CF3C30">
              <w:rPr>
                <w:webHidden/>
                <w:sz w:val="20"/>
                <w:szCs w:val="20"/>
              </w:rPr>
              <w:fldChar w:fldCharType="separate"/>
            </w:r>
            <w:r w:rsidR="00362ACF">
              <w:rPr>
                <w:webHidden/>
                <w:sz w:val="20"/>
                <w:szCs w:val="20"/>
              </w:rPr>
              <w:t>9</w:t>
            </w:r>
            <w:r w:rsidRPr="00CF3C30">
              <w:rPr>
                <w:webHidden/>
                <w:sz w:val="20"/>
                <w:szCs w:val="20"/>
              </w:rPr>
              <w:fldChar w:fldCharType="end"/>
            </w:r>
          </w:hyperlink>
        </w:p>
        <w:p w14:paraId="722A01BF" w14:textId="29E74434" w:rsidR="00FC197F" w:rsidRPr="00CF3C30" w:rsidRDefault="00FC197F">
          <w:pPr>
            <w:pStyle w:val="TOC1"/>
            <w:rPr>
              <w:rFonts w:asciiTheme="minorHAnsi" w:eastAsiaTheme="minorEastAsia" w:hAnsiTheme="minorHAnsi" w:cstheme="minorBidi"/>
              <w:b w:val="0"/>
              <w:sz w:val="20"/>
              <w:szCs w:val="20"/>
              <w:lang w:eastAsia="en-GB"/>
            </w:rPr>
          </w:pPr>
          <w:hyperlink w:anchor="_Toc211502266" w:history="1">
            <w:r w:rsidRPr="00CF3C30">
              <w:rPr>
                <w:rStyle w:val="Hyperlink"/>
                <w:sz w:val="20"/>
                <w:szCs w:val="20"/>
              </w:rPr>
              <w:t>6.0.</w:t>
            </w:r>
            <w:r w:rsidRPr="00CF3C30">
              <w:rPr>
                <w:rFonts w:asciiTheme="minorHAnsi" w:eastAsiaTheme="minorEastAsia" w:hAnsiTheme="minorHAnsi" w:cstheme="minorBidi"/>
                <w:b w:val="0"/>
                <w:sz w:val="20"/>
                <w:szCs w:val="20"/>
                <w:lang w:eastAsia="en-GB"/>
              </w:rPr>
              <w:tab/>
            </w:r>
            <w:r w:rsidRPr="00CF3C30">
              <w:rPr>
                <w:rStyle w:val="Hyperlink"/>
                <w:sz w:val="20"/>
                <w:szCs w:val="20"/>
              </w:rPr>
              <w:t>Referral Management</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_Toc211502266 \h </w:instrText>
            </w:r>
            <w:r w:rsidRPr="00CF3C30">
              <w:rPr>
                <w:webHidden/>
                <w:sz w:val="20"/>
                <w:szCs w:val="20"/>
              </w:rPr>
            </w:r>
            <w:r w:rsidRPr="00CF3C30">
              <w:rPr>
                <w:webHidden/>
                <w:sz w:val="20"/>
                <w:szCs w:val="20"/>
              </w:rPr>
              <w:fldChar w:fldCharType="separate"/>
            </w:r>
            <w:r w:rsidR="00362ACF">
              <w:rPr>
                <w:webHidden/>
                <w:sz w:val="20"/>
                <w:szCs w:val="20"/>
              </w:rPr>
              <w:t>10</w:t>
            </w:r>
            <w:r w:rsidRPr="00CF3C30">
              <w:rPr>
                <w:webHidden/>
                <w:sz w:val="20"/>
                <w:szCs w:val="20"/>
              </w:rPr>
              <w:fldChar w:fldCharType="end"/>
            </w:r>
          </w:hyperlink>
        </w:p>
        <w:p w14:paraId="5091E5A9" w14:textId="6041E131" w:rsidR="00FC197F" w:rsidRPr="00CF3C30" w:rsidRDefault="00FC197F">
          <w:pPr>
            <w:pStyle w:val="TOC3"/>
            <w:rPr>
              <w:rFonts w:asciiTheme="minorHAnsi" w:hAnsiTheme="minorHAnsi" w:cstheme="minorBidi"/>
              <w:sz w:val="20"/>
              <w:szCs w:val="20"/>
              <w:lang w:val="en-GB" w:eastAsia="en-GB"/>
            </w:rPr>
          </w:pPr>
          <w:hyperlink w:anchor="_Toc211502267" w:history="1">
            <w:r w:rsidRPr="00CF3C30">
              <w:rPr>
                <w:rStyle w:val="Hyperlink"/>
                <w:sz w:val="20"/>
                <w:szCs w:val="20"/>
              </w:rPr>
              <w:t>6.1.</w:t>
            </w:r>
            <w:r w:rsidRPr="00CF3C30">
              <w:rPr>
                <w:rFonts w:asciiTheme="minorHAnsi" w:hAnsiTheme="minorHAnsi" w:cstheme="minorBidi"/>
                <w:sz w:val="20"/>
                <w:szCs w:val="20"/>
                <w:lang w:val="en-GB" w:eastAsia="en-GB"/>
              </w:rPr>
              <w:tab/>
            </w:r>
            <w:r w:rsidRPr="00CF3C30">
              <w:rPr>
                <w:rStyle w:val="Hyperlink"/>
                <w:sz w:val="20"/>
                <w:szCs w:val="20"/>
              </w:rPr>
              <w:t>Referral Types Accepted</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_Toc211502267 \h </w:instrText>
            </w:r>
            <w:r w:rsidRPr="00CF3C30">
              <w:rPr>
                <w:webHidden/>
                <w:sz w:val="20"/>
                <w:szCs w:val="20"/>
              </w:rPr>
            </w:r>
            <w:r w:rsidRPr="00CF3C30">
              <w:rPr>
                <w:webHidden/>
                <w:sz w:val="20"/>
                <w:szCs w:val="20"/>
              </w:rPr>
              <w:fldChar w:fldCharType="separate"/>
            </w:r>
            <w:r w:rsidR="00362ACF">
              <w:rPr>
                <w:webHidden/>
                <w:sz w:val="20"/>
                <w:szCs w:val="20"/>
              </w:rPr>
              <w:t>10</w:t>
            </w:r>
            <w:r w:rsidRPr="00CF3C30">
              <w:rPr>
                <w:webHidden/>
                <w:sz w:val="20"/>
                <w:szCs w:val="20"/>
              </w:rPr>
              <w:fldChar w:fldCharType="end"/>
            </w:r>
          </w:hyperlink>
        </w:p>
        <w:p w14:paraId="0824662E" w14:textId="0A0773AE" w:rsidR="00FC197F" w:rsidRPr="00CF3C30" w:rsidRDefault="00FC197F">
          <w:pPr>
            <w:pStyle w:val="TOC3"/>
            <w:rPr>
              <w:rFonts w:asciiTheme="minorHAnsi" w:hAnsiTheme="minorHAnsi" w:cstheme="minorBidi"/>
              <w:sz w:val="20"/>
              <w:szCs w:val="20"/>
              <w:lang w:val="en-GB" w:eastAsia="en-GB"/>
            </w:rPr>
          </w:pPr>
          <w:hyperlink w:anchor="_Toc211502268" w:history="1">
            <w:r w:rsidRPr="00CF3C30">
              <w:rPr>
                <w:rStyle w:val="Hyperlink"/>
                <w:sz w:val="20"/>
                <w:szCs w:val="20"/>
              </w:rPr>
              <w:t>6.2.</w:t>
            </w:r>
            <w:r w:rsidRPr="00CF3C30">
              <w:rPr>
                <w:rFonts w:asciiTheme="minorHAnsi" w:hAnsiTheme="minorHAnsi" w:cstheme="minorBidi"/>
                <w:sz w:val="20"/>
                <w:szCs w:val="20"/>
                <w:lang w:val="en-GB" w:eastAsia="en-GB"/>
              </w:rPr>
              <w:tab/>
            </w:r>
            <w:r w:rsidRPr="00CF3C30">
              <w:rPr>
                <w:rStyle w:val="Hyperlink"/>
                <w:sz w:val="20"/>
                <w:szCs w:val="20"/>
              </w:rPr>
              <w:t>Referral Processes and Governance</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_Toc211502268 \h </w:instrText>
            </w:r>
            <w:r w:rsidRPr="00CF3C30">
              <w:rPr>
                <w:webHidden/>
                <w:sz w:val="20"/>
                <w:szCs w:val="20"/>
              </w:rPr>
            </w:r>
            <w:r w:rsidRPr="00CF3C30">
              <w:rPr>
                <w:webHidden/>
                <w:sz w:val="20"/>
                <w:szCs w:val="20"/>
              </w:rPr>
              <w:fldChar w:fldCharType="separate"/>
            </w:r>
            <w:r w:rsidR="00362ACF">
              <w:rPr>
                <w:webHidden/>
                <w:sz w:val="20"/>
                <w:szCs w:val="20"/>
              </w:rPr>
              <w:t>10</w:t>
            </w:r>
            <w:r w:rsidRPr="00CF3C30">
              <w:rPr>
                <w:webHidden/>
                <w:sz w:val="20"/>
                <w:szCs w:val="20"/>
              </w:rPr>
              <w:fldChar w:fldCharType="end"/>
            </w:r>
          </w:hyperlink>
        </w:p>
        <w:p w14:paraId="7770A7C2" w14:textId="670DE2D9" w:rsidR="00FC197F" w:rsidRPr="00CF3C30" w:rsidRDefault="00FC197F">
          <w:pPr>
            <w:pStyle w:val="TOC3"/>
            <w:rPr>
              <w:rFonts w:asciiTheme="minorHAnsi" w:hAnsiTheme="minorHAnsi" w:cstheme="minorBidi"/>
              <w:sz w:val="20"/>
              <w:szCs w:val="20"/>
              <w:lang w:val="en-GB" w:eastAsia="en-GB"/>
            </w:rPr>
          </w:pPr>
          <w:hyperlink w:anchor="_Toc211502269" w:history="1">
            <w:r w:rsidRPr="00CF3C30">
              <w:rPr>
                <w:rStyle w:val="Hyperlink"/>
                <w:sz w:val="20"/>
                <w:szCs w:val="20"/>
              </w:rPr>
              <w:t>6.3.</w:t>
            </w:r>
            <w:r w:rsidRPr="00CF3C30">
              <w:rPr>
                <w:rFonts w:asciiTheme="minorHAnsi" w:hAnsiTheme="minorHAnsi" w:cstheme="minorBidi"/>
                <w:sz w:val="20"/>
                <w:szCs w:val="20"/>
                <w:lang w:val="en-GB" w:eastAsia="en-GB"/>
              </w:rPr>
              <w:tab/>
            </w:r>
            <w:r w:rsidRPr="00CF3C30">
              <w:rPr>
                <w:rStyle w:val="Hyperlink"/>
                <w:sz w:val="20"/>
                <w:szCs w:val="20"/>
              </w:rPr>
              <w:t>Triage Processes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_Toc211502269 \h </w:instrText>
            </w:r>
            <w:r w:rsidRPr="00CF3C30">
              <w:rPr>
                <w:webHidden/>
                <w:sz w:val="20"/>
                <w:szCs w:val="20"/>
              </w:rPr>
            </w:r>
            <w:r w:rsidRPr="00CF3C30">
              <w:rPr>
                <w:webHidden/>
                <w:sz w:val="20"/>
                <w:szCs w:val="20"/>
              </w:rPr>
              <w:fldChar w:fldCharType="separate"/>
            </w:r>
            <w:r w:rsidR="00362ACF">
              <w:rPr>
                <w:webHidden/>
                <w:sz w:val="20"/>
                <w:szCs w:val="20"/>
              </w:rPr>
              <w:t>11</w:t>
            </w:r>
            <w:r w:rsidRPr="00CF3C30">
              <w:rPr>
                <w:webHidden/>
                <w:sz w:val="20"/>
                <w:szCs w:val="20"/>
              </w:rPr>
              <w:fldChar w:fldCharType="end"/>
            </w:r>
          </w:hyperlink>
        </w:p>
        <w:p w14:paraId="37E0AE65" w14:textId="01754C35" w:rsidR="00FC197F" w:rsidRPr="00CF3C30" w:rsidRDefault="00FC197F">
          <w:pPr>
            <w:pStyle w:val="TOC1"/>
            <w:rPr>
              <w:rFonts w:asciiTheme="minorHAnsi" w:eastAsiaTheme="minorEastAsia" w:hAnsiTheme="minorHAnsi" w:cstheme="minorBidi"/>
              <w:b w:val="0"/>
              <w:sz w:val="20"/>
              <w:szCs w:val="20"/>
              <w:lang w:eastAsia="en-GB"/>
            </w:rPr>
          </w:pPr>
          <w:hyperlink w:anchor="_Toc211502270" w:history="1">
            <w:r w:rsidRPr="00CF3C30">
              <w:rPr>
                <w:rStyle w:val="Hyperlink"/>
                <w:sz w:val="20"/>
                <w:szCs w:val="20"/>
              </w:rPr>
              <w:t>7.0.</w:t>
            </w:r>
            <w:r w:rsidRPr="00CF3C30">
              <w:rPr>
                <w:rFonts w:asciiTheme="minorHAnsi" w:eastAsiaTheme="minorEastAsia" w:hAnsiTheme="minorHAnsi" w:cstheme="minorBidi"/>
                <w:b w:val="0"/>
                <w:sz w:val="20"/>
                <w:szCs w:val="20"/>
                <w:lang w:eastAsia="en-GB"/>
              </w:rPr>
              <w:tab/>
            </w:r>
            <w:r w:rsidRPr="00CF3C30">
              <w:rPr>
                <w:rStyle w:val="Hyperlink"/>
                <w:sz w:val="20"/>
                <w:szCs w:val="20"/>
              </w:rPr>
              <w:t>Appointment Booking and Waiting List Management</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_Toc211502270 \h </w:instrText>
            </w:r>
            <w:r w:rsidRPr="00CF3C30">
              <w:rPr>
                <w:webHidden/>
                <w:sz w:val="20"/>
                <w:szCs w:val="20"/>
              </w:rPr>
            </w:r>
            <w:r w:rsidRPr="00CF3C30">
              <w:rPr>
                <w:webHidden/>
                <w:sz w:val="20"/>
                <w:szCs w:val="20"/>
              </w:rPr>
              <w:fldChar w:fldCharType="separate"/>
            </w:r>
            <w:r w:rsidR="00362ACF">
              <w:rPr>
                <w:webHidden/>
                <w:sz w:val="20"/>
                <w:szCs w:val="20"/>
              </w:rPr>
              <w:t>12</w:t>
            </w:r>
            <w:r w:rsidRPr="00CF3C30">
              <w:rPr>
                <w:webHidden/>
                <w:sz w:val="20"/>
                <w:szCs w:val="20"/>
              </w:rPr>
              <w:fldChar w:fldCharType="end"/>
            </w:r>
          </w:hyperlink>
        </w:p>
        <w:p w14:paraId="418F2857" w14:textId="74ED0F54" w:rsidR="00FC197F" w:rsidRPr="00CF3C30" w:rsidRDefault="00FC197F">
          <w:pPr>
            <w:pStyle w:val="TOC3"/>
            <w:rPr>
              <w:rFonts w:asciiTheme="minorHAnsi" w:hAnsiTheme="minorHAnsi" w:cstheme="minorBidi"/>
              <w:sz w:val="20"/>
              <w:szCs w:val="20"/>
              <w:lang w:val="en-GB" w:eastAsia="en-GB"/>
            </w:rPr>
          </w:pPr>
          <w:hyperlink w:anchor="_Toc211502271" w:history="1">
            <w:r w:rsidRPr="00CF3C30">
              <w:rPr>
                <w:rStyle w:val="Hyperlink"/>
                <w:sz w:val="20"/>
                <w:szCs w:val="20"/>
              </w:rPr>
              <w:t>7.1.</w:t>
            </w:r>
            <w:r w:rsidRPr="00CF3C30">
              <w:rPr>
                <w:rFonts w:asciiTheme="minorHAnsi" w:hAnsiTheme="minorHAnsi" w:cstheme="minorBidi"/>
                <w:sz w:val="20"/>
                <w:szCs w:val="20"/>
                <w:lang w:val="en-GB" w:eastAsia="en-GB"/>
              </w:rPr>
              <w:tab/>
            </w:r>
            <w:r w:rsidRPr="00CF3C30">
              <w:rPr>
                <w:rStyle w:val="Hyperlink"/>
                <w:sz w:val="20"/>
                <w:szCs w:val="20"/>
              </w:rPr>
              <w:t>Booking and Managing Appointments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_Toc211502271 \h </w:instrText>
            </w:r>
            <w:r w:rsidRPr="00CF3C30">
              <w:rPr>
                <w:webHidden/>
                <w:sz w:val="20"/>
                <w:szCs w:val="20"/>
              </w:rPr>
            </w:r>
            <w:r w:rsidRPr="00CF3C30">
              <w:rPr>
                <w:webHidden/>
                <w:sz w:val="20"/>
                <w:szCs w:val="20"/>
              </w:rPr>
              <w:fldChar w:fldCharType="separate"/>
            </w:r>
            <w:r w:rsidR="00362ACF">
              <w:rPr>
                <w:webHidden/>
                <w:sz w:val="20"/>
                <w:szCs w:val="20"/>
              </w:rPr>
              <w:t>12</w:t>
            </w:r>
            <w:r w:rsidRPr="00CF3C30">
              <w:rPr>
                <w:webHidden/>
                <w:sz w:val="20"/>
                <w:szCs w:val="20"/>
              </w:rPr>
              <w:fldChar w:fldCharType="end"/>
            </w:r>
          </w:hyperlink>
        </w:p>
        <w:p w14:paraId="2C0B6EAB" w14:textId="3F8BE07E" w:rsidR="00FC197F" w:rsidRPr="00CF3C30" w:rsidRDefault="00FC197F">
          <w:pPr>
            <w:pStyle w:val="TOC3"/>
            <w:rPr>
              <w:rFonts w:asciiTheme="minorHAnsi" w:hAnsiTheme="minorHAnsi" w:cstheme="minorBidi"/>
              <w:sz w:val="20"/>
              <w:szCs w:val="20"/>
              <w:lang w:val="en-GB" w:eastAsia="en-GB"/>
            </w:rPr>
          </w:pPr>
          <w:hyperlink w:anchor="_Toc211502272" w:history="1">
            <w:r w:rsidRPr="00CF3C30">
              <w:rPr>
                <w:rStyle w:val="Hyperlink"/>
                <w:sz w:val="20"/>
                <w:szCs w:val="20"/>
              </w:rPr>
              <w:t>7.2.</w:t>
            </w:r>
            <w:r w:rsidRPr="00CF3C30">
              <w:rPr>
                <w:rFonts w:asciiTheme="minorHAnsi" w:hAnsiTheme="minorHAnsi" w:cstheme="minorBidi"/>
                <w:sz w:val="20"/>
                <w:szCs w:val="20"/>
                <w:lang w:val="en-GB" w:eastAsia="en-GB"/>
              </w:rPr>
              <w:tab/>
            </w:r>
            <w:r w:rsidRPr="00CF3C30">
              <w:rPr>
                <w:rStyle w:val="Hyperlink"/>
                <w:sz w:val="20"/>
                <w:szCs w:val="20"/>
              </w:rPr>
              <w:t>Did Not Attend (DNA)</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_Toc211502272 \h </w:instrText>
            </w:r>
            <w:r w:rsidRPr="00CF3C30">
              <w:rPr>
                <w:webHidden/>
                <w:sz w:val="20"/>
                <w:szCs w:val="20"/>
              </w:rPr>
            </w:r>
            <w:r w:rsidRPr="00CF3C30">
              <w:rPr>
                <w:webHidden/>
                <w:sz w:val="20"/>
                <w:szCs w:val="20"/>
              </w:rPr>
              <w:fldChar w:fldCharType="separate"/>
            </w:r>
            <w:r w:rsidR="00362ACF">
              <w:rPr>
                <w:webHidden/>
                <w:sz w:val="20"/>
                <w:szCs w:val="20"/>
              </w:rPr>
              <w:t>12</w:t>
            </w:r>
            <w:r w:rsidRPr="00CF3C30">
              <w:rPr>
                <w:webHidden/>
                <w:sz w:val="20"/>
                <w:szCs w:val="20"/>
              </w:rPr>
              <w:fldChar w:fldCharType="end"/>
            </w:r>
          </w:hyperlink>
        </w:p>
        <w:p w14:paraId="4DA16086" w14:textId="71FCA619" w:rsidR="00FC197F" w:rsidRPr="00CF3C30" w:rsidRDefault="00FC197F">
          <w:pPr>
            <w:pStyle w:val="TOC3"/>
            <w:rPr>
              <w:rFonts w:asciiTheme="minorHAnsi" w:hAnsiTheme="minorHAnsi" w:cstheme="minorBidi"/>
              <w:sz w:val="20"/>
              <w:szCs w:val="20"/>
              <w:lang w:val="en-GB" w:eastAsia="en-GB"/>
            </w:rPr>
          </w:pPr>
          <w:hyperlink w:anchor="_Toc211502273" w:history="1">
            <w:r w:rsidRPr="00CF3C30">
              <w:rPr>
                <w:rStyle w:val="Hyperlink"/>
                <w:sz w:val="20"/>
                <w:szCs w:val="20"/>
              </w:rPr>
              <w:t>7.3.</w:t>
            </w:r>
            <w:r w:rsidRPr="00CF3C30">
              <w:rPr>
                <w:rFonts w:asciiTheme="minorHAnsi" w:hAnsiTheme="minorHAnsi" w:cstheme="minorBidi"/>
                <w:sz w:val="20"/>
                <w:szCs w:val="20"/>
                <w:lang w:val="en-GB" w:eastAsia="en-GB"/>
              </w:rPr>
              <w:tab/>
            </w:r>
            <w:r w:rsidRPr="00CF3C30">
              <w:rPr>
                <w:rStyle w:val="Hyperlink"/>
                <w:sz w:val="20"/>
                <w:szCs w:val="20"/>
              </w:rPr>
              <w:t>Cancellations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_Toc211502273 \h </w:instrText>
            </w:r>
            <w:r w:rsidRPr="00CF3C30">
              <w:rPr>
                <w:webHidden/>
                <w:sz w:val="20"/>
                <w:szCs w:val="20"/>
              </w:rPr>
            </w:r>
            <w:r w:rsidRPr="00CF3C30">
              <w:rPr>
                <w:webHidden/>
                <w:sz w:val="20"/>
                <w:szCs w:val="20"/>
              </w:rPr>
              <w:fldChar w:fldCharType="separate"/>
            </w:r>
            <w:r w:rsidR="00362ACF">
              <w:rPr>
                <w:webHidden/>
                <w:sz w:val="20"/>
                <w:szCs w:val="20"/>
              </w:rPr>
              <w:t>13</w:t>
            </w:r>
            <w:r w:rsidRPr="00CF3C30">
              <w:rPr>
                <w:webHidden/>
                <w:sz w:val="20"/>
                <w:szCs w:val="20"/>
              </w:rPr>
              <w:fldChar w:fldCharType="end"/>
            </w:r>
          </w:hyperlink>
        </w:p>
        <w:p w14:paraId="4300DCAE" w14:textId="480CADF6" w:rsidR="00FC197F" w:rsidRPr="00CF3C30" w:rsidRDefault="00FC197F">
          <w:pPr>
            <w:pStyle w:val="TOC3"/>
            <w:rPr>
              <w:rFonts w:asciiTheme="minorHAnsi" w:hAnsiTheme="minorHAnsi" w:cstheme="minorBidi"/>
              <w:sz w:val="20"/>
              <w:szCs w:val="20"/>
              <w:lang w:val="en-GB" w:eastAsia="en-GB"/>
            </w:rPr>
          </w:pPr>
          <w:hyperlink w:anchor="_Toc211502274" w:history="1">
            <w:r w:rsidRPr="00CF3C30">
              <w:rPr>
                <w:rStyle w:val="Hyperlink"/>
                <w:sz w:val="20"/>
                <w:szCs w:val="20"/>
              </w:rPr>
              <w:t>7.4.</w:t>
            </w:r>
            <w:r w:rsidRPr="00CF3C30">
              <w:rPr>
                <w:rFonts w:asciiTheme="minorHAnsi" w:hAnsiTheme="minorHAnsi" w:cstheme="minorBidi"/>
                <w:sz w:val="20"/>
                <w:szCs w:val="20"/>
                <w:lang w:val="en-GB" w:eastAsia="en-GB"/>
              </w:rPr>
              <w:tab/>
            </w:r>
            <w:r w:rsidRPr="00CF3C30">
              <w:rPr>
                <w:rStyle w:val="Hyperlink"/>
                <w:sz w:val="20"/>
                <w:szCs w:val="20"/>
              </w:rPr>
              <w:t>Patient Initiated Follow-Up (PIFU)</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_Toc211502274 \h </w:instrText>
            </w:r>
            <w:r w:rsidRPr="00CF3C30">
              <w:rPr>
                <w:webHidden/>
                <w:sz w:val="20"/>
                <w:szCs w:val="20"/>
              </w:rPr>
            </w:r>
            <w:r w:rsidRPr="00CF3C30">
              <w:rPr>
                <w:webHidden/>
                <w:sz w:val="20"/>
                <w:szCs w:val="20"/>
              </w:rPr>
              <w:fldChar w:fldCharType="separate"/>
            </w:r>
            <w:r w:rsidR="00362ACF">
              <w:rPr>
                <w:webHidden/>
                <w:sz w:val="20"/>
                <w:szCs w:val="20"/>
              </w:rPr>
              <w:t>13</w:t>
            </w:r>
            <w:r w:rsidRPr="00CF3C30">
              <w:rPr>
                <w:webHidden/>
                <w:sz w:val="20"/>
                <w:szCs w:val="20"/>
              </w:rPr>
              <w:fldChar w:fldCharType="end"/>
            </w:r>
          </w:hyperlink>
        </w:p>
        <w:p w14:paraId="131EDD8C" w14:textId="5F96206E" w:rsidR="00FC197F" w:rsidRPr="00CF3C30" w:rsidRDefault="00FC197F">
          <w:pPr>
            <w:pStyle w:val="TOC3"/>
            <w:rPr>
              <w:rFonts w:asciiTheme="minorHAnsi" w:hAnsiTheme="minorHAnsi" w:cstheme="minorBidi"/>
              <w:sz w:val="20"/>
              <w:szCs w:val="20"/>
              <w:lang w:val="en-GB" w:eastAsia="en-GB"/>
            </w:rPr>
          </w:pPr>
          <w:hyperlink w:anchor="_Toc211502275" w:history="1">
            <w:r w:rsidRPr="00CF3C30">
              <w:rPr>
                <w:rStyle w:val="Hyperlink"/>
                <w:sz w:val="20"/>
                <w:szCs w:val="20"/>
              </w:rPr>
              <w:t>7.5.</w:t>
            </w:r>
            <w:r w:rsidRPr="00CF3C30">
              <w:rPr>
                <w:rFonts w:asciiTheme="minorHAnsi" w:hAnsiTheme="minorHAnsi" w:cstheme="minorBidi"/>
                <w:sz w:val="20"/>
                <w:szCs w:val="20"/>
                <w:lang w:val="en-GB" w:eastAsia="en-GB"/>
              </w:rPr>
              <w:tab/>
            </w:r>
            <w:r w:rsidRPr="00CF3C30">
              <w:rPr>
                <w:rStyle w:val="Hyperlink"/>
                <w:sz w:val="20"/>
                <w:szCs w:val="20"/>
              </w:rPr>
              <w:t>Ongoing Monitoring and Reviews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_Toc211502275 \h </w:instrText>
            </w:r>
            <w:r w:rsidRPr="00CF3C30">
              <w:rPr>
                <w:webHidden/>
                <w:sz w:val="20"/>
                <w:szCs w:val="20"/>
              </w:rPr>
            </w:r>
            <w:r w:rsidRPr="00CF3C30">
              <w:rPr>
                <w:webHidden/>
                <w:sz w:val="20"/>
                <w:szCs w:val="20"/>
              </w:rPr>
              <w:fldChar w:fldCharType="separate"/>
            </w:r>
            <w:r w:rsidR="00362ACF">
              <w:rPr>
                <w:webHidden/>
                <w:sz w:val="20"/>
                <w:szCs w:val="20"/>
              </w:rPr>
              <w:t>14</w:t>
            </w:r>
            <w:r w:rsidRPr="00CF3C30">
              <w:rPr>
                <w:webHidden/>
                <w:sz w:val="20"/>
                <w:szCs w:val="20"/>
              </w:rPr>
              <w:fldChar w:fldCharType="end"/>
            </w:r>
          </w:hyperlink>
        </w:p>
        <w:p w14:paraId="222611A3" w14:textId="158B41A2" w:rsidR="00FC197F" w:rsidRPr="00CF3C30" w:rsidRDefault="00FC197F">
          <w:pPr>
            <w:pStyle w:val="TOC1"/>
            <w:rPr>
              <w:rFonts w:asciiTheme="minorHAnsi" w:eastAsiaTheme="minorEastAsia" w:hAnsiTheme="minorHAnsi" w:cstheme="minorBidi"/>
              <w:b w:val="0"/>
              <w:sz w:val="20"/>
              <w:szCs w:val="20"/>
              <w:lang w:eastAsia="en-GB"/>
            </w:rPr>
          </w:pPr>
          <w:hyperlink w:anchor="_Toc211502276" w:history="1">
            <w:r w:rsidRPr="00CF3C30">
              <w:rPr>
                <w:rStyle w:val="Hyperlink"/>
                <w:sz w:val="20"/>
                <w:szCs w:val="20"/>
              </w:rPr>
              <w:t>8.0.</w:t>
            </w:r>
            <w:r w:rsidRPr="00CF3C30">
              <w:rPr>
                <w:rFonts w:asciiTheme="minorHAnsi" w:eastAsiaTheme="minorEastAsia" w:hAnsiTheme="minorHAnsi" w:cstheme="minorBidi"/>
                <w:b w:val="0"/>
                <w:sz w:val="20"/>
                <w:szCs w:val="20"/>
                <w:lang w:eastAsia="en-GB"/>
              </w:rPr>
              <w:tab/>
            </w:r>
            <w:r w:rsidRPr="00CF3C30">
              <w:rPr>
                <w:rStyle w:val="Hyperlink"/>
                <w:sz w:val="20"/>
                <w:szCs w:val="20"/>
              </w:rPr>
              <w:t>Managing Demand and Capacity Challenges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_Toc211502276 \h </w:instrText>
            </w:r>
            <w:r w:rsidRPr="00CF3C30">
              <w:rPr>
                <w:webHidden/>
                <w:sz w:val="20"/>
                <w:szCs w:val="20"/>
              </w:rPr>
            </w:r>
            <w:r w:rsidRPr="00CF3C30">
              <w:rPr>
                <w:webHidden/>
                <w:sz w:val="20"/>
                <w:szCs w:val="20"/>
              </w:rPr>
              <w:fldChar w:fldCharType="separate"/>
            </w:r>
            <w:r w:rsidR="00362ACF">
              <w:rPr>
                <w:webHidden/>
                <w:sz w:val="20"/>
                <w:szCs w:val="20"/>
              </w:rPr>
              <w:t>14</w:t>
            </w:r>
            <w:r w:rsidRPr="00CF3C30">
              <w:rPr>
                <w:webHidden/>
                <w:sz w:val="20"/>
                <w:szCs w:val="20"/>
              </w:rPr>
              <w:fldChar w:fldCharType="end"/>
            </w:r>
          </w:hyperlink>
        </w:p>
        <w:p w14:paraId="297F6286" w14:textId="2FDFC1B2" w:rsidR="00FC197F" w:rsidRPr="00CF3C30" w:rsidRDefault="00FC197F">
          <w:pPr>
            <w:pStyle w:val="TOC3"/>
            <w:rPr>
              <w:rFonts w:asciiTheme="minorHAnsi" w:hAnsiTheme="minorHAnsi" w:cstheme="minorBidi"/>
              <w:sz w:val="20"/>
              <w:szCs w:val="20"/>
              <w:lang w:val="en-GB" w:eastAsia="en-GB"/>
            </w:rPr>
          </w:pPr>
          <w:hyperlink w:anchor="_Toc211502277" w:history="1">
            <w:r w:rsidRPr="00CF3C30">
              <w:rPr>
                <w:rStyle w:val="Hyperlink"/>
                <w:sz w:val="20"/>
                <w:szCs w:val="20"/>
              </w:rPr>
              <w:t>8.1.</w:t>
            </w:r>
            <w:r w:rsidRPr="00CF3C30">
              <w:rPr>
                <w:rFonts w:asciiTheme="minorHAnsi" w:hAnsiTheme="minorHAnsi" w:cstheme="minorBidi"/>
                <w:sz w:val="20"/>
                <w:szCs w:val="20"/>
                <w:lang w:val="en-GB" w:eastAsia="en-GB"/>
              </w:rPr>
              <w:tab/>
            </w:r>
            <w:r w:rsidRPr="00CF3C30">
              <w:rPr>
                <w:rStyle w:val="Hyperlink"/>
                <w:sz w:val="20"/>
                <w:szCs w:val="20"/>
              </w:rPr>
              <w:t>Principles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_Toc211502277 \h </w:instrText>
            </w:r>
            <w:r w:rsidRPr="00CF3C30">
              <w:rPr>
                <w:webHidden/>
                <w:sz w:val="20"/>
                <w:szCs w:val="20"/>
              </w:rPr>
            </w:r>
            <w:r w:rsidRPr="00CF3C30">
              <w:rPr>
                <w:webHidden/>
                <w:sz w:val="20"/>
                <w:szCs w:val="20"/>
              </w:rPr>
              <w:fldChar w:fldCharType="separate"/>
            </w:r>
            <w:r w:rsidR="00362ACF">
              <w:rPr>
                <w:webHidden/>
                <w:sz w:val="20"/>
                <w:szCs w:val="20"/>
              </w:rPr>
              <w:t>14</w:t>
            </w:r>
            <w:r w:rsidRPr="00CF3C30">
              <w:rPr>
                <w:webHidden/>
                <w:sz w:val="20"/>
                <w:szCs w:val="20"/>
              </w:rPr>
              <w:fldChar w:fldCharType="end"/>
            </w:r>
          </w:hyperlink>
        </w:p>
        <w:p w14:paraId="16F36D06" w14:textId="18BFF4C3" w:rsidR="00FC197F" w:rsidRPr="00CF3C30" w:rsidRDefault="00FC197F">
          <w:pPr>
            <w:pStyle w:val="TOC3"/>
            <w:rPr>
              <w:rFonts w:asciiTheme="minorHAnsi" w:hAnsiTheme="minorHAnsi" w:cstheme="minorBidi"/>
              <w:sz w:val="20"/>
              <w:szCs w:val="20"/>
              <w:lang w:val="en-GB" w:eastAsia="en-GB"/>
            </w:rPr>
          </w:pPr>
          <w:hyperlink w:anchor="_Toc211502278" w:history="1">
            <w:r w:rsidRPr="00CF3C30">
              <w:rPr>
                <w:rStyle w:val="Hyperlink"/>
                <w:sz w:val="20"/>
                <w:szCs w:val="20"/>
              </w:rPr>
              <w:t>8.2.</w:t>
            </w:r>
            <w:r w:rsidRPr="00CF3C30">
              <w:rPr>
                <w:rFonts w:asciiTheme="minorHAnsi" w:hAnsiTheme="minorHAnsi" w:cstheme="minorBidi"/>
                <w:sz w:val="20"/>
                <w:szCs w:val="20"/>
                <w:lang w:val="en-GB" w:eastAsia="en-GB"/>
              </w:rPr>
              <w:tab/>
            </w:r>
            <w:r w:rsidRPr="00CF3C30">
              <w:rPr>
                <w:rStyle w:val="Hyperlink"/>
                <w:sz w:val="20"/>
                <w:szCs w:val="20"/>
              </w:rPr>
              <w:t>Recovery Planning</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_Toc211502278 \h </w:instrText>
            </w:r>
            <w:r w:rsidRPr="00CF3C30">
              <w:rPr>
                <w:webHidden/>
                <w:sz w:val="20"/>
                <w:szCs w:val="20"/>
              </w:rPr>
            </w:r>
            <w:r w:rsidRPr="00CF3C30">
              <w:rPr>
                <w:webHidden/>
                <w:sz w:val="20"/>
                <w:szCs w:val="20"/>
              </w:rPr>
              <w:fldChar w:fldCharType="separate"/>
            </w:r>
            <w:r w:rsidR="00362ACF">
              <w:rPr>
                <w:webHidden/>
                <w:sz w:val="20"/>
                <w:szCs w:val="20"/>
              </w:rPr>
              <w:t>15</w:t>
            </w:r>
            <w:r w:rsidRPr="00CF3C30">
              <w:rPr>
                <w:webHidden/>
                <w:sz w:val="20"/>
                <w:szCs w:val="20"/>
              </w:rPr>
              <w:fldChar w:fldCharType="end"/>
            </w:r>
          </w:hyperlink>
        </w:p>
        <w:p w14:paraId="13AA3774" w14:textId="63646E89" w:rsidR="00FC197F" w:rsidRPr="00CF3C30" w:rsidRDefault="00FC197F">
          <w:pPr>
            <w:pStyle w:val="TOC3"/>
            <w:rPr>
              <w:rFonts w:asciiTheme="minorHAnsi" w:hAnsiTheme="minorHAnsi" w:cstheme="minorBidi"/>
              <w:sz w:val="20"/>
              <w:szCs w:val="20"/>
              <w:lang w:val="en-GB" w:eastAsia="en-GB"/>
            </w:rPr>
          </w:pPr>
          <w:hyperlink w:anchor="_Toc211502279" w:history="1">
            <w:r w:rsidRPr="00CF3C30">
              <w:rPr>
                <w:rStyle w:val="Hyperlink"/>
                <w:sz w:val="20"/>
                <w:szCs w:val="20"/>
              </w:rPr>
              <w:t>8.3.</w:t>
            </w:r>
            <w:r w:rsidRPr="00CF3C30">
              <w:rPr>
                <w:rFonts w:asciiTheme="minorHAnsi" w:hAnsiTheme="minorHAnsi" w:cstheme="minorBidi"/>
                <w:sz w:val="20"/>
                <w:szCs w:val="20"/>
                <w:lang w:val="en-GB" w:eastAsia="en-GB"/>
              </w:rPr>
              <w:tab/>
            </w:r>
            <w:r w:rsidRPr="00CF3C30">
              <w:rPr>
                <w:rStyle w:val="Hyperlink"/>
                <w:sz w:val="20"/>
                <w:szCs w:val="20"/>
              </w:rPr>
              <w:t>Quality Improvement (QI) Methodology for Flow and Access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_Toc211502279 \h </w:instrText>
            </w:r>
            <w:r w:rsidRPr="00CF3C30">
              <w:rPr>
                <w:webHidden/>
                <w:sz w:val="20"/>
                <w:szCs w:val="20"/>
              </w:rPr>
            </w:r>
            <w:r w:rsidRPr="00CF3C30">
              <w:rPr>
                <w:webHidden/>
                <w:sz w:val="20"/>
                <w:szCs w:val="20"/>
              </w:rPr>
              <w:fldChar w:fldCharType="separate"/>
            </w:r>
            <w:r w:rsidR="00362ACF">
              <w:rPr>
                <w:webHidden/>
                <w:sz w:val="20"/>
                <w:szCs w:val="20"/>
              </w:rPr>
              <w:t>15</w:t>
            </w:r>
            <w:r w:rsidRPr="00CF3C30">
              <w:rPr>
                <w:webHidden/>
                <w:sz w:val="20"/>
                <w:szCs w:val="20"/>
              </w:rPr>
              <w:fldChar w:fldCharType="end"/>
            </w:r>
          </w:hyperlink>
        </w:p>
        <w:p w14:paraId="041E206E" w14:textId="30807662" w:rsidR="00FC197F" w:rsidRPr="00CF3C30" w:rsidRDefault="00FC197F">
          <w:pPr>
            <w:pStyle w:val="TOC3"/>
            <w:rPr>
              <w:rFonts w:asciiTheme="minorHAnsi" w:hAnsiTheme="minorHAnsi" w:cstheme="minorBidi"/>
              <w:sz w:val="20"/>
              <w:szCs w:val="20"/>
              <w:lang w:val="en-GB" w:eastAsia="en-GB"/>
            </w:rPr>
          </w:pPr>
          <w:hyperlink w:anchor="_Toc211502280" w:history="1">
            <w:r w:rsidRPr="00CF3C30">
              <w:rPr>
                <w:rStyle w:val="Hyperlink"/>
                <w:sz w:val="20"/>
                <w:szCs w:val="20"/>
              </w:rPr>
              <w:t>8.4.</w:t>
            </w:r>
            <w:r w:rsidRPr="00CF3C30">
              <w:rPr>
                <w:rFonts w:asciiTheme="minorHAnsi" w:hAnsiTheme="minorHAnsi" w:cstheme="minorBidi"/>
                <w:sz w:val="20"/>
                <w:szCs w:val="20"/>
                <w:lang w:val="en-GB" w:eastAsia="en-GB"/>
              </w:rPr>
              <w:tab/>
            </w:r>
            <w:r w:rsidRPr="00CF3C30">
              <w:rPr>
                <w:rStyle w:val="Hyperlink"/>
                <w:sz w:val="20"/>
                <w:szCs w:val="20"/>
              </w:rPr>
              <w:t>Trustwide Waiting List Monitoring &amp; Governance</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_Toc211502280 \h </w:instrText>
            </w:r>
            <w:r w:rsidRPr="00CF3C30">
              <w:rPr>
                <w:webHidden/>
                <w:sz w:val="20"/>
                <w:szCs w:val="20"/>
              </w:rPr>
            </w:r>
            <w:r w:rsidRPr="00CF3C30">
              <w:rPr>
                <w:webHidden/>
                <w:sz w:val="20"/>
                <w:szCs w:val="20"/>
              </w:rPr>
              <w:fldChar w:fldCharType="separate"/>
            </w:r>
            <w:r w:rsidR="00362ACF">
              <w:rPr>
                <w:webHidden/>
                <w:sz w:val="20"/>
                <w:szCs w:val="20"/>
              </w:rPr>
              <w:t>15</w:t>
            </w:r>
            <w:r w:rsidRPr="00CF3C30">
              <w:rPr>
                <w:webHidden/>
                <w:sz w:val="20"/>
                <w:szCs w:val="20"/>
              </w:rPr>
              <w:fldChar w:fldCharType="end"/>
            </w:r>
          </w:hyperlink>
        </w:p>
        <w:p w14:paraId="12CED3C9" w14:textId="7C9AF7D2" w:rsidR="00FC197F" w:rsidRPr="00CF3C30" w:rsidRDefault="00FC197F">
          <w:pPr>
            <w:pStyle w:val="TOC1"/>
            <w:rPr>
              <w:rFonts w:asciiTheme="minorHAnsi" w:eastAsiaTheme="minorEastAsia" w:hAnsiTheme="minorHAnsi" w:cstheme="minorBidi"/>
              <w:b w:val="0"/>
              <w:sz w:val="20"/>
              <w:szCs w:val="20"/>
              <w:lang w:eastAsia="en-GB"/>
            </w:rPr>
          </w:pPr>
          <w:hyperlink w:anchor="_Toc211502281" w:history="1">
            <w:r w:rsidRPr="00CF3C30">
              <w:rPr>
                <w:rStyle w:val="Hyperlink"/>
                <w:sz w:val="20"/>
                <w:szCs w:val="20"/>
              </w:rPr>
              <w:t>Appendix 1: Summary of Local Policies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_Toc211502281 \h </w:instrText>
            </w:r>
            <w:r w:rsidRPr="00CF3C30">
              <w:rPr>
                <w:webHidden/>
                <w:sz w:val="20"/>
                <w:szCs w:val="20"/>
              </w:rPr>
            </w:r>
            <w:r w:rsidRPr="00CF3C30">
              <w:rPr>
                <w:webHidden/>
                <w:sz w:val="20"/>
                <w:szCs w:val="20"/>
              </w:rPr>
              <w:fldChar w:fldCharType="separate"/>
            </w:r>
            <w:r w:rsidR="00362ACF">
              <w:rPr>
                <w:webHidden/>
                <w:sz w:val="20"/>
                <w:szCs w:val="20"/>
              </w:rPr>
              <w:t>16</w:t>
            </w:r>
            <w:r w:rsidRPr="00CF3C30">
              <w:rPr>
                <w:webHidden/>
                <w:sz w:val="20"/>
                <w:szCs w:val="20"/>
              </w:rPr>
              <w:fldChar w:fldCharType="end"/>
            </w:r>
          </w:hyperlink>
        </w:p>
        <w:p w14:paraId="239F85DC" w14:textId="18EDB3AB" w:rsidR="00FC197F" w:rsidRPr="00CF3C30" w:rsidRDefault="00FC197F">
          <w:pPr>
            <w:pStyle w:val="TOC1"/>
            <w:rPr>
              <w:rFonts w:asciiTheme="minorHAnsi" w:eastAsiaTheme="minorEastAsia" w:hAnsiTheme="minorHAnsi" w:cstheme="minorBidi"/>
              <w:b w:val="0"/>
              <w:sz w:val="20"/>
              <w:szCs w:val="20"/>
              <w:lang w:eastAsia="en-GB"/>
            </w:rPr>
          </w:pPr>
          <w:hyperlink w:anchor="_Toc211502282" w:history="1">
            <w:r w:rsidRPr="00CF3C30">
              <w:rPr>
                <w:rStyle w:val="Hyperlink"/>
                <w:sz w:val="20"/>
                <w:szCs w:val="20"/>
              </w:rPr>
              <w:t>Appendix 2: DNA Standard: Adult Mental Health Services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_Toc211502282 \h </w:instrText>
            </w:r>
            <w:r w:rsidRPr="00CF3C30">
              <w:rPr>
                <w:webHidden/>
                <w:sz w:val="20"/>
                <w:szCs w:val="20"/>
              </w:rPr>
            </w:r>
            <w:r w:rsidRPr="00CF3C30">
              <w:rPr>
                <w:webHidden/>
                <w:sz w:val="20"/>
                <w:szCs w:val="20"/>
              </w:rPr>
              <w:fldChar w:fldCharType="separate"/>
            </w:r>
            <w:r w:rsidR="00362ACF">
              <w:rPr>
                <w:webHidden/>
                <w:sz w:val="20"/>
                <w:szCs w:val="20"/>
              </w:rPr>
              <w:t>18</w:t>
            </w:r>
            <w:r w:rsidRPr="00CF3C30">
              <w:rPr>
                <w:webHidden/>
                <w:sz w:val="20"/>
                <w:szCs w:val="20"/>
              </w:rPr>
              <w:fldChar w:fldCharType="end"/>
            </w:r>
          </w:hyperlink>
        </w:p>
        <w:p w14:paraId="39DF1978" w14:textId="44CB9586" w:rsidR="00FC197F" w:rsidRPr="00CF3C30" w:rsidRDefault="00FC197F">
          <w:pPr>
            <w:pStyle w:val="TOC1"/>
            <w:rPr>
              <w:rFonts w:asciiTheme="minorHAnsi" w:eastAsiaTheme="minorEastAsia" w:hAnsiTheme="minorHAnsi" w:cstheme="minorBidi"/>
              <w:b w:val="0"/>
              <w:sz w:val="20"/>
              <w:szCs w:val="20"/>
              <w:lang w:eastAsia="en-GB"/>
            </w:rPr>
          </w:pPr>
          <w:hyperlink w:anchor="_Toc211502283" w:history="1">
            <w:r w:rsidRPr="00CF3C30">
              <w:rPr>
                <w:rStyle w:val="Hyperlink"/>
                <w:sz w:val="20"/>
                <w:szCs w:val="20"/>
              </w:rPr>
              <w:t>Appendix 3: Access and Waiting Time Standards: Adult Mental Health Services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_Toc211502283 \h </w:instrText>
            </w:r>
            <w:r w:rsidRPr="00CF3C30">
              <w:rPr>
                <w:webHidden/>
                <w:sz w:val="20"/>
                <w:szCs w:val="20"/>
              </w:rPr>
            </w:r>
            <w:r w:rsidRPr="00CF3C30">
              <w:rPr>
                <w:webHidden/>
                <w:sz w:val="20"/>
                <w:szCs w:val="20"/>
              </w:rPr>
              <w:fldChar w:fldCharType="separate"/>
            </w:r>
            <w:r w:rsidR="00362ACF">
              <w:rPr>
                <w:webHidden/>
                <w:sz w:val="20"/>
                <w:szCs w:val="20"/>
              </w:rPr>
              <w:t>19</w:t>
            </w:r>
            <w:r w:rsidRPr="00CF3C30">
              <w:rPr>
                <w:webHidden/>
                <w:sz w:val="20"/>
                <w:szCs w:val="20"/>
              </w:rPr>
              <w:fldChar w:fldCharType="end"/>
            </w:r>
          </w:hyperlink>
        </w:p>
        <w:p w14:paraId="3EE0F48C" w14:textId="529811C4" w:rsidR="00FC197F" w:rsidRPr="00CF3C30" w:rsidRDefault="00FC197F">
          <w:pPr>
            <w:pStyle w:val="TOC1"/>
            <w:rPr>
              <w:rFonts w:asciiTheme="minorHAnsi" w:eastAsiaTheme="minorEastAsia" w:hAnsiTheme="minorHAnsi" w:cstheme="minorBidi"/>
              <w:b w:val="0"/>
              <w:sz w:val="20"/>
              <w:szCs w:val="20"/>
              <w:lang w:eastAsia="en-GB"/>
            </w:rPr>
          </w:pPr>
          <w:hyperlink w:anchor="_Toc211502284" w:history="1">
            <w:r w:rsidRPr="00CF3C30">
              <w:rPr>
                <w:rStyle w:val="Hyperlink"/>
                <w:sz w:val="20"/>
                <w:szCs w:val="20"/>
              </w:rPr>
              <w:t>Appendix 4: Access and Waiting Time Standards: Community Health Services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_Toc211502284 \h </w:instrText>
            </w:r>
            <w:r w:rsidRPr="00CF3C30">
              <w:rPr>
                <w:webHidden/>
                <w:sz w:val="20"/>
                <w:szCs w:val="20"/>
              </w:rPr>
            </w:r>
            <w:r w:rsidRPr="00CF3C30">
              <w:rPr>
                <w:webHidden/>
                <w:sz w:val="20"/>
                <w:szCs w:val="20"/>
              </w:rPr>
              <w:fldChar w:fldCharType="separate"/>
            </w:r>
            <w:r w:rsidR="00362ACF">
              <w:rPr>
                <w:webHidden/>
                <w:sz w:val="20"/>
                <w:szCs w:val="20"/>
              </w:rPr>
              <w:t>22</w:t>
            </w:r>
            <w:r w:rsidRPr="00CF3C30">
              <w:rPr>
                <w:webHidden/>
                <w:sz w:val="20"/>
                <w:szCs w:val="20"/>
              </w:rPr>
              <w:fldChar w:fldCharType="end"/>
            </w:r>
          </w:hyperlink>
        </w:p>
        <w:p w14:paraId="57128489" w14:textId="0DFDE0F1" w:rsidR="00FC197F" w:rsidRPr="00CF3C30" w:rsidRDefault="00FC197F">
          <w:pPr>
            <w:pStyle w:val="TOC1"/>
            <w:rPr>
              <w:rFonts w:asciiTheme="minorHAnsi" w:eastAsiaTheme="minorEastAsia" w:hAnsiTheme="minorHAnsi" w:cstheme="minorBidi"/>
              <w:b w:val="0"/>
              <w:sz w:val="20"/>
              <w:szCs w:val="20"/>
              <w:lang w:eastAsia="en-GB"/>
            </w:rPr>
          </w:pPr>
          <w:hyperlink w:anchor="_Toc211502285" w:history="1">
            <w:r w:rsidRPr="00CF3C30">
              <w:rPr>
                <w:rStyle w:val="Hyperlink"/>
                <w:sz w:val="20"/>
                <w:szCs w:val="20"/>
              </w:rPr>
              <w:t>Appendix 5: Access and Waiting Time Standards: Child and Adolescent Mental Health Services (CAMHS)</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_Toc211502285 \h </w:instrText>
            </w:r>
            <w:r w:rsidRPr="00CF3C30">
              <w:rPr>
                <w:webHidden/>
                <w:sz w:val="20"/>
                <w:szCs w:val="20"/>
              </w:rPr>
            </w:r>
            <w:r w:rsidRPr="00CF3C30">
              <w:rPr>
                <w:webHidden/>
                <w:sz w:val="20"/>
                <w:szCs w:val="20"/>
              </w:rPr>
              <w:fldChar w:fldCharType="separate"/>
            </w:r>
            <w:r w:rsidR="00362ACF">
              <w:rPr>
                <w:webHidden/>
                <w:sz w:val="20"/>
                <w:szCs w:val="20"/>
              </w:rPr>
              <w:t>24</w:t>
            </w:r>
            <w:r w:rsidRPr="00CF3C30">
              <w:rPr>
                <w:webHidden/>
                <w:sz w:val="20"/>
                <w:szCs w:val="20"/>
              </w:rPr>
              <w:fldChar w:fldCharType="end"/>
            </w:r>
          </w:hyperlink>
        </w:p>
        <w:p w14:paraId="7C736843" w14:textId="4847CB67" w:rsidR="00FC197F" w:rsidRPr="00CF3C30" w:rsidRDefault="00FC197F">
          <w:pPr>
            <w:pStyle w:val="TOC1"/>
            <w:rPr>
              <w:rFonts w:asciiTheme="minorHAnsi" w:eastAsiaTheme="minorEastAsia" w:hAnsiTheme="minorHAnsi" w:cstheme="minorBidi"/>
              <w:b w:val="0"/>
              <w:sz w:val="20"/>
              <w:szCs w:val="20"/>
              <w:lang w:eastAsia="en-GB"/>
            </w:rPr>
          </w:pPr>
          <w:hyperlink w:anchor="_Toc211502286" w:history="1">
            <w:r w:rsidRPr="00CF3C30">
              <w:rPr>
                <w:rStyle w:val="Hyperlink"/>
                <w:sz w:val="20"/>
                <w:szCs w:val="20"/>
              </w:rPr>
              <w:t>Appendix 6: Access and Waiting Time Standards: Talking Therapies for Anxiety and Depression</w:t>
            </w:r>
            <w:r w:rsidRPr="00CF3C30">
              <w:rPr>
                <w:webHidden/>
                <w:sz w:val="20"/>
                <w:szCs w:val="20"/>
              </w:rPr>
              <w:tab/>
            </w:r>
            <w:r w:rsidRPr="00CF3C30">
              <w:rPr>
                <w:webHidden/>
                <w:sz w:val="20"/>
                <w:szCs w:val="20"/>
              </w:rPr>
              <w:fldChar w:fldCharType="begin"/>
            </w:r>
            <w:r w:rsidRPr="00CF3C30">
              <w:rPr>
                <w:webHidden/>
                <w:sz w:val="20"/>
                <w:szCs w:val="20"/>
              </w:rPr>
              <w:instrText xml:space="preserve"> PAGEREF _Toc211502286 \h </w:instrText>
            </w:r>
            <w:r w:rsidRPr="00CF3C30">
              <w:rPr>
                <w:webHidden/>
                <w:sz w:val="20"/>
                <w:szCs w:val="20"/>
              </w:rPr>
            </w:r>
            <w:r w:rsidRPr="00CF3C30">
              <w:rPr>
                <w:webHidden/>
                <w:sz w:val="20"/>
                <w:szCs w:val="20"/>
              </w:rPr>
              <w:fldChar w:fldCharType="separate"/>
            </w:r>
            <w:r w:rsidR="00362ACF">
              <w:rPr>
                <w:webHidden/>
                <w:sz w:val="20"/>
                <w:szCs w:val="20"/>
              </w:rPr>
              <w:t>28</w:t>
            </w:r>
            <w:r w:rsidRPr="00CF3C30">
              <w:rPr>
                <w:webHidden/>
                <w:sz w:val="20"/>
                <w:szCs w:val="20"/>
              </w:rPr>
              <w:fldChar w:fldCharType="end"/>
            </w:r>
          </w:hyperlink>
        </w:p>
        <w:p w14:paraId="2B9D1255" w14:textId="77777777" w:rsidR="00FC197F" w:rsidRDefault="009C20C9">
          <w:pPr>
            <w:rPr>
              <w:b/>
              <w:bCs/>
              <w:noProof/>
            </w:rPr>
          </w:pPr>
          <w:r w:rsidRPr="00CF3C30">
            <w:rPr>
              <w:b/>
              <w:bCs/>
              <w:noProof/>
              <w:sz w:val="20"/>
              <w:szCs w:val="22"/>
            </w:rPr>
            <w:lastRenderedPageBreak/>
            <w:fldChar w:fldCharType="end"/>
          </w:r>
        </w:p>
        <w:p w14:paraId="5BE5DE17" w14:textId="77777777" w:rsidR="00FC197F" w:rsidRDefault="00FC197F">
          <w:pPr>
            <w:rPr>
              <w:b/>
              <w:bCs/>
              <w:noProof/>
            </w:rPr>
          </w:pPr>
        </w:p>
        <w:p w14:paraId="38A5D167" w14:textId="77777777" w:rsidR="00FC197F" w:rsidRDefault="00FC197F">
          <w:pPr>
            <w:rPr>
              <w:b/>
              <w:bCs/>
              <w:noProof/>
            </w:rPr>
          </w:pPr>
        </w:p>
        <w:p w14:paraId="49F153EA" w14:textId="77777777" w:rsidR="00FC197F" w:rsidRDefault="00FC197F">
          <w:pPr>
            <w:rPr>
              <w:b/>
              <w:bCs/>
              <w:noProof/>
            </w:rPr>
          </w:pPr>
        </w:p>
        <w:p w14:paraId="2E611998" w14:textId="77777777" w:rsidR="00FC197F" w:rsidRDefault="00FC197F">
          <w:pPr>
            <w:rPr>
              <w:b/>
              <w:bCs/>
              <w:noProof/>
            </w:rPr>
          </w:pPr>
        </w:p>
        <w:p w14:paraId="75C2A790" w14:textId="6FE13953" w:rsidR="009C20C9" w:rsidRDefault="001553E7"/>
      </w:sdtContent>
    </w:sdt>
    <w:p w14:paraId="150149F1" w14:textId="77777777" w:rsidR="00C13F16" w:rsidRDefault="00C13F16" w:rsidP="00C13F16">
      <w:pPr>
        <w:pStyle w:val="Heading2"/>
        <w:numPr>
          <w:ilvl w:val="0"/>
          <w:numId w:val="2"/>
        </w:numPr>
        <w:rPr>
          <w:rFonts w:ascii="Arial" w:hAnsi="Arial" w:cs="Arial"/>
          <w:b/>
          <w:color w:val="auto"/>
          <w:sz w:val="24"/>
        </w:rPr>
      </w:pPr>
      <w:bookmarkStart w:id="1" w:name="_Toc211502252"/>
      <w:r w:rsidRPr="00C13F16">
        <w:rPr>
          <w:rFonts w:ascii="Arial" w:hAnsi="Arial" w:cs="Arial"/>
          <w:b/>
          <w:color w:val="auto"/>
          <w:sz w:val="24"/>
        </w:rPr>
        <w:t>Executive Summary</w:t>
      </w:r>
      <w:bookmarkEnd w:id="1"/>
      <w:bookmarkEnd w:id="0"/>
    </w:p>
    <w:p w14:paraId="6D7E5307" w14:textId="77777777" w:rsidR="00C13F16" w:rsidRPr="00C13F16" w:rsidRDefault="00C13F16" w:rsidP="00C13F16"/>
    <w:p w14:paraId="22442164" w14:textId="77777777" w:rsidR="00C13F16" w:rsidRDefault="00C13F16" w:rsidP="00C13F16"/>
    <w:p w14:paraId="2AC1B7E5" w14:textId="57DB5250" w:rsidR="00C13F16" w:rsidRDefault="00C13F16" w:rsidP="00E07899">
      <w:pPr>
        <w:jc w:val="both"/>
      </w:pPr>
      <w:r>
        <w:t xml:space="preserve">This </w:t>
      </w:r>
      <w:r w:rsidR="00CF3C30">
        <w:t>Trust wide</w:t>
      </w:r>
      <w:r>
        <w:t xml:space="preserve"> Patient Access Policy sets out East London NHS Foundation Trust’s approach to managing patient access, waiting lists, and non-attendance across Community Health and Mental Health Services. Developed in consultation with operational and performance leads and drawing upon national guidance and leading practices from King’s College Hospital and UHCW, this policy aims to ensure fair, consistent, and timely access to care.</w:t>
      </w:r>
    </w:p>
    <w:p w14:paraId="64B8995E" w14:textId="77777777" w:rsidR="00E07899" w:rsidRDefault="00E07899" w:rsidP="00E07899">
      <w:pPr>
        <w:jc w:val="both"/>
      </w:pPr>
    </w:p>
    <w:p w14:paraId="18E08870" w14:textId="77777777" w:rsidR="00C13F16" w:rsidRDefault="00C13F16" w:rsidP="00E07899">
      <w:pPr>
        <w:jc w:val="both"/>
      </w:pPr>
      <w:r>
        <w:t xml:space="preserve">The policy is underpinned by the principles of the NHS Constitution, the 18-week Referral to Treatment (RTT) standard, and the emerging 4-week mental health waiting time standard. It defines responsibilities and expectations for staff and patients, and provides a framework for how services manage referrals, appointment scheduling, cancellations, and Did Not Attends (DNAs)/Was Not </w:t>
      </w:r>
      <w:r w:rsidR="00E07899">
        <w:t>Brought</w:t>
      </w:r>
      <w:r>
        <w:t xml:space="preserve"> (WNBs).</w:t>
      </w:r>
    </w:p>
    <w:p w14:paraId="78DEE9A1" w14:textId="77777777" w:rsidR="00E07899" w:rsidRDefault="00E07899" w:rsidP="00E07899">
      <w:pPr>
        <w:jc w:val="both"/>
      </w:pPr>
    </w:p>
    <w:p w14:paraId="1AB5C77E" w14:textId="77777777" w:rsidR="00E07899" w:rsidRDefault="00E07899" w:rsidP="00E07899">
      <w:pPr>
        <w:jc w:val="both"/>
      </w:pPr>
    </w:p>
    <w:p w14:paraId="4AB2E5F2" w14:textId="77777777" w:rsidR="00C13F16" w:rsidRPr="00E07899" w:rsidRDefault="00C13F16" w:rsidP="00E07899">
      <w:pPr>
        <w:jc w:val="both"/>
        <w:rPr>
          <w:i/>
        </w:rPr>
      </w:pPr>
      <w:r w:rsidRPr="00E07899">
        <w:rPr>
          <w:i/>
        </w:rPr>
        <w:t>Key features include:</w:t>
      </w:r>
    </w:p>
    <w:p w14:paraId="4C2C3F18" w14:textId="77777777" w:rsidR="00E07899" w:rsidRDefault="00E07899" w:rsidP="00E07899">
      <w:pPr>
        <w:jc w:val="both"/>
      </w:pPr>
    </w:p>
    <w:p w14:paraId="587D4ED0" w14:textId="77777777" w:rsidR="00C13F16" w:rsidRDefault="00C13F16" w:rsidP="00E07899">
      <w:pPr>
        <w:pStyle w:val="ListParagraph"/>
        <w:numPr>
          <w:ilvl w:val="0"/>
          <w:numId w:val="4"/>
        </w:numPr>
      </w:pPr>
      <w:r>
        <w:t xml:space="preserve">A unified access model for all ELFT services including Community Health Services, SCYPS, Adult Mental Health Services, CAMHS, Learning Disabilities and Neurodevelopmental Services. </w:t>
      </w:r>
    </w:p>
    <w:p w14:paraId="5A456C42" w14:textId="77777777" w:rsidR="00E07899" w:rsidRDefault="00E07899" w:rsidP="00E07899">
      <w:pPr>
        <w:pStyle w:val="ListParagraph"/>
        <w:ind w:left="1080"/>
      </w:pPr>
    </w:p>
    <w:p w14:paraId="345712FE" w14:textId="77777777" w:rsidR="00C13F16" w:rsidRDefault="00C13F16" w:rsidP="00E07899">
      <w:pPr>
        <w:pStyle w:val="ListParagraph"/>
        <w:numPr>
          <w:ilvl w:val="0"/>
          <w:numId w:val="4"/>
        </w:numPr>
      </w:pPr>
      <w:r>
        <w:t>A clear explanation of clock start and stop rules under both RTT and mental health standards.</w:t>
      </w:r>
    </w:p>
    <w:p w14:paraId="0B806D26" w14:textId="77777777" w:rsidR="00E07899" w:rsidRDefault="00E07899" w:rsidP="00E07899">
      <w:pPr>
        <w:pStyle w:val="ListParagraph"/>
      </w:pPr>
    </w:p>
    <w:p w14:paraId="58E7FA3C" w14:textId="31A6B684" w:rsidR="00C13F16" w:rsidRDefault="00C13F16" w:rsidP="00E07899">
      <w:pPr>
        <w:pStyle w:val="ListParagraph"/>
        <w:numPr>
          <w:ilvl w:val="0"/>
          <w:numId w:val="4"/>
        </w:numPr>
      </w:pPr>
      <w:r>
        <w:t>Risk-</w:t>
      </w:r>
      <w:r w:rsidR="000C0892">
        <w:t>stratified</w:t>
      </w:r>
      <w:r>
        <w:t>, patient-centred guidance for managing DNAs and cancellations.</w:t>
      </w:r>
    </w:p>
    <w:p w14:paraId="5677A8D0" w14:textId="77777777" w:rsidR="00E07899" w:rsidRDefault="00E07899" w:rsidP="00E07899">
      <w:pPr>
        <w:pStyle w:val="ListParagraph"/>
      </w:pPr>
    </w:p>
    <w:p w14:paraId="4794054F" w14:textId="77777777" w:rsidR="00C13F16" w:rsidRDefault="00C13F16" w:rsidP="00E07899">
      <w:pPr>
        <w:pStyle w:val="ListParagraph"/>
        <w:numPr>
          <w:ilvl w:val="0"/>
          <w:numId w:val="4"/>
        </w:numPr>
      </w:pPr>
      <w:r>
        <w:t>Strengthened expectations for referral vetting, safeguarding, and outcome recording.</w:t>
      </w:r>
    </w:p>
    <w:p w14:paraId="149C880F" w14:textId="77777777" w:rsidR="00E07899" w:rsidRDefault="00E07899" w:rsidP="00E07899">
      <w:pPr>
        <w:pStyle w:val="ListParagraph"/>
        <w:ind w:left="1080"/>
      </w:pPr>
    </w:p>
    <w:p w14:paraId="541C718D" w14:textId="77777777" w:rsidR="00C13F16" w:rsidRDefault="00C13F16" w:rsidP="00E07899">
      <w:pPr>
        <w:pStyle w:val="ListParagraph"/>
        <w:numPr>
          <w:ilvl w:val="0"/>
          <w:numId w:val="4"/>
        </w:numPr>
      </w:pPr>
      <w:r>
        <w:t>Monitoring requirements to ensure data quality, performance</w:t>
      </w:r>
      <w:r w:rsidR="00E07899">
        <w:t xml:space="preserve"> visibility, and accountability</w:t>
      </w:r>
    </w:p>
    <w:p w14:paraId="623D20B6" w14:textId="77777777" w:rsidR="00E07899" w:rsidRDefault="00E07899" w:rsidP="00E07899">
      <w:pPr>
        <w:jc w:val="both"/>
      </w:pPr>
    </w:p>
    <w:p w14:paraId="5E1CD4EF" w14:textId="77777777" w:rsidR="00C13F16" w:rsidRDefault="00C13F16" w:rsidP="00E07899">
      <w:pPr>
        <w:jc w:val="both"/>
      </w:pPr>
      <w:r>
        <w:t>This policy promotes timely intervention, equitable treatment, and continuous improvement in access management, supporting the delivery of high-quality, person-centred care across all ELFT services.</w:t>
      </w:r>
    </w:p>
    <w:p w14:paraId="1321C778" w14:textId="77777777" w:rsidR="00E07899" w:rsidRDefault="00E07899" w:rsidP="00E07899">
      <w:pPr>
        <w:jc w:val="both"/>
      </w:pPr>
    </w:p>
    <w:p w14:paraId="11EDF6A0" w14:textId="77777777" w:rsidR="00E07899" w:rsidRDefault="00E07899" w:rsidP="00E07899">
      <w:pPr>
        <w:jc w:val="both"/>
      </w:pPr>
    </w:p>
    <w:p w14:paraId="711B1C28" w14:textId="77777777" w:rsidR="00E07899" w:rsidRDefault="00E07899" w:rsidP="00E07899">
      <w:pPr>
        <w:jc w:val="both"/>
      </w:pPr>
    </w:p>
    <w:p w14:paraId="38142809" w14:textId="77777777" w:rsidR="00E07899" w:rsidRDefault="00E07899" w:rsidP="00E07899">
      <w:pPr>
        <w:jc w:val="both"/>
      </w:pPr>
    </w:p>
    <w:p w14:paraId="7850C4B2" w14:textId="77777777" w:rsidR="00E07899" w:rsidRDefault="00E07899" w:rsidP="00E07899">
      <w:pPr>
        <w:jc w:val="both"/>
      </w:pPr>
    </w:p>
    <w:p w14:paraId="4D96E24A" w14:textId="77777777" w:rsidR="00E07899" w:rsidRDefault="00E07899" w:rsidP="00E07899">
      <w:pPr>
        <w:jc w:val="both"/>
      </w:pPr>
    </w:p>
    <w:p w14:paraId="30741404" w14:textId="77777777" w:rsidR="00E07899" w:rsidRDefault="00E07899" w:rsidP="00E07899">
      <w:pPr>
        <w:jc w:val="both"/>
      </w:pPr>
    </w:p>
    <w:p w14:paraId="70309CD7" w14:textId="77777777" w:rsidR="00E07899" w:rsidRDefault="00E07899" w:rsidP="00E07899">
      <w:pPr>
        <w:jc w:val="both"/>
      </w:pPr>
    </w:p>
    <w:p w14:paraId="13FDD793" w14:textId="77777777" w:rsidR="00E07899" w:rsidRDefault="00E07899" w:rsidP="00E07899">
      <w:pPr>
        <w:jc w:val="both"/>
      </w:pPr>
    </w:p>
    <w:p w14:paraId="0C43D26F" w14:textId="77777777" w:rsidR="00E07899" w:rsidRDefault="00E07899" w:rsidP="00E07899">
      <w:pPr>
        <w:jc w:val="both"/>
      </w:pPr>
    </w:p>
    <w:p w14:paraId="5541CBDA" w14:textId="77777777" w:rsidR="00CF3C30" w:rsidRDefault="00CF3C30" w:rsidP="00E07899">
      <w:pPr>
        <w:jc w:val="both"/>
      </w:pPr>
    </w:p>
    <w:p w14:paraId="34E85E6D" w14:textId="77777777" w:rsidR="00CF3C30" w:rsidRDefault="00CF3C30" w:rsidP="00E07899">
      <w:pPr>
        <w:jc w:val="both"/>
      </w:pPr>
    </w:p>
    <w:p w14:paraId="787D5645" w14:textId="77777777" w:rsidR="00CF3C30" w:rsidRDefault="00CF3C30" w:rsidP="00E07899">
      <w:pPr>
        <w:jc w:val="both"/>
      </w:pPr>
    </w:p>
    <w:p w14:paraId="47302C65" w14:textId="77777777" w:rsidR="00E07899" w:rsidRDefault="00E07899" w:rsidP="00E07899">
      <w:pPr>
        <w:pStyle w:val="Heading1"/>
        <w:numPr>
          <w:ilvl w:val="0"/>
          <w:numId w:val="2"/>
        </w:numPr>
        <w:rPr>
          <w:rFonts w:ascii="Arial" w:hAnsi="Arial" w:cs="Arial"/>
          <w:b/>
          <w:color w:val="auto"/>
          <w:sz w:val="24"/>
          <w:szCs w:val="24"/>
        </w:rPr>
      </w:pPr>
      <w:bookmarkStart w:id="2" w:name="_Toc209002693"/>
      <w:bookmarkStart w:id="3" w:name="_Toc211502253"/>
      <w:r w:rsidRPr="00E07899">
        <w:rPr>
          <w:rFonts w:ascii="Arial" w:hAnsi="Arial" w:cs="Arial"/>
          <w:b/>
          <w:color w:val="auto"/>
          <w:sz w:val="24"/>
          <w:szCs w:val="24"/>
        </w:rPr>
        <w:t>Introduction</w:t>
      </w:r>
      <w:bookmarkEnd w:id="2"/>
      <w:bookmarkEnd w:id="3"/>
    </w:p>
    <w:p w14:paraId="1E23F084" w14:textId="77777777" w:rsidR="00E07899" w:rsidRDefault="00E07899" w:rsidP="00E07899">
      <w:pPr>
        <w:jc w:val="both"/>
        <w:rPr>
          <w:lang w:eastAsia="en-US"/>
        </w:rPr>
      </w:pPr>
    </w:p>
    <w:p w14:paraId="63CEB8EA" w14:textId="6BABC8CB" w:rsidR="00E07899" w:rsidRDefault="00E07899" w:rsidP="00E07899">
      <w:pPr>
        <w:jc w:val="both"/>
        <w:rPr>
          <w:lang w:eastAsia="en-US"/>
        </w:rPr>
      </w:pPr>
      <w:r w:rsidRPr="00E07899">
        <w:rPr>
          <w:lang w:eastAsia="en-US"/>
        </w:rPr>
        <w:t xml:space="preserve">East London NHS Foundation Trust (ELFT) is committed to delivering equitable, timely, and person-centred access to care. This </w:t>
      </w:r>
      <w:r w:rsidR="00CF3C30" w:rsidRPr="00E07899">
        <w:rPr>
          <w:lang w:eastAsia="en-US"/>
        </w:rPr>
        <w:t>Trust wide</w:t>
      </w:r>
      <w:r w:rsidRPr="00E07899">
        <w:rPr>
          <w:lang w:eastAsia="en-US"/>
        </w:rPr>
        <w:t xml:space="preserve"> policy provides a unified framework for how patient access, waiting lists, and appointment non-attendance (DNA) are to be managed consistently across all ELFT services—including Community Health Services (CHS), Mental Health Services, CAMHS, and Learning Disabilities.</w:t>
      </w:r>
    </w:p>
    <w:p w14:paraId="0C98D55C" w14:textId="77777777" w:rsidR="00E07899" w:rsidRDefault="00E07899" w:rsidP="00E07899">
      <w:pPr>
        <w:jc w:val="both"/>
        <w:rPr>
          <w:lang w:eastAsia="en-US"/>
        </w:rPr>
      </w:pPr>
    </w:p>
    <w:p w14:paraId="5E3DD08F" w14:textId="77777777" w:rsidR="00E07899" w:rsidRDefault="00E07899" w:rsidP="00E07899">
      <w:pPr>
        <w:jc w:val="both"/>
        <w:rPr>
          <w:lang w:eastAsia="en-US"/>
        </w:rPr>
      </w:pPr>
      <w:r w:rsidRPr="00E07899">
        <w:rPr>
          <w:lang w:eastAsia="en-US"/>
        </w:rPr>
        <w:t>This document has been developed collaboratively with operational and performance leads, drawing on national guidance from NHS England, statutory principles in the NHS Constitution, and local insights from service teams. It is designed to uphold patient rights while enabling safe, effective, and transparent management of clinical pathways.</w:t>
      </w:r>
    </w:p>
    <w:p w14:paraId="0476E940" w14:textId="77777777" w:rsidR="00E07899" w:rsidRDefault="00E07899" w:rsidP="00E07899">
      <w:pPr>
        <w:rPr>
          <w:lang w:eastAsia="en-US"/>
        </w:rPr>
      </w:pPr>
    </w:p>
    <w:p w14:paraId="60DEF3EC" w14:textId="7FC02A43" w:rsidR="00E07899" w:rsidRDefault="00E07899" w:rsidP="00E07899">
      <w:pPr>
        <w:jc w:val="both"/>
        <w:rPr>
          <w:lang w:eastAsia="en-US"/>
        </w:rPr>
      </w:pPr>
      <w:r w:rsidRPr="00E07899">
        <w:rPr>
          <w:lang w:eastAsia="en-US"/>
        </w:rPr>
        <w:t xml:space="preserve">It also aligns with the NHS </w:t>
      </w:r>
      <w:r w:rsidR="00CF3C30">
        <w:rPr>
          <w:lang w:eastAsia="en-US"/>
        </w:rPr>
        <w:t>10-year</w:t>
      </w:r>
      <w:r w:rsidR="00E04CF5">
        <w:rPr>
          <w:lang w:eastAsia="en-US"/>
        </w:rPr>
        <w:t xml:space="preserve"> plan </w:t>
      </w:r>
      <w:r w:rsidRPr="00E07899">
        <w:rPr>
          <w:lang w:eastAsia="en-US"/>
        </w:rPr>
        <w:t>and the transformation goals outlined in the Community Mental Health Framework for Adults and Older Adults, which includes the development of a new four-week waiting time standard for non-urgent referrals</w:t>
      </w:r>
    </w:p>
    <w:p w14:paraId="64407CFF" w14:textId="77777777" w:rsidR="00E07899" w:rsidRDefault="00E07899" w:rsidP="00E07899">
      <w:pPr>
        <w:rPr>
          <w:lang w:eastAsia="en-US"/>
        </w:rPr>
      </w:pPr>
    </w:p>
    <w:p w14:paraId="190841CB" w14:textId="77777777" w:rsidR="00E07899" w:rsidRDefault="00E07899" w:rsidP="00E07899">
      <w:pPr>
        <w:rPr>
          <w:lang w:eastAsia="en-US"/>
        </w:rPr>
      </w:pPr>
      <w:r>
        <w:rPr>
          <w:lang w:eastAsia="en-US"/>
        </w:rPr>
        <w:t>This policy reinforces the Trust’s commitment to managing waiting lists not only efficiently, but also with quality and safety at the forefront, ensuring that all decisions reflect clinical risk, patient experience, and best practice standards.</w:t>
      </w:r>
    </w:p>
    <w:p w14:paraId="6CD0C596" w14:textId="77777777" w:rsidR="00E07899" w:rsidRDefault="00E07899" w:rsidP="00E07899">
      <w:pPr>
        <w:rPr>
          <w:lang w:eastAsia="en-US"/>
        </w:rPr>
      </w:pPr>
    </w:p>
    <w:p w14:paraId="2038F837" w14:textId="77777777" w:rsidR="00E07899" w:rsidRDefault="00E07899" w:rsidP="00E07899">
      <w:pPr>
        <w:rPr>
          <w:lang w:eastAsia="en-US"/>
        </w:rPr>
      </w:pPr>
      <w:r>
        <w:rPr>
          <w:lang w:eastAsia="en-US"/>
        </w:rPr>
        <w:t>It reflects best practice principles around minimising harm due to delays and incorporates quality measures to monitor not only waiting times but also patient safety and risks.</w:t>
      </w:r>
    </w:p>
    <w:p w14:paraId="44971F09" w14:textId="77777777" w:rsidR="00E07899" w:rsidRDefault="00E07899" w:rsidP="00E07899">
      <w:pPr>
        <w:rPr>
          <w:lang w:eastAsia="en-US"/>
        </w:rPr>
      </w:pPr>
    </w:p>
    <w:p w14:paraId="748E79ED" w14:textId="77777777" w:rsidR="00E07899" w:rsidRDefault="00E07899" w:rsidP="00E07899">
      <w:pPr>
        <w:rPr>
          <w:lang w:eastAsia="en-US"/>
        </w:rPr>
      </w:pPr>
      <w:r>
        <w:rPr>
          <w:lang w:eastAsia="en-US"/>
        </w:rPr>
        <w:t>It supports a whole-system approach, ensuring that referrals, transitions, cancellations, and non-attendance are handled consistently and equitably.</w:t>
      </w:r>
    </w:p>
    <w:p w14:paraId="18E87B40" w14:textId="77777777" w:rsidR="00760923" w:rsidRDefault="00760923" w:rsidP="00E07899">
      <w:pPr>
        <w:rPr>
          <w:lang w:eastAsia="en-US"/>
        </w:rPr>
      </w:pPr>
    </w:p>
    <w:p w14:paraId="29CD0D5C" w14:textId="77777777" w:rsidR="00E07899" w:rsidRPr="00760923" w:rsidRDefault="00E07899" w:rsidP="00760923">
      <w:pPr>
        <w:pStyle w:val="Heading3"/>
        <w:numPr>
          <w:ilvl w:val="1"/>
          <w:numId w:val="2"/>
        </w:numPr>
        <w:rPr>
          <w:rFonts w:ascii="Arial" w:hAnsi="Arial" w:cs="Arial"/>
          <w:b/>
          <w:color w:val="auto"/>
        </w:rPr>
      </w:pPr>
      <w:bookmarkStart w:id="4" w:name="_Toc211502254"/>
      <w:r w:rsidRPr="00760923">
        <w:rPr>
          <w:rFonts w:ascii="Arial" w:hAnsi="Arial" w:cs="Arial"/>
          <w:b/>
          <w:color w:val="auto"/>
        </w:rPr>
        <w:t>Policy Purpose</w:t>
      </w:r>
      <w:bookmarkEnd w:id="4"/>
    </w:p>
    <w:p w14:paraId="3A86445C" w14:textId="77777777" w:rsidR="00E07899" w:rsidRDefault="00E07899" w:rsidP="00E07899">
      <w:pPr>
        <w:rPr>
          <w:lang w:eastAsia="en-US"/>
        </w:rPr>
      </w:pPr>
    </w:p>
    <w:p w14:paraId="4BF95144" w14:textId="77777777" w:rsidR="00E07899" w:rsidRDefault="00E07899" w:rsidP="00E07899">
      <w:pPr>
        <w:jc w:val="both"/>
        <w:rPr>
          <w:lang w:eastAsia="en-US"/>
        </w:rPr>
      </w:pPr>
      <w:r>
        <w:rPr>
          <w:lang w:eastAsia="en-US"/>
        </w:rPr>
        <w:t>This policy aims to standardise and support consistent access to outpatient care, diagnostics, and elective inpatient or day case treatment across ELFT. It ensures:</w:t>
      </w:r>
    </w:p>
    <w:p w14:paraId="36AF815C" w14:textId="77777777" w:rsidR="00E07899" w:rsidRDefault="00E07899" w:rsidP="00E07899">
      <w:pPr>
        <w:jc w:val="both"/>
        <w:rPr>
          <w:lang w:eastAsia="en-US"/>
        </w:rPr>
      </w:pPr>
    </w:p>
    <w:p w14:paraId="0602703B" w14:textId="77777777" w:rsidR="00E07899" w:rsidRDefault="00E07899" w:rsidP="00E07899">
      <w:pPr>
        <w:pStyle w:val="ListParagraph"/>
        <w:numPr>
          <w:ilvl w:val="0"/>
          <w:numId w:val="4"/>
        </w:numPr>
        <w:jc w:val="both"/>
        <w:rPr>
          <w:lang w:eastAsia="en-US"/>
        </w:rPr>
      </w:pPr>
      <w:r>
        <w:rPr>
          <w:lang w:eastAsia="en-US"/>
        </w:rPr>
        <w:t>That all patients are treated fairly and without delay.</w:t>
      </w:r>
    </w:p>
    <w:p w14:paraId="269837B0" w14:textId="77777777" w:rsidR="00E07899" w:rsidRDefault="00E07899" w:rsidP="00E07899">
      <w:pPr>
        <w:pStyle w:val="ListParagraph"/>
        <w:numPr>
          <w:ilvl w:val="0"/>
          <w:numId w:val="4"/>
        </w:numPr>
        <w:jc w:val="both"/>
        <w:rPr>
          <w:lang w:eastAsia="en-US"/>
        </w:rPr>
      </w:pPr>
      <w:r>
        <w:rPr>
          <w:lang w:eastAsia="en-US"/>
        </w:rPr>
        <w:t>That national waiting time standards, such as the 18-week RTT target, are met.</w:t>
      </w:r>
    </w:p>
    <w:p w14:paraId="389D33E1" w14:textId="77777777" w:rsidR="00E07899" w:rsidRDefault="00E07899" w:rsidP="00E07899">
      <w:pPr>
        <w:pStyle w:val="ListParagraph"/>
        <w:numPr>
          <w:ilvl w:val="0"/>
          <w:numId w:val="4"/>
        </w:numPr>
        <w:jc w:val="both"/>
        <w:rPr>
          <w:lang w:eastAsia="en-US"/>
        </w:rPr>
      </w:pPr>
      <w:r>
        <w:rPr>
          <w:lang w:eastAsia="en-US"/>
        </w:rPr>
        <w:t>That staff are clear on the expected processes and responsibilities in managing waiting lists, DNA follow-up, and booking protocols.</w:t>
      </w:r>
    </w:p>
    <w:p w14:paraId="01DC0985" w14:textId="77777777" w:rsidR="00E07899" w:rsidRDefault="00E07899" w:rsidP="00E07899">
      <w:pPr>
        <w:pStyle w:val="ListParagraph"/>
        <w:numPr>
          <w:ilvl w:val="0"/>
          <w:numId w:val="4"/>
        </w:numPr>
        <w:jc w:val="both"/>
        <w:rPr>
          <w:lang w:eastAsia="en-US"/>
        </w:rPr>
      </w:pPr>
      <w:r>
        <w:rPr>
          <w:lang w:eastAsia="en-US"/>
        </w:rPr>
        <w:t>That operational delivery is aligned with the Trust's values and national policy commitments.</w:t>
      </w:r>
    </w:p>
    <w:p w14:paraId="7165F16E" w14:textId="77777777" w:rsidR="00E07899" w:rsidRDefault="00E07899" w:rsidP="00E07899">
      <w:pPr>
        <w:jc w:val="both"/>
        <w:rPr>
          <w:lang w:eastAsia="en-US"/>
        </w:rPr>
      </w:pPr>
    </w:p>
    <w:p w14:paraId="6EEBF90E" w14:textId="77777777" w:rsidR="00E07899" w:rsidRDefault="00E07899" w:rsidP="00E07899">
      <w:pPr>
        <w:jc w:val="both"/>
        <w:rPr>
          <w:lang w:eastAsia="en-US"/>
        </w:rPr>
      </w:pPr>
      <w:r>
        <w:rPr>
          <w:lang w:eastAsia="en-US"/>
        </w:rPr>
        <w:t>It acts as a reference point for clinical and administrative teams involved in service access and supports integration of care across services.</w:t>
      </w:r>
    </w:p>
    <w:p w14:paraId="6DBE74CF" w14:textId="77777777" w:rsidR="00760923" w:rsidRDefault="00760923" w:rsidP="00E07899">
      <w:pPr>
        <w:jc w:val="both"/>
        <w:rPr>
          <w:lang w:eastAsia="en-US"/>
        </w:rPr>
      </w:pPr>
    </w:p>
    <w:p w14:paraId="3E942A9A" w14:textId="77777777" w:rsidR="001C4681" w:rsidRDefault="001C4681" w:rsidP="00760923">
      <w:pPr>
        <w:pStyle w:val="Heading3"/>
        <w:numPr>
          <w:ilvl w:val="1"/>
          <w:numId w:val="2"/>
        </w:numPr>
        <w:rPr>
          <w:rFonts w:ascii="Arial" w:hAnsi="Arial" w:cs="Arial"/>
          <w:b/>
          <w:color w:val="auto"/>
        </w:rPr>
      </w:pPr>
      <w:bookmarkStart w:id="5" w:name="_Toc211502255"/>
      <w:r w:rsidRPr="00760923">
        <w:rPr>
          <w:rFonts w:ascii="Arial" w:hAnsi="Arial" w:cs="Arial"/>
          <w:b/>
          <w:color w:val="auto"/>
        </w:rPr>
        <w:t>Who This Policy Affects</w:t>
      </w:r>
      <w:bookmarkEnd w:id="5"/>
    </w:p>
    <w:p w14:paraId="55332418" w14:textId="77777777" w:rsidR="00760923" w:rsidRPr="00760923" w:rsidRDefault="00760923" w:rsidP="00760923"/>
    <w:p w14:paraId="25FC97DE" w14:textId="77777777" w:rsidR="00E07899" w:rsidRDefault="00760923" w:rsidP="00E07899">
      <w:pPr>
        <w:jc w:val="both"/>
        <w:rPr>
          <w:lang w:eastAsia="en-US"/>
        </w:rPr>
      </w:pPr>
      <w:r>
        <w:rPr>
          <w:lang w:eastAsia="en-US"/>
        </w:rPr>
        <w:t xml:space="preserve">This policy is relevant to: </w:t>
      </w:r>
    </w:p>
    <w:p w14:paraId="665AEFBF" w14:textId="77777777" w:rsidR="00760923" w:rsidRDefault="00760923" w:rsidP="00E07899">
      <w:pPr>
        <w:jc w:val="both"/>
        <w:rPr>
          <w:lang w:eastAsia="en-US"/>
        </w:rPr>
      </w:pPr>
    </w:p>
    <w:p w14:paraId="49AC52E5" w14:textId="77777777" w:rsidR="00760923" w:rsidRDefault="00760923" w:rsidP="00760923">
      <w:pPr>
        <w:pStyle w:val="ListParagraph"/>
        <w:numPr>
          <w:ilvl w:val="0"/>
          <w:numId w:val="8"/>
        </w:numPr>
        <w:jc w:val="both"/>
        <w:rPr>
          <w:lang w:eastAsia="en-US"/>
        </w:rPr>
      </w:pPr>
      <w:r>
        <w:rPr>
          <w:lang w:eastAsia="en-US"/>
        </w:rPr>
        <w:t>All patients accessing care pathways under ELFT, particularly those who require scheduled care including assessment, community clinics or diagnostics</w:t>
      </w:r>
    </w:p>
    <w:p w14:paraId="72F4F33B" w14:textId="77777777" w:rsidR="00760923" w:rsidRDefault="00760923" w:rsidP="00760923">
      <w:pPr>
        <w:pStyle w:val="ListParagraph"/>
        <w:ind w:left="1080"/>
        <w:jc w:val="both"/>
        <w:rPr>
          <w:lang w:eastAsia="en-US"/>
        </w:rPr>
      </w:pPr>
    </w:p>
    <w:p w14:paraId="3A2408AF" w14:textId="77777777" w:rsidR="00760923" w:rsidRDefault="00760923" w:rsidP="00760923">
      <w:pPr>
        <w:pStyle w:val="ListParagraph"/>
        <w:numPr>
          <w:ilvl w:val="0"/>
          <w:numId w:val="8"/>
        </w:numPr>
        <w:jc w:val="both"/>
        <w:rPr>
          <w:lang w:eastAsia="en-US"/>
        </w:rPr>
      </w:pPr>
      <w:r>
        <w:rPr>
          <w:lang w:eastAsia="en-US"/>
        </w:rPr>
        <w:lastRenderedPageBreak/>
        <w:t>All ELFT staff involved in referral management, triage, appointment scheduling or patient follow-up. This includes operational managers, clinicians, pathway coordinators and performance leads</w:t>
      </w:r>
    </w:p>
    <w:p w14:paraId="136DEAEF" w14:textId="77777777" w:rsidR="00760923" w:rsidRDefault="00760923" w:rsidP="00760923">
      <w:pPr>
        <w:pStyle w:val="ListParagraph"/>
        <w:rPr>
          <w:lang w:eastAsia="en-US"/>
        </w:rPr>
      </w:pPr>
    </w:p>
    <w:p w14:paraId="7ADA7FA1" w14:textId="77777777" w:rsidR="00760923" w:rsidRDefault="00760923" w:rsidP="00760923">
      <w:pPr>
        <w:pStyle w:val="ListParagraph"/>
        <w:numPr>
          <w:ilvl w:val="0"/>
          <w:numId w:val="8"/>
        </w:numPr>
        <w:jc w:val="both"/>
        <w:rPr>
          <w:lang w:eastAsia="en-US"/>
        </w:rPr>
      </w:pPr>
      <w:r>
        <w:rPr>
          <w:lang w:eastAsia="en-US"/>
        </w:rPr>
        <w:t>Carers and/or family who support patients to attend appointments and access care</w:t>
      </w:r>
    </w:p>
    <w:p w14:paraId="2B5F3528" w14:textId="77777777" w:rsidR="00760923" w:rsidRDefault="00760923" w:rsidP="00760923">
      <w:pPr>
        <w:pStyle w:val="ListParagraph"/>
        <w:rPr>
          <w:lang w:eastAsia="en-US"/>
        </w:rPr>
      </w:pPr>
    </w:p>
    <w:p w14:paraId="7E870822" w14:textId="77777777" w:rsidR="00760923" w:rsidRDefault="00760923" w:rsidP="00760923">
      <w:pPr>
        <w:jc w:val="both"/>
        <w:rPr>
          <w:lang w:eastAsia="en-US"/>
        </w:rPr>
      </w:pPr>
      <w:r>
        <w:rPr>
          <w:lang w:eastAsia="en-US"/>
        </w:rPr>
        <w:t xml:space="preserve">All staff must be competent in using the principles outlined in this policy and should undertake appropriate training or refreshers as needed. The consistent application of this policy underpins fair access to services and ensures compliance with national reporting. </w:t>
      </w:r>
    </w:p>
    <w:p w14:paraId="1D5000EE" w14:textId="77777777" w:rsidR="00E07899" w:rsidRDefault="00E07899" w:rsidP="00E07899">
      <w:pPr>
        <w:jc w:val="both"/>
        <w:rPr>
          <w:lang w:eastAsia="en-US"/>
        </w:rPr>
      </w:pPr>
    </w:p>
    <w:p w14:paraId="2140789D" w14:textId="77777777" w:rsidR="00760923" w:rsidRDefault="00760923" w:rsidP="00760923">
      <w:pPr>
        <w:pStyle w:val="Heading1"/>
        <w:numPr>
          <w:ilvl w:val="0"/>
          <w:numId w:val="2"/>
        </w:numPr>
        <w:rPr>
          <w:rFonts w:ascii="Arial" w:hAnsi="Arial" w:cs="Arial"/>
          <w:b/>
          <w:color w:val="auto"/>
          <w:sz w:val="24"/>
        </w:rPr>
      </w:pPr>
      <w:bookmarkStart w:id="6" w:name="_Toc211502256"/>
      <w:r w:rsidRPr="00760923">
        <w:rPr>
          <w:rFonts w:ascii="Arial" w:hAnsi="Arial" w:cs="Arial"/>
          <w:b/>
          <w:color w:val="auto"/>
          <w:sz w:val="24"/>
        </w:rPr>
        <w:t>Definitions</w:t>
      </w:r>
      <w:bookmarkEnd w:id="6"/>
    </w:p>
    <w:p w14:paraId="415FE3D2" w14:textId="77777777" w:rsidR="00760923" w:rsidRDefault="00760923" w:rsidP="00760923">
      <w:pPr>
        <w:rPr>
          <w:lang w:eastAsia="en-US"/>
        </w:rPr>
      </w:pPr>
    </w:p>
    <w:p w14:paraId="16B3BF64" w14:textId="77777777" w:rsidR="00760923" w:rsidRDefault="00760923" w:rsidP="00760923">
      <w:pPr>
        <w:jc w:val="both"/>
        <w:rPr>
          <w:lang w:eastAsia="en-US"/>
        </w:rPr>
      </w:pPr>
      <w:r>
        <w:rPr>
          <w:lang w:eastAsia="en-US"/>
        </w:rPr>
        <w:t xml:space="preserve">The following definitions provide clarity on key terms used throughout this policy. All definitions are informed by national standards, including NHS England guidance on access and waiting time pathways. </w:t>
      </w:r>
    </w:p>
    <w:p w14:paraId="08C2197A" w14:textId="77777777" w:rsidR="00760923" w:rsidRDefault="00760923" w:rsidP="00760923">
      <w:pPr>
        <w:jc w:val="both"/>
        <w:rPr>
          <w:lang w:eastAsia="en-US"/>
        </w:rPr>
      </w:pPr>
    </w:p>
    <w:p w14:paraId="19580F00" w14:textId="77777777" w:rsidR="00760923" w:rsidRPr="00760923" w:rsidRDefault="00760923" w:rsidP="00760923">
      <w:pPr>
        <w:pStyle w:val="Heading3"/>
        <w:numPr>
          <w:ilvl w:val="1"/>
          <w:numId w:val="2"/>
        </w:numPr>
        <w:rPr>
          <w:rFonts w:ascii="Arial" w:hAnsi="Arial" w:cs="Arial"/>
          <w:b/>
          <w:color w:val="auto"/>
          <w:lang w:eastAsia="en-US"/>
        </w:rPr>
      </w:pPr>
      <w:bookmarkStart w:id="7" w:name="_Toc211502257"/>
      <w:r w:rsidRPr="00760923">
        <w:rPr>
          <w:rFonts w:ascii="Arial" w:hAnsi="Arial" w:cs="Arial"/>
          <w:b/>
          <w:color w:val="auto"/>
          <w:lang w:eastAsia="en-US"/>
        </w:rPr>
        <w:t>Referral to Assessment (RTA) and meaningful intervention</w:t>
      </w:r>
      <w:bookmarkEnd w:id="7"/>
    </w:p>
    <w:p w14:paraId="624436E2" w14:textId="77777777" w:rsidR="00760923" w:rsidRDefault="00760923" w:rsidP="00760923">
      <w:pPr>
        <w:jc w:val="both"/>
        <w:rPr>
          <w:lang w:eastAsia="en-US"/>
        </w:rPr>
      </w:pPr>
    </w:p>
    <w:p w14:paraId="6DFA6BAB" w14:textId="77777777" w:rsidR="00760923" w:rsidRDefault="00760923" w:rsidP="00760923">
      <w:pPr>
        <w:jc w:val="both"/>
        <w:rPr>
          <w:lang w:eastAsia="en-US"/>
        </w:rPr>
      </w:pPr>
      <w:r w:rsidRPr="00760923">
        <w:rPr>
          <w:lang w:eastAsia="en-US"/>
        </w:rPr>
        <w:t>This applies when a referral is made to the Trust to assess whether an individual may require mental health services, including services for people with learning disabilities or autism, and community health services.  The assessment may lead to treatment, monitoring, or signposting to other forms of care and support.  This is for mental health services.</w:t>
      </w:r>
    </w:p>
    <w:p w14:paraId="3B016AB8" w14:textId="77777777" w:rsidR="00760923" w:rsidRDefault="00760923" w:rsidP="00760923">
      <w:pPr>
        <w:jc w:val="both"/>
        <w:rPr>
          <w:lang w:eastAsia="en-US"/>
        </w:rPr>
      </w:pPr>
    </w:p>
    <w:p w14:paraId="4067E864" w14:textId="77777777" w:rsidR="00760923" w:rsidRPr="00760923" w:rsidRDefault="00760923" w:rsidP="00760923">
      <w:pPr>
        <w:pStyle w:val="Heading3"/>
        <w:numPr>
          <w:ilvl w:val="1"/>
          <w:numId w:val="2"/>
        </w:numPr>
        <w:rPr>
          <w:rFonts w:ascii="Arial" w:hAnsi="Arial" w:cs="Arial"/>
          <w:b/>
          <w:color w:val="auto"/>
          <w:lang w:eastAsia="en-US"/>
        </w:rPr>
      </w:pPr>
      <w:bookmarkStart w:id="8" w:name="_Toc211502258"/>
      <w:r w:rsidRPr="00760923">
        <w:rPr>
          <w:rFonts w:ascii="Arial" w:hAnsi="Arial" w:cs="Arial"/>
          <w:b/>
          <w:color w:val="auto"/>
          <w:lang w:eastAsia="en-US"/>
        </w:rPr>
        <w:t>Referral to Treatment (RTT)</w:t>
      </w:r>
      <w:bookmarkEnd w:id="8"/>
    </w:p>
    <w:p w14:paraId="6D4B0C1B" w14:textId="77777777" w:rsidR="00E07899" w:rsidRDefault="00E07899" w:rsidP="00E07899">
      <w:pPr>
        <w:jc w:val="both"/>
        <w:rPr>
          <w:lang w:eastAsia="en-US"/>
        </w:rPr>
      </w:pPr>
    </w:p>
    <w:p w14:paraId="731C6875" w14:textId="77777777" w:rsidR="00760923" w:rsidRDefault="00760923" w:rsidP="00E07899">
      <w:pPr>
        <w:jc w:val="both"/>
        <w:rPr>
          <w:lang w:eastAsia="en-US"/>
        </w:rPr>
      </w:pPr>
      <w:r w:rsidRPr="00760923">
        <w:rPr>
          <w:lang w:eastAsia="en-US"/>
        </w:rPr>
        <w:t>Despite RTT not being submitted nationally by ELFT, services across the Trust follow RTT guidelines. In Mental Health waiting times are measured from referral to assessment, whereas in Community Health Services they are measured from referral to treatment</w:t>
      </w:r>
    </w:p>
    <w:p w14:paraId="23E04C10" w14:textId="77777777" w:rsidR="00760923" w:rsidRDefault="00760923" w:rsidP="00E07899">
      <w:pPr>
        <w:jc w:val="both"/>
        <w:rPr>
          <w:lang w:eastAsia="en-US"/>
        </w:rPr>
      </w:pPr>
    </w:p>
    <w:p w14:paraId="6ED2C984" w14:textId="77777777" w:rsidR="00760923" w:rsidRDefault="00760923" w:rsidP="00760923">
      <w:pPr>
        <w:pStyle w:val="ListParagraph"/>
        <w:numPr>
          <w:ilvl w:val="0"/>
          <w:numId w:val="8"/>
        </w:numPr>
        <w:jc w:val="both"/>
        <w:rPr>
          <w:lang w:eastAsia="en-US"/>
        </w:rPr>
      </w:pPr>
      <w:r>
        <w:rPr>
          <w:lang w:eastAsia="en-US"/>
        </w:rPr>
        <w:t>A consultant-led service in one in which consultant (e.g., psychiatrist) retains overall clinical responsibility for the patient’s care.</w:t>
      </w:r>
    </w:p>
    <w:p w14:paraId="2789C6A3" w14:textId="77777777" w:rsidR="00760923" w:rsidRDefault="00760923" w:rsidP="00760923">
      <w:pPr>
        <w:pStyle w:val="ListParagraph"/>
        <w:ind w:left="1080"/>
        <w:jc w:val="both"/>
        <w:rPr>
          <w:lang w:eastAsia="en-US"/>
        </w:rPr>
      </w:pPr>
    </w:p>
    <w:p w14:paraId="6B963474" w14:textId="77777777" w:rsidR="00760923" w:rsidRDefault="00760923" w:rsidP="00760923">
      <w:pPr>
        <w:pStyle w:val="ListParagraph"/>
        <w:numPr>
          <w:ilvl w:val="0"/>
          <w:numId w:val="8"/>
        </w:numPr>
        <w:jc w:val="both"/>
        <w:rPr>
          <w:lang w:eastAsia="en-US"/>
        </w:rPr>
      </w:pPr>
      <w:r>
        <w:rPr>
          <w:lang w:eastAsia="en-US"/>
        </w:rPr>
        <w:t>The classification of a service as consultant-led must be determined locally in line with national definitions. Consultant-led means a consultant retains overall clinical responsibility for the service or team, even if care is delivered by others (e.g Registered Nurses or Therapists).</w:t>
      </w:r>
    </w:p>
    <w:p w14:paraId="7C672CCA" w14:textId="77777777" w:rsidR="00760923" w:rsidRDefault="00760923" w:rsidP="00760923">
      <w:pPr>
        <w:pStyle w:val="ListParagraph"/>
        <w:rPr>
          <w:lang w:eastAsia="en-US"/>
        </w:rPr>
      </w:pPr>
    </w:p>
    <w:p w14:paraId="1D2E3BE5" w14:textId="77777777" w:rsidR="00760923" w:rsidRPr="00760923" w:rsidRDefault="00760923" w:rsidP="00760923">
      <w:pPr>
        <w:pStyle w:val="Heading3"/>
        <w:numPr>
          <w:ilvl w:val="1"/>
          <w:numId w:val="2"/>
        </w:numPr>
        <w:rPr>
          <w:rFonts w:ascii="Arial" w:hAnsi="Arial" w:cs="Arial"/>
          <w:b/>
          <w:color w:val="auto"/>
          <w:lang w:eastAsia="en-US"/>
        </w:rPr>
      </w:pPr>
      <w:bookmarkStart w:id="9" w:name="_Toc211502259"/>
      <w:r w:rsidRPr="00760923">
        <w:rPr>
          <w:rFonts w:ascii="Arial" w:hAnsi="Arial" w:cs="Arial"/>
          <w:b/>
          <w:color w:val="auto"/>
          <w:lang w:eastAsia="en-US"/>
        </w:rPr>
        <w:t>First Definitive Treatment</w:t>
      </w:r>
      <w:bookmarkEnd w:id="9"/>
    </w:p>
    <w:p w14:paraId="11BC7312" w14:textId="77777777" w:rsidR="00760923" w:rsidRDefault="00760923" w:rsidP="00760923">
      <w:pPr>
        <w:jc w:val="both"/>
        <w:rPr>
          <w:lang w:eastAsia="en-US"/>
        </w:rPr>
      </w:pPr>
    </w:p>
    <w:p w14:paraId="059739D5" w14:textId="77777777" w:rsidR="00760923" w:rsidRDefault="00760923" w:rsidP="00760923">
      <w:pPr>
        <w:jc w:val="both"/>
        <w:rPr>
          <w:lang w:eastAsia="en-US"/>
        </w:rPr>
      </w:pPr>
      <w:r w:rsidRPr="00760923">
        <w:rPr>
          <w:lang w:eastAsia="en-US"/>
        </w:rPr>
        <w:t>Defined nationally as: “</w:t>
      </w:r>
      <w:r w:rsidRPr="00760923">
        <w:rPr>
          <w:i/>
          <w:lang w:eastAsia="en-US"/>
        </w:rPr>
        <w:t>An intervention intended to manage a patient’s disease, condition or injury and avoid further intervention</w:t>
      </w:r>
      <w:r w:rsidRPr="00760923">
        <w:rPr>
          <w:lang w:eastAsia="en-US"/>
        </w:rPr>
        <w:t>.”</w:t>
      </w:r>
    </w:p>
    <w:p w14:paraId="15924E03" w14:textId="77777777" w:rsidR="00760923" w:rsidRDefault="00760923" w:rsidP="00E07899">
      <w:pPr>
        <w:jc w:val="both"/>
        <w:rPr>
          <w:lang w:eastAsia="en-US"/>
        </w:rPr>
      </w:pPr>
    </w:p>
    <w:p w14:paraId="086642B6" w14:textId="04AB9387" w:rsidR="00760923" w:rsidRDefault="00760923" w:rsidP="00E07899">
      <w:pPr>
        <w:jc w:val="both"/>
        <w:rPr>
          <w:lang w:eastAsia="en-US"/>
        </w:rPr>
      </w:pPr>
      <w:r>
        <w:rPr>
          <w:lang w:eastAsia="en-US"/>
        </w:rPr>
        <w:t>It excludes initial assessments, triage, or administrative actions. Treatment can be in the form of a face-to-face contact, telephone consultation or video or virtual contact. The point at which treatment begins should be determined by a clinician and clearly recorded in the patient’s record.</w:t>
      </w:r>
    </w:p>
    <w:p w14:paraId="561A081F" w14:textId="77777777" w:rsidR="00760923" w:rsidRDefault="00760923" w:rsidP="00E07899">
      <w:pPr>
        <w:jc w:val="both"/>
        <w:rPr>
          <w:lang w:eastAsia="en-US"/>
        </w:rPr>
      </w:pPr>
    </w:p>
    <w:p w14:paraId="3FB67C75" w14:textId="77777777" w:rsidR="00760923" w:rsidRDefault="00760923" w:rsidP="00E07899">
      <w:pPr>
        <w:jc w:val="both"/>
        <w:rPr>
          <w:lang w:eastAsia="en-US"/>
        </w:rPr>
      </w:pPr>
    </w:p>
    <w:p w14:paraId="56D15D42" w14:textId="77777777" w:rsidR="00760923" w:rsidRPr="00760923" w:rsidRDefault="00760923" w:rsidP="00760923">
      <w:pPr>
        <w:pStyle w:val="Heading3"/>
        <w:numPr>
          <w:ilvl w:val="1"/>
          <w:numId w:val="2"/>
        </w:numPr>
        <w:rPr>
          <w:rFonts w:ascii="Arial" w:hAnsi="Arial" w:cs="Arial"/>
          <w:b/>
          <w:color w:val="auto"/>
          <w:lang w:eastAsia="en-US"/>
        </w:rPr>
      </w:pPr>
      <w:bookmarkStart w:id="10" w:name="_Toc211502260"/>
      <w:r w:rsidRPr="00760923">
        <w:rPr>
          <w:rFonts w:ascii="Arial" w:hAnsi="Arial" w:cs="Arial"/>
          <w:b/>
          <w:color w:val="auto"/>
          <w:lang w:eastAsia="en-US"/>
        </w:rPr>
        <w:t>Did Not Attend (DNA) / Was Not Brought (WNB)</w:t>
      </w:r>
      <w:bookmarkEnd w:id="10"/>
    </w:p>
    <w:p w14:paraId="38F39521" w14:textId="77777777" w:rsidR="00760923" w:rsidRDefault="00760923" w:rsidP="00760923">
      <w:pPr>
        <w:jc w:val="both"/>
        <w:rPr>
          <w:lang w:eastAsia="en-US"/>
        </w:rPr>
      </w:pPr>
    </w:p>
    <w:p w14:paraId="73ACD8E5" w14:textId="4D14464E" w:rsidR="00760923" w:rsidRDefault="00760923" w:rsidP="00760923">
      <w:pPr>
        <w:jc w:val="both"/>
        <w:rPr>
          <w:lang w:eastAsia="en-US"/>
        </w:rPr>
      </w:pPr>
      <w:r w:rsidRPr="00760923">
        <w:rPr>
          <w:lang w:eastAsia="en-US"/>
        </w:rPr>
        <w:t xml:space="preserve">A DNA occurs when a patient fails to attend a pre-booked appointment without the service user providing prior notice or </w:t>
      </w:r>
      <w:r w:rsidR="00CF3C30" w:rsidRPr="00760923">
        <w:rPr>
          <w:lang w:eastAsia="en-US"/>
        </w:rPr>
        <w:t>cancellation or</w:t>
      </w:r>
      <w:r w:rsidRPr="00760923">
        <w:rPr>
          <w:lang w:eastAsia="en-US"/>
        </w:rPr>
        <w:t xml:space="preserve"> attends later than the scheduled time with the </w:t>
      </w:r>
      <w:r w:rsidRPr="00760923">
        <w:rPr>
          <w:lang w:eastAsia="en-US"/>
        </w:rPr>
        <w:lastRenderedPageBreak/>
        <w:t xml:space="preserve">result that the clinician cannot see them. DNA </w:t>
      </w:r>
      <w:r w:rsidR="00CF3C30" w:rsidRPr="00760923">
        <w:rPr>
          <w:lang w:eastAsia="en-US"/>
        </w:rPr>
        <w:t>policies must</w:t>
      </w:r>
      <w:r w:rsidRPr="00760923">
        <w:rPr>
          <w:lang w:eastAsia="en-US"/>
        </w:rPr>
        <w:t xml:space="preserve"> take into account clinical risk, vulnerability, and the potential impact of disengagement.</w:t>
      </w:r>
    </w:p>
    <w:p w14:paraId="700F907E" w14:textId="15C8F785" w:rsidR="00FC197F" w:rsidRDefault="00FC197F" w:rsidP="00760923">
      <w:pPr>
        <w:jc w:val="both"/>
        <w:rPr>
          <w:lang w:eastAsia="en-US"/>
        </w:rPr>
      </w:pPr>
    </w:p>
    <w:p w14:paraId="59CC7465" w14:textId="451FC30B" w:rsidR="00FC197F" w:rsidRDefault="00FC197F" w:rsidP="00760923">
      <w:pPr>
        <w:jc w:val="both"/>
        <w:rPr>
          <w:lang w:eastAsia="en-US"/>
        </w:rPr>
      </w:pPr>
      <w:r>
        <w:rPr>
          <w:lang w:eastAsia="en-US"/>
        </w:rPr>
        <w:t xml:space="preserve">For patients on RTT pathways, if a patient DNAs their first appointment following the initial referral that started their RTT clock, this will stop and </w:t>
      </w:r>
      <w:r w:rsidR="007A10F7">
        <w:rPr>
          <w:lang w:eastAsia="en-US"/>
        </w:rPr>
        <w:t>reset</w:t>
      </w:r>
      <w:r>
        <w:rPr>
          <w:lang w:eastAsia="en-US"/>
        </w:rPr>
        <w:t xml:space="preserve"> the</w:t>
      </w:r>
      <w:r w:rsidR="007A10F7">
        <w:rPr>
          <w:lang w:eastAsia="en-US"/>
        </w:rPr>
        <w:t xml:space="preserve"> waiting time</w:t>
      </w:r>
      <w:r>
        <w:rPr>
          <w:lang w:eastAsia="en-US"/>
        </w:rPr>
        <w:t xml:space="preserve"> </w:t>
      </w:r>
      <w:r w:rsidR="007A10F7">
        <w:rPr>
          <w:lang w:eastAsia="en-US"/>
        </w:rPr>
        <w:t>clock</w:t>
      </w:r>
      <w:r>
        <w:rPr>
          <w:lang w:eastAsia="en-US"/>
        </w:rPr>
        <w:t xml:space="preserve">. </w:t>
      </w:r>
      <w:r w:rsidR="007A10F7">
        <w:rPr>
          <w:lang w:eastAsia="en-US"/>
        </w:rPr>
        <w:t>This is only applicable for the first DNA.</w:t>
      </w:r>
      <w:r>
        <w:rPr>
          <w:lang w:eastAsia="en-US"/>
        </w:rPr>
        <w:t xml:space="preserve"> For more guidance on RTT waiting times, please refer to Appendix 4. </w:t>
      </w:r>
    </w:p>
    <w:p w14:paraId="4909B517" w14:textId="77777777" w:rsidR="00760923" w:rsidRDefault="00760923" w:rsidP="00760923">
      <w:pPr>
        <w:jc w:val="both"/>
        <w:rPr>
          <w:lang w:eastAsia="en-US"/>
        </w:rPr>
      </w:pPr>
    </w:p>
    <w:p w14:paraId="1474FC6A" w14:textId="77777777" w:rsidR="00760923" w:rsidRDefault="00760923" w:rsidP="00E07899">
      <w:pPr>
        <w:jc w:val="both"/>
        <w:rPr>
          <w:lang w:eastAsia="en-US"/>
        </w:rPr>
      </w:pPr>
    </w:p>
    <w:p w14:paraId="670425CE" w14:textId="77777777" w:rsidR="00760923" w:rsidRPr="00760923" w:rsidRDefault="00760923" w:rsidP="00760923">
      <w:pPr>
        <w:pStyle w:val="Heading3"/>
        <w:numPr>
          <w:ilvl w:val="1"/>
          <w:numId w:val="2"/>
        </w:numPr>
        <w:rPr>
          <w:rFonts w:ascii="Arial" w:hAnsi="Arial" w:cs="Arial"/>
          <w:b/>
          <w:color w:val="auto"/>
          <w:lang w:eastAsia="en-US"/>
        </w:rPr>
      </w:pPr>
      <w:bookmarkStart w:id="11" w:name="_Toc211502261"/>
      <w:r w:rsidRPr="00760923">
        <w:rPr>
          <w:rFonts w:ascii="Arial" w:hAnsi="Arial" w:cs="Arial"/>
          <w:b/>
          <w:color w:val="auto"/>
          <w:lang w:eastAsia="en-US"/>
        </w:rPr>
        <w:t>Managing DNA/WNB Safeguarding Concerns</w:t>
      </w:r>
      <w:bookmarkEnd w:id="11"/>
    </w:p>
    <w:p w14:paraId="252B2BA0" w14:textId="77777777" w:rsidR="00760923" w:rsidRDefault="00760923" w:rsidP="00760923">
      <w:pPr>
        <w:jc w:val="both"/>
        <w:rPr>
          <w:lang w:eastAsia="en-US"/>
        </w:rPr>
      </w:pPr>
    </w:p>
    <w:p w14:paraId="04356029" w14:textId="7ED0BBBC" w:rsidR="00760923" w:rsidRDefault="00760923" w:rsidP="00760923">
      <w:pPr>
        <w:jc w:val="both"/>
        <w:rPr>
          <w:lang w:eastAsia="en-US"/>
        </w:rPr>
      </w:pPr>
      <w:r>
        <w:rPr>
          <w:lang w:eastAsia="en-US"/>
        </w:rPr>
        <w:t xml:space="preserve">When reporting DNA, it is important to be aware of circumstances in which the standard policies cannot be adhered to for safeguarding purposes, for example if they are clinically a vulnerable  adult or a child. If a clinically vulnerable patient/child DNAs or WNBs their appointment, this could be a sign of neglect, abuse, or other dangerous situations, and appropriate measures must be to safeguard them. These measures include assessing the immediate risk to the patient, communicating with their GP/referrer/social worker/family member, local named Safeguarding professional,  etc. It must be determined if it is safe, both clinically or otherwise, to discharge the patient after a DNA/WNB, and if it is deemed not to be then the patient should remain on the service’s waiting list and appropriate safeguarding interventions made. </w:t>
      </w:r>
      <w:r w:rsidR="000C0892">
        <w:rPr>
          <w:lang w:eastAsia="en-US"/>
        </w:rPr>
        <w:t xml:space="preserve">Services should ensure that a multi-disciplinary team (MDT) review has taken place before discharge. </w:t>
      </w:r>
    </w:p>
    <w:p w14:paraId="0EB6BFDE" w14:textId="77777777" w:rsidR="00760923" w:rsidRDefault="00760923" w:rsidP="00760923">
      <w:pPr>
        <w:jc w:val="both"/>
        <w:rPr>
          <w:lang w:eastAsia="en-US"/>
        </w:rPr>
      </w:pPr>
    </w:p>
    <w:p w14:paraId="13EB5941" w14:textId="77777777" w:rsidR="00760923" w:rsidRDefault="00760923" w:rsidP="00760923">
      <w:pPr>
        <w:jc w:val="both"/>
        <w:rPr>
          <w:lang w:eastAsia="en-US"/>
        </w:rPr>
      </w:pPr>
      <w:r>
        <w:rPr>
          <w:lang w:eastAsia="en-US"/>
        </w:rPr>
        <w:t>For example, in SCYPS, when a patient DNA/WNBs, a letter is generated on RiO and is shared with the GP and patient, in which a timeframe to rebook their appointment is provided, after which they will be discharged. In cases where the patient is known to be at risk, the clinician will attempt to contact the patient/their parents directly in order to assess if there are safeguarding risks. If a safeguarding risk is identified, a safeguarding concern will be raised with the local authority.</w:t>
      </w:r>
    </w:p>
    <w:p w14:paraId="46CBCF88" w14:textId="77777777" w:rsidR="00760923" w:rsidRDefault="00760923" w:rsidP="00760923">
      <w:pPr>
        <w:jc w:val="both"/>
        <w:rPr>
          <w:lang w:eastAsia="en-US"/>
        </w:rPr>
      </w:pPr>
    </w:p>
    <w:p w14:paraId="13E561BC" w14:textId="36C0ED1C" w:rsidR="00760923" w:rsidRDefault="00760923" w:rsidP="00760923">
      <w:pPr>
        <w:jc w:val="both"/>
        <w:rPr>
          <w:lang w:eastAsia="en-US"/>
        </w:rPr>
      </w:pPr>
      <w:r>
        <w:rPr>
          <w:lang w:eastAsia="en-US"/>
        </w:rPr>
        <w:t>Service users requiring assertive follow-up or identified as “at risk” also must not be discharged without a review to assess and manage any safeguarding or clinical concerns, regardless of how many times they DNA.</w:t>
      </w:r>
      <w:r w:rsidR="00C802FA">
        <w:rPr>
          <w:lang w:eastAsia="en-US"/>
        </w:rPr>
        <w:t xml:space="preserve"> In cases where service users are seen by teams that do not hold ongoing caseloads, such as the A&amp;E liaison service, and the individual absconds before a review can be conducted, the team must ensure that safeguarding and clinical concerns are escalated appropriately. This may include notifying the relevant community mental health team, crisis team, or safeguarding lead. </w:t>
      </w:r>
    </w:p>
    <w:p w14:paraId="61E32E27" w14:textId="77777777" w:rsidR="00760923" w:rsidRDefault="00760923" w:rsidP="00760923">
      <w:pPr>
        <w:jc w:val="both"/>
        <w:rPr>
          <w:lang w:eastAsia="en-US"/>
        </w:rPr>
      </w:pPr>
    </w:p>
    <w:p w14:paraId="0EDA8A1D" w14:textId="0B413ACC" w:rsidR="00FC197F" w:rsidRDefault="00760923" w:rsidP="00760923">
      <w:pPr>
        <w:jc w:val="both"/>
        <w:rPr>
          <w:lang w:eastAsia="en-US"/>
        </w:rPr>
      </w:pPr>
      <w:r>
        <w:rPr>
          <w:lang w:eastAsia="en-US"/>
        </w:rPr>
        <w:t xml:space="preserve">Furthermore, for individuals under Care Programme Approach (CPA), staff must follow CPA guidance to ensure that they are not discharged without a thorough review, particularly where ongoing support or monitoring is required. </w:t>
      </w:r>
    </w:p>
    <w:p w14:paraId="22EE48F9" w14:textId="77777777" w:rsidR="00760923" w:rsidRDefault="00760923" w:rsidP="00760923">
      <w:pPr>
        <w:jc w:val="both"/>
        <w:rPr>
          <w:lang w:eastAsia="en-US"/>
        </w:rPr>
      </w:pPr>
    </w:p>
    <w:p w14:paraId="2A722A83" w14:textId="77777777" w:rsidR="00760923" w:rsidRDefault="00760923" w:rsidP="00760923">
      <w:pPr>
        <w:jc w:val="both"/>
        <w:rPr>
          <w:lang w:eastAsia="en-US"/>
        </w:rPr>
      </w:pPr>
      <w:r>
        <w:rPr>
          <w:lang w:eastAsia="en-US"/>
        </w:rPr>
        <w:t>For further information, please see local DNA/WNB policies for guidance on how to manage DNAs/WNBs of vulnerable patients (see Appendix 1).</w:t>
      </w:r>
    </w:p>
    <w:p w14:paraId="78D5A3F3" w14:textId="77777777" w:rsidR="00760923" w:rsidRDefault="00760923" w:rsidP="00760923">
      <w:pPr>
        <w:jc w:val="both"/>
        <w:rPr>
          <w:lang w:eastAsia="en-US"/>
        </w:rPr>
      </w:pPr>
    </w:p>
    <w:p w14:paraId="36FFA29B" w14:textId="77777777" w:rsidR="00760923" w:rsidRDefault="00760923" w:rsidP="00760923">
      <w:pPr>
        <w:jc w:val="both"/>
        <w:rPr>
          <w:lang w:eastAsia="en-US"/>
        </w:rPr>
      </w:pPr>
    </w:p>
    <w:p w14:paraId="080DDB92" w14:textId="77777777" w:rsidR="00E07899" w:rsidRPr="00E07899" w:rsidRDefault="00E07899" w:rsidP="00E07899">
      <w:pPr>
        <w:pStyle w:val="Heading1"/>
        <w:numPr>
          <w:ilvl w:val="0"/>
          <w:numId w:val="2"/>
        </w:numPr>
        <w:rPr>
          <w:rFonts w:ascii="Arial" w:hAnsi="Arial" w:cs="Arial"/>
          <w:b/>
          <w:color w:val="auto"/>
          <w:sz w:val="24"/>
        </w:rPr>
      </w:pPr>
      <w:bookmarkStart w:id="12" w:name="_Toc211502262"/>
      <w:r w:rsidRPr="00E07899">
        <w:rPr>
          <w:rFonts w:ascii="Arial" w:hAnsi="Arial" w:cs="Arial"/>
          <w:b/>
          <w:color w:val="auto"/>
          <w:sz w:val="24"/>
        </w:rPr>
        <w:t>Scope</w:t>
      </w:r>
      <w:bookmarkEnd w:id="12"/>
      <w:r w:rsidRPr="00E07899">
        <w:rPr>
          <w:rFonts w:ascii="Arial" w:hAnsi="Arial" w:cs="Arial"/>
          <w:b/>
          <w:color w:val="auto"/>
          <w:sz w:val="24"/>
        </w:rPr>
        <w:t xml:space="preserve"> </w:t>
      </w:r>
    </w:p>
    <w:p w14:paraId="16AD198D" w14:textId="77777777" w:rsidR="00E07899" w:rsidRDefault="00E07899" w:rsidP="00E07899">
      <w:pPr>
        <w:rPr>
          <w:lang w:eastAsia="en-US"/>
        </w:rPr>
      </w:pPr>
    </w:p>
    <w:p w14:paraId="09BA01D4" w14:textId="77777777" w:rsidR="00E07899" w:rsidRDefault="00E07899" w:rsidP="00E07899">
      <w:pPr>
        <w:rPr>
          <w:lang w:eastAsia="en-US"/>
        </w:rPr>
      </w:pPr>
      <w:r>
        <w:rPr>
          <w:lang w:eastAsia="en-US"/>
        </w:rPr>
        <w:t xml:space="preserve">This policy applies across: </w:t>
      </w:r>
    </w:p>
    <w:p w14:paraId="3FE4E00E" w14:textId="77777777" w:rsidR="00E07899" w:rsidRDefault="00E07899" w:rsidP="00E07899">
      <w:pPr>
        <w:rPr>
          <w:lang w:eastAsia="en-US"/>
        </w:rPr>
      </w:pPr>
    </w:p>
    <w:p w14:paraId="4A746236" w14:textId="77777777" w:rsidR="00E07899" w:rsidRDefault="00E07899" w:rsidP="00E07899">
      <w:pPr>
        <w:pStyle w:val="ListParagraph"/>
        <w:numPr>
          <w:ilvl w:val="0"/>
          <w:numId w:val="6"/>
        </w:numPr>
        <w:rPr>
          <w:lang w:eastAsia="en-US"/>
        </w:rPr>
      </w:pPr>
      <w:r>
        <w:rPr>
          <w:lang w:eastAsia="en-US"/>
        </w:rPr>
        <w:t>Adult and Paediatric Community Health Services (CHS)</w:t>
      </w:r>
    </w:p>
    <w:p w14:paraId="6DE88562" w14:textId="77777777" w:rsidR="00760923" w:rsidRDefault="00760923" w:rsidP="00760923">
      <w:pPr>
        <w:pStyle w:val="ListParagraph"/>
        <w:ind w:left="1080"/>
        <w:rPr>
          <w:lang w:eastAsia="en-US"/>
        </w:rPr>
      </w:pPr>
    </w:p>
    <w:p w14:paraId="0C5203A8" w14:textId="77777777" w:rsidR="00E07899" w:rsidRDefault="00E07899" w:rsidP="00E07899">
      <w:pPr>
        <w:pStyle w:val="ListParagraph"/>
        <w:numPr>
          <w:ilvl w:val="0"/>
          <w:numId w:val="6"/>
        </w:numPr>
        <w:rPr>
          <w:lang w:eastAsia="en-US"/>
        </w:rPr>
      </w:pPr>
      <w:r>
        <w:rPr>
          <w:lang w:eastAsia="en-US"/>
        </w:rPr>
        <w:t>Mental Health Services (including CAMHS, and Older Adults)</w:t>
      </w:r>
    </w:p>
    <w:p w14:paraId="4162EBAB" w14:textId="77777777" w:rsidR="00760923" w:rsidRDefault="00760923" w:rsidP="00760923">
      <w:pPr>
        <w:pStyle w:val="ListParagraph"/>
        <w:rPr>
          <w:lang w:eastAsia="en-US"/>
        </w:rPr>
      </w:pPr>
    </w:p>
    <w:p w14:paraId="0AF7DC56" w14:textId="77777777" w:rsidR="00E07899" w:rsidRDefault="00E07899" w:rsidP="00E07899">
      <w:pPr>
        <w:pStyle w:val="ListParagraph"/>
        <w:numPr>
          <w:ilvl w:val="0"/>
          <w:numId w:val="6"/>
        </w:numPr>
        <w:rPr>
          <w:lang w:eastAsia="en-US"/>
        </w:rPr>
      </w:pPr>
      <w:r>
        <w:rPr>
          <w:lang w:eastAsia="en-US"/>
        </w:rPr>
        <w:t>Learning Disabilities and Neurodevelopmental Services (including Autism and ADHD services)</w:t>
      </w:r>
    </w:p>
    <w:p w14:paraId="61CC8138" w14:textId="77777777" w:rsidR="00E07899" w:rsidRDefault="00E07899" w:rsidP="00E07899">
      <w:pPr>
        <w:rPr>
          <w:lang w:eastAsia="en-US"/>
        </w:rPr>
      </w:pPr>
    </w:p>
    <w:p w14:paraId="7D862119" w14:textId="77777777" w:rsidR="00E07899" w:rsidRPr="00760923" w:rsidRDefault="00E07899" w:rsidP="00760923">
      <w:pPr>
        <w:pStyle w:val="Heading3"/>
        <w:numPr>
          <w:ilvl w:val="1"/>
          <w:numId w:val="2"/>
        </w:numPr>
        <w:rPr>
          <w:rFonts w:ascii="Arial" w:hAnsi="Arial" w:cs="Arial"/>
          <w:b/>
          <w:color w:val="auto"/>
          <w:lang w:eastAsia="en-US"/>
        </w:rPr>
      </w:pPr>
      <w:bookmarkStart w:id="13" w:name="_Toc211502263"/>
      <w:r w:rsidRPr="00760923">
        <w:rPr>
          <w:rFonts w:ascii="Arial" w:hAnsi="Arial" w:cs="Arial"/>
          <w:b/>
          <w:color w:val="auto"/>
          <w:lang w:eastAsia="en-US"/>
        </w:rPr>
        <w:t>Overview of Access Standards by Service Type</w:t>
      </w:r>
      <w:bookmarkEnd w:id="13"/>
    </w:p>
    <w:p w14:paraId="1DB0C188" w14:textId="77777777" w:rsidR="00E07899" w:rsidRDefault="00E07899" w:rsidP="00E07899">
      <w:pPr>
        <w:rPr>
          <w:lang w:eastAsia="en-US"/>
        </w:rPr>
      </w:pPr>
    </w:p>
    <w:p w14:paraId="20FD4537" w14:textId="77777777" w:rsidR="00E07899" w:rsidRDefault="00E07899" w:rsidP="00E07899">
      <w:pPr>
        <w:rPr>
          <w:lang w:eastAsia="en-US"/>
        </w:rPr>
      </w:pPr>
      <w:r>
        <w:rPr>
          <w:lang w:eastAsia="en-US"/>
        </w:rPr>
        <w:t>East London NHS Foundation Trust delivers both Community Health and Mental Health services. This section outlines the access and waiting time standards applicable to each, in accordance with NHS England guidance.</w:t>
      </w:r>
    </w:p>
    <w:p w14:paraId="2F551B69" w14:textId="77777777" w:rsidR="00E07899" w:rsidRDefault="00E07899" w:rsidP="00E07899">
      <w:pPr>
        <w:rPr>
          <w:lang w:eastAsia="en-US"/>
        </w:rPr>
      </w:pPr>
    </w:p>
    <w:tbl>
      <w:tblPr>
        <w:tblStyle w:val="TableGrid"/>
        <w:tblW w:w="0" w:type="auto"/>
        <w:tblLook w:val="04A0" w:firstRow="1" w:lastRow="0" w:firstColumn="1" w:lastColumn="0" w:noHBand="0" w:noVBand="1"/>
      </w:tblPr>
      <w:tblGrid>
        <w:gridCol w:w="2405"/>
        <w:gridCol w:w="3827"/>
        <w:gridCol w:w="2784"/>
      </w:tblGrid>
      <w:tr w:rsidR="00E07899" w:rsidRPr="001C4681" w14:paraId="191648D6" w14:textId="77777777" w:rsidTr="001C4681">
        <w:trPr>
          <w:trHeight w:val="740"/>
        </w:trPr>
        <w:tc>
          <w:tcPr>
            <w:tcW w:w="2405" w:type="dxa"/>
            <w:shd w:val="clear" w:color="auto" w:fill="DEEAF6" w:themeFill="accent1" w:themeFillTint="33"/>
          </w:tcPr>
          <w:p w14:paraId="6F09491C" w14:textId="77777777" w:rsidR="00E07899" w:rsidRPr="001C4681" w:rsidRDefault="00E07899" w:rsidP="00E07899">
            <w:pPr>
              <w:rPr>
                <w:b/>
                <w:sz w:val="20"/>
                <w:lang w:eastAsia="en-US"/>
              </w:rPr>
            </w:pPr>
            <w:r w:rsidRPr="001C4681">
              <w:rPr>
                <w:b/>
                <w:sz w:val="20"/>
                <w:lang w:eastAsia="en-US"/>
              </w:rPr>
              <w:t>Adult and Paediatric Community Health Services</w:t>
            </w:r>
          </w:p>
        </w:tc>
        <w:tc>
          <w:tcPr>
            <w:tcW w:w="3827" w:type="dxa"/>
            <w:shd w:val="clear" w:color="auto" w:fill="DEEAF6" w:themeFill="accent1" w:themeFillTint="33"/>
          </w:tcPr>
          <w:p w14:paraId="52469954" w14:textId="77777777" w:rsidR="00E07899" w:rsidRPr="001C4681" w:rsidRDefault="00E07899" w:rsidP="00E07899">
            <w:pPr>
              <w:rPr>
                <w:b/>
                <w:sz w:val="20"/>
                <w:lang w:eastAsia="en-US"/>
              </w:rPr>
            </w:pPr>
            <w:r w:rsidRPr="001C4681">
              <w:rPr>
                <w:b/>
                <w:sz w:val="20"/>
                <w:lang w:eastAsia="en-US"/>
              </w:rPr>
              <w:t>Mental Health Services</w:t>
            </w:r>
          </w:p>
        </w:tc>
        <w:tc>
          <w:tcPr>
            <w:tcW w:w="2784" w:type="dxa"/>
            <w:shd w:val="clear" w:color="auto" w:fill="DEEAF6" w:themeFill="accent1" w:themeFillTint="33"/>
          </w:tcPr>
          <w:p w14:paraId="7975038E" w14:textId="77777777" w:rsidR="00E07899" w:rsidRPr="001C4681" w:rsidRDefault="00E07899" w:rsidP="00E07899">
            <w:pPr>
              <w:rPr>
                <w:b/>
                <w:sz w:val="20"/>
                <w:lang w:eastAsia="en-US"/>
              </w:rPr>
            </w:pPr>
            <w:r w:rsidRPr="001C4681">
              <w:rPr>
                <w:b/>
                <w:sz w:val="20"/>
                <w:lang w:eastAsia="en-US"/>
              </w:rPr>
              <w:t>Learning Disabilities and Neurodevelopmental Services</w:t>
            </w:r>
          </w:p>
        </w:tc>
      </w:tr>
      <w:tr w:rsidR="00E07899" w:rsidRPr="001C4681" w14:paraId="195D84DC" w14:textId="77777777" w:rsidTr="001C4681">
        <w:tc>
          <w:tcPr>
            <w:tcW w:w="2405" w:type="dxa"/>
          </w:tcPr>
          <w:p w14:paraId="06F5031A" w14:textId="77777777" w:rsidR="00E07899" w:rsidRDefault="00E07899" w:rsidP="00E07899">
            <w:pPr>
              <w:rPr>
                <w:sz w:val="20"/>
                <w:lang w:eastAsia="en-US"/>
              </w:rPr>
            </w:pPr>
            <w:r w:rsidRPr="001C4681">
              <w:rPr>
                <w:b/>
                <w:sz w:val="20"/>
                <w:lang w:eastAsia="en-US"/>
              </w:rPr>
              <w:t>Community Health Services</w:t>
            </w:r>
            <w:r w:rsidR="001C4681" w:rsidRPr="001C4681">
              <w:rPr>
                <w:sz w:val="20"/>
                <w:lang w:eastAsia="en-US"/>
              </w:rPr>
              <w:t xml:space="preserve"> follow the national 18-week Referral to Treatment (RTT) standard or local RTT KPI standards</w:t>
            </w:r>
          </w:p>
          <w:p w14:paraId="0084A942" w14:textId="77777777" w:rsidR="001C4681" w:rsidRDefault="001C4681" w:rsidP="00E07899">
            <w:pPr>
              <w:rPr>
                <w:sz w:val="20"/>
                <w:lang w:eastAsia="en-US"/>
              </w:rPr>
            </w:pPr>
          </w:p>
          <w:p w14:paraId="2F4161CF" w14:textId="77777777" w:rsidR="001C4681" w:rsidRDefault="001C4681" w:rsidP="00E07899">
            <w:pPr>
              <w:rPr>
                <w:sz w:val="20"/>
                <w:lang w:eastAsia="en-US"/>
              </w:rPr>
            </w:pPr>
            <w:r>
              <w:rPr>
                <w:sz w:val="20"/>
                <w:lang w:eastAsia="en-US"/>
              </w:rPr>
              <w:t>U</w:t>
            </w:r>
            <w:r>
              <w:rPr>
                <w:b/>
                <w:sz w:val="20"/>
                <w:lang w:eastAsia="en-US"/>
              </w:rPr>
              <w:t xml:space="preserve">rgent Care Response </w:t>
            </w:r>
            <w:r>
              <w:rPr>
                <w:sz w:val="20"/>
                <w:lang w:eastAsia="en-US"/>
              </w:rPr>
              <w:t>has a 2 hour target</w:t>
            </w:r>
          </w:p>
          <w:p w14:paraId="2A8D56FE" w14:textId="77777777" w:rsidR="008D140A" w:rsidRDefault="008D140A" w:rsidP="00E07899">
            <w:pPr>
              <w:rPr>
                <w:sz w:val="20"/>
                <w:lang w:eastAsia="en-US"/>
              </w:rPr>
            </w:pPr>
          </w:p>
          <w:p w14:paraId="659BF779" w14:textId="77777777" w:rsidR="008D140A" w:rsidRDefault="008D140A" w:rsidP="00E07899">
            <w:pPr>
              <w:rPr>
                <w:b/>
                <w:sz w:val="20"/>
                <w:lang w:eastAsia="en-US"/>
              </w:rPr>
            </w:pPr>
            <w:r>
              <w:rPr>
                <w:b/>
                <w:sz w:val="20"/>
                <w:lang w:eastAsia="en-US"/>
              </w:rPr>
              <w:t>Primary Care</w:t>
            </w:r>
          </w:p>
          <w:p w14:paraId="7C5DEDEA" w14:textId="53382A2F" w:rsidR="008D140A" w:rsidRPr="008D140A" w:rsidRDefault="008D140A" w:rsidP="00E07899">
            <w:pPr>
              <w:rPr>
                <w:b/>
                <w:sz w:val="20"/>
                <w:lang w:eastAsia="en-US"/>
              </w:rPr>
            </w:pPr>
            <w:r>
              <w:rPr>
                <w:sz w:val="20"/>
                <w:lang w:eastAsia="en-US"/>
              </w:rPr>
              <w:t>NHS England has a national standard that 90% of patients with clinically urgent needs should be seen on the same day</w:t>
            </w:r>
          </w:p>
        </w:tc>
        <w:tc>
          <w:tcPr>
            <w:tcW w:w="3827" w:type="dxa"/>
          </w:tcPr>
          <w:p w14:paraId="3A7D18E7" w14:textId="77777777" w:rsidR="001C4681" w:rsidRDefault="001C4681" w:rsidP="00E07899">
            <w:pPr>
              <w:rPr>
                <w:sz w:val="20"/>
                <w:lang w:eastAsia="en-US"/>
              </w:rPr>
            </w:pPr>
            <w:r>
              <w:rPr>
                <w:b/>
                <w:sz w:val="20"/>
                <w:lang w:eastAsia="en-US"/>
              </w:rPr>
              <w:t>Community Mental Health Services</w:t>
            </w:r>
            <w:r>
              <w:rPr>
                <w:sz w:val="20"/>
                <w:lang w:eastAsia="en-US"/>
              </w:rPr>
              <w:t xml:space="preserve"> follow a variety of standards depending on the service. Community Mental Health Neighbourhood Teams follow the 4-week standard which is a national target</w:t>
            </w:r>
          </w:p>
          <w:p w14:paraId="6C3134B3" w14:textId="77777777" w:rsidR="001C4681" w:rsidRDefault="001C4681" w:rsidP="00E07899">
            <w:pPr>
              <w:rPr>
                <w:sz w:val="20"/>
                <w:lang w:eastAsia="en-US"/>
              </w:rPr>
            </w:pPr>
          </w:p>
          <w:p w14:paraId="36BFAE9D" w14:textId="77777777" w:rsidR="001C4681" w:rsidRDefault="001C4681" w:rsidP="00E07899">
            <w:pPr>
              <w:rPr>
                <w:sz w:val="20"/>
                <w:lang w:eastAsia="en-US"/>
              </w:rPr>
            </w:pPr>
            <w:r>
              <w:rPr>
                <w:b/>
                <w:sz w:val="20"/>
                <w:lang w:eastAsia="en-US"/>
              </w:rPr>
              <w:t xml:space="preserve">Talking Therapies </w:t>
            </w:r>
            <w:r>
              <w:rPr>
                <w:sz w:val="20"/>
                <w:lang w:eastAsia="en-US"/>
              </w:rPr>
              <w:t>follow the national standard that 75% of patients should have their first appointment within 6 weeks of referral, and 95% should have a first appointment within 18 weeks of referral</w:t>
            </w:r>
          </w:p>
          <w:p w14:paraId="729A92FA" w14:textId="77777777" w:rsidR="001C4681" w:rsidRDefault="001C4681" w:rsidP="00E07899">
            <w:pPr>
              <w:rPr>
                <w:sz w:val="20"/>
                <w:lang w:eastAsia="en-US"/>
              </w:rPr>
            </w:pPr>
          </w:p>
          <w:p w14:paraId="2F0567C6" w14:textId="2A363015" w:rsidR="001C4681" w:rsidRDefault="001C4681" w:rsidP="00E07899">
            <w:pPr>
              <w:rPr>
                <w:sz w:val="20"/>
                <w:lang w:eastAsia="en-US"/>
              </w:rPr>
            </w:pPr>
            <w:r>
              <w:rPr>
                <w:b/>
                <w:sz w:val="20"/>
                <w:lang w:eastAsia="en-US"/>
              </w:rPr>
              <w:t xml:space="preserve">Crisis Services </w:t>
            </w:r>
            <w:r>
              <w:rPr>
                <w:sz w:val="20"/>
                <w:lang w:eastAsia="en-US"/>
              </w:rPr>
              <w:t xml:space="preserve">are subject to urgent response </w:t>
            </w:r>
            <w:r w:rsidR="00CF3C30">
              <w:rPr>
                <w:sz w:val="20"/>
                <w:lang w:eastAsia="en-US"/>
              </w:rPr>
              <w:t>standard;</w:t>
            </w:r>
            <w:r w:rsidR="00C802FA">
              <w:rPr>
                <w:sz w:val="20"/>
                <w:lang w:eastAsia="en-US"/>
              </w:rPr>
              <w:t xml:space="preserve"> The </w:t>
            </w:r>
            <w:r w:rsidR="00C802FA" w:rsidRPr="00C802FA">
              <w:rPr>
                <w:b/>
                <w:sz w:val="20"/>
                <w:lang w:eastAsia="en-US"/>
              </w:rPr>
              <w:t xml:space="preserve">A&amp;E </w:t>
            </w:r>
            <w:r w:rsidR="00C802FA">
              <w:rPr>
                <w:sz w:val="20"/>
                <w:lang w:eastAsia="en-US"/>
              </w:rPr>
              <w:t xml:space="preserve">crisis team is expected to respond within 1 hour of the referral or presentation. </w:t>
            </w:r>
            <w:r w:rsidR="00C802FA" w:rsidRPr="00C802FA">
              <w:rPr>
                <w:b/>
                <w:sz w:val="20"/>
                <w:lang w:eastAsia="en-US"/>
              </w:rPr>
              <w:t>Crisis Assessment Team (CAT)</w:t>
            </w:r>
            <w:r w:rsidR="00C802FA">
              <w:rPr>
                <w:sz w:val="20"/>
                <w:lang w:eastAsia="en-US"/>
              </w:rPr>
              <w:t xml:space="preserve"> response time is 4 hours. P</w:t>
            </w:r>
            <w:r>
              <w:rPr>
                <w:sz w:val="20"/>
                <w:lang w:eastAsia="en-US"/>
              </w:rPr>
              <w:t xml:space="preserve">lease see the breakdown in Appendix 3. </w:t>
            </w:r>
            <w:r w:rsidRPr="001C4681">
              <w:rPr>
                <w:b/>
                <w:sz w:val="20"/>
                <w:lang w:eastAsia="en-US"/>
              </w:rPr>
              <w:t xml:space="preserve">Home Treatment Teams </w:t>
            </w:r>
            <w:r>
              <w:rPr>
                <w:sz w:val="20"/>
                <w:lang w:eastAsia="en-US"/>
              </w:rPr>
              <w:t xml:space="preserve">have a </w:t>
            </w:r>
            <w:r w:rsidR="00CF3C30">
              <w:rPr>
                <w:sz w:val="20"/>
                <w:lang w:eastAsia="en-US"/>
              </w:rPr>
              <w:t>24-hour</w:t>
            </w:r>
            <w:r>
              <w:rPr>
                <w:sz w:val="20"/>
                <w:lang w:eastAsia="en-US"/>
              </w:rPr>
              <w:t xml:space="preserve"> response </w:t>
            </w:r>
            <w:r w:rsidR="00CF3C30">
              <w:rPr>
                <w:sz w:val="20"/>
                <w:lang w:eastAsia="en-US"/>
              </w:rPr>
              <w:t>target,</w:t>
            </w:r>
            <w:r>
              <w:rPr>
                <w:sz w:val="20"/>
                <w:lang w:eastAsia="en-US"/>
              </w:rPr>
              <w:t xml:space="preserve"> and this is part of the NHS Oversight Framework (NOF)</w:t>
            </w:r>
          </w:p>
          <w:p w14:paraId="7D6AE095" w14:textId="77777777" w:rsidR="001C4681" w:rsidRDefault="001C4681" w:rsidP="00E07899">
            <w:pPr>
              <w:rPr>
                <w:sz w:val="20"/>
                <w:lang w:eastAsia="en-US"/>
              </w:rPr>
            </w:pPr>
          </w:p>
          <w:p w14:paraId="0836A32D" w14:textId="501DD07B" w:rsidR="001C4681" w:rsidRDefault="001C4681" w:rsidP="00E07899">
            <w:pPr>
              <w:rPr>
                <w:sz w:val="20"/>
                <w:lang w:eastAsia="en-US"/>
              </w:rPr>
            </w:pPr>
            <w:r>
              <w:rPr>
                <w:b/>
                <w:sz w:val="20"/>
                <w:lang w:eastAsia="en-US"/>
              </w:rPr>
              <w:t xml:space="preserve">Early Intervention in Psychosis Service (EIS) </w:t>
            </w:r>
            <w:r>
              <w:rPr>
                <w:sz w:val="20"/>
                <w:lang w:eastAsia="en-US"/>
              </w:rPr>
              <w:t xml:space="preserve">has a </w:t>
            </w:r>
            <w:r w:rsidR="00CF3C30">
              <w:rPr>
                <w:sz w:val="20"/>
                <w:lang w:eastAsia="en-US"/>
              </w:rPr>
              <w:t>2-week</w:t>
            </w:r>
            <w:r>
              <w:rPr>
                <w:sz w:val="20"/>
                <w:lang w:eastAsia="en-US"/>
              </w:rPr>
              <w:t xml:space="preserve"> national target</w:t>
            </w:r>
          </w:p>
          <w:p w14:paraId="331EB051" w14:textId="77777777" w:rsidR="001C4681" w:rsidRDefault="001C4681" w:rsidP="00E07899">
            <w:pPr>
              <w:rPr>
                <w:b/>
                <w:sz w:val="20"/>
                <w:lang w:eastAsia="en-US"/>
              </w:rPr>
            </w:pPr>
          </w:p>
          <w:p w14:paraId="3B5EEB64" w14:textId="77777777" w:rsidR="001C4681" w:rsidRDefault="001C4681" w:rsidP="00E07899">
            <w:pPr>
              <w:rPr>
                <w:sz w:val="20"/>
                <w:lang w:eastAsia="en-US"/>
              </w:rPr>
            </w:pPr>
            <w:r>
              <w:rPr>
                <w:b/>
                <w:sz w:val="20"/>
                <w:lang w:eastAsia="en-US"/>
              </w:rPr>
              <w:t xml:space="preserve">Memory Clinics </w:t>
            </w:r>
            <w:r>
              <w:rPr>
                <w:sz w:val="20"/>
                <w:lang w:eastAsia="en-US"/>
              </w:rPr>
              <w:t>currently have a NEL commissioner target of assessment and diagnosis within 6 and 18 weeks respectively</w:t>
            </w:r>
          </w:p>
          <w:p w14:paraId="43793E9C" w14:textId="77777777" w:rsidR="001C4681" w:rsidRDefault="001C4681" w:rsidP="00E07899">
            <w:pPr>
              <w:rPr>
                <w:sz w:val="20"/>
                <w:lang w:eastAsia="en-US"/>
              </w:rPr>
            </w:pPr>
          </w:p>
          <w:p w14:paraId="1D63B400" w14:textId="77777777" w:rsidR="001C4681" w:rsidRPr="001C4681" w:rsidRDefault="001C4681" w:rsidP="00E07899">
            <w:pPr>
              <w:rPr>
                <w:sz w:val="20"/>
                <w:lang w:eastAsia="en-US"/>
              </w:rPr>
            </w:pPr>
            <w:r>
              <w:rPr>
                <w:b/>
                <w:sz w:val="20"/>
                <w:lang w:eastAsia="en-US"/>
              </w:rPr>
              <w:t>Perinatal Services</w:t>
            </w:r>
            <w:r>
              <w:rPr>
                <w:sz w:val="20"/>
                <w:lang w:eastAsia="en-US"/>
              </w:rPr>
              <w:t xml:space="preserve"> have a NEL commissioner target of 28 days</w:t>
            </w:r>
          </w:p>
        </w:tc>
        <w:tc>
          <w:tcPr>
            <w:tcW w:w="2784" w:type="dxa"/>
          </w:tcPr>
          <w:p w14:paraId="14FD28DD" w14:textId="77777777" w:rsidR="001C4681" w:rsidRPr="001C4681" w:rsidRDefault="001C4681" w:rsidP="001C4681">
            <w:pPr>
              <w:rPr>
                <w:sz w:val="20"/>
                <w:lang w:eastAsia="en-US"/>
              </w:rPr>
            </w:pPr>
            <w:r w:rsidRPr="001C4681">
              <w:rPr>
                <w:b/>
                <w:sz w:val="20"/>
                <w:lang w:eastAsia="en-US"/>
              </w:rPr>
              <w:t xml:space="preserve">Learning Disabilities </w:t>
            </w:r>
            <w:r w:rsidRPr="001C4681">
              <w:rPr>
                <w:sz w:val="20"/>
                <w:lang w:eastAsia="en-US"/>
              </w:rPr>
              <w:t>services have an 18 week national target to have a first assessment</w:t>
            </w:r>
          </w:p>
          <w:p w14:paraId="4F1556FD" w14:textId="77777777" w:rsidR="001C4681" w:rsidRPr="001C4681" w:rsidRDefault="001C4681" w:rsidP="001C4681">
            <w:pPr>
              <w:rPr>
                <w:sz w:val="20"/>
                <w:lang w:eastAsia="en-US"/>
              </w:rPr>
            </w:pPr>
          </w:p>
          <w:p w14:paraId="00B7044D" w14:textId="77777777" w:rsidR="001C4681" w:rsidRPr="001C4681" w:rsidRDefault="001C4681" w:rsidP="001C4681">
            <w:pPr>
              <w:rPr>
                <w:sz w:val="20"/>
                <w:lang w:eastAsia="en-US"/>
              </w:rPr>
            </w:pPr>
          </w:p>
          <w:p w14:paraId="082CB007" w14:textId="77777777" w:rsidR="001C4681" w:rsidRPr="001C4681" w:rsidRDefault="001C4681" w:rsidP="001C4681">
            <w:pPr>
              <w:rPr>
                <w:sz w:val="20"/>
                <w:lang w:eastAsia="en-US"/>
              </w:rPr>
            </w:pPr>
          </w:p>
          <w:p w14:paraId="3569BCE9" w14:textId="77777777" w:rsidR="001C4681" w:rsidRPr="001C4681" w:rsidRDefault="001C4681" w:rsidP="001C4681">
            <w:pPr>
              <w:rPr>
                <w:sz w:val="20"/>
                <w:lang w:eastAsia="en-US"/>
              </w:rPr>
            </w:pPr>
            <w:r w:rsidRPr="001C4681">
              <w:rPr>
                <w:b/>
                <w:sz w:val="20"/>
                <w:lang w:eastAsia="en-US"/>
              </w:rPr>
              <w:t xml:space="preserve">Autism and ADHD </w:t>
            </w:r>
            <w:r w:rsidRPr="001C4681">
              <w:rPr>
                <w:sz w:val="20"/>
                <w:lang w:eastAsia="en-US"/>
              </w:rPr>
              <w:t>services have a target of 13 weeks for a first assessment in line with the 2025/26 NHS Oversight Framework (NOF)</w:t>
            </w:r>
          </w:p>
          <w:p w14:paraId="3480F6BF" w14:textId="77777777" w:rsidR="001C4681" w:rsidRPr="001C4681" w:rsidRDefault="001C4681" w:rsidP="001C4681">
            <w:pPr>
              <w:pStyle w:val="ListParagraph"/>
              <w:ind w:left="1080"/>
              <w:rPr>
                <w:sz w:val="20"/>
                <w:lang w:eastAsia="en-US"/>
              </w:rPr>
            </w:pPr>
          </w:p>
          <w:p w14:paraId="5286D31B" w14:textId="77777777" w:rsidR="00E07899" w:rsidRPr="001C4681" w:rsidRDefault="00E07899" w:rsidP="00E07899">
            <w:pPr>
              <w:rPr>
                <w:sz w:val="20"/>
                <w:lang w:eastAsia="en-US"/>
              </w:rPr>
            </w:pPr>
          </w:p>
        </w:tc>
      </w:tr>
    </w:tbl>
    <w:p w14:paraId="33BE9B6D" w14:textId="77777777" w:rsidR="00E07899" w:rsidRDefault="00E07899" w:rsidP="00E07899">
      <w:pPr>
        <w:rPr>
          <w:lang w:eastAsia="en-US"/>
        </w:rPr>
      </w:pPr>
    </w:p>
    <w:p w14:paraId="325D8495" w14:textId="77777777" w:rsidR="00E07899" w:rsidRDefault="00E07899" w:rsidP="00E07899">
      <w:pPr>
        <w:rPr>
          <w:lang w:eastAsia="en-US"/>
        </w:rPr>
      </w:pPr>
      <w:r>
        <w:rPr>
          <w:lang w:eastAsia="en-US"/>
        </w:rPr>
        <w:t>Services must be clear about which standard applies to each pathway and follow the appropriate mon</w:t>
      </w:r>
      <w:r w:rsidR="001C4681">
        <w:rPr>
          <w:lang w:eastAsia="en-US"/>
        </w:rPr>
        <w:t xml:space="preserve">itoring and reporting protocols that have been developed locally. </w:t>
      </w:r>
    </w:p>
    <w:p w14:paraId="48B415C1" w14:textId="77777777" w:rsidR="00760923" w:rsidRDefault="00760923" w:rsidP="00E07899">
      <w:pPr>
        <w:rPr>
          <w:lang w:eastAsia="en-US"/>
        </w:rPr>
      </w:pPr>
    </w:p>
    <w:p w14:paraId="3FB36DD9" w14:textId="109E69C9" w:rsidR="00760923" w:rsidRDefault="00760923" w:rsidP="00E07899">
      <w:pPr>
        <w:rPr>
          <w:lang w:eastAsia="en-US"/>
        </w:rPr>
      </w:pPr>
    </w:p>
    <w:p w14:paraId="284CF759" w14:textId="13F16F60" w:rsidR="00FC197F" w:rsidRDefault="00FC197F" w:rsidP="00E07899">
      <w:pPr>
        <w:rPr>
          <w:lang w:eastAsia="en-US"/>
        </w:rPr>
      </w:pPr>
    </w:p>
    <w:p w14:paraId="4262E731" w14:textId="77777777" w:rsidR="00CF3C30" w:rsidRDefault="00CF3C30" w:rsidP="00E07899">
      <w:pPr>
        <w:rPr>
          <w:lang w:eastAsia="en-US"/>
        </w:rPr>
      </w:pPr>
    </w:p>
    <w:p w14:paraId="6FD0BBC7" w14:textId="77777777" w:rsidR="00CF3C30" w:rsidRDefault="00CF3C30" w:rsidP="00E07899">
      <w:pPr>
        <w:rPr>
          <w:lang w:eastAsia="en-US"/>
        </w:rPr>
      </w:pPr>
    </w:p>
    <w:p w14:paraId="304A80CE" w14:textId="77777777" w:rsidR="00FC197F" w:rsidRDefault="00FC197F" w:rsidP="00E07899">
      <w:pPr>
        <w:rPr>
          <w:lang w:eastAsia="en-US"/>
        </w:rPr>
      </w:pPr>
    </w:p>
    <w:p w14:paraId="6189E46A" w14:textId="77777777" w:rsidR="00760923" w:rsidRPr="00DF6542" w:rsidRDefault="00DF6542" w:rsidP="00DF6542">
      <w:pPr>
        <w:pStyle w:val="Heading1"/>
        <w:numPr>
          <w:ilvl w:val="0"/>
          <w:numId w:val="2"/>
        </w:numPr>
        <w:rPr>
          <w:rFonts w:ascii="Arial" w:hAnsi="Arial" w:cs="Arial"/>
          <w:b/>
          <w:color w:val="auto"/>
          <w:sz w:val="24"/>
          <w:szCs w:val="24"/>
        </w:rPr>
      </w:pPr>
      <w:bookmarkStart w:id="14" w:name="_Toc211502264"/>
      <w:r w:rsidRPr="00DF6542">
        <w:rPr>
          <w:rFonts w:ascii="Arial" w:hAnsi="Arial" w:cs="Arial"/>
          <w:b/>
          <w:color w:val="auto"/>
          <w:sz w:val="24"/>
          <w:szCs w:val="24"/>
        </w:rPr>
        <w:lastRenderedPageBreak/>
        <w:t>Principles and Guidance for Managing Access and Waiting Lists</w:t>
      </w:r>
      <w:bookmarkEnd w:id="14"/>
    </w:p>
    <w:p w14:paraId="020C9466" w14:textId="77777777" w:rsidR="00DF6542" w:rsidRDefault="00DF6542" w:rsidP="00DF6542">
      <w:pPr>
        <w:rPr>
          <w:lang w:eastAsia="en-US"/>
        </w:rPr>
      </w:pPr>
    </w:p>
    <w:p w14:paraId="37A5B105" w14:textId="77777777" w:rsidR="00DF6542" w:rsidRDefault="00DF6542" w:rsidP="00DF6542">
      <w:pPr>
        <w:rPr>
          <w:lang w:eastAsia="en-US"/>
        </w:rPr>
      </w:pPr>
      <w:r w:rsidRPr="00DF6542">
        <w:rPr>
          <w:lang w:eastAsia="en-US"/>
        </w:rPr>
        <w:t>East London NHS Foundation Trust (ELFT) is committed to managing access and waiting lists in a way that ensures fairness, clinical safety, operational consistency, and improved patient experience across all services.</w:t>
      </w:r>
    </w:p>
    <w:p w14:paraId="6A84EDD9" w14:textId="77777777" w:rsidR="00DF6542" w:rsidRDefault="00DF6542" w:rsidP="00DF6542">
      <w:pPr>
        <w:rPr>
          <w:lang w:eastAsia="en-US"/>
        </w:rPr>
      </w:pPr>
    </w:p>
    <w:p w14:paraId="08A5974B" w14:textId="77777777" w:rsidR="00DF6542" w:rsidRPr="00DF6542" w:rsidRDefault="00DF6542" w:rsidP="00DF6542">
      <w:pPr>
        <w:pStyle w:val="Heading3"/>
        <w:numPr>
          <w:ilvl w:val="1"/>
          <w:numId w:val="2"/>
        </w:numPr>
        <w:rPr>
          <w:rFonts w:ascii="Arial" w:hAnsi="Arial" w:cs="Arial"/>
          <w:b/>
          <w:color w:val="auto"/>
          <w:lang w:eastAsia="en-US"/>
        </w:rPr>
      </w:pPr>
      <w:bookmarkStart w:id="15" w:name="_Toc211502265"/>
      <w:r w:rsidRPr="00DF6542">
        <w:rPr>
          <w:rFonts w:ascii="Arial" w:hAnsi="Arial" w:cs="Arial"/>
          <w:b/>
          <w:color w:val="auto"/>
          <w:lang w:eastAsia="en-US"/>
        </w:rPr>
        <w:t>Principles for managing access and waiting lists</w:t>
      </w:r>
      <w:bookmarkEnd w:id="15"/>
    </w:p>
    <w:p w14:paraId="53A9DC94" w14:textId="77777777" w:rsidR="00DF6542" w:rsidRDefault="00DF6542" w:rsidP="00DF6542">
      <w:pPr>
        <w:rPr>
          <w:lang w:eastAsia="en-US"/>
        </w:rPr>
      </w:pPr>
    </w:p>
    <w:p w14:paraId="36800CC8" w14:textId="77777777" w:rsidR="00DF6542" w:rsidRDefault="00DF6542" w:rsidP="00DF6542">
      <w:pPr>
        <w:rPr>
          <w:lang w:eastAsia="en-US"/>
        </w:rPr>
      </w:pPr>
      <w:r w:rsidRPr="00DF6542">
        <w:rPr>
          <w:lang w:eastAsia="en-US"/>
        </w:rPr>
        <w:t>This section outlines our guiding principles and vision, which together form the foundation for how referrals, waiting lists, and appointment management should be approached.</w:t>
      </w:r>
    </w:p>
    <w:p w14:paraId="69772786" w14:textId="77777777" w:rsidR="00DF6542" w:rsidRDefault="00DF6542" w:rsidP="00DF6542">
      <w:pPr>
        <w:rPr>
          <w:lang w:eastAsia="en-US"/>
        </w:rPr>
      </w:pPr>
    </w:p>
    <w:p w14:paraId="1B343BD7" w14:textId="77777777" w:rsidR="00DF6542" w:rsidRDefault="00DF6542" w:rsidP="00DF6542">
      <w:pPr>
        <w:rPr>
          <w:lang w:eastAsia="en-US"/>
        </w:rPr>
      </w:pPr>
      <w:r>
        <w:rPr>
          <w:lang w:eastAsia="en-US"/>
        </w:rPr>
        <w:t xml:space="preserve">We aim to: </w:t>
      </w:r>
    </w:p>
    <w:p w14:paraId="3DE859C2" w14:textId="77777777" w:rsidR="00DF6542" w:rsidRDefault="00DF6542" w:rsidP="00DF6542">
      <w:pPr>
        <w:rPr>
          <w:lang w:eastAsia="en-US"/>
        </w:rPr>
      </w:pPr>
    </w:p>
    <w:p w14:paraId="15C8393A" w14:textId="4B9DAF94" w:rsidR="00DF6542" w:rsidRDefault="00DF6542" w:rsidP="00DF6542">
      <w:pPr>
        <w:pStyle w:val="ListParagraph"/>
        <w:numPr>
          <w:ilvl w:val="0"/>
          <w:numId w:val="6"/>
        </w:numPr>
        <w:rPr>
          <w:lang w:eastAsia="en-US"/>
        </w:rPr>
      </w:pPr>
      <w:r>
        <w:rPr>
          <w:lang w:eastAsia="en-US"/>
        </w:rPr>
        <w:t>Ensur</w:t>
      </w:r>
      <w:r w:rsidR="000C0892">
        <w:rPr>
          <w:lang w:eastAsia="en-US"/>
        </w:rPr>
        <w:t xml:space="preserve">e patients are seen in a timely, and risk stratified approach, </w:t>
      </w:r>
      <w:r>
        <w:rPr>
          <w:lang w:eastAsia="en-US"/>
        </w:rPr>
        <w:t>based on clinical need and in chronological order</w:t>
      </w:r>
    </w:p>
    <w:p w14:paraId="3D482011" w14:textId="77777777" w:rsidR="00DF6542" w:rsidRDefault="00DF6542" w:rsidP="00DF6542">
      <w:pPr>
        <w:pStyle w:val="ListParagraph"/>
        <w:ind w:left="1080"/>
        <w:rPr>
          <w:lang w:eastAsia="en-US"/>
        </w:rPr>
      </w:pPr>
    </w:p>
    <w:p w14:paraId="1302F648" w14:textId="77777777" w:rsidR="00DF6542" w:rsidRDefault="00DF6542" w:rsidP="00DF6542">
      <w:pPr>
        <w:pStyle w:val="ListParagraph"/>
        <w:numPr>
          <w:ilvl w:val="0"/>
          <w:numId w:val="6"/>
        </w:numPr>
        <w:rPr>
          <w:lang w:eastAsia="en-US"/>
        </w:rPr>
      </w:pPr>
      <w:r>
        <w:rPr>
          <w:lang w:eastAsia="en-US"/>
        </w:rPr>
        <w:t>Provide a consistent, equitable approach to managing referrals and waiting lists across services</w:t>
      </w:r>
    </w:p>
    <w:p w14:paraId="73AEF448" w14:textId="77777777" w:rsidR="00DF6542" w:rsidRDefault="00DF6542" w:rsidP="00DF6542">
      <w:pPr>
        <w:pStyle w:val="ListParagraph"/>
        <w:rPr>
          <w:lang w:eastAsia="en-US"/>
        </w:rPr>
      </w:pPr>
    </w:p>
    <w:p w14:paraId="19DE5CFA" w14:textId="77777777" w:rsidR="00DF6542" w:rsidRDefault="00DF6542" w:rsidP="00DF6542">
      <w:pPr>
        <w:pStyle w:val="ListParagraph"/>
        <w:numPr>
          <w:ilvl w:val="0"/>
          <w:numId w:val="6"/>
        </w:numPr>
        <w:rPr>
          <w:lang w:eastAsia="en-US"/>
        </w:rPr>
      </w:pPr>
      <w:r>
        <w:rPr>
          <w:lang w:eastAsia="en-US"/>
        </w:rPr>
        <w:t>Reduce delays through proactive scheduling and communication with patients</w:t>
      </w:r>
    </w:p>
    <w:p w14:paraId="02A1AF2D" w14:textId="77777777" w:rsidR="00DF6542" w:rsidRDefault="00DF6542" w:rsidP="00DF6542">
      <w:pPr>
        <w:pStyle w:val="ListParagraph"/>
        <w:rPr>
          <w:lang w:eastAsia="en-US"/>
        </w:rPr>
      </w:pPr>
    </w:p>
    <w:p w14:paraId="0FCA0859" w14:textId="77777777" w:rsidR="00DF6542" w:rsidRDefault="00DF6542" w:rsidP="00DF6542">
      <w:pPr>
        <w:pStyle w:val="ListParagraph"/>
        <w:numPr>
          <w:ilvl w:val="0"/>
          <w:numId w:val="6"/>
        </w:numPr>
        <w:rPr>
          <w:lang w:eastAsia="en-US"/>
        </w:rPr>
      </w:pPr>
      <w:r>
        <w:rPr>
          <w:lang w:eastAsia="en-US"/>
        </w:rPr>
        <w:t>Improve continuity of care by addressing variation in practice and promoting early intervention</w:t>
      </w:r>
    </w:p>
    <w:p w14:paraId="54AEFE3F" w14:textId="77777777" w:rsidR="00DF6542" w:rsidRDefault="00DF6542" w:rsidP="00DF6542">
      <w:pPr>
        <w:pStyle w:val="ListParagraph"/>
        <w:rPr>
          <w:lang w:eastAsia="en-US"/>
        </w:rPr>
      </w:pPr>
    </w:p>
    <w:p w14:paraId="585CA568" w14:textId="77777777" w:rsidR="00DF6542" w:rsidRDefault="00DF6542" w:rsidP="00DF6542">
      <w:pPr>
        <w:pStyle w:val="ListParagraph"/>
        <w:numPr>
          <w:ilvl w:val="0"/>
          <w:numId w:val="6"/>
        </w:numPr>
        <w:rPr>
          <w:lang w:eastAsia="en-US"/>
        </w:rPr>
      </w:pPr>
      <w:r>
        <w:rPr>
          <w:lang w:eastAsia="en-US"/>
        </w:rPr>
        <w:t>Use available capacity effectively so patients are treated in the right place, at the right time</w:t>
      </w:r>
    </w:p>
    <w:p w14:paraId="75425D8C" w14:textId="77777777" w:rsidR="00DF6542" w:rsidRDefault="00DF6542" w:rsidP="00DF6542">
      <w:pPr>
        <w:pStyle w:val="ListParagraph"/>
        <w:rPr>
          <w:lang w:eastAsia="en-US"/>
        </w:rPr>
      </w:pPr>
    </w:p>
    <w:p w14:paraId="0E0BAABD" w14:textId="747253CB" w:rsidR="00DF6542" w:rsidRDefault="00DF6542" w:rsidP="00DF6542">
      <w:pPr>
        <w:pStyle w:val="ListParagraph"/>
        <w:numPr>
          <w:ilvl w:val="0"/>
          <w:numId w:val="6"/>
        </w:numPr>
        <w:rPr>
          <w:lang w:eastAsia="en-US"/>
        </w:rPr>
      </w:pPr>
      <w:r>
        <w:rPr>
          <w:lang w:eastAsia="en-US"/>
        </w:rPr>
        <w:t>Promote transparency in how access decisions are made and how risks are managed</w:t>
      </w:r>
    </w:p>
    <w:p w14:paraId="53767A19" w14:textId="77777777" w:rsidR="000C0892" w:rsidRDefault="000C0892" w:rsidP="000C0892">
      <w:pPr>
        <w:pStyle w:val="ListParagraph"/>
        <w:rPr>
          <w:lang w:eastAsia="en-US"/>
        </w:rPr>
      </w:pPr>
    </w:p>
    <w:p w14:paraId="0BCC5E44" w14:textId="77777777" w:rsidR="00DF6542" w:rsidRDefault="00DF6542" w:rsidP="00DF6542">
      <w:pPr>
        <w:pStyle w:val="ListParagraph"/>
        <w:numPr>
          <w:ilvl w:val="0"/>
          <w:numId w:val="6"/>
        </w:numPr>
        <w:rPr>
          <w:lang w:eastAsia="en-US"/>
        </w:rPr>
      </w:pPr>
      <w:r>
        <w:rPr>
          <w:lang w:eastAsia="en-US"/>
        </w:rPr>
        <w:t>Monitor performance rigorously, including RTT compliance and local targets such as community health RTT KPIs, community urgent care response, and the 4-week community mental health standard</w:t>
      </w:r>
    </w:p>
    <w:p w14:paraId="3A491545" w14:textId="77777777" w:rsidR="00DF6542" w:rsidRDefault="00DF6542" w:rsidP="00DF6542">
      <w:pPr>
        <w:pStyle w:val="ListParagraph"/>
        <w:rPr>
          <w:lang w:eastAsia="en-US"/>
        </w:rPr>
      </w:pPr>
    </w:p>
    <w:p w14:paraId="20C1C53F" w14:textId="77777777" w:rsidR="00DF6542" w:rsidRDefault="00DF6542" w:rsidP="00DF6542">
      <w:pPr>
        <w:pStyle w:val="ListParagraph"/>
        <w:numPr>
          <w:ilvl w:val="0"/>
          <w:numId w:val="6"/>
        </w:numPr>
        <w:rPr>
          <w:lang w:eastAsia="en-US"/>
        </w:rPr>
      </w:pPr>
      <w:r>
        <w:rPr>
          <w:lang w:eastAsia="en-US"/>
        </w:rPr>
        <w:t>Support staff to take ownership of access processes, including proper documentation and timely escalation of concerns</w:t>
      </w:r>
    </w:p>
    <w:p w14:paraId="44B8B8CF" w14:textId="77777777" w:rsidR="00DF6542" w:rsidRDefault="00DF6542" w:rsidP="00DF6542">
      <w:pPr>
        <w:pStyle w:val="ListParagraph"/>
        <w:rPr>
          <w:lang w:eastAsia="en-US"/>
        </w:rPr>
      </w:pPr>
    </w:p>
    <w:p w14:paraId="7D96BC81" w14:textId="77777777" w:rsidR="00DF6542" w:rsidRPr="00DF6542" w:rsidRDefault="00DF6542" w:rsidP="00DF6542">
      <w:pPr>
        <w:pStyle w:val="ListParagraph"/>
        <w:numPr>
          <w:ilvl w:val="0"/>
          <w:numId w:val="6"/>
        </w:numPr>
        <w:rPr>
          <w:lang w:eastAsia="en-US"/>
        </w:rPr>
      </w:pPr>
      <w:r>
        <w:rPr>
          <w:lang w:eastAsia="en-US"/>
        </w:rPr>
        <w:t>Support staff through training and monitoring using existing PowerBI dashboards, reporting tools, and regular performance discussions with leads already in place to support action on waiting times</w:t>
      </w:r>
    </w:p>
    <w:p w14:paraId="1ACAA2DE" w14:textId="77777777" w:rsidR="00760923" w:rsidRDefault="00760923" w:rsidP="00E07899">
      <w:pPr>
        <w:rPr>
          <w:lang w:eastAsia="en-US"/>
        </w:rPr>
      </w:pPr>
    </w:p>
    <w:p w14:paraId="6AD6D7D1" w14:textId="77777777" w:rsidR="00DF6542" w:rsidRDefault="00DF6542" w:rsidP="00E07899">
      <w:pPr>
        <w:rPr>
          <w:lang w:eastAsia="en-US"/>
        </w:rPr>
      </w:pPr>
    </w:p>
    <w:p w14:paraId="4F225D78" w14:textId="77777777" w:rsidR="00760923" w:rsidRDefault="00DF6542" w:rsidP="00E07899">
      <w:pPr>
        <w:rPr>
          <w:lang w:eastAsia="en-US"/>
        </w:rPr>
      </w:pPr>
      <w:r>
        <w:rPr>
          <w:lang w:eastAsia="en-US"/>
        </w:rPr>
        <w:t xml:space="preserve">In line with these principles, service must: </w:t>
      </w:r>
    </w:p>
    <w:p w14:paraId="746897D6" w14:textId="77777777" w:rsidR="00DF6542" w:rsidRDefault="00DF6542" w:rsidP="00E07899">
      <w:pPr>
        <w:rPr>
          <w:lang w:eastAsia="en-US"/>
        </w:rPr>
      </w:pPr>
    </w:p>
    <w:p w14:paraId="6B95E560" w14:textId="3C8D995B" w:rsidR="00DF6542" w:rsidRDefault="00DF6542" w:rsidP="00DF6542">
      <w:pPr>
        <w:pStyle w:val="ListParagraph"/>
        <w:numPr>
          <w:ilvl w:val="0"/>
          <w:numId w:val="6"/>
        </w:numPr>
        <w:rPr>
          <w:lang w:eastAsia="en-US"/>
        </w:rPr>
      </w:pPr>
      <w:r>
        <w:rPr>
          <w:lang w:eastAsia="en-US"/>
        </w:rPr>
        <w:t>Review all referrals against referral criteria; those deemed inappropriate must be returned to the referrer (CCing GP) with clear justification or referred onwards to a more suitable alternative service</w:t>
      </w:r>
    </w:p>
    <w:p w14:paraId="708D7ECC" w14:textId="77777777" w:rsidR="00DF6542" w:rsidRDefault="00DF6542" w:rsidP="00DF6542">
      <w:pPr>
        <w:rPr>
          <w:lang w:eastAsia="en-US"/>
        </w:rPr>
      </w:pPr>
      <w:r>
        <w:rPr>
          <w:lang w:eastAsia="en-US"/>
        </w:rPr>
        <w:t xml:space="preserve"> </w:t>
      </w:r>
    </w:p>
    <w:p w14:paraId="7F4639BD" w14:textId="77777777" w:rsidR="00DF6542" w:rsidRDefault="00DF6542" w:rsidP="00DF6542">
      <w:pPr>
        <w:pStyle w:val="ListParagraph"/>
        <w:numPr>
          <w:ilvl w:val="0"/>
          <w:numId w:val="6"/>
        </w:numPr>
        <w:rPr>
          <w:lang w:eastAsia="en-US"/>
        </w:rPr>
      </w:pPr>
      <w:r>
        <w:rPr>
          <w:lang w:eastAsia="en-US"/>
        </w:rPr>
        <w:t>Use accurate and up-to-date waiting list data to prioritise cases based upon the date the referral was received</w:t>
      </w:r>
    </w:p>
    <w:p w14:paraId="4421FB93" w14:textId="77777777" w:rsidR="00DF6542" w:rsidRDefault="00DF6542" w:rsidP="00DF6542">
      <w:pPr>
        <w:pStyle w:val="ListParagraph"/>
        <w:rPr>
          <w:lang w:eastAsia="en-US"/>
        </w:rPr>
      </w:pPr>
    </w:p>
    <w:p w14:paraId="66BD103D" w14:textId="77777777" w:rsidR="00DF6542" w:rsidRDefault="00DF6542" w:rsidP="00DF6542">
      <w:pPr>
        <w:pStyle w:val="ListParagraph"/>
        <w:numPr>
          <w:ilvl w:val="0"/>
          <w:numId w:val="6"/>
        </w:numPr>
        <w:rPr>
          <w:lang w:eastAsia="en-US"/>
        </w:rPr>
      </w:pPr>
      <w:r>
        <w:rPr>
          <w:lang w:eastAsia="en-US"/>
        </w:rPr>
        <w:t>Apply clear clinical triage processes to distinguish between urgent and routine need</w:t>
      </w:r>
    </w:p>
    <w:p w14:paraId="7E24EC31" w14:textId="77777777" w:rsidR="00DF6542" w:rsidRDefault="00DF6542" w:rsidP="00DF6542">
      <w:pPr>
        <w:pStyle w:val="ListParagraph"/>
        <w:rPr>
          <w:lang w:eastAsia="en-US"/>
        </w:rPr>
      </w:pPr>
    </w:p>
    <w:p w14:paraId="6986138D" w14:textId="64C985CB" w:rsidR="00DF6542" w:rsidRDefault="00DF6542" w:rsidP="00DF6542">
      <w:pPr>
        <w:pStyle w:val="ListParagraph"/>
        <w:numPr>
          <w:ilvl w:val="0"/>
          <w:numId w:val="6"/>
        </w:numPr>
        <w:rPr>
          <w:lang w:eastAsia="en-US"/>
        </w:rPr>
      </w:pPr>
      <w:r>
        <w:rPr>
          <w:lang w:eastAsia="en-US"/>
        </w:rPr>
        <w:lastRenderedPageBreak/>
        <w:t>Engage patients proactively to reduce DNAs and cancellations.</w:t>
      </w:r>
    </w:p>
    <w:p w14:paraId="1643A0BE" w14:textId="77777777" w:rsidR="000C0892" w:rsidRDefault="000C0892" w:rsidP="000C0892">
      <w:pPr>
        <w:pStyle w:val="ListParagraph"/>
        <w:rPr>
          <w:lang w:eastAsia="en-US"/>
        </w:rPr>
      </w:pPr>
    </w:p>
    <w:p w14:paraId="57A8FCE3" w14:textId="7404EEBD" w:rsidR="00DF6542" w:rsidRDefault="00DF6542" w:rsidP="00DF6542">
      <w:pPr>
        <w:pStyle w:val="ListParagraph"/>
        <w:numPr>
          <w:ilvl w:val="0"/>
          <w:numId w:val="6"/>
        </w:numPr>
        <w:rPr>
          <w:lang w:eastAsia="en-US"/>
        </w:rPr>
      </w:pPr>
      <w:r>
        <w:rPr>
          <w:lang w:eastAsia="en-US"/>
        </w:rPr>
        <w:t>Engage referrers to ensure that they are aware of the referral criteria to enable appropriate referrals and impart relevant information to patients and carers at referral stage</w:t>
      </w:r>
    </w:p>
    <w:p w14:paraId="5D5F18B5" w14:textId="77777777" w:rsidR="000C0892" w:rsidRDefault="000C0892" w:rsidP="000C0892">
      <w:pPr>
        <w:pStyle w:val="ListParagraph"/>
        <w:rPr>
          <w:lang w:eastAsia="en-US"/>
        </w:rPr>
      </w:pPr>
    </w:p>
    <w:p w14:paraId="08FA6330" w14:textId="61D4B962" w:rsidR="00DF6542" w:rsidRDefault="000C0892" w:rsidP="004D2732">
      <w:pPr>
        <w:pStyle w:val="ListParagraph"/>
        <w:numPr>
          <w:ilvl w:val="0"/>
          <w:numId w:val="6"/>
        </w:numPr>
        <w:rPr>
          <w:lang w:eastAsia="en-US"/>
        </w:rPr>
      </w:pPr>
      <w:r>
        <w:rPr>
          <w:lang w:eastAsia="en-US"/>
        </w:rPr>
        <w:t xml:space="preserve">Prior to discharging a patient, a multi-disciplinary team (MDT) review must take place to ensure that all aspects of the patient’s care have been considered including clinical stability, ongoing support needs, and the appropriateness of discharge planning. </w:t>
      </w:r>
    </w:p>
    <w:p w14:paraId="78B2EA6B" w14:textId="77777777" w:rsidR="000C0892" w:rsidRDefault="000C0892" w:rsidP="000C0892">
      <w:pPr>
        <w:pStyle w:val="ListParagraph"/>
        <w:rPr>
          <w:lang w:eastAsia="en-US"/>
        </w:rPr>
      </w:pPr>
    </w:p>
    <w:p w14:paraId="08BBF04C" w14:textId="77777777" w:rsidR="00DF6542" w:rsidRDefault="00DF6542" w:rsidP="00DF6542">
      <w:pPr>
        <w:pStyle w:val="ListParagraph"/>
        <w:numPr>
          <w:ilvl w:val="0"/>
          <w:numId w:val="6"/>
        </w:numPr>
        <w:rPr>
          <w:lang w:eastAsia="en-US"/>
        </w:rPr>
      </w:pPr>
      <w:r>
        <w:rPr>
          <w:lang w:eastAsia="en-US"/>
        </w:rPr>
        <w:t>Review trends for inappropriate referrals and engage referrers to enable them to refer appropriately</w:t>
      </w:r>
    </w:p>
    <w:p w14:paraId="2CFE4E81" w14:textId="77777777" w:rsidR="00DF6542" w:rsidRDefault="00DF6542" w:rsidP="00DF6542">
      <w:pPr>
        <w:pStyle w:val="ListParagraph"/>
        <w:rPr>
          <w:lang w:eastAsia="en-US"/>
        </w:rPr>
      </w:pPr>
    </w:p>
    <w:p w14:paraId="33167BDD" w14:textId="27B5F489" w:rsidR="00DF6542" w:rsidRDefault="00DF6542" w:rsidP="00DF6542">
      <w:pPr>
        <w:pStyle w:val="ListParagraph"/>
        <w:numPr>
          <w:ilvl w:val="0"/>
          <w:numId w:val="6"/>
        </w:numPr>
        <w:rPr>
          <w:lang w:eastAsia="en-US"/>
        </w:rPr>
      </w:pPr>
      <w:r>
        <w:rPr>
          <w:lang w:eastAsia="en-US"/>
        </w:rPr>
        <w:t>Conduct harm reviews where patients experience delays, especially breaches of 52 weeks or where risks increase</w:t>
      </w:r>
      <w:r w:rsidR="00C802FA">
        <w:rPr>
          <w:lang w:eastAsia="en-US"/>
        </w:rPr>
        <w:t>. These are typically undertaken by the team holding clinical responsibility for the patient</w:t>
      </w:r>
      <w:r w:rsidR="00C07318">
        <w:rPr>
          <w:lang w:eastAsia="en-US"/>
        </w:rPr>
        <w:t xml:space="preserve"> and help to identify any deterioration in the patient’s condition, missed opportunities for intervention, or increased risks due to delay. </w:t>
      </w:r>
    </w:p>
    <w:p w14:paraId="009A8E54" w14:textId="77777777" w:rsidR="00DF6542" w:rsidRDefault="00DF6542" w:rsidP="00DF6542">
      <w:pPr>
        <w:pStyle w:val="ListParagraph"/>
        <w:rPr>
          <w:lang w:eastAsia="en-US"/>
        </w:rPr>
      </w:pPr>
    </w:p>
    <w:p w14:paraId="4452D31B" w14:textId="77777777" w:rsidR="00DF6542" w:rsidRDefault="00DF6542" w:rsidP="00DF6542">
      <w:pPr>
        <w:pStyle w:val="ListParagraph"/>
        <w:numPr>
          <w:ilvl w:val="0"/>
          <w:numId w:val="6"/>
        </w:numPr>
        <w:rPr>
          <w:lang w:eastAsia="en-US"/>
        </w:rPr>
      </w:pPr>
      <w:r>
        <w:rPr>
          <w:lang w:eastAsia="en-US"/>
        </w:rPr>
        <w:t>Manage DNAs and cancellations in line with clinical risk and safeguarding considerations, not through blanket discharge policies</w:t>
      </w:r>
    </w:p>
    <w:p w14:paraId="38797B31" w14:textId="77777777" w:rsidR="00DF6542" w:rsidRDefault="00DF6542" w:rsidP="00DF6542">
      <w:pPr>
        <w:pStyle w:val="ListParagraph"/>
        <w:rPr>
          <w:lang w:eastAsia="en-US"/>
        </w:rPr>
      </w:pPr>
    </w:p>
    <w:p w14:paraId="2777D793" w14:textId="77777777" w:rsidR="00DF6542" w:rsidRDefault="00DF6542" w:rsidP="00DF6542">
      <w:pPr>
        <w:pStyle w:val="ListParagraph"/>
        <w:numPr>
          <w:ilvl w:val="0"/>
          <w:numId w:val="6"/>
        </w:numPr>
        <w:rPr>
          <w:lang w:eastAsia="en-US"/>
        </w:rPr>
      </w:pPr>
      <w:r>
        <w:rPr>
          <w:lang w:eastAsia="en-US"/>
        </w:rPr>
        <w:t>Forward referrals on to the appropriate service within a Locality where this is possible and inform referrers.</w:t>
      </w:r>
    </w:p>
    <w:p w14:paraId="3B95F4E6" w14:textId="77777777" w:rsidR="00DF6542" w:rsidRDefault="00DF6542" w:rsidP="00E07899">
      <w:pPr>
        <w:rPr>
          <w:lang w:eastAsia="en-US"/>
        </w:rPr>
      </w:pPr>
    </w:p>
    <w:p w14:paraId="02E0F4E0" w14:textId="77777777" w:rsidR="00760923" w:rsidRDefault="00760923" w:rsidP="00760923">
      <w:pPr>
        <w:pStyle w:val="Heading1"/>
        <w:numPr>
          <w:ilvl w:val="0"/>
          <w:numId w:val="2"/>
        </w:numPr>
        <w:rPr>
          <w:rFonts w:ascii="Arial" w:hAnsi="Arial" w:cs="Arial"/>
          <w:b/>
          <w:color w:val="auto"/>
          <w:sz w:val="24"/>
        </w:rPr>
      </w:pPr>
      <w:bookmarkStart w:id="16" w:name="_Toc211502266"/>
      <w:r w:rsidRPr="00DF6542">
        <w:rPr>
          <w:rFonts w:ascii="Arial" w:hAnsi="Arial" w:cs="Arial"/>
          <w:b/>
          <w:color w:val="auto"/>
          <w:sz w:val="24"/>
        </w:rPr>
        <w:t>Referral Management</w:t>
      </w:r>
      <w:bookmarkEnd w:id="16"/>
    </w:p>
    <w:p w14:paraId="0B1ED646" w14:textId="77777777" w:rsidR="00DF6542" w:rsidRDefault="00DF6542" w:rsidP="00DF6542">
      <w:pPr>
        <w:rPr>
          <w:lang w:eastAsia="en-US"/>
        </w:rPr>
      </w:pPr>
    </w:p>
    <w:p w14:paraId="390EE4F1" w14:textId="77777777" w:rsidR="00DF6542" w:rsidRDefault="00DF6542" w:rsidP="00DF6542">
      <w:pPr>
        <w:rPr>
          <w:lang w:eastAsia="en-US"/>
        </w:rPr>
      </w:pPr>
      <w:r>
        <w:rPr>
          <w:lang w:eastAsia="en-US"/>
        </w:rPr>
        <w:t>This section outlines the expectations for managing referrals into ELFT services, ensuring clarify, timeliness, and appropriate clinical triage.</w:t>
      </w:r>
    </w:p>
    <w:p w14:paraId="0B71D427" w14:textId="77777777" w:rsidR="00DF6542" w:rsidRPr="00DF6542" w:rsidRDefault="00DF6542" w:rsidP="00DF6542">
      <w:pPr>
        <w:rPr>
          <w:lang w:eastAsia="en-US"/>
        </w:rPr>
      </w:pPr>
    </w:p>
    <w:p w14:paraId="28E481DC" w14:textId="77777777" w:rsidR="00760923" w:rsidRPr="00DF6542" w:rsidRDefault="00DF6542" w:rsidP="00760923">
      <w:pPr>
        <w:pStyle w:val="Heading3"/>
        <w:numPr>
          <w:ilvl w:val="1"/>
          <w:numId w:val="2"/>
        </w:numPr>
        <w:rPr>
          <w:rFonts w:ascii="Arial" w:hAnsi="Arial" w:cs="Arial"/>
          <w:b/>
          <w:color w:val="auto"/>
          <w:lang w:eastAsia="en-US"/>
        </w:rPr>
      </w:pPr>
      <w:bookmarkStart w:id="17" w:name="_Toc211502267"/>
      <w:r w:rsidRPr="00DF6542">
        <w:rPr>
          <w:rFonts w:ascii="Arial" w:hAnsi="Arial" w:cs="Arial"/>
          <w:b/>
          <w:color w:val="auto"/>
          <w:lang w:eastAsia="en-US"/>
        </w:rPr>
        <w:t>Referral Types Accepted</w:t>
      </w:r>
      <w:bookmarkEnd w:id="17"/>
    </w:p>
    <w:p w14:paraId="61569668" w14:textId="77777777" w:rsidR="00DF6542" w:rsidRDefault="00DF6542" w:rsidP="00DF6542">
      <w:pPr>
        <w:rPr>
          <w:lang w:eastAsia="en-US"/>
        </w:rPr>
      </w:pPr>
    </w:p>
    <w:p w14:paraId="51D50A8B" w14:textId="77777777" w:rsidR="00DF6542" w:rsidRDefault="00DF6542" w:rsidP="00DF6542">
      <w:pPr>
        <w:pStyle w:val="ListParagraph"/>
        <w:numPr>
          <w:ilvl w:val="0"/>
          <w:numId w:val="10"/>
        </w:numPr>
        <w:rPr>
          <w:lang w:eastAsia="en-US"/>
        </w:rPr>
      </w:pPr>
      <w:r>
        <w:rPr>
          <w:lang w:eastAsia="en-US"/>
        </w:rPr>
        <w:t>NHS e-Referrals (ERS)</w:t>
      </w:r>
    </w:p>
    <w:p w14:paraId="75024C83" w14:textId="77777777" w:rsidR="00DF6542" w:rsidRDefault="00DF6542" w:rsidP="00DF6542">
      <w:pPr>
        <w:pStyle w:val="ListParagraph"/>
        <w:numPr>
          <w:ilvl w:val="0"/>
          <w:numId w:val="10"/>
        </w:numPr>
        <w:rPr>
          <w:lang w:eastAsia="en-US"/>
        </w:rPr>
      </w:pPr>
      <w:r>
        <w:rPr>
          <w:lang w:eastAsia="en-US"/>
        </w:rPr>
        <w:t>Paper or email referrals for services not available on ERS</w:t>
      </w:r>
    </w:p>
    <w:p w14:paraId="743E2B82" w14:textId="77777777" w:rsidR="00DF6542" w:rsidRDefault="00DF6542" w:rsidP="00DF6542">
      <w:pPr>
        <w:pStyle w:val="ListParagraph"/>
        <w:numPr>
          <w:ilvl w:val="0"/>
          <w:numId w:val="10"/>
        </w:numPr>
        <w:rPr>
          <w:lang w:eastAsia="en-US"/>
        </w:rPr>
      </w:pPr>
      <w:r>
        <w:rPr>
          <w:lang w:eastAsia="en-US"/>
        </w:rPr>
        <w:t>Inter-provider transfers (IPT)</w:t>
      </w:r>
    </w:p>
    <w:p w14:paraId="1018060D" w14:textId="77777777" w:rsidR="00DF6542" w:rsidRDefault="00DF6542" w:rsidP="00DF6542">
      <w:pPr>
        <w:pStyle w:val="ListParagraph"/>
        <w:numPr>
          <w:ilvl w:val="0"/>
          <w:numId w:val="10"/>
        </w:numPr>
        <w:rPr>
          <w:lang w:eastAsia="en-US"/>
        </w:rPr>
      </w:pPr>
      <w:r>
        <w:rPr>
          <w:lang w:eastAsia="en-US"/>
        </w:rPr>
        <w:t>Internal referrals within ELFT</w:t>
      </w:r>
    </w:p>
    <w:p w14:paraId="04ACE2E3" w14:textId="77777777" w:rsidR="00DF6542" w:rsidRDefault="00DF6542" w:rsidP="00DF6542">
      <w:pPr>
        <w:pStyle w:val="ListParagraph"/>
        <w:numPr>
          <w:ilvl w:val="0"/>
          <w:numId w:val="10"/>
        </w:numPr>
        <w:rPr>
          <w:lang w:eastAsia="en-US"/>
        </w:rPr>
      </w:pPr>
      <w:r>
        <w:rPr>
          <w:lang w:eastAsia="en-US"/>
        </w:rPr>
        <w:t>Transfers from providers outside of ELFT (where appropriate)</w:t>
      </w:r>
    </w:p>
    <w:p w14:paraId="7788E0D9" w14:textId="77777777" w:rsidR="00DF6542" w:rsidRDefault="00DF6542" w:rsidP="00DF6542">
      <w:pPr>
        <w:pStyle w:val="ListParagraph"/>
        <w:numPr>
          <w:ilvl w:val="0"/>
          <w:numId w:val="10"/>
        </w:numPr>
        <w:rPr>
          <w:lang w:eastAsia="en-US"/>
        </w:rPr>
      </w:pPr>
      <w:r>
        <w:rPr>
          <w:lang w:eastAsia="en-US"/>
        </w:rPr>
        <w:t>Self-referrals made either online through the service website or by telephone where in scope (e.g. Talking Therapies and Learning Disability Services)</w:t>
      </w:r>
    </w:p>
    <w:p w14:paraId="5926E27C" w14:textId="77777777" w:rsidR="00DF6542" w:rsidRDefault="00DF6542" w:rsidP="00DF6542">
      <w:pPr>
        <w:rPr>
          <w:lang w:eastAsia="en-US"/>
        </w:rPr>
      </w:pPr>
    </w:p>
    <w:p w14:paraId="43CBA06A" w14:textId="77777777" w:rsidR="00DF6542" w:rsidRPr="00DF6542" w:rsidRDefault="00DF6542" w:rsidP="00DF6542">
      <w:pPr>
        <w:pStyle w:val="Heading3"/>
        <w:numPr>
          <w:ilvl w:val="1"/>
          <w:numId w:val="2"/>
        </w:numPr>
        <w:rPr>
          <w:rFonts w:ascii="Arial" w:hAnsi="Arial" w:cs="Arial"/>
          <w:b/>
          <w:color w:val="auto"/>
          <w:lang w:eastAsia="en-US"/>
        </w:rPr>
      </w:pPr>
      <w:bookmarkStart w:id="18" w:name="_Toc211502268"/>
      <w:r w:rsidRPr="00DF6542">
        <w:rPr>
          <w:rFonts w:ascii="Arial" w:hAnsi="Arial" w:cs="Arial"/>
          <w:b/>
          <w:color w:val="auto"/>
          <w:lang w:eastAsia="en-US"/>
        </w:rPr>
        <w:t>Referral Processes and Governance</w:t>
      </w:r>
      <w:bookmarkEnd w:id="18"/>
    </w:p>
    <w:p w14:paraId="75D5D587" w14:textId="77777777" w:rsidR="00DF6542" w:rsidRDefault="00DF6542" w:rsidP="00DF6542">
      <w:pPr>
        <w:rPr>
          <w:lang w:eastAsia="en-US"/>
        </w:rPr>
      </w:pPr>
    </w:p>
    <w:p w14:paraId="276D7FC6" w14:textId="4E365009" w:rsidR="00DF6542" w:rsidRDefault="00DF6542" w:rsidP="00DF6542">
      <w:pPr>
        <w:pStyle w:val="ListParagraph"/>
        <w:numPr>
          <w:ilvl w:val="0"/>
          <w:numId w:val="13"/>
        </w:numPr>
        <w:jc w:val="both"/>
        <w:rPr>
          <w:lang w:eastAsia="en-US"/>
        </w:rPr>
      </w:pPr>
      <w:r>
        <w:rPr>
          <w:lang w:eastAsia="en-US"/>
        </w:rPr>
        <w:t xml:space="preserve">Referrers will assume the referral has been accepted unless informed otherwise within the timescales defined in the relevant service's Standard Operating Procedure (SOP). In some services, such as those with longer waits, acknowledgement of receipt of referral will be sent, but for services such as in </w:t>
      </w:r>
      <w:r w:rsidR="00C802FA">
        <w:rPr>
          <w:lang w:eastAsia="en-US"/>
        </w:rPr>
        <w:t>N</w:t>
      </w:r>
      <w:r w:rsidR="008B6142">
        <w:rPr>
          <w:lang w:eastAsia="en-US"/>
        </w:rPr>
        <w:t>eighbourhood Mental Health Teams (N</w:t>
      </w:r>
      <w:r>
        <w:rPr>
          <w:lang w:eastAsia="en-US"/>
        </w:rPr>
        <w:t>MHT</w:t>
      </w:r>
      <w:r w:rsidR="008B6142">
        <w:rPr>
          <w:lang w:eastAsia="en-US"/>
        </w:rPr>
        <w:t>)</w:t>
      </w:r>
      <w:r>
        <w:rPr>
          <w:lang w:eastAsia="en-US"/>
        </w:rPr>
        <w:t>, where there are shorter waits, this is not typically done. If the referral is not accepted, a clear explanation must be provided and documented in the patient’s Electronic Patient Record (EPR) and shared with the GP or referrer.</w:t>
      </w:r>
    </w:p>
    <w:p w14:paraId="2ECB9FC7" w14:textId="77777777" w:rsidR="00DF6542" w:rsidRDefault="00DF6542" w:rsidP="00DF6542">
      <w:pPr>
        <w:pStyle w:val="ListParagraph"/>
        <w:jc w:val="both"/>
        <w:rPr>
          <w:lang w:eastAsia="en-US"/>
        </w:rPr>
      </w:pPr>
    </w:p>
    <w:p w14:paraId="54BD6EC2" w14:textId="77777777" w:rsidR="00DF6542" w:rsidRDefault="00DF6542" w:rsidP="00DF6542">
      <w:pPr>
        <w:pStyle w:val="ListParagraph"/>
        <w:numPr>
          <w:ilvl w:val="0"/>
          <w:numId w:val="13"/>
        </w:numPr>
        <w:jc w:val="both"/>
        <w:rPr>
          <w:lang w:eastAsia="en-US"/>
        </w:rPr>
      </w:pPr>
      <w:r>
        <w:rPr>
          <w:lang w:eastAsia="en-US"/>
        </w:rPr>
        <w:lastRenderedPageBreak/>
        <w:t xml:space="preserve">Where referrals lack essential information, the receiving team must request additional details within local SOP-defined timeframes. It is the referrer’s responsibility to respond on time. </w:t>
      </w:r>
    </w:p>
    <w:p w14:paraId="024EDDAD" w14:textId="77777777" w:rsidR="00DF6542" w:rsidRDefault="00DF6542" w:rsidP="00DF6542">
      <w:pPr>
        <w:pStyle w:val="ListParagraph"/>
        <w:jc w:val="both"/>
        <w:rPr>
          <w:lang w:eastAsia="en-US"/>
        </w:rPr>
      </w:pPr>
    </w:p>
    <w:p w14:paraId="269AD71E" w14:textId="77777777" w:rsidR="00DF6542" w:rsidRDefault="00DF6542" w:rsidP="00DF6542">
      <w:pPr>
        <w:pStyle w:val="ListParagraph"/>
        <w:numPr>
          <w:ilvl w:val="0"/>
          <w:numId w:val="13"/>
        </w:numPr>
        <w:jc w:val="both"/>
        <w:rPr>
          <w:lang w:eastAsia="en-US"/>
        </w:rPr>
      </w:pPr>
      <w:r>
        <w:rPr>
          <w:lang w:eastAsia="en-US"/>
        </w:rPr>
        <w:t>Priority or urgent referrals should be managed by service-specific SOPs, which include escalation and triage criteria.</w:t>
      </w:r>
    </w:p>
    <w:p w14:paraId="1D3B6641" w14:textId="77777777" w:rsidR="00DF6542" w:rsidRDefault="00DF6542" w:rsidP="00DF6542">
      <w:pPr>
        <w:ind w:left="360"/>
        <w:jc w:val="both"/>
        <w:rPr>
          <w:lang w:eastAsia="en-US"/>
        </w:rPr>
      </w:pPr>
    </w:p>
    <w:p w14:paraId="0ACE999E" w14:textId="77777777" w:rsidR="00DF6542" w:rsidRDefault="00DF6542" w:rsidP="00DF6542">
      <w:pPr>
        <w:pStyle w:val="ListParagraph"/>
        <w:numPr>
          <w:ilvl w:val="0"/>
          <w:numId w:val="13"/>
        </w:numPr>
        <w:jc w:val="both"/>
        <w:rPr>
          <w:lang w:eastAsia="en-US"/>
        </w:rPr>
      </w:pPr>
      <w:r>
        <w:rPr>
          <w:lang w:eastAsia="en-US"/>
        </w:rPr>
        <w:t xml:space="preserve">For individuals with learning disabilities and/or autism, who have comorbid conditions or behaviours of concern that may require admission, services should use the Dynamic Support Register (DSR) checklist tool—where the person has capacity and provides consent—to support appropriate care coordination and prioritisation.  </w:t>
      </w:r>
    </w:p>
    <w:p w14:paraId="32E7F93F" w14:textId="77777777" w:rsidR="00DF6542" w:rsidRDefault="00DF6542" w:rsidP="00DF6542">
      <w:pPr>
        <w:ind w:left="360"/>
        <w:jc w:val="both"/>
        <w:rPr>
          <w:lang w:eastAsia="en-US"/>
        </w:rPr>
      </w:pPr>
    </w:p>
    <w:p w14:paraId="0851BE3B" w14:textId="77777777" w:rsidR="00DF6542" w:rsidRDefault="00DF6542" w:rsidP="00DF6542">
      <w:pPr>
        <w:pStyle w:val="ListParagraph"/>
        <w:numPr>
          <w:ilvl w:val="0"/>
          <w:numId w:val="13"/>
        </w:numPr>
        <w:jc w:val="both"/>
        <w:rPr>
          <w:lang w:eastAsia="en-US"/>
        </w:rPr>
      </w:pPr>
      <w:r>
        <w:rPr>
          <w:lang w:eastAsia="en-US"/>
        </w:rPr>
        <w:t>An Assertive Outreach Policy is being developed for patients who are referred to this service. This will set out a targeted approach for patients who are harder to reach.</w:t>
      </w:r>
    </w:p>
    <w:p w14:paraId="42FB96D4" w14:textId="77777777" w:rsidR="00DF6542" w:rsidRDefault="00DF6542" w:rsidP="00DF6542">
      <w:pPr>
        <w:ind w:left="360"/>
        <w:jc w:val="both"/>
        <w:rPr>
          <w:lang w:eastAsia="en-US"/>
        </w:rPr>
      </w:pPr>
    </w:p>
    <w:p w14:paraId="48D62219" w14:textId="77777777" w:rsidR="00DF6542" w:rsidRDefault="00DF6542" w:rsidP="00124413">
      <w:pPr>
        <w:pStyle w:val="ListParagraph"/>
        <w:numPr>
          <w:ilvl w:val="0"/>
          <w:numId w:val="13"/>
        </w:numPr>
        <w:jc w:val="both"/>
        <w:rPr>
          <w:lang w:eastAsia="en-US"/>
        </w:rPr>
      </w:pPr>
      <w:r>
        <w:rPr>
          <w:lang w:eastAsia="en-US"/>
        </w:rPr>
        <w:t>Transfers and Transitions of Care from Other Providers – The Trust supports a person-centered transfer of service users from other providers and must be accepted in line with clinical need and eligibility ensuring that appropriate documentation and communication has been received from the referring provider. The receiving service should ensure that care plans, risk assessments and relevant clinical information are reviewed to support a smooth transition. The Trust should apply standard access and waiting time principles unless clinical urgency of local commissioning arrangement say otherwise. Where local procedures or integrated care pathways exist, these must be followed.</w:t>
      </w:r>
    </w:p>
    <w:p w14:paraId="59E7062D" w14:textId="77777777" w:rsidR="00124413" w:rsidRDefault="00124413" w:rsidP="00124413">
      <w:pPr>
        <w:pStyle w:val="ListParagraph"/>
        <w:rPr>
          <w:lang w:eastAsia="en-US"/>
        </w:rPr>
      </w:pPr>
    </w:p>
    <w:p w14:paraId="0EE4D82C" w14:textId="77777777" w:rsidR="00124413" w:rsidRDefault="00124413" w:rsidP="00124413">
      <w:pPr>
        <w:jc w:val="both"/>
        <w:rPr>
          <w:lang w:eastAsia="en-US"/>
        </w:rPr>
      </w:pPr>
    </w:p>
    <w:p w14:paraId="7C45D211" w14:textId="77777777" w:rsidR="00124413" w:rsidRPr="00124413" w:rsidRDefault="00124413" w:rsidP="00124413">
      <w:pPr>
        <w:pStyle w:val="Heading3"/>
        <w:numPr>
          <w:ilvl w:val="1"/>
          <w:numId w:val="2"/>
        </w:numPr>
        <w:rPr>
          <w:rFonts w:ascii="Arial" w:hAnsi="Arial" w:cs="Arial"/>
          <w:b/>
          <w:color w:val="auto"/>
          <w:lang w:eastAsia="en-US"/>
        </w:rPr>
      </w:pPr>
      <w:bookmarkStart w:id="19" w:name="_Toc211502269"/>
      <w:r w:rsidRPr="00124413">
        <w:rPr>
          <w:rFonts w:ascii="Arial" w:hAnsi="Arial" w:cs="Arial"/>
          <w:b/>
          <w:color w:val="auto"/>
          <w:lang w:eastAsia="en-US"/>
        </w:rPr>
        <w:t>Triage Processes</w:t>
      </w:r>
      <w:bookmarkEnd w:id="19"/>
    </w:p>
    <w:p w14:paraId="1D98DE53" w14:textId="77777777" w:rsidR="00124413" w:rsidRDefault="00124413" w:rsidP="00124413">
      <w:pPr>
        <w:rPr>
          <w:lang w:eastAsia="en-US"/>
        </w:rPr>
      </w:pPr>
    </w:p>
    <w:p w14:paraId="0C95CB48" w14:textId="77777777" w:rsidR="00124413" w:rsidRDefault="00124413" w:rsidP="00124413">
      <w:pPr>
        <w:jc w:val="both"/>
        <w:rPr>
          <w:lang w:eastAsia="en-US"/>
        </w:rPr>
      </w:pPr>
      <w:r>
        <w:rPr>
          <w:lang w:eastAsia="en-US"/>
        </w:rPr>
        <w:t xml:space="preserve">All services within the Trust operate a clinical triage process to ensure that referrals are assessed promptly and appropriately based on clinical need. This process is designed to identify the urgency of each referral using the presenting information and any collateral information provided (e.g. from GPs, carers, or other professionals). </w:t>
      </w:r>
    </w:p>
    <w:p w14:paraId="69A43450" w14:textId="77777777" w:rsidR="00124413" w:rsidRDefault="00124413" w:rsidP="00124413">
      <w:pPr>
        <w:jc w:val="both"/>
        <w:rPr>
          <w:lang w:eastAsia="en-US"/>
        </w:rPr>
      </w:pPr>
    </w:p>
    <w:p w14:paraId="5B77D2E1" w14:textId="77777777" w:rsidR="00124413" w:rsidRDefault="00124413" w:rsidP="00124413">
      <w:pPr>
        <w:jc w:val="both"/>
        <w:rPr>
          <w:lang w:eastAsia="en-US"/>
        </w:rPr>
      </w:pPr>
      <w:r>
        <w:rPr>
          <w:lang w:eastAsia="en-US"/>
        </w:rPr>
        <w:t xml:space="preserve">Each service has a local operational policy that outlines how triage is conducted, including: </w:t>
      </w:r>
    </w:p>
    <w:p w14:paraId="1EE1D835" w14:textId="77777777" w:rsidR="00124413" w:rsidRDefault="00124413" w:rsidP="00124413">
      <w:pPr>
        <w:jc w:val="both"/>
        <w:rPr>
          <w:lang w:eastAsia="en-US"/>
        </w:rPr>
      </w:pPr>
    </w:p>
    <w:p w14:paraId="59303442" w14:textId="77777777" w:rsidR="00124413" w:rsidRDefault="00124413" w:rsidP="00124413">
      <w:pPr>
        <w:pStyle w:val="ListParagraph"/>
        <w:numPr>
          <w:ilvl w:val="0"/>
          <w:numId w:val="27"/>
        </w:numPr>
        <w:jc w:val="both"/>
        <w:rPr>
          <w:lang w:eastAsia="en-US"/>
        </w:rPr>
      </w:pPr>
      <w:r>
        <w:rPr>
          <w:lang w:eastAsia="en-US"/>
        </w:rPr>
        <w:t>Criteria for assessing urgency and risk</w:t>
      </w:r>
    </w:p>
    <w:p w14:paraId="29519B00" w14:textId="77777777" w:rsidR="00124413" w:rsidRDefault="00124413" w:rsidP="00124413">
      <w:pPr>
        <w:pStyle w:val="ListParagraph"/>
        <w:numPr>
          <w:ilvl w:val="0"/>
          <w:numId w:val="27"/>
        </w:numPr>
        <w:jc w:val="both"/>
        <w:rPr>
          <w:lang w:eastAsia="en-US"/>
        </w:rPr>
      </w:pPr>
      <w:r>
        <w:rPr>
          <w:lang w:eastAsia="en-US"/>
        </w:rPr>
        <w:t>Timeframes for triage completion</w:t>
      </w:r>
    </w:p>
    <w:p w14:paraId="3AB40C5E" w14:textId="77777777" w:rsidR="00124413" w:rsidRDefault="00124413" w:rsidP="00124413">
      <w:pPr>
        <w:pStyle w:val="ListParagraph"/>
        <w:numPr>
          <w:ilvl w:val="0"/>
          <w:numId w:val="27"/>
        </w:numPr>
        <w:jc w:val="both"/>
        <w:rPr>
          <w:lang w:eastAsia="en-US"/>
        </w:rPr>
      </w:pPr>
      <w:r>
        <w:rPr>
          <w:lang w:eastAsia="en-US"/>
        </w:rPr>
        <w:t>Roles and responsibilities of clinical staff</w:t>
      </w:r>
    </w:p>
    <w:p w14:paraId="284B42EC" w14:textId="77777777" w:rsidR="00124413" w:rsidRDefault="00124413" w:rsidP="00124413">
      <w:pPr>
        <w:pStyle w:val="ListParagraph"/>
        <w:numPr>
          <w:ilvl w:val="0"/>
          <w:numId w:val="27"/>
        </w:numPr>
        <w:jc w:val="both"/>
        <w:rPr>
          <w:lang w:eastAsia="en-US"/>
        </w:rPr>
      </w:pPr>
      <w:r>
        <w:rPr>
          <w:lang w:eastAsia="en-US"/>
        </w:rPr>
        <w:t>Escalation procedures for high-risk cases</w:t>
      </w:r>
    </w:p>
    <w:p w14:paraId="6A532A3A" w14:textId="77777777" w:rsidR="00AC7BA0" w:rsidRDefault="00AC7BA0" w:rsidP="00AC7BA0">
      <w:pPr>
        <w:jc w:val="both"/>
        <w:rPr>
          <w:lang w:eastAsia="en-US"/>
        </w:rPr>
      </w:pPr>
    </w:p>
    <w:p w14:paraId="1387F2C0" w14:textId="77777777" w:rsidR="00AC7BA0" w:rsidRDefault="00AC7BA0" w:rsidP="00AC7BA0">
      <w:pPr>
        <w:jc w:val="both"/>
        <w:rPr>
          <w:lang w:eastAsia="en-US"/>
        </w:rPr>
      </w:pPr>
      <w:r>
        <w:rPr>
          <w:lang w:eastAsia="en-US"/>
        </w:rPr>
        <w:t xml:space="preserve">While the prioritisation criteria varies between services, reflecting the unique clinical risk profiles and needs of their service users, the overarching principle is consistent: to prioritise those at greatest risk or with the most urgent need. </w:t>
      </w:r>
    </w:p>
    <w:p w14:paraId="61787701" w14:textId="77777777" w:rsidR="00AC7BA0" w:rsidRDefault="00AC7BA0" w:rsidP="00AC7BA0">
      <w:pPr>
        <w:jc w:val="both"/>
        <w:rPr>
          <w:lang w:eastAsia="en-US"/>
        </w:rPr>
      </w:pPr>
    </w:p>
    <w:p w14:paraId="657A5799" w14:textId="5AFF792E" w:rsidR="00AC7BA0" w:rsidRDefault="00AC7BA0" w:rsidP="00AC7BA0">
      <w:pPr>
        <w:jc w:val="both"/>
        <w:rPr>
          <w:lang w:eastAsia="en-US"/>
        </w:rPr>
      </w:pPr>
      <w:r>
        <w:rPr>
          <w:lang w:eastAsia="en-US"/>
        </w:rPr>
        <w:t>The following principles should be applie</w:t>
      </w:r>
      <w:r w:rsidR="008B6142">
        <w:rPr>
          <w:lang w:eastAsia="en-US"/>
        </w:rPr>
        <w:t>d</w:t>
      </w:r>
      <w:r>
        <w:rPr>
          <w:lang w:eastAsia="en-US"/>
        </w:rPr>
        <w:t xml:space="preserve"> to all local triage processes: </w:t>
      </w:r>
    </w:p>
    <w:p w14:paraId="217F7A8D" w14:textId="77777777" w:rsidR="00AC7BA0" w:rsidRDefault="00AC7BA0" w:rsidP="00AC7BA0">
      <w:pPr>
        <w:jc w:val="both"/>
        <w:rPr>
          <w:lang w:eastAsia="en-US"/>
        </w:rPr>
      </w:pPr>
    </w:p>
    <w:p w14:paraId="328D3144" w14:textId="77777777" w:rsidR="00AC7BA0" w:rsidRDefault="00AC7BA0" w:rsidP="00AC7BA0">
      <w:pPr>
        <w:pStyle w:val="ListParagraph"/>
        <w:numPr>
          <w:ilvl w:val="0"/>
          <w:numId w:val="28"/>
        </w:numPr>
        <w:jc w:val="both"/>
        <w:rPr>
          <w:lang w:eastAsia="en-US"/>
        </w:rPr>
      </w:pPr>
      <w:r>
        <w:rPr>
          <w:lang w:eastAsia="en-US"/>
        </w:rPr>
        <w:t>Prioritising service users based on clinical risk, urgency and vulnerability</w:t>
      </w:r>
    </w:p>
    <w:p w14:paraId="6DA7C076" w14:textId="576BA4C9" w:rsidR="00AC7BA0" w:rsidRDefault="00AC7BA0" w:rsidP="00AC7BA0">
      <w:pPr>
        <w:pStyle w:val="ListParagraph"/>
        <w:numPr>
          <w:ilvl w:val="0"/>
          <w:numId w:val="28"/>
        </w:numPr>
        <w:jc w:val="both"/>
        <w:rPr>
          <w:lang w:eastAsia="en-US"/>
        </w:rPr>
      </w:pPr>
      <w:r>
        <w:rPr>
          <w:lang w:eastAsia="en-US"/>
        </w:rPr>
        <w:t>Maintaining accurate and up-to-date waiting lists</w:t>
      </w:r>
      <w:r w:rsidR="00C07318">
        <w:rPr>
          <w:lang w:eastAsia="en-US"/>
        </w:rPr>
        <w:t xml:space="preserve"> and triage waiting lists</w:t>
      </w:r>
    </w:p>
    <w:p w14:paraId="578F6900" w14:textId="77777777" w:rsidR="00AC7BA0" w:rsidRDefault="00AC7BA0" w:rsidP="00AC7BA0">
      <w:pPr>
        <w:pStyle w:val="ListParagraph"/>
        <w:numPr>
          <w:ilvl w:val="0"/>
          <w:numId w:val="28"/>
        </w:numPr>
        <w:jc w:val="both"/>
        <w:rPr>
          <w:lang w:eastAsia="en-US"/>
        </w:rPr>
      </w:pPr>
      <w:r>
        <w:rPr>
          <w:lang w:eastAsia="en-US"/>
        </w:rPr>
        <w:t>Documenting triage decisions clearly and consistently</w:t>
      </w:r>
    </w:p>
    <w:p w14:paraId="33BC01D6" w14:textId="77777777" w:rsidR="00AC7BA0" w:rsidRDefault="00AC7BA0" w:rsidP="00AC7BA0">
      <w:pPr>
        <w:pStyle w:val="ListParagraph"/>
        <w:numPr>
          <w:ilvl w:val="0"/>
          <w:numId w:val="28"/>
        </w:numPr>
        <w:jc w:val="both"/>
        <w:rPr>
          <w:lang w:eastAsia="en-US"/>
        </w:rPr>
      </w:pPr>
      <w:r>
        <w:rPr>
          <w:lang w:eastAsia="en-US"/>
        </w:rPr>
        <w:t>Reviewing waiting lists regularly to identify changes in risk or need</w:t>
      </w:r>
    </w:p>
    <w:p w14:paraId="4FFDEA4F" w14:textId="77777777" w:rsidR="00124413" w:rsidRDefault="00124413" w:rsidP="00124413">
      <w:pPr>
        <w:jc w:val="both"/>
        <w:rPr>
          <w:lang w:eastAsia="en-US"/>
        </w:rPr>
      </w:pPr>
    </w:p>
    <w:p w14:paraId="6D2EA191" w14:textId="77777777" w:rsidR="00DF6542" w:rsidRPr="00DF6542" w:rsidRDefault="00DF6542" w:rsidP="00DF6542">
      <w:pPr>
        <w:pStyle w:val="Heading1"/>
        <w:numPr>
          <w:ilvl w:val="0"/>
          <w:numId w:val="2"/>
        </w:numPr>
        <w:rPr>
          <w:rFonts w:ascii="Arial" w:hAnsi="Arial" w:cs="Arial"/>
          <w:b/>
          <w:color w:val="auto"/>
          <w:sz w:val="24"/>
        </w:rPr>
      </w:pPr>
      <w:bookmarkStart w:id="20" w:name="_Toc211502270"/>
      <w:r w:rsidRPr="00DF6542">
        <w:rPr>
          <w:rFonts w:ascii="Arial" w:hAnsi="Arial" w:cs="Arial"/>
          <w:b/>
          <w:color w:val="auto"/>
          <w:sz w:val="24"/>
        </w:rPr>
        <w:lastRenderedPageBreak/>
        <w:t>Appointment Booking and Waiting List Management</w:t>
      </w:r>
      <w:bookmarkEnd w:id="20"/>
    </w:p>
    <w:p w14:paraId="30F932C9" w14:textId="77777777" w:rsidR="00DF6542" w:rsidRDefault="00DF6542" w:rsidP="00DF6542">
      <w:pPr>
        <w:rPr>
          <w:lang w:eastAsia="en-US"/>
        </w:rPr>
      </w:pPr>
    </w:p>
    <w:p w14:paraId="631E0D47" w14:textId="77777777" w:rsidR="00DF6542" w:rsidRDefault="00DF6542" w:rsidP="00DF6542">
      <w:pPr>
        <w:rPr>
          <w:lang w:eastAsia="en-US"/>
        </w:rPr>
      </w:pPr>
      <w:r>
        <w:rPr>
          <w:lang w:eastAsia="en-US"/>
        </w:rPr>
        <w:t>A well-managed waiting list includes:</w:t>
      </w:r>
    </w:p>
    <w:p w14:paraId="12F048D8" w14:textId="77777777" w:rsidR="00DF6542" w:rsidRDefault="00DF6542" w:rsidP="00DF6542">
      <w:pPr>
        <w:rPr>
          <w:lang w:eastAsia="en-US"/>
        </w:rPr>
      </w:pPr>
    </w:p>
    <w:p w14:paraId="10D8E56F" w14:textId="2747AF6B" w:rsidR="00C07318" w:rsidRDefault="00DF6542" w:rsidP="00DF6542">
      <w:pPr>
        <w:pStyle w:val="ListParagraph"/>
        <w:numPr>
          <w:ilvl w:val="0"/>
          <w:numId w:val="10"/>
        </w:numPr>
        <w:rPr>
          <w:lang w:eastAsia="en-US"/>
        </w:rPr>
      </w:pPr>
      <w:r>
        <w:rPr>
          <w:lang w:eastAsia="en-US"/>
        </w:rPr>
        <w:t>Offering a</w:t>
      </w:r>
      <w:r w:rsidR="00C07318">
        <w:rPr>
          <w:lang w:eastAsia="en-US"/>
        </w:rPr>
        <w:t xml:space="preserve"> reasonable appointment date, and where this is not convenient service users can work with the services to find another suitable time</w:t>
      </w:r>
    </w:p>
    <w:p w14:paraId="26798F81" w14:textId="77777777" w:rsidR="00DF6542" w:rsidRDefault="00DF6542" w:rsidP="00DF6542">
      <w:pPr>
        <w:pStyle w:val="ListParagraph"/>
        <w:numPr>
          <w:ilvl w:val="0"/>
          <w:numId w:val="10"/>
        </w:numPr>
        <w:rPr>
          <w:lang w:eastAsia="en-US"/>
        </w:rPr>
      </w:pPr>
      <w:r>
        <w:rPr>
          <w:lang w:eastAsia="en-US"/>
        </w:rPr>
        <w:t>Proactive validation to ensure the list remains current</w:t>
      </w:r>
    </w:p>
    <w:p w14:paraId="2082FE0A" w14:textId="77777777" w:rsidR="00DF6542" w:rsidRDefault="00DF6542" w:rsidP="00DF6542">
      <w:pPr>
        <w:pStyle w:val="ListParagraph"/>
        <w:numPr>
          <w:ilvl w:val="0"/>
          <w:numId w:val="10"/>
        </w:numPr>
        <w:rPr>
          <w:lang w:eastAsia="en-US"/>
        </w:rPr>
      </w:pPr>
      <w:r>
        <w:rPr>
          <w:lang w:eastAsia="en-US"/>
        </w:rPr>
        <w:t>Prioritisation by clinical urgency and waiting time</w:t>
      </w:r>
    </w:p>
    <w:p w14:paraId="5C58859F" w14:textId="77777777" w:rsidR="00DF6542" w:rsidRDefault="00DF6542" w:rsidP="00DF6542">
      <w:pPr>
        <w:pStyle w:val="ListParagraph"/>
        <w:numPr>
          <w:ilvl w:val="0"/>
          <w:numId w:val="10"/>
        </w:numPr>
        <w:rPr>
          <w:lang w:eastAsia="en-US"/>
        </w:rPr>
      </w:pPr>
      <w:r>
        <w:rPr>
          <w:lang w:eastAsia="en-US"/>
        </w:rPr>
        <w:t>Escalation pathways for long waiters and risk cases</w:t>
      </w:r>
    </w:p>
    <w:p w14:paraId="4B0B033F" w14:textId="77777777" w:rsidR="00DF6542" w:rsidRDefault="00DF6542" w:rsidP="00DF6542">
      <w:pPr>
        <w:pStyle w:val="ListParagraph"/>
        <w:numPr>
          <w:ilvl w:val="0"/>
          <w:numId w:val="10"/>
        </w:numPr>
        <w:rPr>
          <w:lang w:eastAsia="en-US"/>
        </w:rPr>
      </w:pPr>
      <w:r>
        <w:rPr>
          <w:lang w:eastAsia="en-US"/>
        </w:rPr>
        <w:t xml:space="preserve">Clear communication with patients at each stage </w:t>
      </w:r>
    </w:p>
    <w:p w14:paraId="0088639A" w14:textId="77777777" w:rsidR="00DF6542" w:rsidRDefault="00DF6542" w:rsidP="00DF6542">
      <w:pPr>
        <w:pStyle w:val="ListParagraph"/>
        <w:numPr>
          <w:ilvl w:val="0"/>
          <w:numId w:val="10"/>
        </w:numPr>
        <w:rPr>
          <w:lang w:eastAsia="en-US"/>
        </w:rPr>
      </w:pPr>
      <w:r>
        <w:rPr>
          <w:lang w:eastAsia="en-US"/>
        </w:rPr>
        <w:t>Appropriate offer of reasonable adjustments</w:t>
      </w:r>
    </w:p>
    <w:p w14:paraId="0B61CB03" w14:textId="77777777" w:rsidR="00DF6542" w:rsidRDefault="00DF6542" w:rsidP="00DF6542">
      <w:pPr>
        <w:rPr>
          <w:lang w:eastAsia="en-US"/>
        </w:rPr>
      </w:pPr>
    </w:p>
    <w:p w14:paraId="41B5F12E" w14:textId="77777777" w:rsidR="00DF6542" w:rsidRPr="00AF7950" w:rsidRDefault="00DF6542" w:rsidP="00DF6542">
      <w:pPr>
        <w:pStyle w:val="Heading3"/>
        <w:numPr>
          <w:ilvl w:val="1"/>
          <w:numId w:val="2"/>
        </w:numPr>
        <w:rPr>
          <w:rFonts w:ascii="Arial" w:hAnsi="Arial" w:cs="Arial"/>
          <w:b/>
          <w:color w:val="auto"/>
          <w:lang w:eastAsia="en-US"/>
        </w:rPr>
      </w:pPr>
      <w:bookmarkStart w:id="21" w:name="_Toc211502271"/>
      <w:r w:rsidRPr="00AF7950">
        <w:rPr>
          <w:rFonts w:ascii="Arial" w:hAnsi="Arial" w:cs="Arial"/>
          <w:b/>
          <w:color w:val="auto"/>
          <w:lang w:eastAsia="en-US"/>
        </w:rPr>
        <w:t>Booking and Managing Appointments</w:t>
      </w:r>
      <w:bookmarkEnd w:id="21"/>
    </w:p>
    <w:p w14:paraId="7BF254CD" w14:textId="77777777" w:rsidR="00DF6542" w:rsidRDefault="00DF6542" w:rsidP="00DF6542">
      <w:pPr>
        <w:rPr>
          <w:lang w:eastAsia="en-US"/>
        </w:rPr>
      </w:pPr>
    </w:p>
    <w:p w14:paraId="1AAC31F6" w14:textId="77777777" w:rsidR="00DF6542" w:rsidRPr="00AF7950" w:rsidRDefault="00DF6542" w:rsidP="00AF7950">
      <w:pPr>
        <w:jc w:val="both"/>
        <w:rPr>
          <w:u w:val="single"/>
          <w:lang w:eastAsia="en-US"/>
        </w:rPr>
      </w:pPr>
      <w:r w:rsidRPr="00AF7950">
        <w:rPr>
          <w:u w:val="single"/>
          <w:lang w:eastAsia="en-US"/>
        </w:rPr>
        <w:t>Making Appointments:</w:t>
      </w:r>
    </w:p>
    <w:p w14:paraId="5B057D03" w14:textId="77777777" w:rsidR="00DF6542" w:rsidRDefault="00DF6542" w:rsidP="00AF7950">
      <w:pPr>
        <w:jc w:val="both"/>
        <w:rPr>
          <w:lang w:eastAsia="en-US"/>
        </w:rPr>
      </w:pPr>
    </w:p>
    <w:p w14:paraId="7C99C356" w14:textId="77777777" w:rsidR="00DF6542" w:rsidRDefault="00DF6542" w:rsidP="00AF7950">
      <w:pPr>
        <w:pStyle w:val="ListParagraph"/>
        <w:numPr>
          <w:ilvl w:val="0"/>
          <w:numId w:val="10"/>
        </w:numPr>
        <w:jc w:val="both"/>
        <w:rPr>
          <w:lang w:eastAsia="en-US"/>
        </w:rPr>
      </w:pPr>
      <w:r>
        <w:rPr>
          <w:lang w:eastAsia="en-US"/>
        </w:rPr>
        <w:t>Patients will be offered appointments via call, SMS, or letter.</w:t>
      </w:r>
    </w:p>
    <w:p w14:paraId="31E7C5FC" w14:textId="77777777" w:rsidR="00DF6542" w:rsidRDefault="00DF6542" w:rsidP="00AF7950">
      <w:pPr>
        <w:pStyle w:val="ListParagraph"/>
        <w:numPr>
          <w:ilvl w:val="0"/>
          <w:numId w:val="10"/>
        </w:numPr>
        <w:jc w:val="both"/>
        <w:rPr>
          <w:lang w:eastAsia="en-US"/>
        </w:rPr>
      </w:pPr>
      <w:r>
        <w:rPr>
          <w:lang w:eastAsia="en-US"/>
        </w:rPr>
        <w:t>Appointments are scheduled based on clinical priority and RTT timelines</w:t>
      </w:r>
    </w:p>
    <w:p w14:paraId="23A3253F" w14:textId="77777777" w:rsidR="00DF6542" w:rsidRDefault="00DF6542" w:rsidP="00AF7950">
      <w:pPr>
        <w:jc w:val="both"/>
        <w:rPr>
          <w:lang w:eastAsia="en-US"/>
        </w:rPr>
      </w:pPr>
    </w:p>
    <w:p w14:paraId="44D8AD6A" w14:textId="77777777" w:rsidR="00DF6542" w:rsidRPr="00AF7950" w:rsidRDefault="00DF6542" w:rsidP="00AF7950">
      <w:pPr>
        <w:jc w:val="both"/>
        <w:rPr>
          <w:u w:val="single"/>
          <w:lang w:eastAsia="en-US"/>
        </w:rPr>
      </w:pPr>
      <w:r w:rsidRPr="00AF7950">
        <w:rPr>
          <w:u w:val="single"/>
          <w:lang w:eastAsia="en-US"/>
        </w:rPr>
        <w:t>Reasonable Notice:</w:t>
      </w:r>
    </w:p>
    <w:p w14:paraId="478198F1" w14:textId="77777777" w:rsidR="00AF7950" w:rsidRDefault="00AF7950" w:rsidP="00AF7950">
      <w:pPr>
        <w:jc w:val="both"/>
        <w:rPr>
          <w:lang w:eastAsia="en-US"/>
        </w:rPr>
      </w:pPr>
    </w:p>
    <w:p w14:paraId="51D542CC" w14:textId="77777777" w:rsidR="00AF7950" w:rsidRDefault="00DF6542" w:rsidP="00AF7950">
      <w:pPr>
        <w:pStyle w:val="ListParagraph"/>
        <w:numPr>
          <w:ilvl w:val="0"/>
          <w:numId w:val="10"/>
        </w:numPr>
        <w:jc w:val="both"/>
        <w:rPr>
          <w:lang w:eastAsia="en-US"/>
        </w:rPr>
      </w:pPr>
      <w:r>
        <w:rPr>
          <w:lang w:eastAsia="en-US"/>
        </w:rPr>
        <w:t>ELFT aims to provide at least three weeks’ no</w:t>
      </w:r>
      <w:r w:rsidR="00AF7950">
        <w:rPr>
          <w:lang w:eastAsia="en-US"/>
        </w:rPr>
        <w:t>tice for routine appointments</w:t>
      </w:r>
      <w:r>
        <w:rPr>
          <w:lang w:eastAsia="en-US"/>
        </w:rPr>
        <w:t xml:space="preserve"> </w:t>
      </w:r>
    </w:p>
    <w:p w14:paraId="7D705F80" w14:textId="0197F3D2" w:rsidR="00DF6542" w:rsidRDefault="00DE28FC" w:rsidP="00AF7950">
      <w:pPr>
        <w:pStyle w:val="ListParagraph"/>
        <w:numPr>
          <w:ilvl w:val="0"/>
          <w:numId w:val="10"/>
        </w:numPr>
        <w:jc w:val="both"/>
        <w:rPr>
          <w:lang w:eastAsia="en-US"/>
        </w:rPr>
      </w:pPr>
      <w:r>
        <w:rPr>
          <w:lang w:eastAsia="en-US"/>
        </w:rPr>
        <w:t xml:space="preserve">Notice periods will be shorter where timeframes for appointments are under 4 weeks and be subject to local variation </w:t>
      </w:r>
    </w:p>
    <w:p w14:paraId="5B0CB812" w14:textId="77777777" w:rsidR="00AF7950" w:rsidRDefault="00AF7950" w:rsidP="00AF7950">
      <w:pPr>
        <w:pStyle w:val="ListParagraph"/>
        <w:ind w:left="1080"/>
        <w:jc w:val="both"/>
        <w:rPr>
          <w:lang w:eastAsia="en-US"/>
        </w:rPr>
      </w:pPr>
    </w:p>
    <w:p w14:paraId="11FE6D13" w14:textId="77777777" w:rsidR="00DF6542" w:rsidRPr="00AF7950" w:rsidRDefault="00DF6542" w:rsidP="00AF7950">
      <w:pPr>
        <w:jc w:val="both"/>
        <w:rPr>
          <w:u w:val="single"/>
          <w:lang w:eastAsia="en-US"/>
        </w:rPr>
      </w:pPr>
      <w:r w:rsidRPr="00AF7950">
        <w:rPr>
          <w:u w:val="single"/>
          <w:lang w:eastAsia="en-US"/>
        </w:rPr>
        <w:t>Cancellation &amp; Rearrangement:</w:t>
      </w:r>
    </w:p>
    <w:p w14:paraId="68AB1FE8" w14:textId="77777777" w:rsidR="00AF7950" w:rsidRDefault="00AF7950" w:rsidP="00AF7950">
      <w:pPr>
        <w:jc w:val="both"/>
        <w:rPr>
          <w:lang w:eastAsia="en-US"/>
        </w:rPr>
      </w:pPr>
    </w:p>
    <w:p w14:paraId="07F3F55B" w14:textId="206EEA2C" w:rsidR="00DF6542" w:rsidRDefault="00DF6542" w:rsidP="00AF7950">
      <w:pPr>
        <w:pStyle w:val="ListParagraph"/>
        <w:numPr>
          <w:ilvl w:val="0"/>
          <w:numId w:val="10"/>
        </w:numPr>
        <w:jc w:val="both"/>
        <w:rPr>
          <w:lang w:eastAsia="en-US"/>
        </w:rPr>
      </w:pPr>
      <w:r>
        <w:rPr>
          <w:lang w:eastAsia="en-US"/>
        </w:rPr>
        <w:t xml:space="preserve">One cancellation is </w:t>
      </w:r>
      <w:r w:rsidR="00DE28FC">
        <w:rPr>
          <w:lang w:eastAsia="en-US"/>
        </w:rPr>
        <w:t>typically permitted, but service users are encouraged to provide at least 24 hours’ notice when cancelling appointments, where possible</w:t>
      </w:r>
    </w:p>
    <w:p w14:paraId="35185104" w14:textId="77777777" w:rsidR="00AF7950" w:rsidRDefault="00DF6542" w:rsidP="00AF7950">
      <w:pPr>
        <w:pStyle w:val="ListParagraph"/>
        <w:numPr>
          <w:ilvl w:val="0"/>
          <w:numId w:val="10"/>
        </w:numPr>
        <w:jc w:val="both"/>
        <w:rPr>
          <w:lang w:eastAsia="en-US"/>
        </w:rPr>
      </w:pPr>
      <w:r>
        <w:rPr>
          <w:lang w:eastAsia="en-US"/>
        </w:rPr>
        <w:t>Further cancellations may result in discharge, following clinical review</w:t>
      </w:r>
    </w:p>
    <w:p w14:paraId="00E8DFB2" w14:textId="77777777" w:rsidR="00DF6542" w:rsidRDefault="00DF6542" w:rsidP="00AF7950">
      <w:pPr>
        <w:pStyle w:val="ListParagraph"/>
        <w:ind w:left="1080"/>
        <w:jc w:val="both"/>
        <w:rPr>
          <w:lang w:eastAsia="en-US"/>
        </w:rPr>
      </w:pPr>
      <w:r>
        <w:rPr>
          <w:lang w:eastAsia="en-US"/>
        </w:rPr>
        <w:t xml:space="preserve"> </w:t>
      </w:r>
    </w:p>
    <w:p w14:paraId="00DA6FF5" w14:textId="77777777" w:rsidR="00DF6542" w:rsidRDefault="00DF6542" w:rsidP="00AF7950">
      <w:pPr>
        <w:jc w:val="both"/>
        <w:rPr>
          <w:lang w:eastAsia="en-US"/>
        </w:rPr>
      </w:pPr>
      <w:r>
        <w:rPr>
          <w:lang w:eastAsia="en-US"/>
        </w:rPr>
        <w:t>It is important to consider whether appropriate reasonable adjustments have been made or should be considered, for example for service users with a learning disability of Autism.</w:t>
      </w:r>
    </w:p>
    <w:p w14:paraId="5705B7A3" w14:textId="77777777" w:rsidR="00AF7950" w:rsidRDefault="00AF7950" w:rsidP="00AF7950">
      <w:pPr>
        <w:jc w:val="both"/>
        <w:rPr>
          <w:lang w:eastAsia="en-US"/>
        </w:rPr>
      </w:pPr>
    </w:p>
    <w:p w14:paraId="1162BEF2" w14:textId="77777777" w:rsidR="00DF6542" w:rsidRPr="00AF7950" w:rsidRDefault="00DF6542" w:rsidP="00AF7950">
      <w:pPr>
        <w:jc w:val="both"/>
        <w:rPr>
          <w:u w:val="single"/>
          <w:lang w:eastAsia="en-US"/>
        </w:rPr>
      </w:pPr>
      <w:r w:rsidRPr="00AF7950">
        <w:rPr>
          <w:u w:val="single"/>
          <w:lang w:eastAsia="en-US"/>
        </w:rPr>
        <w:t>Service-Initiated Cancellations:</w:t>
      </w:r>
    </w:p>
    <w:p w14:paraId="1444032A" w14:textId="77777777" w:rsidR="00AF7950" w:rsidRDefault="00AF7950" w:rsidP="00AF7950">
      <w:pPr>
        <w:jc w:val="both"/>
        <w:rPr>
          <w:lang w:eastAsia="en-US"/>
        </w:rPr>
      </w:pPr>
    </w:p>
    <w:p w14:paraId="103A0D0C" w14:textId="4C346027" w:rsidR="00DF6542" w:rsidRDefault="00DF6542" w:rsidP="00AF7950">
      <w:pPr>
        <w:pStyle w:val="ListParagraph"/>
        <w:numPr>
          <w:ilvl w:val="0"/>
          <w:numId w:val="10"/>
        </w:numPr>
        <w:jc w:val="both"/>
        <w:rPr>
          <w:lang w:eastAsia="en-US"/>
        </w:rPr>
      </w:pPr>
      <w:r>
        <w:rPr>
          <w:lang w:eastAsia="en-US"/>
        </w:rPr>
        <w:t>Appointments cancelled by the Trust</w:t>
      </w:r>
      <w:r w:rsidR="00DE28FC">
        <w:rPr>
          <w:lang w:eastAsia="en-US"/>
        </w:rPr>
        <w:t xml:space="preserve"> should aim to be rebooked within 72 hours of the original date. However, we recognise that this may not always be feasible due to clinical availability or unforeseen circumstances. Please note, that cancellations by the Trust do not typically affect the RTA or RTT clock in most services, uncles specified by local commissioning arrangements. </w:t>
      </w:r>
    </w:p>
    <w:p w14:paraId="1E132DF9" w14:textId="77777777" w:rsidR="00AF7950" w:rsidRDefault="00AF7950" w:rsidP="00AF7950">
      <w:pPr>
        <w:jc w:val="both"/>
        <w:rPr>
          <w:lang w:eastAsia="en-US"/>
        </w:rPr>
      </w:pPr>
    </w:p>
    <w:p w14:paraId="60D76E2A" w14:textId="77777777" w:rsidR="00AF7950" w:rsidRPr="00AF7950" w:rsidRDefault="00AF7950" w:rsidP="00AF7950">
      <w:pPr>
        <w:pStyle w:val="Heading3"/>
        <w:numPr>
          <w:ilvl w:val="1"/>
          <w:numId w:val="2"/>
        </w:numPr>
        <w:rPr>
          <w:rFonts w:ascii="Arial" w:hAnsi="Arial" w:cs="Arial"/>
          <w:b/>
          <w:color w:val="auto"/>
          <w:lang w:eastAsia="en-US"/>
        </w:rPr>
      </w:pPr>
      <w:bookmarkStart w:id="22" w:name="_Toc211502272"/>
      <w:r w:rsidRPr="00AF7950">
        <w:rPr>
          <w:rFonts w:ascii="Arial" w:hAnsi="Arial" w:cs="Arial"/>
          <w:b/>
          <w:color w:val="auto"/>
          <w:lang w:eastAsia="en-US"/>
        </w:rPr>
        <w:t>Did Not Attend (DNA)</w:t>
      </w:r>
      <w:bookmarkEnd w:id="22"/>
    </w:p>
    <w:p w14:paraId="43AA30C0" w14:textId="77777777" w:rsidR="00AF7950" w:rsidRPr="00AF7950" w:rsidRDefault="00AF7950" w:rsidP="00AF7950">
      <w:pPr>
        <w:rPr>
          <w:lang w:eastAsia="en-US"/>
        </w:rPr>
      </w:pPr>
    </w:p>
    <w:p w14:paraId="731D1A60" w14:textId="77777777" w:rsidR="00AF7950" w:rsidRDefault="00AF7950" w:rsidP="00AF7950">
      <w:pPr>
        <w:jc w:val="both"/>
        <w:rPr>
          <w:lang w:eastAsia="en-US"/>
        </w:rPr>
      </w:pPr>
      <w:r w:rsidRPr="00AF7950">
        <w:rPr>
          <w:u w:val="single"/>
          <w:lang w:eastAsia="en-US"/>
        </w:rPr>
        <w:t>Definition</w:t>
      </w:r>
      <w:r>
        <w:rPr>
          <w:lang w:eastAsia="en-US"/>
        </w:rPr>
        <w:t>: Missing a booked appointment without providing prior notice.</w:t>
      </w:r>
    </w:p>
    <w:p w14:paraId="3E89D2E8" w14:textId="77777777" w:rsidR="00AF7950" w:rsidRDefault="00AF7950" w:rsidP="00AF7950">
      <w:pPr>
        <w:jc w:val="both"/>
        <w:rPr>
          <w:lang w:eastAsia="en-US"/>
        </w:rPr>
      </w:pPr>
    </w:p>
    <w:p w14:paraId="486CD5D6" w14:textId="77777777" w:rsidR="00AF7950" w:rsidRDefault="00AF7950" w:rsidP="00AF7950">
      <w:pPr>
        <w:jc w:val="both"/>
        <w:rPr>
          <w:u w:val="single"/>
          <w:lang w:eastAsia="en-US"/>
        </w:rPr>
      </w:pPr>
      <w:r w:rsidRPr="00AF7950">
        <w:rPr>
          <w:u w:val="single"/>
          <w:lang w:eastAsia="en-US"/>
        </w:rPr>
        <w:t>Did Not Attend (DNA) Management</w:t>
      </w:r>
    </w:p>
    <w:p w14:paraId="12545E7E" w14:textId="77777777" w:rsidR="00AF7950" w:rsidRPr="00AF7950" w:rsidRDefault="00AF7950" w:rsidP="00AF7950">
      <w:pPr>
        <w:jc w:val="both"/>
        <w:rPr>
          <w:u w:val="single"/>
          <w:lang w:eastAsia="en-US"/>
        </w:rPr>
      </w:pPr>
    </w:p>
    <w:p w14:paraId="49B9C2E4" w14:textId="77777777" w:rsidR="00AF7950" w:rsidRDefault="00AF7950" w:rsidP="00AF7950">
      <w:pPr>
        <w:pStyle w:val="ListParagraph"/>
        <w:numPr>
          <w:ilvl w:val="0"/>
          <w:numId w:val="10"/>
        </w:numPr>
        <w:jc w:val="both"/>
        <w:rPr>
          <w:lang w:eastAsia="en-US"/>
        </w:rPr>
      </w:pPr>
      <w:r>
        <w:rPr>
          <w:lang w:eastAsia="en-US"/>
        </w:rPr>
        <w:t>A DNA is when a patient does not attend an appointment without providing notice.</w:t>
      </w:r>
    </w:p>
    <w:p w14:paraId="76768ABA" w14:textId="77777777" w:rsidR="00AF7950" w:rsidRDefault="00AF7950" w:rsidP="00AF7950">
      <w:pPr>
        <w:pStyle w:val="ListParagraph"/>
        <w:numPr>
          <w:ilvl w:val="0"/>
          <w:numId w:val="10"/>
        </w:numPr>
        <w:jc w:val="both"/>
        <w:rPr>
          <w:lang w:eastAsia="en-US"/>
        </w:rPr>
      </w:pPr>
      <w:r>
        <w:rPr>
          <w:lang w:eastAsia="en-US"/>
        </w:rPr>
        <w:t>First DNA triggers contact and risk assessment.</w:t>
      </w:r>
    </w:p>
    <w:p w14:paraId="3CB502F9" w14:textId="77777777" w:rsidR="00AF7950" w:rsidRDefault="00AF7950" w:rsidP="00AF7950">
      <w:pPr>
        <w:pStyle w:val="ListParagraph"/>
        <w:numPr>
          <w:ilvl w:val="0"/>
          <w:numId w:val="10"/>
        </w:numPr>
        <w:jc w:val="both"/>
        <w:rPr>
          <w:lang w:eastAsia="en-US"/>
        </w:rPr>
      </w:pPr>
      <w:r>
        <w:rPr>
          <w:lang w:eastAsia="en-US"/>
        </w:rPr>
        <w:t>Second or repeated DNAs require clinical review and may result in discharge.</w:t>
      </w:r>
    </w:p>
    <w:p w14:paraId="073FD89C" w14:textId="3FB1EC8A" w:rsidR="00AF7950" w:rsidRDefault="00AF7950" w:rsidP="00AF7950">
      <w:pPr>
        <w:pStyle w:val="ListParagraph"/>
        <w:numPr>
          <w:ilvl w:val="0"/>
          <w:numId w:val="10"/>
        </w:numPr>
        <w:jc w:val="both"/>
        <w:rPr>
          <w:lang w:eastAsia="en-US"/>
        </w:rPr>
      </w:pPr>
      <w:r>
        <w:rPr>
          <w:lang w:eastAsia="en-US"/>
        </w:rPr>
        <w:t xml:space="preserve">Vulnerable individuals must not be discharged without appropriate safeguarding </w:t>
      </w:r>
      <w:r w:rsidR="00CF3C30">
        <w:rPr>
          <w:lang w:eastAsia="en-US"/>
        </w:rPr>
        <w:t>checks and</w:t>
      </w:r>
      <w:r>
        <w:rPr>
          <w:lang w:eastAsia="en-US"/>
        </w:rPr>
        <w:t xml:space="preserve"> consideration of reasonable adjustments</w:t>
      </w:r>
    </w:p>
    <w:p w14:paraId="37659D75" w14:textId="77777777" w:rsidR="00AF7950" w:rsidRDefault="00AF7950" w:rsidP="00AF7950">
      <w:pPr>
        <w:jc w:val="both"/>
        <w:rPr>
          <w:lang w:eastAsia="en-US"/>
        </w:rPr>
      </w:pPr>
    </w:p>
    <w:p w14:paraId="5056619A" w14:textId="77777777" w:rsidR="00AF7950" w:rsidRDefault="00AF7950" w:rsidP="00AF7950">
      <w:pPr>
        <w:jc w:val="both"/>
        <w:rPr>
          <w:u w:val="single"/>
          <w:lang w:eastAsia="en-US"/>
        </w:rPr>
      </w:pPr>
      <w:r w:rsidRPr="00AF7950">
        <w:rPr>
          <w:u w:val="single"/>
          <w:lang w:eastAsia="en-US"/>
        </w:rPr>
        <w:lastRenderedPageBreak/>
        <w:t>First DNA:</w:t>
      </w:r>
    </w:p>
    <w:p w14:paraId="1CEB3175" w14:textId="77777777" w:rsidR="00AF7950" w:rsidRPr="00AF7950" w:rsidRDefault="00AF7950" w:rsidP="00AF7950">
      <w:pPr>
        <w:jc w:val="both"/>
        <w:rPr>
          <w:u w:val="single"/>
          <w:lang w:eastAsia="en-US"/>
        </w:rPr>
      </w:pPr>
    </w:p>
    <w:p w14:paraId="05D5072F" w14:textId="77777777" w:rsidR="00AF7950" w:rsidRDefault="00AF7950" w:rsidP="00AF7950">
      <w:pPr>
        <w:pStyle w:val="ListParagraph"/>
        <w:numPr>
          <w:ilvl w:val="0"/>
          <w:numId w:val="10"/>
        </w:numPr>
        <w:jc w:val="both"/>
        <w:rPr>
          <w:lang w:eastAsia="en-US"/>
        </w:rPr>
      </w:pPr>
      <w:r>
        <w:rPr>
          <w:lang w:eastAsia="en-US"/>
        </w:rPr>
        <w:t>A review will be conducted to assess any clinical risks.</w:t>
      </w:r>
    </w:p>
    <w:p w14:paraId="588159F5" w14:textId="77777777" w:rsidR="00AF7950" w:rsidRDefault="00AF7950" w:rsidP="00AF7950">
      <w:pPr>
        <w:pStyle w:val="ListParagraph"/>
        <w:numPr>
          <w:ilvl w:val="0"/>
          <w:numId w:val="10"/>
        </w:numPr>
        <w:jc w:val="both"/>
        <w:rPr>
          <w:lang w:eastAsia="en-US"/>
        </w:rPr>
      </w:pPr>
      <w:r>
        <w:rPr>
          <w:lang w:eastAsia="en-US"/>
        </w:rPr>
        <w:t>Patients may be rebooked or discharged, depending on clinical need</w:t>
      </w:r>
    </w:p>
    <w:p w14:paraId="7564FB92" w14:textId="77777777" w:rsidR="00AF7950" w:rsidRDefault="00AF7950" w:rsidP="00AF7950">
      <w:pPr>
        <w:jc w:val="both"/>
        <w:rPr>
          <w:lang w:eastAsia="en-US"/>
        </w:rPr>
      </w:pPr>
    </w:p>
    <w:p w14:paraId="3E13FBA3" w14:textId="77777777" w:rsidR="00AF7950" w:rsidRDefault="00AF7950" w:rsidP="00AF7950">
      <w:pPr>
        <w:jc w:val="both"/>
        <w:rPr>
          <w:u w:val="single"/>
          <w:lang w:eastAsia="en-US"/>
        </w:rPr>
      </w:pPr>
      <w:r w:rsidRPr="00AF7950">
        <w:rPr>
          <w:u w:val="single"/>
          <w:lang w:eastAsia="en-US"/>
        </w:rPr>
        <w:t>Repeated DNAs (2 or more):</w:t>
      </w:r>
    </w:p>
    <w:p w14:paraId="1FA96FC3" w14:textId="77777777" w:rsidR="00AF7950" w:rsidRPr="00AF7950" w:rsidRDefault="00AF7950" w:rsidP="00AF7950">
      <w:pPr>
        <w:jc w:val="both"/>
        <w:rPr>
          <w:u w:val="single"/>
          <w:lang w:eastAsia="en-US"/>
        </w:rPr>
      </w:pPr>
    </w:p>
    <w:p w14:paraId="4231539F" w14:textId="77777777" w:rsidR="00AF7950" w:rsidRDefault="00AF7950" w:rsidP="00AF7950">
      <w:pPr>
        <w:pStyle w:val="ListParagraph"/>
        <w:numPr>
          <w:ilvl w:val="0"/>
          <w:numId w:val="10"/>
        </w:numPr>
        <w:jc w:val="both"/>
        <w:rPr>
          <w:lang w:eastAsia="en-US"/>
        </w:rPr>
      </w:pPr>
      <w:r>
        <w:rPr>
          <w:lang w:eastAsia="en-US"/>
        </w:rPr>
        <w:t>May lead to discharge unless safeguarding or high-risk factors are identified.</w:t>
      </w:r>
    </w:p>
    <w:p w14:paraId="7961D50C" w14:textId="77777777" w:rsidR="00AF7950" w:rsidRDefault="00AF7950" w:rsidP="00AF7950">
      <w:pPr>
        <w:jc w:val="both"/>
        <w:rPr>
          <w:lang w:eastAsia="en-US"/>
        </w:rPr>
      </w:pPr>
    </w:p>
    <w:p w14:paraId="35C80E78" w14:textId="77777777" w:rsidR="00FC197F" w:rsidRDefault="00FC197F" w:rsidP="00AF7950">
      <w:pPr>
        <w:jc w:val="both"/>
        <w:rPr>
          <w:u w:val="single"/>
          <w:lang w:eastAsia="en-US"/>
        </w:rPr>
      </w:pPr>
    </w:p>
    <w:p w14:paraId="393728D8" w14:textId="791500AE" w:rsidR="00AF7950" w:rsidRPr="00AF7950" w:rsidRDefault="00AF7950" w:rsidP="00AF7950">
      <w:pPr>
        <w:jc w:val="both"/>
        <w:rPr>
          <w:u w:val="single"/>
          <w:lang w:eastAsia="en-US"/>
        </w:rPr>
      </w:pPr>
      <w:r w:rsidRPr="00AF7950">
        <w:rPr>
          <w:u w:val="single"/>
          <w:lang w:eastAsia="en-US"/>
        </w:rPr>
        <w:t>Safeguarding:</w:t>
      </w:r>
    </w:p>
    <w:p w14:paraId="1426A723" w14:textId="77777777" w:rsidR="00AF7950" w:rsidRDefault="00AF7950" w:rsidP="00AF7950">
      <w:pPr>
        <w:jc w:val="both"/>
        <w:rPr>
          <w:lang w:eastAsia="en-US"/>
        </w:rPr>
      </w:pPr>
    </w:p>
    <w:p w14:paraId="29E693D4" w14:textId="4AB15E63" w:rsidR="00AF7950" w:rsidRDefault="00AF7950" w:rsidP="00AF7950">
      <w:pPr>
        <w:pStyle w:val="ListParagraph"/>
        <w:numPr>
          <w:ilvl w:val="0"/>
          <w:numId w:val="22"/>
        </w:numPr>
        <w:jc w:val="both"/>
        <w:rPr>
          <w:lang w:eastAsia="en-US"/>
        </w:rPr>
      </w:pPr>
      <w:r>
        <w:rPr>
          <w:lang w:eastAsia="en-US"/>
        </w:rPr>
        <w:t>In cases where a clinically vulnerable patient DNA/WNBs, they should not be discharged until it has been determined that it is safe, clin</w:t>
      </w:r>
      <w:r w:rsidR="00DE28FC">
        <w:rPr>
          <w:lang w:eastAsia="en-US"/>
        </w:rPr>
        <w:t xml:space="preserve">ically or otherwise, to do so. There must be a clinical escalation plan in place where a decision could be made to discharge the patient from the waiting list. </w:t>
      </w:r>
    </w:p>
    <w:p w14:paraId="0DC1E2A4" w14:textId="77777777" w:rsidR="00AF7950" w:rsidRDefault="00AF7950" w:rsidP="00AF7950">
      <w:pPr>
        <w:rPr>
          <w:lang w:eastAsia="en-US"/>
        </w:rPr>
      </w:pPr>
    </w:p>
    <w:p w14:paraId="62207103" w14:textId="77777777" w:rsidR="00AF7950" w:rsidRPr="00AF7950" w:rsidRDefault="00AF7950" w:rsidP="00AF7950">
      <w:pPr>
        <w:pStyle w:val="Heading3"/>
        <w:numPr>
          <w:ilvl w:val="1"/>
          <w:numId w:val="2"/>
        </w:numPr>
        <w:rPr>
          <w:rFonts w:ascii="Arial" w:hAnsi="Arial" w:cs="Arial"/>
          <w:b/>
          <w:color w:val="auto"/>
          <w:lang w:eastAsia="en-US"/>
        </w:rPr>
      </w:pPr>
      <w:bookmarkStart w:id="23" w:name="_Toc211502273"/>
      <w:r w:rsidRPr="00AF7950">
        <w:rPr>
          <w:rFonts w:ascii="Arial" w:hAnsi="Arial" w:cs="Arial"/>
          <w:b/>
          <w:color w:val="auto"/>
          <w:lang w:eastAsia="en-US"/>
        </w:rPr>
        <w:t>Cancellations</w:t>
      </w:r>
      <w:bookmarkEnd w:id="23"/>
    </w:p>
    <w:p w14:paraId="119C6C37" w14:textId="77777777" w:rsidR="00AF7950" w:rsidRDefault="00AF7950" w:rsidP="00AF7950">
      <w:pPr>
        <w:rPr>
          <w:lang w:eastAsia="en-US"/>
        </w:rPr>
      </w:pPr>
    </w:p>
    <w:p w14:paraId="38F03194" w14:textId="3510DB40" w:rsidR="00AF7950" w:rsidRDefault="00AF7950" w:rsidP="00AF7950">
      <w:pPr>
        <w:pStyle w:val="ListParagraph"/>
        <w:numPr>
          <w:ilvl w:val="0"/>
          <w:numId w:val="22"/>
        </w:numPr>
        <w:rPr>
          <w:lang w:eastAsia="en-US"/>
        </w:rPr>
      </w:pPr>
      <w:r w:rsidRPr="00AF7950">
        <w:rPr>
          <w:u w:val="single"/>
          <w:lang w:eastAsia="en-US"/>
        </w:rPr>
        <w:t>Patient-initiated</w:t>
      </w:r>
      <w:r>
        <w:rPr>
          <w:lang w:eastAsia="en-US"/>
        </w:rPr>
        <w:t>: One cancellation or DNA  allowed; repeated cancellations require clinical review</w:t>
      </w:r>
    </w:p>
    <w:p w14:paraId="71AACC0F" w14:textId="77777777" w:rsidR="00AF7950" w:rsidRDefault="00AF7950" w:rsidP="00AF7950">
      <w:pPr>
        <w:pStyle w:val="ListParagraph"/>
        <w:ind w:left="1080"/>
        <w:rPr>
          <w:lang w:eastAsia="en-US"/>
        </w:rPr>
      </w:pPr>
    </w:p>
    <w:p w14:paraId="40635EB9" w14:textId="69852A03" w:rsidR="00AF7950" w:rsidRDefault="00AF7950" w:rsidP="00AF7950">
      <w:pPr>
        <w:pStyle w:val="ListParagraph"/>
        <w:numPr>
          <w:ilvl w:val="0"/>
          <w:numId w:val="22"/>
        </w:numPr>
        <w:rPr>
          <w:lang w:eastAsia="en-US"/>
        </w:rPr>
      </w:pPr>
      <w:r w:rsidRPr="00AF7950">
        <w:rPr>
          <w:u w:val="single"/>
          <w:lang w:eastAsia="en-US"/>
        </w:rPr>
        <w:t>Provider-initiated</w:t>
      </w:r>
      <w:r>
        <w:rPr>
          <w:lang w:eastAsia="en-US"/>
        </w:rPr>
        <w:t xml:space="preserve">: Must be avoided wherever possible. Reschedule within </w:t>
      </w:r>
      <w:r w:rsidR="00DE28FC">
        <w:rPr>
          <w:lang w:eastAsia="en-US"/>
        </w:rPr>
        <w:t xml:space="preserve">72 hours </w:t>
      </w:r>
    </w:p>
    <w:p w14:paraId="3F35C20A" w14:textId="77777777" w:rsidR="00AF7950" w:rsidRDefault="00AF7950" w:rsidP="00AF7950">
      <w:pPr>
        <w:pStyle w:val="ListParagraph"/>
        <w:rPr>
          <w:lang w:eastAsia="en-US"/>
        </w:rPr>
      </w:pPr>
    </w:p>
    <w:p w14:paraId="0C61C384" w14:textId="77777777" w:rsidR="00AF7950" w:rsidRDefault="00AF7950" w:rsidP="00AF7950">
      <w:pPr>
        <w:pStyle w:val="ListParagraph"/>
        <w:numPr>
          <w:ilvl w:val="0"/>
          <w:numId w:val="22"/>
        </w:numPr>
        <w:rPr>
          <w:lang w:eastAsia="en-US"/>
        </w:rPr>
      </w:pPr>
      <w:r w:rsidRPr="00AF7950">
        <w:rPr>
          <w:u w:val="single"/>
          <w:lang w:eastAsia="en-US"/>
        </w:rPr>
        <w:t xml:space="preserve">All cancellations </w:t>
      </w:r>
      <w:r>
        <w:rPr>
          <w:lang w:eastAsia="en-US"/>
        </w:rPr>
        <w:t>must be correctly coded in the clinical system</w:t>
      </w:r>
    </w:p>
    <w:p w14:paraId="1D96562D" w14:textId="77777777" w:rsidR="00AF7950" w:rsidRDefault="00AF7950" w:rsidP="00AF7950">
      <w:pPr>
        <w:pStyle w:val="ListParagraph"/>
        <w:rPr>
          <w:lang w:eastAsia="en-US"/>
        </w:rPr>
      </w:pPr>
    </w:p>
    <w:p w14:paraId="7188B9B4" w14:textId="76D98040" w:rsidR="00B22644" w:rsidRDefault="00B22644" w:rsidP="00AF7950">
      <w:pPr>
        <w:rPr>
          <w:lang w:eastAsia="en-US"/>
        </w:rPr>
      </w:pPr>
    </w:p>
    <w:p w14:paraId="111A0CAA" w14:textId="739FDEBE" w:rsidR="00B22644" w:rsidRPr="00B22644" w:rsidRDefault="00B22644" w:rsidP="00B22644">
      <w:pPr>
        <w:pStyle w:val="Heading3"/>
        <w:numPr>
          <w:ilvl w:val="1"/>
          <w:numId w:val="2"/>
        </w:numPr>
        <w:rPr>
          <w:rFonts w:ascii="Arial" w:hAnsi="Arial" w:cs="Arial"/>
          <w:b/>
          <w:color w:val="auto"/>
          <w:lang w:eastAsia="en-US"/>
        </w:rPr>
      </w:pPr>
      <w:bookmarkStart w:id="24" w:name="_Toc211502274"/>
      <w:r w:rsidRPr="00B22644">
        <w:rPr>
          <w:rFonts w:ascii="Arial" w:hAnsi="Arial" w:cs="Arial"/>
          <w:b/>
          <w:color w:val="auto"/>
          <w:lang w:eastAsia="en-US"/>
        </w:rPr>
        <w:t>Patient Initiated Follow-Up (PIFU)</w:t>
      </w:r>
      <w:bookmarkEnd w:id="24"/>
    </w:p>
    <w:p w14:paraId="46EDD015" w14:textId="6F88591E" w:rsidR="00B22644" w:rsidRDefault="00B22644" w:rsidP="00AF7950">
      <w:pPr>
        <w:rPr>
          <w:lang w:eastAsia="en-US"/>
        </w:rPr>
      </w:pPr>
    </w:p>
    <w:p w14:paraId="5CCFD500" w14:textId="143B3EDA" w:rsidR="00B22644" w:rsidRDefault="00B22644" w:rsidP="00B22644">
      <w:pPr>
        <w:jc w:val="both"/>
        <w:rPr>
          <w:lang w:eastAsia="en-US"/>
        </w:rPr>
      </w:pPr>
      <w:r>
        <w:rPr>
          <w:lang w:eastAsia="en-US"/>
        </w:rPr>
        <w:t xml:space="preserve">Within our Community Health Services, the Trust supports the use of Patient Initiated Follow-up (PIFU) pathways as part of it’s commitment to delivering responsive, patient-centered care. PIFU enables eligible patients to initiate follow-up appointments based on their individual needs, rather than being scheduled automatically. </w:t>
      </w:r>
    </w:p>
    <w:p w14:paraId="3FE6F2FC" w14:textId="6DA9EFDC" w:rsidR="00B22644" w:rsidRDefault="00B22644" w:rsidP="00B22644">
      <w:pPr>
        <w:jc w:val="both"/>
        <w:rPr>
          <w:lang w:eastAsia="en-US"/>
        </w:rPr>
      </w:pPr>
    </w:p>
    <w:p w14:paraId="2B63B938" w14:textId="5D4006B2" w:rsidR="00B22644" w:rsidRDefault="00B22644" w:rsidP="00B22644">
      <w:pPr>
        <w:jc w:val="both"/>
        <w:rPr>
          <w:lang w:eastAsia="en-US"/>
        </w:rPr>
      </w:pPr>
      <w:r>
        <w:rPr>
          <w:lang w:eastAsia="en-US"/>
        </w:rPr>
        <w:t xml:space="preserve">Key principles of PIFU within ELFT: </w:t>
      </w:r>
    </w:p>
    <w:p w14:paraId="05C4640A" w14:textId="0CE0B6C6" w:rsidR="00B22644" w:rsidRDefault="00B22644" w:rsidP="00B22644">
      <w:pPr>
        <w:jc w:val="both"/>
        <w:rPr>
          <w:lang w:eastAsia="en-US"/>
        </w:rPr>
      </w:pPr>
    </w:p>
    <w:p w14:paraId="23D070D2" w14:textId="7D7BFE1A" w:rsidR="00B22644" w:rsidRDefault="00B22644" w:rsidP="00B22644">
      <w:pPr>
        <w:pStyle w:val="ListParagraph"/>
        <w:numPr>
          <w:ilvl w:val="0"/>
          <w:numId w:val="49"/>
        </w:numPr>
        <w:jc w:val="both"/>
        <w:rPr>
          <w:lang w:eastAsia="en-US"/>
        </w:rPr>
      </w:pPr>
      <w:r w:rsidRPr="00B22644">
        <w:rPr>
          <w:u w:val="single"/>
          <w:lang w:eastAsia="en-US"/>
        </w:rPr>
        <w:t>Eligibility and Clinical Suitability:</w:t>
      </w:r>
      <w:r>
        <w:rPr>
          <w:lang w:eastAsia="en-US"/>
        </w:rPr>
        <w:t xml:space="preserve"> Patients will be offered PIFU where clinically appropriate, based on shared decision-making between the patient and clinician. A </w:t>
      </w:r>
      <w:r w:rsidR="00CF3C30">
        <w:rPr>
          <w:lang w:eastAsia="en-US"/>
        </w:rPr>
        <w:t>clear criterion</w:t>
      </w:r>
      <w:r>
        <w:rPr>
          <w:lang w:eastAsia="en-US"/>
        </w:rPr>
        <w:t xml:space="preserve"> for inclusion and exclusion is defined by each service, so please refer to local policies and guidance if unsure.</w:t>
      </w:r>
    </w:p>
    <w:p w14:paraId="30C62E08" w14:textId="77777777" w:rsidR="00B22644" w:rsidRDefault="00B22644" w:rsidP="00B22644">
      <w:pPr>
        <w:pStyle w:val="ListParagraph"/>
        <w:jc w:val="both"/>
        <w:rPr>
          <w:lang w:eastAsia="en-US"/>
        </w:rPr>
      </w:pPr>
    </w:p>
    <w:p w14:paraId="662D6580" w14:textId="2FDD1751" w:rsidR="00B22644" w:rsidRDefault="00B22644" w:rsidP="00B22644">
      <w:pPr>
        <w:pStyle w:val="ListParagraph"/>
        <w:numPr>
          <w:ilvl w:val="0"/>
          <w:numId w:val="49"/>
        </w:numPr>
        <w:jc w:val="both"/>
        <w:rPr>
          <w:lang w:eastAsia="en-US"/>
        </w:rPr>
      </w:pPr>
      <w:r>
        <w:rPr>
          <w:u w:val="single"/>
          <w:lang w:eastAsia="en-US"/>
        </w:rPr>
        <w:t>Information:</w:t>
      </w:r>
      <w:r>
        <w:rPr>
          <w:lang w:eastAsia="en-US"/>
        </w:rPr>
        <w:t xml:space="preserve"> Patients placed on a PIFU pathway will receive clear written and verbal information explaining how and when to initiate follow-up, including contact details and expected response times </w:t>
      </w:r>
    </w:p>
    <w:p w14:paraId="3939B90D" w14:textId="77777777" w:rsidR="00B22644" w:rsidRDefault="00B22644" w:rsidP="00B22644">
      <w:pPr>
        <w:pStyle w:val="ListParagraph"/>
        <w:rPr>
          <w:lang w:eastAsia="en-US"/>
        </w:rPr>
      </w:pPr>
    </w:p>
    <w:p w14:paraId="583B66A3" w14:textId="0AB9E873" w:rsidR="00B22644" w:rsidRDefault="00B22644" w:rsidP="00B22644">
      <w:pPr>
        <w:pStyle w:val="ListParagraph"/>
        <w:numPr>
          <w:ilvl w:val="0"/>
          <w:numId w:val="49"/>
        </w:numPr>
        <w:jc w:val="both"/>
        <w:rPr>
          <w:lang w:eastAsia="en-US"/>
        </w:rPr>
      </w:pPr>
      <w:r w:rsidRPr="00B22644">
        <w:rPr>
          <w:u w:val="single"/>
          <w:lang w:eastAsia="en-US"/>
        </w:rPr>
        <w:t>Access and Equity:</w:t>
      </w:r>
      <w:r>
        <w:rPr>
          <w:lang w:eastAsia="en-US"/>
        </w:rPr>
        <w:t xml:space="preserve"> The Trust will ensure that PIFU pathways are accessible to all eligible patients, with reasonable adjustment made for those with communication, cognitive or digital access needs</w:t>
      </w:r>
    </w:p>
    <w:p w14:paraId="01C16EFD" w14:textId="77777777" w:rsidR="00B22644" w:rsidRDefault="00B22644" w:rsidP="00B22644">
      <w:pPr>
        <w:pStyle w:val="ListParagraph"/>
        <w:rPr>
          <w:lang w:eastAsia="en-US"/>
        </w:rPr>
      </w:pPr>
    </w:p>
    <w:p w14:paraId="19173C6D" w14:textId="0799A038" w:rsidR="00B22644" w:rsidRDefault="00B22644" w:rsidP="00B22644">
      <w:pPr>
        <w:pStyle w:val="ListParagraph"/>
        <w:numPr>
          <w:ilvl w:val="0"/>
          <w:numId w:val="49"/>
        </w:numPr>
        <w:jc w:val="both"/>
        <w:rPr>
          <w:lang w:eastAsia="en-US"/>
        </w:rPr>
      </w:pPr>
      <w:r w:rsidRPr="00B22644">
        <w:rPr>
          <w:u w:val="single"/>
          <w:lang w:eastAsia="en-US"/>
        </w:rPr>
        <w:t>Monitoring and Review</w:t>
      </w:r>
      <w:r>
        <w:rPr>
          <w:lang w:eastAsia="en-US"/>
        </w:rPr>
        <w:t>: Services will monitor the use and outcomes of PIFU pathways to ensure safety, effectiveness, and equity. Patients on PIFU will be reviewed periodically to assess ongoing suitability</w:t>
      </w:r>
    </w:p>
    <w:p w14:paraId="49AF3E9A" w14:textId="77777777" w:rsidR="000C0892" w:rsidRDefault="000C0892" w:rsidP="000C0892">
      <w:pPr>
        <w:pStyle w:val="ListParagraph"/>
        <w:rPr>
          <w:lang w:eastAsia="en-US"/>
        </w:rPr>
      </w:pPr>
    </w:p>
    <w:p w14:paraId="14A1D143" w14:textId="10213A03" w:rsidR="00B22644" w:rsidRDefault="000C0892" w:rsidP="00B22644">
      <w:pPr>
        <w:pStyle w:val="ListParagraph"/>
        <w:numPr>
          <w:ilvl w:val="0"/>
          <w:numId w:val="49"/>
        </w:numPr>
        <w:jc w:val="both"/>
        <w:rPr>
          <w:lang w:eastAsia="en-US"/>
        </w:rPr>
      </w:pPr>
      <w:r w:rsidRPr="000C0892">
        <w:rPr>
          <w:u w:val="single"/>
          <w:lang w:eastAsia="en-US"/>
        </w:rPr>
        <w:lastRenderedPageBreak/>
        <w:t xml:space="preserve">Waiting Time Implications: </w:t>
      </w:r>
      <w:r>
        <w:rPr>
          <w:lang w:eastAsia="en-US"/>
        </w:rPr>
        <w:t>Patients on PIFU pathways are not included in routine follow-up waiting lists. However, once a patient initiates contact and a clinical review determines that an appointment is required, standard waiting time targets will apply from the point of referral</w:t>
      </w:r>
    </w:p>
    <w:p w14:paraId="0B922DAB" w14:textId="77777777" w:rsidR="00FC197F" w:rsidRDefault="00FC197F" w:rsidP="00B22644">
      <w:pPr>
        <w:jc w:val="both"/>
        <w:rPr>
          <w:lang w:eastAsia="en-US"/>
        </w:rPr>
      </w:pPr>
    </w:p>
    <w:p w14:paraId="59DCD81B" w14:textId="77777777" w:rsidR="00B22644" w:rsidRDefault="00B22644" w:rsidP="00AF7950">
      <w:pPr>
        <w:rPr>
          <w:lang w:eastAsia="en-US"/>
        </w:rPr>
      </w:pPr>
    </w:p>
    <w:p w14:paraId="3B8929C6" w14:textId="632022F4" w:rsidR="00AF7950" w:rsidRPr="00AF7950" w:rsidRDefault="00AF7950" w:rsidP="009C20C9">
      <w:pPr>
        <w:pStyle w:val="Heading3"/>
        <w:numPr>
          <w:ilvl w:val="1"/>
          <w:numId w:val="2"/>
        </w:numPr>
        <w:rPr>
          <w:rFonts w:ascii="Arial" w:hAnsi="Arial" w:cs="Arial"/>
          <w:b/>
          <w:color w:val="auto"/>
          <w:lang w:eastAsia="en-US"/>
        </w:rPr>
      </w:pPr>
      <w:bookmarkStart w:id="25" w:name="_Toc211502275"/>
      <w:r w:rsidRPr="00AF7950">
        <w:rPr>
          <w:rFonts w:ascii="Arial" w:hAnsi="Arial" w:cs="Arial"/>
          <w:b/>
          <w:color w:val="auto"/>
          <w:lang w:eastAsia="en-US"/>
        </w:rPr>
        <w:t>Ongoing Monitoring and Reviews</w:t>
      </w:r>
      <w:bookmarkEnd w:id="25"/>
    </w:p>
    <w:p w14:paraId="181471E4" w14:textId="77777777" w:rsidR="00AF7950" w:rsidRDefault="00AF7950" w:rsidP="00AF7950">
      <w:pPr>
        <w:rPr>
          <w:lang w:eastAsia="en-US"/>
        </w:rPr>
      </w:pPr>
    </w:p>
    <w:p w14:paraId="6361ECF3" w14:textId="77777777" w:rsidR="00AF7950" w:rsidRDefault="00AF7950" w:rsidP="00AF7950">
      <w:pPr>
        <w:pStyle w:val="ListParagraph"/>
        <w:numPr>
          <w:ilvl w:val="0"/>
          <w:numId w:val="22"/>
        </w:numPr>
        <w:rPr>
          <w:lang w:eastAsia="en-US"/>
        </w:rPr>
      </w:pPr>
      <w:r>
        <w:rPr>
          <w:lang w:eastAsia="en-US"/>
        </w:rPr>
        <w:t xml:space="preserve">Directorate leads must ensure monthly validation and exception reporting. If teams need access to data to support this, please see local PowerBI dashboards </w:t>
      </w:r>
      <w:hyperlink r:id="rId12" w:history="1">
        <w:r w:rsidRPr="00417327">
          <w:rPr>
            <w:rStyle w:val="Hyperlink"/>
            <w:lang w:eastAsia="en-US"/>
          </w:rPr>
          <w:t>here</w:t>
        </w:r>
      </w:hyperlink>
      <w:r w:rsidR="00417327">
        <w:rPr>
          <w:lang w:eastAsia="en-US"/>
        </w:rPr>
        <w:t>. Links to service-specific dashboards can also be found on your desktop</w:t>
      </w:r>
    </w:p>
    <w:p w14:paraId="3ECC1E2A" w14:textId="77777777" w:rsidR="00AF7950" w:rsidRDefault="00AF7950" w:rsidP="00AF7950">
      <w:pPr>
        <w:pStyle w:val="ListParagraph"/>
        <w:ind w:left="1080"/>
        <w:rPr>
          <w:lang w:eastAsia="en-US"/>
        </w:rPr>
      </w:pPr>
    </w:p>
    <w:p w14:paraId="37ADFCB6" w14:textId="77777777" w:rsidR="00AF7950" w:rsidRDefault="00AF7950" w:rsidP="00AF7950">
      <w:pPr>
        <w:pStyle w:val="ListParagraph"/>
        <w:numPr>
          <w:ilvl w:val="0"/>
          <w:numId w:val="22"/>
        </w:numPr>
        <w:rPr>
          <w:lang w:eastAsia="en-US"/>
        </w:rPr>
      </w:pPr>
      <w:r>
        <w:rPr>
          <w:lang w:eastAsia="en-US"/>
        </w:rPr>
        <w:t>Performance teams monitor KPIs including RTT breaches, DNA rates, cancellations by service, and waiting list volume</w:t>
      </w:r>
    </w:p>
    <w:p w14:paraId="28C4A896" w14:textId="77777777" w:rsidR="00AF7950" w:rsidRDefault="00AF7950" w:rsidP="00AF7950">
      <w:pPr>
        <w:pStyle w:val="ListParagraph"/>
        <w:rPr>
          <w:lang w:eastAsia="en-US"/>
        </w:rPr>
      </w:pPr>
    </w:p>
    <w:p w14:paraId="1B844D7F" w14:textId="77777777" w:rsidR="00AF7950" w:rsidRDefault="00AF7950" w:rsidP="00AF7950">
      <w:pPr>
        <w:pStyle w:val="ListParagraph"/>
        <w:numPr>
          <w:ilvl w:val="0"/>
          <w:numId w:val="22"/>
        </w:numPr>
        <w:rPr>
          <w:lang w:eastAsia="en-US"/>
        </w:rPr>
      </w:pPr>
      <w:r>
        <w:rPr>
          <w:lang w:eastAsia="en-US"/>
        </w:rPr>
        <w:t>Compliance with the new 4-week community MH standard should be monitored through RiO and Power BI dashboards</w:t>
      </w:r>
    </w:p>
    <w:p w14:paraId="3D9DD428" w14:textId="77777777" w:rsidR="00AF7950" w:rsidRDefault="00AF7950" w:rsidP="00AF7950">
      <w:pPr>
        <w:pStyle w:val="ListParagraph"/>
        <w:rPr>
          <w:lang w:eastAsia="en-US"/>
        </w:rPr>
      </w:pPr>
    </w:p>
    <w:p w14:paraId="6AE0E642" w14:textId="77777777" w:rsidR="00AF7950" w:rsidRDefault="00AF7950" w:rsidP="00AF7950">
      <w:pPr>
        <w:pStyle w:val="ListParagraph"/>
        <w:numPr>
          <w:ilvl w:val="0"/>
          <w:numId w:val="22"/>
        </w:numPr>
        <w:rPr>
          <w:lang w:eastAsia="en-US"/>
        </w:rPr>
      </w:pPr>
      <w:r>
        <w:rPr>
          <w:lang w:eastAsia="en-US"/>
        </w:rPr>
        <w:t>Talking Therapies waiting times will be monitored through IAPTUS dashboards as well as weekly CRS meetings and Wait List reports</w:t>
      </w:r>
    </w:p>
    <w:p w14:paraId="50EE691D" w14:textId="77777777" w:rsidR="00AF7950" w:rsidRDefault="00AF7950" w:rsidP="00AF7950">
      <w:pPr>
        <w:pStyle w:val="ListParagraph"/>
        <w:rPr>
          <w:lang w:eastAsia="en-US"/>
        </w:rPr>
      </w:pPr>
    </w:p>
    <w:p w14:paraId="6543502E" w14:textId="77777777" w:rsidR="00AF7950" w:rsidRDefault="00AF7950" w:rsidP="00AF7950">
      <w:pPr>
        <w:pStyle w:val="ListParagraph"/>
        <w:numPr>
          <w:ilvl w:val="0"/>
          <w:numId w:val="22"/>
        </w:numPr>
        <w:rPr>
          <w:lang w:eastAsia="en-US"/>
        </w:rPr>
      </w:pPr>
      <w:r>
        <w:rPr>
          <w:lang w:eastAsia="en-US"/>
        </w:rPr>
        <w:t>This policy will be reviewed annually or earlier in line with regulatory or operational changes</w:t>
      </w:r>
    </w:p>
    <w:p w14:paraId="6267DBF6" w14:textId="77777777" w:rsidR="00AF7950" w:rsidRDefault="00AF7950" w:rsidP="00AF7950">
      <w:pPr>
        <w:pStyle w:val="ListParagraph"/>
        <w:rPr>
          <w:lang w:eastAsia="en-US"/>
        </w:rPr>
      </w:pPr>
    </w:p>
    <w:p w14:paraId="456E51BF" w14:textId="77777777" w:rsidR="00AF7950" w:rsidRDefault="00AF7950" w:rsidP="00AF7950">
      <w:pPr>
        <w:rPr>
          <w:lang w:eastAsia="en-US"/>
        </w:rPr>
      </w:pPr>
    </w:p>
    <w:p w14:paraId="3442DD03" w14:textId="77777777" w:rsidR="00AF7950" w:rsidRPr="00AF7950" w:rsidRDefault="00AF7950" w:rsidP="00AF7950">
      <w:pPr>
        <w:pStyle w:val="Heading1"/>
        <w:numPr>
          <w:ilvl w:val="0"/>
          <w:numId w:val="2"/>
        </w:numPr>
        <w:rPr>
          <w:rFonts w:ascii="Arial" w:hAnsi="Arial" w:cs="Arial"/>
          <w:b/>
          <w:color w:val="auto"/>
          <w:sz w:val="24"/>
        </w:rPr>
      </w:pPr>
      <w:bookmarkStart w:id="26" w:name="_Toc211502276"/>
      <w:r w:rsidRPr="00AF7950">
        <w:rPr>
          <w:rFonts w:ascii="Arial" w:hAnsi="Arial" w:cs="Arial"/>
          <w:b/>
          <w:color w:val="auto"/>
          <w:sz w:val="24"/>
        </w:rPr>
        <w:t>Managing Demand and Capacity Challenges</w:t>
      </w:r>
      <w:bookmarkEnd w:id="26"/>
    </w:p>
    <w:p w14:paraId="042580A7" w14:textId="77777777" w:rsidR="00AF7950" w:rsidRDefault="00AF7950" w:rsidP="00AF7950">
      <w:pPr>
        <w:rPr>
          <w:lang w:eastAsia="en-US"/>
        </w:rPr>
      </w:pPr>
    </w:p>
    <w:p w14:paraId="2DC541DD" w14:textId="77777777" w:rsidR="00AF7950" w:rsidRDefault="00AF7950" w:rsidP="00AF7950">
      <w:pPr>
        <w:jc w:val="both"/>
        <w:rPr>
          <w:lang w:eastAsia="en-US"/>
        </w:rPr>
      </w:pPr>
      <w:r>
        <w:rPr>
          <w:lang w:eastAsia="en-US"/>
        </w:rPr>
        <w:t xml:space="preserve">Effective management of demand and capacity is essential to delivering timely, high-quality care across the Trust. This section outlines ELFT approach to proactively identifying, monitoring and responding to pressures on services, ensuring that waiting times are minimised and recovery is supported through a data-driven and quality improvement (QI) led approach. </w:t>
      </w:r>
    </w:p>
    <w:p w14:paraId="037C81CC" w14:textId="77777777" w:rsidR="00417327" w:rsidRDefault="00417327" w:rsidP="00AF7950">
      <w:pPr>
        <w:jc w:val="both"/>
        <w:rPr>
          <w:lang w:eastAsia="en-US"/>
        </w:rPr>
      </w:pPr>
    </w:p>
    <w:p w14:paraId="5A8C1FA9" w14:textId="77777777" w:rsidR="00417327" w:rsidRPr="00417327" w:rsidRDefault="00417327" w:rsidP="00417327">
      <w:pPr>
        <w:pStyle w:val="Heading3"/>
        <w:numPr>
          <w:ilvl w:val="1"/>
          <w:numId w:val="2"/>
        </w:numPr>
        <w:rPr>
          <w:rFonts w:ascii="Arial" w:hAnsi="Arial" w:cs="Arial"/>
          <w:b/>
          <w:color w:val="auto"/>
          <w:lang w:eastAsia="en-US"/>
        </w:rPr>
      </w:pPr>
      <w:bookmarkStart w:id="27" w:name="_Toc211502277"/>
      <w:r w:rsidRPr="00417327">
        <w:rPr>
          <w:rFonts w:ascii="Arial" w:hAnsi="Arial" w:cs="Arial"/>
          <w:b/>
          <w:color w:val="auto"/>
          <w:lang w:eastAsia="en-US"/>
        </w:rPr>
        <w:t>Principles</w:t>
      </w:r>
      <w:bookmarkEnd w:id="27"/>
    </w:p>
    <w:p w14:paraId="4CA78B35" w14:textId="77777777" w:rsidR="00417327" w:rsidRDefault="00417327" w:rsidP="00417327">
      <w:pPr>
        <w:rPr>
          <w:lang w:eastAsia="en-US"/>
        </w:rPr>
      </w:pPr>
    </w:p>
    <w:p w14:paraId="529450E9" w14:textId="77777777" w:rsidR="00417327" w:rsidRDefault="00417327" w:rsidP="00417327">
      <w:pPr>
        <w:rPr>
          <w:lang w:eastAsia="en-US"/>
        </w:rPr>
      </w:pPr>
      <w:r>
        <w:rPr>
          <w:lang w:eastAsia="en-US"/>
        </w:rPr>
        <w:t xml:space="preserve">The Trust adopts an approach that includes: </w:t>
      </w:r>
    </w:p>
    <w:p w14:paraId="1EF0E0A0" w14:textId="77777777" w:rsidR="00417327" w:rsidRDefault="00417327" w:rsidP="00417327">
      <w:pPr>
        <w:rPr>
          <w:lang w:eastAsia="en-US"/>
        </w:rPr>
      </w:pPr>
    </w:p>
    <w:p w14:paraId="19E615C5" w14:textId="77777777" w:rsidR="00417327" w:rsidRDefault="00417327" w:rsidP="00417327">
      <w:pPr>
        <w:pStyle w:val="ListParagraph"/>
        <w:numPr>
          <w:ilvl w:val="0"/>
          <w:numId w:val="24"/>
        </w:numPr>
        <w:rPr>
          <w:lang w:eastAsia="en-US"/>
        </w:rPr>
      </w:pPr>
      <w:r>
        <w:rPr>
          <w:lang w:eastAsia="en-US"/>
        </w:rPr>
        <w:t>Routine monitoring of data, referral patterns, caseloads and service throughput via PowerBI dashboards</w:t>
      </w:r>
    </w:p>
    <w:p w14:paraId="2ADDF086" w14:textId="77777777" w:rsidR="00417327" w:rsidRDefault="00417327" w:rsidP="00417327">
      <w:pPr>
        <w:pStyle w:val="ListParagraph"/>
        <w:ind w:left="1080"/>
        <w:rPr>
          <w:lang w:eastAsia="en-US"/>
        </w:rPr>
      </w:pPr>
    </w:p>
    <w:p w14:paraId="1F6102DF" w14:textId="3A3F4BE8" w:rsidR="00417327" w:rsidRDefault="00417327" w:rsidP="00417327">
      <w:pPr>
        <w:pStyle w:val="ListParagraph"/>
        <w:numPr>
          <w:ilvl w:val="0"/>
          <w:numId w:val="24"/>
        </w:numPr>
        <w:rPr>
          <w:lang w:eastAsia="en-US"/>
        </w:rPr>
      </w:pPr>
      <w:r>
        <w:rPr>
          <w:lang w:eastAsia="en-US"/>
        </w:rPr>
        <w:t>Use of predictive modelling and building trajectories to anticipate future demands and understand the mismatch between demand and capacity</w:t>
      </w:r>
      <w:r w:rsidR="00DE28FC">
        <w:rPr>
          <w:lang w:eastAsia="en-US"/>
        </w:rPr>
        <w:t>. In addition, modelling should be informed by changes in population needs and system-level factors. Collaborative working with community and system partners is essential to ensure that modelling reflects the wider context and supports responsive, patient-centered service delivery</w:t>
      </w:r>
    </w:p>
    <w:p w14:paraId="67B7F5B5" w14:textId="77777777" w:rsidR="00417327" w:rsidRDefault="00417327" w:rsidP="00417327">
      <w:pPr>
        <w:pStyle w:val="ListParagraph"/>
        <w:rPr>
          <w:lang w:eastAsia="en-US"/>
        </w:rPr>
      </w:pPr>
    </w:p>
    <w:p w14:paraId="175A12A6" w14:textId="77777777" w:rsidR="00417327" w:rsidRDefault="00417327" w:rsidP="00417327">
      <w:pPr>
        <w:pStyle w:val="ListParagraph"/>
        <w:numPr>
          <w:ilvl w:val="0"/>
          <w:numId w:val="24"/>
        </w:numPr>
        <w:rPr>
          <w:lang w:eastAsia="en-US"/>
        </w:rPr>
      </w:pPr>
      <w:r>
        <w:rPr>
          <w:lang w:eastAsia="en-US"/>
        </w:rPr>
        <w:t>Collaboration across services to share learning</w:t>
      </w:r>
    </w:p>
    <w:p w14:paraId="758A2160" w14:textId="77777777" w:rsidR="00417327" w:rsidRDefault="00417327" w:rsidP="00417327">
      <w:pPr>
        <w:pStyle w:val="ListParagraph"/>
        <w:rPr>
          <w:lang w:eastAsia="en-US"/>
        </w:rPr>
      </w:pPr>
    </w:p>
    <w:p w14:paraId="4F2F4D1F" w14:textId="77777777" w:rsidR="00417327" w:rsidRDefault="00417327" w:rsidP="00417327">
      <w:pPr>
        <w:rPr>
          <w:lang w:eastAsia="en-US"/>
        </w:rPr>
      </w:pPr>
      <w:r>
        <w:rPr>
          <w:lang w:eastAsia="en-US"/>
        </w:rPr>
        <w:t xml:space="preserve">Local teams are supported by performance managers who provide analytical insight and support around recovery planning. </w:t>
      </w:r>
    </w:p>
    <w:p w14:paraId="64AE71CE" w14:textId="77777777" w:rsidR="00417327" w:rsidRDefault="00417327" w:rsidP="00417327">
      <w:pPr>
        <w:rPr>
          <w:lang w:eastAsia="en-US"/>
        </w:rPr>
      </w:pPr>
    </w:p>
    <w:p w14:paraId="1350D9FC" w14:textId="77777777" w:rsidR="00417327" w:rsidRDefault="00417327" w:rsidP="00417327">
      <w:pPr>
        <w:rPr>
          <w:lang w:eastAsia="en-US"/>
        </w:rPr>
      </w:pPr>
    </w:p>
    <w:p w14:paraId="1FC74C79" w14:textId="77777777" w:rsidR="00417327" w:rsidRPr="00417327" w:rsidRDefault="00417327" w:rsidP="00417327">
      <w:pPr>
        <w:pStyle w:val="Heading3"/>
        <w:numPr>
          <w:ilvl w:val="1"/>
          <w:numId w:val="2"/>
        </w:numPr>
        <w:rPr>
          <w:rFonts w:ascii="Arial" w:hAnsi="Arial" w:cs="Arial"/>
          <w:b/>
          <w:color w:val="auto"/>
          <w:lang w:eastAsia="en-US"/>
        </w:rPr>
      </w:pPr>
      <w:bookmarkStart w:id="28" w:name="_Toc211502278"/>
      <w:r w:rsidRPr="00417327">
        <w:rPr>
          <w:rFonts w:ascii="Arial" w:hAnsi="Arial" w:cs="Arial"/>
          <w:b/>
          <w:color w:val="auto"/>
          <w:lang w:eastAsia="en-US"/>
        </w:rPr>
        <w:lastRenderedPageBreak/>
        <w:t>Recovery Planning</w:t>
      </w:r>
      <w:bookmarkEnd w:id="28"/>
    </w:p>
    <w:p w14:paraId="3BCD9313" w14:textId="77777777" w:rsidR="00417327" w:rsidRDefault="00417327" w:rsidP="00417327">
      <w:pPr>
        <w:rPr>
          <w:lang w:eastAsia="en-US"/>
        </w:rPr>
      </w:pPr>
    </w:p>
    <w:p w14:paraId="589026ED" w14:textId="77777777" w:rsidR="00417327" w:rsidRDefault="00417327" w:rsidP="00417327">
      <w:pPr>
        <w:rPr>
          <w:lang w:eastAsia="en-US"/>
        </w:rPr>
      </w:pPr>
      <w:r>
        <w:rPr>
          <w:lang w:eastAsia="en-US"/>
        </w:rPr>
        <w:t xml:space="preserve">When service experience sustained pressure and demand, that considerably outstrips capacity levels within the service, a structured recovery planning process is in </w:t>
      </w:r>
      <w:r w:rsidR="00124413">
        <w:rPr>
          <w:lang w:eastAsia="en-US"/>
        </w:rPr>
        <w:t xml:space="preserve">place to help teams manage this. When services show a sustained rising trend or breach performance thresholds as highlighted in Section 4, they are required to develop formal recovery plans in agreement with local leadership. The corporate and local performance teams provide support to ensure these plans are robust which includes the following: </w:t>
      </w:r>
      <w:r>
        <w:rPr>
          <w:lang w:eastAsia="en-US"/>
        </w:rPr>
        <w:t xml:space="preserve"> </w:t>
      </w:r>
    </w:p>
    <w:p w14:paraId="2D3248EF" w14:textId="77777777" w:rsidR="00417327" w:rsidRDefault="00417327" w:rsidP="00417327">
      <w:pPr>
        <w:rPr>
          <w:lang w:eastAsia="en-US"/>
        </w:rPr>
      </w:pPr>
    </w:p>
    <w:p w14:paraId="7D24D5CF" w14:textId="77777777" w:rsidR="00417327" w:rsidRDefault="00417327" w:rsidP="00417327">
      <w:pPr>
        <w:pStyle w:val="ListParagraph"/>
        <w:numPr>
          <w:ilvl w:val="0"/>
          <w:numId w:val="25"/>
        </w:numPr>
        <w:rPr>
          <w:lang w:eastAsia="en-US"/>
        </w:rPr>
      </w:pPr>
      <w:r>
        <w:rPr>
          <w:lang w:eastAsia="en-US"/>
        </w:rPr>
        <w:t>Root cause analysis to understand the drivers of increased demand or reduced capacity</w:t>
      </w:r>
    </w:p>
    <w:p w14:paraId="092B5000" w14:textId="77777777" w:rsidR="00417327" w:rsidRDefault="00417327" w:rsidP="00417327">
      <w:pPr>
        <w:pStyle w:val="ListParagraph"/>
        <w:ind w:left="1080"/>
        <w:rPr>
          <w:lang w:eastAsia="en-US"/>
        </w:rPr>
      </w:pPr>
    </w:p>
    <w:p w14:paraId="5DA8D5C2" w14:textId="77777777" w:rsidR="00417327" w:rsidRDefault="00417327" w:rsidP="00417327">
      <w:pPr>
        <w:pStyle w:val="ListParagraph"/>
        <w:numPr>
          <w:ilvl w:val="0"/>
          <w:numId w:val="25"/>
        </w:numPr>
        <w:rPr>
          <w:lang w:eastAsia="en-US"/>
        </w:rPr>
      </w:pPr>
      <w:r>
        <w:rPr>
          <w:lang w:eastAsia="en-US"/>
        </w:rPr>
        <w:t>Development of a Recovery Plan including</w:t>
      </w:r>
    </w:p>
    <w:p w14:paraId="311D5170" w14:textId="77777777" w:rsidR="00417327" w:rsidRDefault="00417327" w:rsidP="00417327">
      <w:pPr>
        <w:pStyle w:val="ListParagraph"/>
        <w:numPr>
          <w:ilvl w:val="1"/>
          <w:numId w:val="25"/>
        </w:numPr>
        <w:rPr>
          <w:lang w:eastAsia="en-US"/>
        </w:rPr>
      </w:pPr>
      <w:r>
        <w:rPr>
          <w:lang w:eastAsia="en-US"/>
        </w:rPr>
        <w:t>Clear actions and owners</w:t>
      </w:r>
    </w:p>
    <w:p w14:paraId="4CCA06FC" w14:textId="77777777" w:rsidR="00417327" w:rsidRDefault="00417327" w:rsidP="00417327">
      <w:pPr>
        <w:pStyle w:val="ListParagraph"/>
        <w:numPr>
          <w:ilvl w:val="1"/>
          <w:numId w:val="25"/>
        </w:numPr>
        <w:rPr>
          <w:lang w:eastAsia="en-US"/>
        </w:rPr>
      </w:pPr>
      <w:r>
        <w:rPr>
          <w:lang w:eastAsia="en-US"/>
        </w:rPr>
        <w:t>Timescales for improvement</w:t>
      </w:r>
    </w:p>
    <w:p w14:paraId="7D7ACE74" w14:textId="77777777" w:rsidR="00417327" w:rsidRDefault="00417327" w:rsidP="00417327">
      <w:pPr>
        <w:pStyle w:val="ListParagraph"/>
        <w:numPr>
          <w:ilvl w:val="1"/>
          <w:numId w:val="25"/>
        </w:numPr>
        <w:rPr>
          <w:lang w:eastAsia="en-US"/>
        </w:rPr>
      </w:pPr>
      <w:r>
        <w:rPr>
          <w:lang w:eastAsia="en-US"/>
        </w:rPr>
        <w:t>Demand and capacity trajectories to facilitate ongoing monitoring</w:t>
      </w:r>
    </w:p>
    <w:p w14:paraId="6B4F4155" w14:textId="77777777" w:rsidR="00417327" w:rsidRDefault="00417327" w:rsidP="00417327">
      <w:pPr>
        <w:pStyle w:val="ListParagraph"/>
        <w:ind w:left="1440"/>
        <w:rPr>
          <w:lang w:eastAsia="en-US"/>
        </w:rPr>
      </w:pPr>
    </w:p>
    <w:p w14:paraId="5A8A4A32" w14:textId="77777777" w:rsidR="00417327" w:rsidRDefault="00417327" w:rsidP="00417327">
      <w:pPr>
        <w:pStyle w:val="ListParagraph"/>
        <w:numPr>
          <w:ilvl w:val="0"/>
          <w:numId w:val="25"/>
        </w:numPr>
        <w:rPr>
          <w:lang w:eastAsia="en-US"/>
        </w:rPr>
      </w:pPr>
      <w:r>
        <w:rPr>
          <w:lang w:eastAsia="en-US"/>
        </w:rPr>
        <w:t>Using PowerBI to support decision-making processes, ensuring visibility around caseload and flow visualisation, comparative benchmarking across teams, and trajectory monitoring against recovery plans</w:t>
      </w:r>
    </w:p>
    <w:p w14:paraId="064D44CC" w14:textId="77777777" w:rsidR="00417327" w:rsidRDefault="00417327" w:rsidP="00417327">
      <w:pPr>
        <w:rPr>
          <w:lang w:eastAsia="en-US"/>
        </w:rPr>
      </w:pPr>
    </w:p>
    <w:p w14:paraId="5D54F769" w14:textId="77777777" w:rsidR="00417327" w:rsidRDefault="00417327" w:rsidP="00417327">
      <w:pPr>
        <w:rPr>
          <w:lang w:eastAsia="en-US"/>
        </w:rPr>
      </w:pPr>
      <w:r>
        <w:rPr>
          <w:lang w:eastAsia="en-US"/>
        </w:rPr>
        <w:t xml:space="preserve">The link to the recovery planning documentation and training to support teams further can be found on the ELFT intranet page </w:t>
      </w:r>
      <w:hyperlink r:id="rId13" w:history="1">
        <w:r w:rsidRPr="00417327">
          <w:rPr>
            <w:rStyle w:val="Hyperlink"/>
            <w:lang w:eastAsia="en-US"/>
          </w:rPr>
          <w:t>here</w:t>
        </w:r>
      </w:hyperlink>
    </w:p>
    <w:p w14:paraId="1FA464EB" w14:textId="77777777" w:rsidR="00417327" w:rsidRDefault="00417327" w:rsidP="00417327">
      <w:pPr>
        <w:rPr>
          <w:lang w:eastAsia="en-US"/>
        </w:rPr>
      </w:pPr>
    </w:p>
    <w:p w14:paraId="00C042D2" w14:textId="77777777" w:rsidR="00417327" w:rsidRDefault="00417327" w:rsidP="00417327">
      <w:pPr>
        <w:rPr>
          <w:lang w:eastAsia="en-US"/>
        </w:rPr>
      </w:pPr>
    </w:p>
    <w:p w14:paraId="6AD035A6" w14:textId="77777777" w:rsidR="00417327" w:rsidRPr="00417327" w:rsidRDefault="00417327" w:rsidP="00417327">
      <w:pPr>
        <w:pStyle w:val="Heading3"/>
        <w:numPr>
          <w:ilvl w:val="1"/>
          <w:numId w:val="2"/>
        </w:numPr>
        <w:rPr>
          <w:rFonts w:ascii="Arial" w:hAnsi="Arial" w:cs="Arial"/>
          <w:b/>
          <w:color w:val="auto"/>
          <w:lang w:eastAsia="en-US"/>
        </w:rPr>
      </w:pPr>
      <w:bookmarkStart w:id="29" w:name="_Toc211502279"/>
      <w:r w:rsidRPr="00417327">
        <w:rPr>
          <w:rFonts w:ascii="Arial" w:hAnsi="Arial" w:cs="Arial"/>
          <w:b/>
          <w:color w:val="auto"/>
          <w:lang w:eastAsia="en-US"/>
        </w:rPr>
        <w:t>Quality Improvement (QI) Methodology for Flow and Access</w:t>
      </w:r>
      <w:bookmarkEnd w:id="29"/>
    </w:p>
    <w:p w14:paraId="50A70675" w14:textId="77777777" w:rsidR="00417327" w:rsidRDefault="00417327" w:rsidP="00417327">
      <w:pPr>
        <w:rPr>
          <w:lang w:eastAsia="en-US"/>
        </w:rPr>
      </w:pPr>
    </w:p>
    <w:p w14:paraId="32AFA420" w14:textId="77777777" w:rsidR="00417327" w:rsidRDefault="00417327" w:rsidP="00417327">
      <w:pPr>
        <w:rPr>
          <w:lang w:eastAsia="en-US"/>
        </w:rPr>
      </w:pPr>
      <w:r>
        <w:rPr>
          <w:lang w:eastAsia="en-US"/>
        </w:rPr>
        <w:t xml:space="preserve">We embed QI methodology into our approach to managing flow and access challenges. This includes: </w:t>
      </w:r>
    </w:p>
    <w:p w14:paraId="17382F80" w14:textId="77777777" w:rsidR="00417327" w:rsidRDefault="00417327" w:rsidP="00417327">
      <w:pPr>
        <w:rPr>
          <w:lang w:eastAsia="en-US"/>
        </w:rPr>
      </w:pPr>
    </w:p>
    <w:p w14:paraId="61830D1A" w14:textId="77777777" w:rsidR="00417327" w:rsidRDefault="00417327" w:rsidP="00417327">
      <w:pPr>
        <w:pStyle w:val="ListParagraph"/>
        <w:numPr>
          <w:ilvl w:val="0"/>
          <w:numId w:val="26"/>
        </w:numPr>
        <w:rPr>
          <w:lang w:eastAsia="en-US"/>
        </w:rPr>
      </w:pPr>
      <w:r>
        <w:rPr>
          <w:lang w:eastAsia="en-US"/>
        </w:rPr>
        <w:t>Process mapping to identify inefficiencies in referral and triage pathways</w:t>
      </w:r>
    </w:p>
    <w:p w14:paraId="7B9A82D9" w14:textId="77777777" w:rsidR="00417327" w:rsidRDefault="00417327" w:rsidP="00417327">
      <w:pPr>
        <w:pStyle w:val="ListParagraph"/>
        <w:numPr>
          <w:ilvl w:val="0"/>
          <w:numId w:val="26"/>
        </w:numPr>
        <w:rPr>
          <w:lang w:eastAsia="en-US"/>
        </w:rPr>
      </w:pPr>
      <w:r>
        <w:rPr>
          <w:lang w:eastAsia="en-US"/>
        </w:rPr>
        <w:t>Driver diagrams to understand contributing factors</w:t>
      </w:r>
    </w:p>
    <w:p w14:paraId="719AA7F4" w14:textId="77777777" w:rsidR="00417327" w:rsidRDefault="00417327" w:rsidP="00417327">
      <w:pPr>
        <w:pStyle w:val="ListParagraph"/>
        <w:numPr>
          <w:ilvl w:val="0"/>
          <w:numId w:val="26"/>
        </w:numPr>
        <w:rPr>
          <w:lang w:eastAsia="en-US"/>
        </w:rPr>
      </w:pPr>
      <w:r>
        <w:rPr>
          <w:lang w:eastAsia="en-US"/>
        </w:rPr>
        <w:t>PDSA cycles to test and scale interventions</w:t>
      </w:r>
    </w:p>
    <w:p w14:paraId="552A35D9" w14:textId="77777777" w:rsidR="00417327" w:rsidRDefault="00417327" w:rsidP="00417327">
      <w:pPr>
        <w:pStyle w:val="ListParagraph"/>
        <w:numPr>
          <w:ilvl w:val="0"/>
          <w:numId w:val="26"/>
        </w:numPr>
        <w:rPr>
          <w:lang w:eastAsia="en-US"/>
        </w:rPr>
      </w:pPr>
      <w:r>
        <w:rPr>
          <w:lang w:eastAsia="en-US"/>
        </w:rPr>
        <w:t>Use of Statistical Process Control (SPC) charts to monitor impact over time</w:t>
      </w:r>
    </w:p>
    <w:p w14:paraId="4F60A990" w14:textId="77777777" w:rsidR="00417327" w:rsidRDefault="00417327" w:rsidP="00417327">
      <w:pPr>
        <w:rPr>
          <w:lang w:eastAsia="en-US"/>
        </w:rPr>
      </w:pPr>
    </w:p>
    <w:p w14:paraId="24E3EAD4" w14:textId="65BB36B1" w:rsidR="00124413" w:rsidRDefault="00417327" w:rsidP="00417327">
      <w:pPr>
        <w:rPr>
          <w:lang w:eastAsia="en-US"/>
        </w:rPr>
      </w:pPr>
      <w:r>
        <w:rPr>
          <w:lang w:eastAsia="en-US"/>
        </w:rPr>
        <w:t>QI coaches are available to support teams in applying these tools to their local context</w:t>
      </w:r>
    </w:p>
    <w:p w14:paraId="690D746E" w14:textId="77777777" w:rsidR="00124413" w:rsidRDefault="00124413" w:rsidP="00417327">
      <w:pPr>
        <w:rPr>
          <w:lang w:eastAsia="en-US"/>
        </w:rPr>
      </w:pPr>
    </w:p>
    <w:p w14:paraId="473ACCE9" w14:textId="77777777" w:rsidR="00124413" w:rsidRDefault="00124413" w:rsidP="00124413">
      <w:pPr>
        <w:pStyle w:val="Heading3"/>
        <w:numPr>
          <w:ilvl w:val="1"/>
          <w:numId w:val="2"/>
        </w:numPr>
        <w:rPr>
          <w:rFonts w:ascii="Arial" w:hAnsi="Arial" w:cs="Arial"/>
          <w:b/>
          <w:color w:val="auto"/>
          <w:lang w:eastAsia="en-US"/>
        </w:rPr>
      </w:pPr>
      <w:bookmarkStart w:id="30" w:name="_Toc211502280"/>
      <w:r>
        <w:rPr>
          <w:rFonts w:ascii="Arial" w:hAnsi="Arial" w:cs="Arial"/>
          <w:b/>
          <w:color w:val="auto"/>
          <w:lang w:eastAsia="en-US"/>
        </w:rPr>
        <w:t>Trustwide Waiting List Monitoring &amp; Governance</w:t>
      </w:r>
      <w:bookmarkEnd w:id="30"/>
    </w:p>
    <w:p w14:paraId="35D3DA6A" w14:textId="77777777" w:rsidR="00124413" w:rsidRDefault="00124413" w:rsidP="00124413">
      <w:pPr>
        <w:rPr>
          <w:lang w:eastAsia="en-US"/>
        </w:rPr>
      </w:pPr>
    </w:p>
    <w:p w14:paraId="1B6EF132" w14:textId="77777777" w:rsidR="00124413" w:rsidRDefault="00124413" w:rsidP="00124413">
      <w:pPr>
        <w:jc w:val="both"/>
        <w:rPr>
          <w:lang w:eastAsia="en-US"/>
        </w:rPr>
      </w:pPr>
      <w:r>
        <w:rPr>
          <w:lang w:eastAsia="en-US"/>
        </w:rPr>
        <w:t xml:space="preserve">Bi-monhtly reports are presented to the Operations and Service Delivery Boards, which are chaired by executive leads. These reports track waiting list trends using statistic process control (SPC) charts, categorised by duration (e.g. 0-4 weeks, 5-52 weeks, 52+ weeks and 104+ weeks). </w:t>
      </w:r>
    </w:p>
    <w:p w14:paraId="0A27D918" w14:textId="77777777" w:rsidR="00124413" w:rsidRDefault="00124413" w:rsidP="00124413">
      <w:pPr>
        <w:jc w:val="both"/>
        <w:rPr>
          <w:lang w:eastAsia="en-US"/>
        </w:rPr>
      </w:pPr>
    </w:p>
    <w:p w14:paraId="35C01D99" w14:textId="77777777" w:rsidR="00124413" w:rsidRDefault="00124413" w:rsidP="00124413">
      <w:pPr>
        <w:jc w:val="both"/>
        <w:rPr>
          <w:lang w:eastAsia="en-US"/>
        </w:rPr>
      </w:pPr>
      <w:r>
        <w:rPr>
          <w:lang w:eastAsia="en-US"/>
        </w:rPr>
        <w:t>Additionally, Quarterly Quality Review meetings are in place with the Directorate Management Teams (DMTs), which also focus on a range of indicators, including access to monitor and review progress with Executives.</w:t>
      </w:r>
    </w:p>
    <w:p w14:paraId="263C530C" w14:textId="77777777" w:rsidR="00124413" w:rsidRDefault="00124413" w:rsidP="00124413">
      <w:pPr>
        <w:jc w:val="both"/>
        <w:rPr>
          <w:lang w:eastAsia="en-US"/>
        </w:rPr>
      </w:pPr>
    </w:p>
    <w:p w14:paraId="60908AC9" w14:textId="5A2E0794" w:rsidR="00AC7BA0" w:rsidRDefault="00124413" w:rsidP="00124413">
      <w:pPr>
        <w:jc w:val="both"/>
        <w:rPr>
          <w:lang w:eastAsia="en-US"/>
        </w:rPr>
      </w:pPr>
      <w:r>
        <w:rPr>
          <w:lang w:eastAsia="en-US"/>
        </w:rPr>
        <w:t xml:space="preserve">Prioritisation of services with waiting list challenges is also in place and this is constantly reviewed and presented for oversight in each report with data presented over time to measure impact and recovery. Recovery plans for these priority areas are summarised for the Operations Board and Service Delivery Board meetings providing a key layer of assurance and oversight for the Trust’s quality control system. </w:t>
      </w:r>
    </w:p>
    <w:p w14:paraId="11FCADCF" w14:textId="1AB42403" w:rsidR="00AC7BA0" w:rsidRPr="00AC7BA0" w:rsidRDefault="009C20C9" w:rsidP="00AC7BA0">
      <w:pPr>
        <w:pStyle w:val="Heading1"/>
        <w:spacing w:line="360" w:lineRule="auto"/>
        <w:rPr>
          <w:rFonts w:ascii="Arial" w:hAnsi="Arial" w:cs="Arial"/>
          <w:b/>
          <w:color w:val="auto"/>
          <w:sz w:val="24"/>
          <w:szCs w:val="24"/>
        </w:rPr>
      </w:pPr>
      <w:bookmarkStart w:id="31" w:name="_Toc206774786"/>
      <w:bookmarkStart w:id="32" w:name="_Toc211502281"/>
      <w:bookmarkStart w:id="33" w:name="_Toc202350255"/>
      <w:r>
        <w:rPr>
          <w:rFonts w:ascii="Arial" w:hAnsi="Arial" w:cs="Arial"/>
          <w:b/>
          <w:color w:val="auto"/>
          <w:sz w:val="24"/>
          <w:szCs w:val="24"/>
        </w:rPr>
        <w:lastRenderedPageBreak/>
        <w:t>A</w:t>
      </w:r>
      <w:r w:rsidR="00AC7BA0" w:rsidRPr="00AC7BA0">
        <w:rPr>
          <w:rFonts w:ascii="Arial" w:hAnsi="Arial" w:cs="Arial"/>
          <w:b/>
          <w:color w:val="auto"/>
          <w:sz w:val="24"/>
          <w:szCs w:val="24"/>
        </w:rPr>
        <w:t xml:space="preserve">ppendix 1: </w:t>
      </w:r>
      <w:r w:rsidR="00611B87">
        <w:rPr>
          <w:rFonts w:ascii="Arial" w:hAnsi="Arial" w:cs="Arial"/>
          <w:b/>
          <w:color w:val="auto"/>
          <w:sz w:val="24"/>
          <w:szCs w:val="24"/>
        </w:rPr>
        <w:t xml:space="preserve">Summary of </w:t>
      </w:r>
      <w:r w:rsidR="00AC7BA0" w:rsidRPr="00AC7BA0">
        <w:rPr>
          <w:rFonts w:ascii="Arial" w:hAnsi="Arial" w:cs="Arial"/>
          <w:b/>
          <w:color w:val="auto"/>
          <w:sz w:val="24"/>
          <w:szCs w:val="24"/>
        </w:rPr>
        <w:t>Local Policies</w:t>
      </w:r>
      <w:bookmarkEnd w:id="31"/>
      <w:bookmarkEnd w:id="32"/>
    </w:p>
    <w:p w14:paraId="045AA957" w14:textId="0EE4BFB3" w:rsidR="009C20C9" w:rsidRPr="009C20C9" w:rsidRDefault="009C20C9" w:rsidP="009C20C9">
      <w:pPr>
        <w:spacing w:before="240"/>
        <w:rPr>
          <w:rFonts w:cs="Arial"/>
          <w:bCs/>
          <w:sz w:val="24"/>
        </w:rPr>
      </w:pPr>
      <w:r w:rsidRPr="009C20C9">
        <w:rPr>
          <w:rFonts w:cs="Arial"/>
          <w:bCs/>
          <w:sz w:val="24"/>
        </w:rPr>
        <w:t>For a full list of local policies</w:t>
      </w:r>
      <w:r w:rsidR="0038453E">
        <w:rPr>
          <w:rFonts w:cs="Arial"/>
          <w:bCs/>
          <w:sz w:val="24"/>
        </w:rPr>
        <w:t xml:space="preserve">, please note that these are held locally within the services for any additional guidance and support. </w:t>
      </w:r>
      <w:r>
        <w:rPr>
          <w:rFonts w:cs="Arial"/>
          <w:bCs/>
          <w:sz w:val="24"/>
        </w:rPr>
        <w:t xml:space="preserve"> </w:t>
      </w:r>
    </w:p>
    <w:p w14:paraId="10C9DC55" w14:textId="77777777" w:rsidR="009C20C9" w:rsidRDefault="009C20C9" w:rsidP="00AC7BA0">
      <w:pPr>
        <w:spacing w:before="240" w:line="360" w:lineRule="auto"/>
        <w:rPr>
          <w:rFonts w:cs="Arial"/>
          <w:b/>
          <w:bCs/>
          <w:sz w:val="24"/>
        </w:rPr>
      </w:pPr>
    </w:p>
    <w:p w14:paraId="25A491C0" w14:textId="7BD40B7E" w:rsidR="00AC7BA0" w:rsidRDefault="00AC7BA0" w:rsidP="00AC7BA0">
      <w:pPr>
        <w:spacing w:before="240" w:line="360" w:lineRule="auto"/>
        <w:rPr>
          <w:rFonts w:cs="Arial"/>
          <w:bCs/>
          <w:sz w:val="24"/>
        </w:rPr>
      </w:pPr>
      <w:r>
        <w:rPr>
          <w:rFonts w:cs="Arial"/>
          <w:b/>
          <w:bCs/>
          <w:sz w:val="24"/>
        </w:rPr>
        <w:t xml:space="preserve">Adult Mental Health Services </w:t>
      </w:r>
    </w:p>
    <w:p w14:paraId="1E09ED79" w14:textId="03334C4E" w:rsidR="009C20C9" w:rsidRPr="009C20C9" w:rsidRDefault="009C20C9" w:rsidP="005C4663">
      <w:pPr>
        <w:pStyle w:val="ListParagraph"/>
        <w:numPr>
          <w:ilvl w:val="0"/>
          <w:numId w:val="46"/>
        </w:numPr>
        <w:spacing w:before="240" w:line="360" w:lineRule="auto"/>
        <w:rPr>
          <w:rFonts w:cs="Arial"/>
          <w:bCs/>
          <w:sz w:val="24"/>
        </w:rPr>
      </w:pPr>
      <w:hyperlink r:id="rId14" w:history="1">
        <w:r w:rsidRPr="009C20C9">
          <w:rPr>
            <w:rStyle w:val="Hyperlink"/>
            <w:rFonts w:cs="Arial"/>
            <w:bCs/>
            <w:sz w:val="24"/>
          </w:rPr>
          <w:t>Adult Community Mental Health Teams Policy [Bedfordshire]</w:t>
        </w:r>
      </w:hyperlink>
    </w:p>
    <w:p w14:paraId="49BDA9A7" w14:textId="183400A8" w:rsidR="005C4663" w:rsidRPr="005C4663" w:rsidRDefault="005C4663" w:rsidP="005C4663">
      <w:pPr>
        <w:pStyle w:val="ListParagraph"/>
        <w:numPr>
          <w:ilvl w:val="0"/>
          <w:numId w:val="46"/>
        </w:numPr>
        <w:spacing w:before="240" w:line="360" w:lineRule="auto"/>
        <w:rPr>
          <w:rFonts w:cs="Arial"/>
          <w:b/>
          <w:bCs/>
          <w:sz w:val="24"/>
        </w:rPr>
      </w:pPr>
      <w:hyperlink r:id="rId15" w:history="1">
        <w:r w:rsidRPr="005C4663">
          <w:rPr>
            <w:rStyle w:val="Hyperlink"/>
            <w:rFonts w:cs="Arial"/>
            <w:bCs/>
            <w:sz w:val="24"/>
          </w:rPr>
          <w:t>Safeguarding Adults Policy and Procedures</w:t>
        </w:r>
      </w:hyperlink>
    </w:p>
    <w:p w14:paraId="49B9FFA3" w14:textId="398FEB92" w:rsidR="005C4663" w:rsidRPr="008B6142" w:rsidRDefault="005C4663" w:rsidP="005C4663">
      <w:pPr>
        <w:pStyle w:val="ListParagraph"/>
        <w:numPr>
          <w:ilvl w:val="0"/>
          <w:numId w:val="46"/>
        </w:numPr>
        <w:spacing w:before="240" w:line="360" w:lineRule="auto"/>
        <w:rPr>
          <w:rStyle w:val="Hyperlink"/>
          <w:rFonts w:cs="Arial"/>
          <w:b/>
          <w:bCs/>
          <w:color w:val="auto"/>
          <w:sz w:val="24"/>
          <w:u w:val="none"/>
        </w:rPr>
      </w:pPr>
      <w:hyperlink r:id="rId16" w:history="1">
        <w:r w:rsidRPr="005C4663">
          <w:rPr>
            <w:rStyle w:val="Hyperlink"/>
            <w:rFonts w:cs="Arial"/>
            <w:bCs/>
            <w:sz w:val="24"/>
          </w:rPr>
          <w:t>Admission, Transfer and Discharge Policy for Mental Health Services</w:t>
        </w:r>
      </w:hyperlink>
    </w:p>
    <w:p w14:paraId="614D044C" w14:textId="042385BB" w:rsidR="008B6142" w:rsidRDefault="008B6142" w:rsidP="005C4663">
      <w:pPr>
        <w:pStyle w:val="ListParagraph"/>
        <w:numPr>
          <w:ilvl w:val="0"/>
          <w:numId w:val="46"/>
        </w:numPr>
        <w:spacing w:before="240" w:line="360" w:lineRule="auto"/>
        <w:rPr>
          <w:rFonts w:cs="Arial"/>
          <w:bCs/>
          <w:sz w:val="24"/>
        </w:rPr>
      </w:pPr>
      <w:hyperlink r:id="rId17" w:history="1">
        <w:r w:rsidRPr="008B6142">
          <w:rPr>
            <w:rStyle w:val="Hyperlink"/>
            <w:rFonts w:cs="Arial"/>
            <w:bCs/>
            <w:sz w:val="24"/>
          </w:rPr>
          <w:t>Neighbourhood Mental Health Team Operational Policy</w:t>
        </w:r>
      </w:hyperlink>
    </w:p>
    <w:p w14:paraId="61CE0D08" w14:textId="4D01A948" w:rsidR="008B6142" w:rsidRDefault="008B6142" w:rsidP="005C4663">
      <w:pPr>
        <w:pStyle w:val="ListParagraph"/>
        <w:numPr>
          <w:ilvl w:val="0"/>
          <w:numId w:val="46"/>
        </w:numPr>
        <w:spacing w:before="240" w:line="360" w:lineRule="auto"/>
        <w:rPr>
          <w:rFonts w:cs="Arial"/>
          <w:bCs/>
          <w:sz w:val="24"/>
        </w:rPr>
      </w:pPr>
      <w:hyperlink r:id="rId18" w:history="1">
        <w:r w:rsidRPr="008B6142">
          <w:rPr>
            <w:rStyle w:val="Hyperlink"/>
            <w:rFonts w:cs="Arial"/>
            <w:bCs/>
            <w:sz w:val="24"/>
          </w:rPr>
          <w:t>Personalised Care Framework: The Modern CPA Approach</w:t>
        </w:r>
      </w:hyperlink>
    </w:p>
    <w:p w14:paraId="53C7FC08" w14:textId="77777777" w:rsidR="008B6142" w:rsidRPr="008B6142" w:rsidRDefault="008B6142" w:rsidP="008B6142">
      <w:pPr>
        <w:pStyle w:val="ListParagraph"/>
        <w:spacing w:before="240" w:line="360" w:lineRule="auto"/>
        <w:rPr>
          <w:rFonts w:cs="Arial"/>
          <w:bCs/>
          <w:sz w:val="24"/>
        </w:rPr>
      </w:pPr>
    </w:p>
    <w:p w14:paraId="17C37EE1" w14:textId="10E4FD11" w:rsidR="008B6142" w:rsidRDefault="008B6142" w:rsidP="00AC7BA0">
      <w:pPr>
        <w:spacing w:before="240" w:line="360" w:lineRule="auto"/>
        <w:rPr>
          <w:rFonts w:cs="Arial"/>
          <w:bCs/>
          <w:sz w:val="24"/>
        </w:rPr>
      </w:pPr>
      <w:r w:rsidRPr="008B6142">
        <w:rPr>
          <w:rFonts w:cs="Arial"/>
          <w:b/>
          <w:bCs/>
          <w:sz w:val="24"/>
        </w:rPr>
        <w:t>Crisis</w:t>
      </w:r>
      <w:r>
        <w:rPr>
          <w:rFonts w:cs="Arial"/>
          <w:bCs/>
          <w:sz w:val="24"/>
        </w:rPr>
        <w:t xml:space="preserve"> </w:t>
      </w:r>
      <w:r w:rsidRPr="008B6142">
        <w:rPr>
          <w:rFonts w:cs="Arial"/>
          <w:b/>
          <w:bCs/>
          <w:sz w:val="24"/>
        </w:rPr>
        <w:t>Services</w:t>
      </w:r>
    </w:p>
    <w:p w14:paraId="3BCD2043" w14:textId="468F0EAE" w:rsidR="008B6142" w:rsidRPr="008B6142" w:rsidRDefault="008B6142" w:rsidP="008B6142">
      <w:pPr>
        <w:pStyle w:val="ListParagraph"/>
        <w:numPr>
          <w:ilvl w:val="0"/>
          <w:numId w:val="48"/>
        </w:numPr>
        <w:spacing w:before="240" w:line="360" w:lineRule="auto"/>
        <w:rPr>
          <w:rFonts w:cs="Arial"/>
          <w:bCs/>
          <w:sz w:val="24"/>
        </w:rPr>
      </w:pPr>
      <w:hyperlink r:id="rId19" w:history="1">
        <w:r w:rsidRPr="008B6142">
          <w:rPr>
            <w:rStyle w:val="Hyperlink"/>
            <w:rFonts w:cs="Arial"/>
            <w:bCs/>
            <w:sz w:val="24"/>
          </w:rPr>
          <w:t>Mental Health Liaison and Psychological Medicine (MHLT) Policy</w:t>
        </w:r>
      </w:hyperlink>
    </w:p>
    <w:p w14:paraId="05B8CCDE" w14:textId="31592587" w:rsidR="008B6142" w:rsidRPr="008B6142" w:rsidRDefault="008B6142" w:rsidP="008B6142">
      <w:pPr>
        <w:pStyle w:val="ListParagraph"/>
        <w:numPr>
          <w:ilvl w:val="0"/>
          <w:numId w:val="48"/>
        </w:numPr>
        <w:spacing w:before="240" w:line="360" w:lineRule="auto"/>
        <w:rPr>
          <w:rFonts w:cs="Arial"/>
          <w:bCs/>
          <w:sz w:val="24"/>
        </w:rPr>
      </w:pPr>
      <w:hyperlink r:id="rId20" w:history="1">
        <w:r w:rsidRPr="008B6142">
          <w:rPr>
            <w:rStyle w:val="Hyperlink"/>
            <w:rFonts w:cs="Arial"/>
            <w:bCs/>
            <w:sz w:val="24"/>
          </w:rPr>
          <w:t>Home Treatment Team Operational Policy</w:t>
        </w:r>
      </w:hyperlink>
    </w:p>
    <w:p w14:paraId="273FFF80" w14:textId="58299FDB" w:rsidR="008B6142" w:rsidRPr="008B6142" w:rsidRDefault="008B6142" w:rsidP="008B6142">
      <w:pPr>
        <w:pStyle w:val="ListParagraph"/>
        <w:numPr>
          <w:ilvl w:val="0"/>
          <w:numId w:val="48"/>
        </w:numPr>
        <w:spacing w:before="240" w:line="360" w:lineRule="auto"/>
        <w:rPr>
          <w:rFonts w:cs="Arial"/>
          <w:bCs/>
          <w:sz w:val="24"/>
        </w:rPr>
      </w:pPr>
      <w:hyperlink r:id="rId21" w:history="1">
        <w:r w:rsidRPr="008B6142">
          <w:rPr>
            <w:rStyle w:val="Hyperlink"/>
            <w:rFonts w:cs="Arial"/>
            <w:bCs/>
            <w:sz w:val="24"/>
          </w:rPr>
          <w:t>Standard Operating Procedure NHS 111</w:t>
        </w:r>
      </w:hyperlink>
    </w:p>
    <w:p w14:paraId="33CB96FD" w14:textId="5130C111" w:rsidR="008B6142" w:rsidRPr="008B6142" w:rsidRDefault="008B6142" w:rsidP="008B6142">
      <w:pPr>
        <w:pStyle w:val="ListParagraph"/>
        <w:numPr>
          <w:ilvl w:val="0"/>
          <w:numId w:val="48"/>
        </w:numPr>
        <w:spacing w:before="240" w:line="360" w:lineRule="auto"/>
        <w:rPr>
          <w:rFonts w:cs="Arial"/>
          <w:bCs/>
          <w:sz w:val="24"/>
        </w:rPr>
      </w:pPr>
      <w:hyperlink r:id="rId22" w:history="1">
        <w:r w:rsidRPr="008B6142">
          <w:rPr>
            <w:rStyle w:val="Hyperlink"/>
            <w:rFonts w:cs="Arial"/>
            <w:bCs/>
            <w:sz w:val="24"/>
          </w:rPr>
          <w:t>Business Continuity Plan – East London Crisis Line and NEL 111 Hub Guidance</w:t>
        </w:r>
      </w:hyperlink>
    </w:p>
    <w:p w14:paraId="33CEAB3C" w14:textId="77777777" w:rsidR="008B6142" w:rsidRDefault="008B6142" w:rsidP="00AC7BA0">
      <w:pPr>
        <w:spacing w:before="240" w:line="360" w:lineRule="auto"/>
        <w:rPr>
          <w:rFonts w:cs="Arial"/>
          <w:b/>
          <w:bCs/>
          <w:sz w:val="24"/>
        </w:rPr>
      </w:pPr>
    </w:p>
    <w:p w14:paraId="35784B64" w14:textId="3B07C2F3" w:rsidR="00AC7BA0" w:rsidRDefault="00AC7BA0" w:rsidP="00AC7BA0">
      <w:pPr>
        <w:spacing w:before="240" w:line="360" w:lineRule="auto"/>
        <w:rPr>
          <w:rFonts w:cs="Arial"/>
          <w:b/>
          <w:bCs/>
          <w:sz w:val="24"/>
        </w:rPr>
      </w:pPr>
      <w:r>
        <w:rPr>
          <w:rFonts w:cs="Arial"/>
          <w:b/>
          <w:bCs/>
          <w:sz w:val="24"/>
        </w:rPr>
        <w:t>CAMHS:</w:t>
      </w:r>
    </w:p>
    <w:p w14:paraId="62F11098" w14:textId="1847328E" w:rsidR="00AC7BA0" w:rsidRDefault="00AC7BA0" w:rsidP="00AC7BA0">
      <w:pPr>
        <w:pStyle w:val="ListParagraph"/>
        <w:numPr>
          <w:ilvl w:val="0"/>
          <w:numId w:val="29"/>
        </w:numPr>
        <w:spacing w:before="240" w:after="160"/>
        <w:rPr>
          <w:rFonts w:cs="Arial"/>
          <w:sz w:val="24"/>
        </w:rPr>
      </w:pPr>
      <w:hyperlink r:id="rId23" w:history="1">
        <w:r w:rsidRPr="005C4663">
          <w:rPr>
            <w:rStyle w:val="Hyperlink"/>
            <w:rFonts w:cs="Arial"/>
            <w:sz w:val="24"/>
          </w:rPr>
          <w:t xml:space="preserve">CAMHS </w:t>
        </w:r>
        <w:r w:rsidR="005C4663" w:rsidRPr="005C4663">
          <w:rPr>
            <w:rStyle w:val="Hyperlink"/>
            <w:rFonts w:cs="Arial"/>
            <w:sz w:val="24"/>
          </w:rPr>
          <w:t xml:space="preserve">and SCYPS </w:t>
        </w:r>
        <w:r w:rsidRPr="005C4663">
          <w:rPr>
            <w:rStyle w:val="Hyperlink"/>
            <w:rFonts w:cs="Arial"/>
            <w:sz w:val="24"/>
          </w:rPr>
          <w:t>Was Not Brought/Did Not Attend Policy</w:t>
        </w:r>
      </w:hyperlink>
    </w:p>
    <w:p w14:paraId="55168C2E" w14:textId="187EAF0F" w:rsidR="00AC7BA0" w:rsidRPr="005C4663" w:rsidRDefault="00AC7BA0" w:rsidP="00AC7BA0">
      <w:pPr>
        <w:pStyle w:val="paragraph"/>
        <w:numPr>
          <w:ilvl w:val="0"/>
          <w:numId w:val="29"/>
        </w:numPr>
        <w:spacing w:before="240" w:beforeAutospacing="0" w:after="0" w:afterAutospacing="0"/>
        <w:textAlignment w:val="baseline"/>
        <w:rPr>
          <w:rStyle w:val="normaltextrun"/>
          <w:rFonts w:ascii="Arial" w:hAnsi="Arial" w:cs="Arial"/>
          <w:sz w:val="20"/>
          <w:szCs w:val="20"/>
        </w:rPr>
      </w:pPr>
      <w:hyperlink r:id="rId24" w:history="1">
        <w:r w:rsidRPr="005C4663">
          <w:rPr>
            <w:rStyle w:val="Hyperlink"/>
            <w:rFonts w:ascii="Arial" w:eastAsiaTheme="majorEastAsia" w:hAnsi="Arial" w:cs="Arial"/>
          </w:rPr>
          <w:t>Transition from Child and Adolescent Mental Health Services to Adult Mental Health Services Policy</w:t>
        </w:r>
      </w:hyperlink>
    </w:p>
    <w:p w14:paraId="4F0E7F08" w14:textId="7DBCD325" w:rsidR="005C4663" w:rsidRDefault="005C4663" w:rsidP="00AC7BA0">
      <w:pPr>
        <w:pStyle w:val="paragraph"/>
        <w:numPr>
          <w:ilvl w:val="0"/>
          <w:numId w:val="29"/>
        </w:numPr>
        <w:spacing w:before="240" w:beforeAutospacing="0" w:after="0" w:afterAutospacing="0"/>
        <w:textAlignment w:val="baseline"/>
        <w:rPr>
          <w:rFonts w:ascii="Arial" w:hAnsi="Arial" w:cs="Arial"/>
          <w:sz w:val="20"/>
          <w:szCs w:val="20"/>
        </w:rPr>
      </w:pPr>
      <w:hyperlink r:id="rId25" w:history="1">
        <w:r w:rsidRPr="005C4663">
          <w:rPr>
            <w:rStyle w:val="Hyperlink"/>
            <w:rFonts w:ascii="Arial" w:eastAsiaTheme="majorEastAsia" w:hAnsi="Arial" w:cs="Arial"/>
          </w:rPr>
          <w:t>Safeguarding Children Policy</w:t>
        </w:r>
      </w:hyperlink>
      <w:r>
        <w:rPr>
          <w:rStyle w:val="normaltextrun"/>
          <w:rFonts w:ascii="Arial" w:eastAsiaTheme="majorEastAsia" w:hAnsi="Arial" w:cs="Arial"/>
        </w:rPr>
        <w:t xml:space="preserve"> [CAMHS &amp; SCYPS]</w:t>
      </w:r>
    </w:p>
    <w:p w14:paraId="088939FC" w14:textId="77777777" w:rsidR="009C20C9" w:rsidRDefault="009C20C9" w:rsidP="00AC7BA0">
      <w:pPr>
        <w:pStyle w:val="paragraph"/>
        <w:spacing w:before="240" w:beforeAutospacing="0" w:after="0" w:afterAutospacing="0" w:line="360" w:lineRule="auto"/>
        <w:textAlignment w:val="baseline"/>
        <w:rPr>
          <w:rFonts w:ascii="Arial" w:hAnsi="Arial" w:cs="Arial"/>
          <w:b/>
          <w:bCs/>
        </w:rPr>
      </w:pPr>
    </w:p>
    <w:p w14:paraId="5D0CAF4E" w14:textId="2F69CA78" w:rsidR="00AC7BA0" w:rsidRDefault="00AC7BA0" w:rsidP="00AC7BA0">
      <w:pPr>
        <w:pStyle w:val="paragraph"/>
        <w:spacing w:before="240" w:beforeAutospacing="0" w:after="0" w:afterAutospacing="0" w:line="360" w:lineRule="auto"/>
        <w:textAlignment w:val="baseline"/>
        <w:rPr>
          <w:rFonts w:ascii="Arial" w:hAnsi="Arial" w:cs="Arial"/>
          <w:b/>
          <w:bCs/>
        </w:rPr>
      </w:pPr>
      <w:r>
        <w:rPr>
          <w:rFonts w:ascii="Arial" w:hAnsi="Arial" w:cs="Arial"/>
          <w:b/>
          <w:bCs/>
        </w:rPr>
        <w:t>Specialist Children &amp; Young People’s Service (SCYPS):</w:t>
      </w:r>
    </w:p>
    <w:p w14:paraId="63C88684" w14:textId="75EF4996" w:rsidR="00557F80" w:rsidRDefault="005C4663" w:rsidP="00AC7BA0">
      <w:pPr>
        <w:pStyle w:val="paragraph"/>
        <w:numPr>
          <w:ilvl w:val="0"/>
          <w:numId w:val="30"/>
        </w:numPr>
        <w:spacing w:before="240" w:beforeAutospacing="0" w:after="0" w:afterAutospacing="0"/>
        <w:textAlignment w:val="baseline"/>
        <w:rPr>
          <w:rFonts w:ascii="Arial" w:hAnsi="Arial" w:cs="Arial"/>
        </w:rPr>
      </w:pPr>
      <w:hyperlink r:id="rId26" w:history="1">
        <w:r w:rsidRPr="005C4663">
          <w:rPr>
            <w:rStyle w:val="Hyperlink"/>
            <w:rFonts w:ascii="Arial" w:hAnsi="Arial" w:cs="Arial"/>
          </w:rPr>
          <w:t>Community Children’s Nursing Service Operational Policy</w:t>
        </w:r>
      </w:hyperlink>
    </w:p>
    <w:p w14:paraId="77E70337" w14:textId="7358BFB7" w:rsidR="005C4663" w:rsidRDefault="005C4663" w:rsidP="00AC7BA0">
      <w:pPr>
        <w:pStyle w:val="paragraph"/>
        <w:numPr>
          <w:ilvl w:val="0"/>
          <w:numId w:val="30"/>
        </w:numPr>
        <w:spacing w:before="240" w:beforeAutospacing="0" w:after="0" w:afterAutospacing="0"/>
        <w:textAlignment w:val="baseline"/>
        <w:rPr>
          <w:rFonts w:ascii="Arial" w:hAnsi="Arial" w:cs="Arial"/>
        </w:rPr>
      </w:pPr>
      <w:hyperlink r:id="rId27" w:history="1">
        <w:r w:rsidRPr="005C4663">
          <w:rPr>
            <w:rStyle w:val="Hyperlink"/>
            <w:rFonts w:ascii="Arial" w:hAnsi="Arial" w:cs="Arial"/>
          </w:rPr>
          <w:t>Community Paediatrics Dietetics Team (CCNS) Clinical Operational Policy</w:t>
        </w:r>
      </w:hyperlink>
    </w:p>
    <w:p w14:paraId="2EBFCEB6" w14:textId="67301820" w:rsidR="005C4663" w:rsidRDefault="005C4663" w:rsidP="00AC7BA0">
      <w:pPr>
        <w:pStyle w:val="paragraph"/>
        <w:numPr>
          <w:ilvl w:val="0"/>
          <w:numId w:val="30"/>
        </w:numPr>
        <w:spacing w:before="240" w:beforeAutospacing="0" w:after="0" w:afterAutospacing="0"/>
        <w:textAlignment w:val="baseline"/>
        <w:rPr>
          <w:rFonts w:ascii="Arial" w:hAnsi="Arial" w:cs="Arial"/>
        </w:rPr>
      </w:pPr>
      <w:hyperlink r:id="rId28" w:history="1">
        <w:r w:rsidRPr="005C4663">
          <w:rPr>
            <w:rStyle w:val="Hyperlink"/>
            <w:rFonts w:ascii="Arial" w:hAnsi="Arial" w:cs="Arial"/>
          </w:rPr>
          <w:t>Diana Children’s Community Team Operational Policy</w:t>
        </w:r>
      </w:hyperlink>
    </w:p>
    <w:p w14:paraId="3B1A8088" w14:textId="337E5A76" w:rsidR="005C4663" w:rsidRDefault="005C4663" w:rsidP="00AC7BA0">
      <w:pPr>
        <w:pStyle w:val="paragraph"/>
        <w:numPr>
          <w:ilvl w:val="0"/>
          <w:numId w:val="30"/>
        </w:numPr>
        <w:spacing w:before="240" w:beforeAutospacing="0" w:after="0" w:afterAutospacing="0"/>
        <w:textAlignment w:val="baseline"/>
        <w:rPr>
          <w:rFonts w:ascii="Arial" w:hAnsi="Arial" w:cs="Arial"/>
        </w:rPr>
      </w:pPr>
      <w:hyperlink r:id="rId29" w:history="1">
        <w:r w:rsidRPr="005C4663">
          <w:rPr>
            <w:rStyle w:val="Hyperlink"/>
            <w:rFonts w:ascii="Arial" w:hAnsi="Arial" w:cs="Arial"/>
          </w:rPr>
          <w:t>Children in Care Clinical Initial and Review Health Assessments</w:t>
        </w:r>
      </w:hyperlink>
    </w:p>
    <w:p w14:paraId="4AAE2112" w14:textId="742D883D" w:rsidR="00AC7BA0" w:rsidRDefault="005C4663" w:rsidP="00AC7BA0">
      <w:pPr>
        <w:pStyle w:val="paragraph"/>
        <w:numPr>
          <w:ilvl w:val="0"/>
          <w:numId w:val="30"/>
        </w:numPr>
        <w:spacing w:before="240" w:beforeAutospacing="0" w:after="0" w:afterAutospacing="0"/>
        <w:textAlignment w:val="baseline"/>
        <w:rPr>
          <w:rFonts w:ascii="Arial" w:hAnsi="Arial" w:cs="Arial"/>
        </w:rPr>
      </w:pPr>
      <w:r>
        <w:rPr>
          <w:rFonts w:ascii="Arial" w:hAnsi="Arial" w:cs="Arial"/>
        </w:rPr>
        <w:t>SCYPS</w:t>
      </w:r>
      <w:r w:rsidR="00AC7BA0" w:rsidRPr="00AC7BA0">
        <w:rPr>
          <w:rFonts w:ascii="Arial" w:hAnsi="Arial" w:cs="Arial"/>
        </w:rPr>
        <w:t xml:space="preserve"> Engagement and Access Operational Policy (this policy is under review and the link to the updated version wil</w:t>
      </w:r>
      <w:r>
        <w:rPr>
          <w:rFonts w:ascii="Arial" w:hAnsi="Arial" w:cs="Arial"/>
        </w:rPr>
        <w:t>l be included upon completion)</w:t>
      </w:r>
    </w:p>
    <w:p w14:paraId="2307017B" w14:textId="77777777" w:rsidR="00F136B7" w:rsidRDefault="00F136B7" w:rsidP="00F136B7">
      <w:pPr>
        <w:pStyle w:val="ListParagraph"/>
        <w:numPr>
          <w:ilvl w:val="0"/>
          <w:numId w:val="30"/>
        </w:numPr>
        <w:spacing w:before="240" w:line="360" w:lineRule="auto"/>
        <w:rPr>
          <w:rFonts w:cs="Arial"/>
          <w:sz w:val="24"/>
        </w:rPr>
      </w:pPr>
      <w:r>
        <w:t xml:space="preserve">SCYPS </w:t>
      </w:r>
      <w:hyperlink r:id="rId30" w:history="1">
        <w:r w:rsidRPr="005C4663">
          <w:rPr>
            <w:rStyle w:val="Hyperlink"/>
            <w:rFonts w:cs="Arial"/>
            <w:sz w:val="24"/>
          </w:rPr>
          <w:t>Epilepsy Nursing Service Operational Policy</w:t>
        </w:r>
      </w:hyperlink>
    </w:p>
    <w:p w14:paraId="38DF227A" w14:textId="77777777" w:rsidR="009C20C9" w:rsidRDefault="009C20C9" w:rsidP="00AC7BA0">
      <w:pPr>
        <w:spacing w:before="240" w:line="360" w:lineRule="auto"/>
        <w:rPr>
          <w:rFonts w:cs="Arial"/>
          <w:b/>
          <w:bCs/>
          <w:sz w:val="24"/>
        </w:rPr>
      </w:pPr>
    </w:p>
    <w:p w14:paraId="1537924C" w14:textId="32386749" w:rsidR="00AC7BA0" w:rsidRDefault="00AC7BA0" w:rsidP="00AC7BA0">
      <w:pPr>
        <w:spacing w:before="240" w:line="360" w:lineRule="auto"/>
        <w:rPr>
          <w:rFonts w:cs="Arial"/>
          <w:b/>
          <w:bCs/>
          <w:sz w:val="24"/>
        </w:rPr>
      </w:pPr>
      <w:r>
        <w:rPr>
          <w:rFonts w:cs="Arial"/>
          <w:b/>
          <w:bCs/>
          <w:sz w:val="24"/>
        </w:rPr>
        <w:t>Community Health Services:</w:t>
      </w:r>
    </w:p>
    <w:p w14:paraId="7302FA9F" w14:textId="75032060" w:rsidR="00F02613" w:rsidRPr="00F136B7" w:rsidRDefault="00AC7BA0" w:rsidP="004D2732">
      <w:pPr>
        <w:pStyle w:val="ListParagraph"/>
        <w:numPr>
          <w:ilvl w:val="0"/>
          <w:numId w:val="30"/>
        </w:numPr>
        <w:spacing w:before="240" w:after="160" w:line="360" w:lineRule="auto"/>
        <w:ind w:left="785"/>
        <w:rPr>
          <w:rFonts w:cs="Arial"/>
          <w:sz w:val="24"/>
        </w:rPr>
      </w:pPr>
      <w:hyperlink r:id="rId31" w:history="1">
        <w:r w:rsidRPr="00F136B7">
          <w:rPr>
            <w:rStyle w:val="Hyperlink"/>
            <w:rFonts w:cs="Arial"/>
            <w:sz w:val="24"/>
          </w:rPr>
          <w:t>Community Health Services Guidance for recording DNA,</w:t>
        </w:r>
        <w:r w:rsidR="00F136B7" w:rsidRPr="00F136B7">
          <w:rPr>
            <w:rStyle w:val="Hyperlink"/>
            <w:rFonts w:cs="Arial"/>
            <w:sz w:val="24"/>
          </w:rPr>
          <w:t xml:space="preserve"> Patient &amp; Trust cancellations</w:t>
        </w:r>
      </w:hyperlink>
    </w:p>
    <w:p w14:paraId="54EB7A6E" w14:textId="55B11DB0" w:rsidR="0038453E" w:rsidRDefault="0038453E" w:rsidP="0038453E">
      <w:pPr>
        <w:spacing w:before="240" w:line="360" w:lineRule="auto"/>
        <w:rPr>
          <w:rFonts w:cs="Arial"/>
          <w:b/>
          <w:sz w:val="24"/>
        </w:rPr>
      </w:pPr>
      <w:r>
        <w:rPr>
          <w:rFonts w:cs="Arial"/>
          <w:b/>
          <w:sz w:val="24"/>
        </w:rPr>
        <w:t>Primary Care Services</w:t>
      </w:r>
    </w:p>
    <w:p w14:paraId="3C0E54A3" w14:textId="4256965D" w:rsidR="0038453E" w:rsidRPr="0038453E" w:rsidRDefault="0038453E" w:rsidP="0038453E">
      <w:pPr>
        <w:pStyle w:val="ListParagraph"/>
        <w:numPr>
          <w:ilvl w:val="0"/>
          <w:numId w:val="30"/>
        </w:numPr>
        <w:spacing w:before="240" w:line="360" w:lineRule="auto"/>
        <w:rPr>
          <w:rFonts w:cs="Arial"/>
          <w:sz w:val="24"/>
        </w:rPr>
      </w:pPr>
      <w:hyperlink r:id="rId32" w:history="1">
        <w:r w:rsidRPr="0038453E">
          <w:rPr>
            <w:rStyle w:val="Hyperlink"/>
            <w:rFonts w:cs="Arial"/>
            <w:sz w:val="24"/>
          </w:rPr>
          <w:t>NHS GP Booking Guidance (2025)</w:t>
        </w:r>
      </w:hyperlink>
    </w:p>
    <w:p w14:paraId="732079D2" w14:textId="77777777" w:rsidR="00AC7BA0" w:rsidRDefault="00AC7BA0" w:rsidP="00AC7BA0">
      <w:pPr>
        <w:spacing w:before="240"/>
        <w:rPr>
          <w:rFonts w:cs="Arial"/>
          <w:b/>
          <w:bCs/>
          <w:sz w:val="24"/>
        </w:rPr>
      </w:pPr>
      <w:r>
        <w:rPr>
          <w:rFonts w:cs="Arial"/>
          <w:b/>
          <w:bCs/>
          <w:sz w:val="24"/>
        </w:rPr>
        <w:t>Talking Therapies:</w:t>
      </w:r>
    </w:p>
    <w:p w14:paraId="3FEE54D7" w14:textId="6CAABF5D" w:rsidR="00AC7BA0" w:rsidRDefault="00AC7BA0" w:rsidP="00AC7BA0">
      <w:pPr>
        <w:pStyle w:val="ListParagraph"/>
        <w:numPr>
          <w:ilvl w:val="0"/>
          <w:numId w:val="30"/>
        </w:numPr>
        <w:spacing w:before="240" w:after="160" w:line="256" w:lineRule="auto"/>
        <w:rPr>
          <w:rFonts w:cs="Arial"/>
          <w:sz w:val="24"/>
        </w:rPr>
      </w:pPr>
      <w:r>
        <w:rPr>
          <w:rFonts w:cs="Arial"/>
          <w:sz w:val="24"/>
        </w:rPr>
        <w:t xml:space="preserve">Newham Talking Therapies </w:t>
      </w:r>
      <w:r w:rsidR="00557F80">
        <w:rPr>
          <w:rFonts w:cs="Arial"/>
          <w:sz w:val="24"/>
        </w:rPr>
        <w:t>–</w:t>
      </w:r>
      <w:r>
        <w:rPr>
          <w:rFonts w:cs="Arial"/>
          <w:sz w:val="24"/>
        </w:rPr>
        <w:t xml:space="preserve"> </w:t>
      </w:r>
      <w:hyperlink r:id="rId33" w:history="1">
        <w:r w:rsidRPr="00557F80">
          <w:rPr>
            <w:rStyle w:val="Hyperlink"/>
            <w:rFonts w:cs="Arial"/>
            <w:sz w:val="24"/>
          </w:rPr>
          <w:t>DNA</w:t>
        </w:r>
        <w:r w:rsidR="00557F80" w:rsidRPr="00557F80">
          <w:rPr>
            <w:rStyle w:val="Hyperlink"/>
            <w:rFonts w:cs="Arial"/>
            <w:sz w:val="24"/>
          </w:rPr>
          <w:t xml:space="preserve"> &amp; Risk Management</w:t>
        </w:r>
        <w:r w:rsidRPr="00557F80">
          <w:rPr>
            <w:rStyle w:val="Hyperlink"/>
            <w:rFonts w:cs="Arial"/>
            <w:sz w:val="24"/>
          </w:rPr>
          <w:t xml:space="preserve"> Policy</w:t>
        </w:r>
      </w:hyperlink>
      <w:r w:rsidR="00557F80">
        <w:rPr>
          <w:rFonts w:cs="Arial"/>
          <w:sz w:val="24"/>
        </w:rPr>
        <w:t xml:space="preserve"> </w:t>
      </w:r>
    </w:p>
    <w:p w14:paraId="35399725" w14:textId="72B0B5C0" w:rsidR="00AC7BA0" w:rsidRDefault="00AC7BA0" w:rsidP="00557F80">
      <w:pPr>
        <w:pStyle w:val="ListParagraph"/>
        <w:spacing w:before="240"/>
      </w:pPr>
    </w:p>
    <w:p w14:paraId="77F2A0E2" w14:textId="77777777" w:rsidR="00557F80" w:rsidRDefault="00557F80" w:rsidP="00AC7BA0">
      <w:pPr>
        <w:pStyle w:val="ListParagraph"/>
        <w:spacing w:before="240"/>
        <w:ind w:left="785"/>
        <w:rPr>
          <w:rFonts w:asciiTheme="minorHAnsi" w:hAnsiTheme="minorHAnsi" w:cstheme="minorBidi"/>
          <w:szCs w:val="22"/>
        </w:rPr>
      </w:pPr>
    </w:p>
    <w:p w14:paraId="7D683483" w14:textId="08BABCF1" w:rsidR="00AC7BA0" w:rsidRDefault="009C20C9" w:rsidP="00AC7BA0">
      <w:pPr>
        <w:spacing w:before="240"/>
        <w:rPr>
          <w:rFonts w:cs="Arial"/>
          <w:b/>
          <w:bCs/>
          <w:sz w:val="24"/>
        </w:rPr>
      </w:pPr>
      <w:r>
        <w:rPr>
          <w:rFonts w:cs="Arial"/>
          <w:b/>
          <w:bCs/>
          <w:sz w:val="24"/>
        </w:rPr>
        <w:t xml:space="preserve">Crisis Services: </w:t>
      </w:r>
    </w:p>
    <w:p w14:paraId="21B39022" w14:textId="77777777" w:rsidR="00AC7BA0" w:rsidRDefault="00AC7BA0" w:rsidP="00AC7BA0">
      <w:pPr>
        <w:spacing w:before="240"/>
        <w:rPr>
          <w:rFonts w:cs="Arial"/>
          <w:sz w:val="24"/>
        </w:rPr>
      </w:pPr>
      <w:r>
        <w:rPr>
          <w:rFonts w:cs="Arial"/>
          <w:sz w:val="24"/>
        </w:rPr>
        <w:t>For further information on crisis, see the following policies:</w:t>
      </w:r>
    </w:p>
    <w:p w14:paraId="00AD3CA6" w14:textId="77777777" w:rsidR="00AC7BA0" w:rsidRDefault="00AC7BA0" w:rsidP="00AC7BA0">
      <w:pPr>
        <w:pStyle w:val="ListParagraph"/>
        <w:numPr>
          <w:ilvl w:val="0"/>
          <w:numId w:val="30"/>
        </w:numPr>
        <w:spacing w:before="240" w:after="160"/>
        <w:rPr>
          <w:rFonts w:cs="Arial"/>
          <w:color w:val="657C9C" w:themeColor="text2" w:themeTint="BF"/>
          <w:sz w:val="24"/>
        </w:rPr>
      </w:pPr>
      <w:hyperlink r:id="rId34" w:history="1">
        <w:r>
          <w:rPr>
            <w:rStyle w:val="Hyperlink"/>
            <w:rFonts w:cs="Arial"/>
            <w:color w:val="657C9C" w:themeColor="text2" w:themeTint="BF"/>
            <w:sz w:val="24"/>
          </w:rPr>
          <w:t>Trust-wide Care Programme Approach (CPA) Policy 1.4 | East London NHS Foundation Trust</w:t>
        </w:r>
      </w:hyperlink>
    </w:p>
    <w:p w14:paraId="10FC6D0C" w14:textId="77777777" w:rsidR="00AC7BA0" w:rsidRDefault="00AC7BA0" w:rsidP="00AC7BA0">
      <w:pPr>
        <w:numPr>
          <w:ilvl w:val="0"/>
          <w:numId w:val="30"/>
        </w:numPr>
        <w:shd w:val="clear" w:color="auto" w:fill="FFFFFF"/>
        <w:spacing w:before="100" w:beforeAutospacing="1" w:after="100" w:afterAutospacing="1"/>
        <w:rPr>
          <w:rFonts w:cs="Arial"/>
          <w:color w:val="000000"/>
          <w:sz w:val="24"/>
        </w:rPr>
      </w:pPr>
      <w:hyperlink r:id="rId35" w:tooltip="clinical_risk_assessment_and_management_policy_5.2.docx" w:history="1">
        <w:r>
          <w:rPr>
            <w:rStyle w:val="Hyperlink"/>
            <w:rFonts w:cs="Arial"/>
            <w:color w:val="005EB8"/>
            <w:sz w:val="24"/>
          </w:rPr>
          <w:t>Clinical Risk Assessment and Management Policy</w:t>
        </w:r>
      </w:hyperlink>
    </w:p>
    <w:p w14:paraId="3EF01670" w14:textId="77777777" w:rsidR="00AC7BA0" w:rsidRDefault="00AC7BA0" w:rsidP="00AC7BA0">
      <w:pPr>
        <w:spacing w:before="240"/>
        <w:rPr>
          <w:rFonts w:cs="Arial"/>
          <w:sz w:val="24"/>
        </w:rPr>
      </w:pPr>
    </w:p>
    <w:p w14:paraId="1B99AB0E" w14:textId="02AB36D4" w:rsidR="00AC7BA0" w:rsidRDefault="00AC7BA0" w:rsidP="00AC7BA0">
      <w:pPr>
        <w:spacing w:before="240"/>
        <w:rPr>
          <w:rFonts w:cs="Arial"/>
          <w:sz w:val="24"/>
        </w:rPr>
      </w:pPr>
    </w:p>
    <w:p w14:paraId="7D632639" w14:textId="6963ED88" w:rsidR="009C20C9" w:rsidRDefault="009C20C9" w:rsidP="00AC7BA0">
      <w:pPr>
        <w:spacing w:before="240"/>
        <w:rPr>
          <w:rFonts w:cs="Arial"/>
          <w:sz w:val="24"/>
        </w:rPr>
      </w:pPr>
    </w:p>
    <w:p w14:paraId="7584D4BF" w14:textId="77777777" w:rsidR="0038453E" w:rsidRDefault="0038453E" w:rsidP="00AC7BA0">
      <w:pPr>
        <w:pStyle w:val="Heading1"/>
        <w:rPr>
          <w:rFonts w:ascii="Arial" w:hAnsi="Arial" w:cs="Arial"/>
          <w:b/>
          <w:color w:val="auto"/>
          <w:sz w:val="24"/>
          <w:szCs w:val="24"/>
        </w:rPr>
      </w:pPr>
      <w:bookmarkStart w:id="34" w:name="_Toc206774787"/>
      <w:bookmarkStart w:id="35" w:name="_Toc211502282"/>
    </w:p>
    <w:p w14:paraId="3015C95D" w14:textId="77777777" w:rsidR="00CF3C30" w:rsidRDefault="00CF3C30" w:rsidP="00CF3C30">
      <w:pPr>
        <w:rPr>
          <w:lang w:eastAsia="en-US"/>
        </w:rPr>
      </w:pPr>
    </w:p>
    <w:p w14:paraId="3ACB4695" w14:textId="77777777" w:rsidR="00CF3C30" w:rsidRDefault="00CF3C30" w:rsidP="00CF3C30">
      <w:pPr>
        <w:rPr>
          <w:lang w:eastAsia="en-US"/>
        </w:rPr>
      </w:pPr>
    </w:p>
    <w:p w14:paraId="25B8AD3A" w14:textId="77777777" w:rsidR="00CF3C30" w:rsidRPr="00CF3C30" w:rsidRDefault="00CF3C30" w:rsidP="00CF3C30">
      <w:pPr>
        <w:rPr>
          <w:lang w:eastAsia="en-US"/>
        </w:rPr>
      </w:pPr>
    </w:p>
    <w:p w14:paraId="71440A81" w14:textId="00D13903" w:rsidR="00AC7BA0" w:rsidRPr="00AC7BA0" w:rsidRDefault="0038453E" w:rsidP="00AC7BA0">
      <w:pPr>
        <w:pStyle w:val="Heading1"/>
        <w:rPr>
          <w:rFonts w:ascii="Arial" w:hAnsi="Arial" w:cs="Arial"/>
          <w:b/>
          <w:color w:val="auto"/>
          <w:sz w:val="24"/>
          <w:szCs w:val="24"/>
        </w:rPr>
      </w:pPr>
      <w:r>
        <w:rPr>
          <w:rFonts w:ascii="Arial" w:hAnsi="Arial" w:cs="Arial"/>
          <w:b/>
          <w:color w:val="auto"/>
          <w:sz w:val="24"/>
          <w:szCs w:val="24"/>
        </w:rPr>
        <w:lastRenderedPageBreak/>
        <w:t>A</w:t>
      </w:r>
      <w:r w:rsidR="00AC7BA0" w:rsidRPr="00AC7BA0">
        <w:rPr>
          <w:rFonts w:ascii="Arial" w:hAnsi="Arial" w:cs="Arial"/>
          <w:b/>
          <w:color w:val="auto"/>
          <w:sz w:val="24"/>
          <w:szCs w:val="24"/>
        </w:rPr>
        <w:t>ppendix 2: DNA Standard: Adult Mental Health Services</w:t>
      </w:r>
      <w:bookmarkEnd w:id="34"/>
      <w:bookmarkEnd w:id="35"/>
    </w:p>
    <w:p w14:paraId="5A53EF92" w14:textId="77777777" w:rsidR="00AC7BA0" w:rsidRDefault="00AC7BA0" w:rsidP="00AC7BA0">
      <w:pPr>
        <w:autoSpaceDE w:val="0"/>
        <w:autoSpaceDN w:val="0"/>
        <w:adjustRightInd w:val="0"/>
        <w:rPr>
          <w:rFonts w:cs="Arial"/>
          <w:b/>
          <w:color w:val="5B9BD5" w:themeColor="accent1"/>
          <w:sz w:val="24"/>
        </w:rPr>
      </w:pPr>
      <w:r>
        <w:rPr>
          <w:rFonts w:cs="Arial"/>
          <w:b/>
          <w:color w:val="5B9BD5" w:themeColor="accent1"/>
          <w:sz w:val="24"/>
        </w:rPr>
        <w:t xml:space="preserve">RULE 1: Establishing DNA cause and not rescheduling automatically </w:t>
      </w:r>
    </w:p>
    <w:p w14:paraId="611AA5DA" w14:textId="77777777" w:rsidR="00AC7BA0" w:rsidRDefault="00AC7BA0" w:rsidP="00AC7BA0">
      <w:pPr>
        <w:autoSpaceDE w:val="0"/>
        <w:autoSpaceDN w:val="0"/>
        <w:adjustRightInd w:val="0"/>
        <w:rPr>
          <w:rFonts w:cs="Arial"/>
          <w:color w:val="000000" w:themeColor="text1"/>
          <w:sz w:val="24"/>
        </w:rPr>
      </w:pPr>
      <w:r>
        <w:rPr>
          <w:rFonts w:cs="Arial"/>
          <w:color w:val="000000" w:themeColor="text1"/>
          <w:sz w:val="24"/>
        </w:rPr>
        <w:t>Utilising clinic/appointment time to contact users that DNA before rescheduling any appointment. This will help improved appt/clinic efficiency and avoid serial DNA cases.</w:t>
      </w:r>
    </w:p>
    <w:p w14:paraId="56599906" w14:textId="77777777" w:rsidR="00AC7BA0" w:rsidRDefault="00AC7BA0" w:rsidP="00AC7BA0">
      <w:pPr>
        <w:autoSpaceDE w:val="0"/>
        <w:autoSpaceDN w:val="0"/>
        <w:adjustRightInd w:val="0"/>
        <w:jc w:val="center"/>
        <w:rPr>
          <w:rFonts w:cs="Arial"/>
          <w:color w:val="000000" w:themeColor="text1"/>
        </w:rPr>
      </w:pPr>
      <w:r>
        <w:rPr>
          <w:rFonts w:cs="Arial"/>
          <w:noProof/>
          <w:color w:val="000000" w:themeColor="text1"/>
        </w:rPr>
        <w:drawing>
          <wp:inline distT="0" distB="0" distL="0" distR="0" wp14:anchorId="287327B8" wp14:editId="64C776B6">
            <wp:extent cx="6029325" cy="1493520"/>
            <wp:effectExtent l="0" t="0" r="9525" b="0"/>
            <wp:docPr id="12" name="Picture 12"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computer screen&#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9325" cy="1493520"/>
                    </a:xfrm>
                    <a:prstGeom prst="rect">
                      <a:avLst/>
                    </a:prstGeom>
                    <a:noFill/>
                    <a:ln>
                      <a:noFill/>
                    </a:ln>
                  </pic:spPr>
                </pic:pic>
              </a:graphicData>
            </a:graphic>
          </wp:inline>
        </w:drawing>
      </w:r>
    </w:p>
    <w:p w14:paraId="46506C8C" w14:textId="77777777" w:rsidR="00AC7BA0" w:rsidRDefault="00AC7BA0" w:rsidP="00AC7BA0">
      <w:pPr>
        <w:autoSpaceDE w:val="0"/>
        <w:autoSpaceDN w:val="0"/>
        <w:adjustRightInd w:val="0"/>
        <w:rPr>
          <w:rFonts w:cs="Arial"/>
          <w:b/>
          <w:color w:val="5B9BD5" w:themeColor="accent1"/>
          <w:sz w:val="20"/>
        </w:rPr>
      </w:pPr>
    </w:p>
    <w:p w14:paraId="166109E2" w14:textId="77777777" w:rsidR="00AC7BA0" w:rsidRDefault="00AC7BA0" w:rsidP="00AC7BA0">
      <w:pPr>
        <w:autoSpaceDE w:val="0"/>
        <w:autoSpaceDN w:val="0"/>
        <w:adjustRightInd w:val="0"/>
        <w:rPr>
          <w:rFonts w:cs="Arial"/>
          <w:b/>
          <w:color w:val="5B9BD5" w:themeColor="accent1"/>
          <w:sz w:val="24"/>
        </w:rPr>
      </w:pPr>
      <w:r>
        <w:rPr>
          <w:rFonts w:cs="Arial"/>
          <w:b/>
          <w:color w:val="5B9BD5" w:themeColor="accent1"/>
          <w:sz w:val="24"/>
        </w:rPr>
        <w:t>RULE 2: Discharge back to GP</w:t>
      </w:r>
    </w:p>
    <w:p w14:paraId="23C4E078" w14:textId="77777777" w:rsidR="00AC7BA0" w:rsidRDefault="00AC7BA0" w:rsidP="00AC7BA0">
      <w:pPr>
        <w:autoSpaceDE w:val="0"/>
        <w:autoSpaceDN w:val="0"/>
        <w:adjustRightInd w:val="0"/>
        <w:rPr>
          <w:rFonts w:cs="Arial"/>
          <w:color w:val="000000" w:themeColor="text1"/>
          <w:sz w:val="24"/>
        </w:rPr>
      </w:pPr>
      <w:r>
        <w:rPr>
          <w:rFonts w:cs="Arial"/>
          <w:color w:val="000000" w:themeColor="text1"/>
          <w:sz w:val="24"/>
        </w:rPr>
        <w:t xml:space="preserve">For non-urgent cases (based on clinician discretion) referring back to GP cases where there has been more than two DNAs. </w:t>
      </w:r>
    </w:p>
    <w:p w14:paraId="52E42C5E" w14:textId="77777777" w:rsidR="00AC7BA0" w:rsidRDefault="00AC7BA0" w:rsidP="00AC7BA0">
      <w:pPr>
        <w:autoSpaceDE w:val="0"/>
        <w:autoSpaceDN w:val="0"/>
        <w:adjustRightInd w:val="0"/>
        <w:jc w:val="center"/>
        <w:rPr>
          <w:rFonts w:cs="Arial"/>
          <w:color w:val="000000" w:themeColor="text1"/>
        </w:rPr>
      </w:pPr>
      <w:r>
        <w:rPr>
          <w:rFonts w:cs="Arial"/>
          <w:noProof/>
          <w:color w:val="000000" w:themeColor="text1"/>
        </w:rPr>
        <w:drawing>
          <wp:inline distT="0" distB="0" distL="0" distR="0" wp14:anchorId="53221F26" wp14:editId="5F11D862">
            <wp:extent cx="6029325" cy="1031875"/>
            <wp:effectExtent l="0" t="0" r="9525" b="0"/>
            <wp:docPr id="11" name="Picture 1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up of a sign&#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325" cy="1031875"/>
                    </a:xfrm>
                    <a:prstGeom prst="rect">
                      <a:avLst/>
                    </a:prstGeom>
                    <a:noFill/>
                    <a:ln>
                      <a:noFill/>
                    </a:ln>
                  </pic:spPr>
                </pic:pic>
              </a:graphicData>
            </a:graphic>
          </wp:inline>
        </w:drawing>
      </w:r>
    </w:p>
    <w:p w14:paraId="1686E4A6" w14:textId="77777777" w:rsidR="00AC7BA0" w:rsidRDefault="00AC7BA0" w:rsidP="00AC7BA0">
      <w:pPr>
        <w:autoSpaceDE w:val="0"/>
        <w:autoSpaceDN w:val="0"/>
        <w:adjustRightInd w:val="0"/>
        <w:rPr>
          <w:rFonts w:cs="Arial"/>
          <w:b/>
          <w:color w:val="5B9BD5" w:themeColor="accent1"/>
          <w:sz w:val="20"/>
        </w:rPr>
      </w:pPr>
    </w:p>
    <w:p w14:paraId="4FFE6741" w14:textId="77777777" w:rsidR="00AC7BA0" w:rsidRDefault="00AC7BA0" w:rsidP="00AC7BA0">
      <w:pPr>
        <w:autoSpaceDE w:val="0"/>
        <w:autoSpaceDN w:val="0"/>
        <w:adjustRightInd w:val="0"/>
        <w:rPr>
          <w:rFonts w:cs="Arial"/>
          <w:b/>
          <w:color w:val="5B9BD5" w:themeColor="accent1"/>
        </w:rPr>
      </w:pPr>
      <w:r>
        <w:rPr>
          <w:rFonts w:cs="Arial"/>
          <w:b/>
          <w:color w:val="5B9BD5" w:themeColor="accent1"/>
          <w:sz w:val="24"/>
        </w:rPr>
        <w:t>RULE 3: Cancellations</w:t>
      </w:r>
    </w:p>
    <w:p w14:paraId="6DCC163B" w14:textId="77777777" w:rsidR="00AC7BA0" w:rsidRDefault="00AC7BA0" w:rsidP="00AC7BA0">
      <w:pPr>
        <w:autoSpaceDE w:val="0"/>
        <w:autoSpaceDN w:val="0"/>
        <w:adjustRightInd w:val="0"/>
        <w:rPr>
          <w:rFonts w:cs="Arial"/>
          <w:color w:val="000000" w:themeColor="text1"/>
          <w:sz w:val="24"/>
        </w:rPr>
      </w:pPr>
      <w:r>
        <w:rPr>
          <w:rFonts w:cs="Arial"/>
          <w:color w:val="000000" w:themeColor="text1"/>
          <w:sz w:val="24"/>
        </w:rPr>
        <w:t xml:space="preserve">Cancellations should not be coded as a DNA. These will have negative impact on DNA figures. Please note, patient or staff cancellations are currently exempted from the DNA calculations. </w:t>
      </w:r>
    </w:p>
    <w:p w14:paraId="497DCBAC" w14:textId="77777777" w:rsidR="00AC7BA0" w:rsidRDefault="00AC7BA0" w:rsidP="00AC7BA0">
      <w:pPr>
        <w:jc w:val="center"/>
        <w:rPr>
          <w:rFonts w:eastAsiaTheme="minorHAnsi" w:cs="Arial"/>
          <w:sz w:val="20"/>
          <w:lang w:eastAsia="en-US"/>
        </w:rPr>
      </w:pPr>
      <w:r>
        <w:rPr>
          <w:rFonts w:cs="Arial"/>
          <w:noProof/>
          <w:sz w:val="20"/>
        </w:rPr>
        <w:drawing>
          <wp:inline distT="0" distB="0" distL="0" distR="0" wp14:anchorId="4AA710CD" wp14:editId="063C6337">
            <wp:extent cx="5993130" cy="742315"/>
            <wp:effectExtent l="0" t="0" r="7620" b="635"/>
            <wp:docPr id="10" name="Picture 10"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sign&#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3130" cy="742315"/>
                    </a:xfrm>
                    <a:prstGeom prst="rect">
                      <a:avLst/>
                    </a:prstGeom>
                    <a:noFill/>
                    <a:ln>
                      <a:noFill/>
                    </a:ln>
                  </pic:spPr>
                </pic:pic>
              </a:graphicData>
            </a:graphic>
          </wp:inline>
        </w:drawing>
      </w:r>
    </w:p>
    <w:p w14:paraId="79FB513C" w14:textId="77777777" w:rsidR="00AC7BA0" w:rsidRDefault="00AC7BA0" w:rsidP="00AC7BA0">
      <w:pPr>
        <w:autoSpaceDE w:val="0"/>
        <w:autoSpaceDN w:val="0"/>
        <w:adjustRightInd w:val="0"/>
        <w:rPr>
          <w:rFonts w:cs="Arial"/>
          <w:b/>
          <w:color w:val="5B9BD5" w:themeColor="accent1"/>
        </w:rPr>
      </w:pPr>
    </w:p>
    <w:p w14:paraId="39685D23" w14:textId="77777777" w:rsidR="00AC7BA0" w:rsidRDefault="00AC7BA0" w:rsidP="00AC7BA0">
      <w:pPr>
        <w:autoSpaceDE w:val="0"/>
        <w:autoSpaceDN w:val="0"/>
        <w:adjustRightInd w:val="0"/>
        <w:rPr>
          <w:rFonts w:cs="Arial"/>
          <w:b/>
          <w:color w:val="5B9BD5" w:themeColor="accent1"/>
          <w:sz w:val="24"/>
        </w:rPr>
      </w:pPr>
      <w:r>
        <w:rPr>
          <w:rFonts w:cs="Arial"/>
          <w:b/>
          <w:color w:val="5B9BD5" w:themeColor="accent1"/>
          <w:sz w:val="24"/>
        </w:rPr>
        <w:t>RULE 4: Unplanned contacts/visits &amp; DNAs</w:t>
      </w:r>
    </w:p>
    <w:p w14:paraId="73C9E8BF" w14:textId="77777777" w:rsidR="00AC7BA0" w:rsidRDefault="00AC7BA0" w:rsidP="00AC7BA0">
      <w:pPr>
        <w:autoSpaceDE w:val="0"/>
        <w:autoSpaceDN w:val="0"/>
        <w:adjustRightInd w:val="0"/>
        <w:rPr>
          <w:rFonts w:cs="Arial"/>
          <w:color w:val="000000" w:themeColor="text1"/>
          <w:sz w:val="24"/>
        </w:rPr>
      </w:pPr>
      <w:r>
        <w:rPr>
          <w:rFonts w:cs="Arial"/>
          <w:color w:val="000000" w:themeColor="text1"/>
          <w:sz w:val="24"/>
        </w:rPr>
        <w:t xml:space="preserve">Unplanned or unscheduled visits should be captured as unplanned appointment on RiO. If the visit is unsuccessful then the outcome should be coded as cancellations and not DNA. </w:t>
      </w:r>
    </w:p>
    <w:p w14:paraId="23F2C9D8" w14:textId="77777777" w:rsidR="00AC7BA0" w:rsidRDefault="00AC7BA0" w:rsidP="00AC7BA0">
      <w:pPr>
        <w:jc w:val="center"/>
        <w:rPr>
          <w:rFonts w:eastAsiaTheme="minorHAnsi" w:cs="Arial"/>
          <w:lang w:eastAsia="en-US"/>
        </w:rPr>
      </w:pPr>
      <w:r>
        <w:rPr>
          <w:rFonts w:cs="Arial"/>
          <w:noProof/>
        </w:rPr>
        <w:drawing>
          <wp:inline distT="0" distB="0" distL="0" distR="0" wp14:anchorId="55B6E72E" wp14:editId="64CFC45F">
            <wp:extent cx="5993130" cy="859790"/>
            <wp:effectExtent l="0" t="0" r="7620" b="0"/>
            <wp:docPr id="9" name="Picture 9"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up of a sign&#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3130" cy="859790"/>
                    </a:xfrm>
                    <a:prstGeom prst="rect">
                      <a:avLst/>
                    </a:prstGeom>
                    <a:noFill/>
                    <a:ln>
                      <a:noFill/>
                    </a:ln>
                  </pic:spPr>
                </pic:pic>
              </a:graphicData>
            </a:graphic>
          </wp:inline>
        </w:drawing>
      </w:r>
    </w:p>
    <w:p w14:paraId="34363105" w14:textId="77777777" w:rsidR="00AC7BA0" w:rsidRDefault="00AC7BA0" w:rsidP="00AC7BA0">
      <w:pPr>
        <w:jc w:val="center"/>
        <w:rPr>
          <w:rFonts w:cs="Arial"/>
        </w:rPr>
      </w:pPr>
    </w:p>
    <w:p w14:paraId="1E036695" w14:textId="77777777" w:rsidR="00AC7BA0" w:rsidRDefault="00AC7BA0" w:rsidP="00AC7BA0">
      <w:pPr>
        <w:autoSpaceDE w:val="0"/>
        <w:autoSpaceDN w:val="0"/>
        <w:adjustRightInd w:val="0"/>
        <w:rPr>
          <w:rFonts w:cs="Arial"/>
          <w:b/>
          <w:color w:val="5B9BD5" w:themeColor="accent1"/>
        </w:rPr>
      </w:pPr>
      <w:r>
        <w:rPr>
          <w:rFonts w:cs="Arial"/>
          <w:b/>
          <w:color w:val="5B9BD5" w:themeColor="accent1"/>
          <w:sz w:val="24"/>
        </w:rPr>
        <w:t>RULE 5: Appropriate recording of indirect contacts</w:t>
      </w:r>
    </w:p>
    <w:p w14:paraId="03832CD6" w14:textId="77777777" w:rsidR="00AC7BA0" w:rsidRDefault="00AC7BA0" w:rsidP="00AC7BA0">
      <w:pPr>
        <w:autoSpaceDE w:val="0"/>
        <w:autoSpaceDN w:val="0"/>
        <w:adjustRightInd w:val="0"/>
        <w:rPr>
          <w:rFonts w:eastAsiaTheme="minorHAnsi" w:cs="Arial"/>
          <w:sz w:val="24"/>
          <w:lang w:eastAsia="en-US"/>
        </w:rPr>
      </w:pPr>
      <w:r>
        <w:rPr>
          <w:rFonts w:cs="Arial"/>
          <w:sz w:val="24"/>
        </w:rPr>
        <w:t xml:space="preserve">For indirect contacts, please ensure that Face to Face check box is un-ticked. </w:t>
      </w:r>
    </w:p>
    <w:p w14:paraId="5A5BC4E3" w14:textId="77777777" w:rsidR="00AC7BA0" w:rsidRDefault="00AC7BA0" w:rsidP="00AC7BA0">
      <w:pPr>
        <w:jc w:val="center"/>
        <w:rPr>
          <w:rFonts w:cs="Arial"/>
        </w:rPr>
      </w:pPr>
      <w:r>
        <w:rPr>
          <w:rFonts w:cs="Arial"/>
          <w:noProof/>
        </w:rPr>
        <w:drawing>
          <wp:inline distT="0" distB="0" distL="0" distR="0" wp14:anchorId="11AD6999" wp14:editId="44B8DA70">
            <wp:extent cx="6011545" cy="6521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1545" cy="652145"/>
                    </a:xfrm>
                    <a:prstGeom prst="rect">
                      <a:avLst/>
                    </a:prstGeom>
                    <a:noFill/>
                    <a:ln>
                      <a:noFill/>
                    </a:ln>
                  </pic:spPr>
                </pic:pic>
              </a:graphicData>
            </a:graphic>
          </wp:inline>
        </w:drawing>
      </w:r>
    </w:p>
    <w:p w14:paraId="0D9D2CAF" w14:textId="77777777" w:rsidR="00AC7BA0" w:rsidRDefault="00AC7BA0" w:rsidP="00AC7BA0">
      <w:pPr>
        <w:rPr>
          <w:rFonts w:cs="Arial"/>
        </w:rPr>
      </w:pPr>
    </w:p>
    <w:p w14:paraId="4B73A249" w14:textId="77777777" w:rsidR="00AC7BA0" w:rsidRPr="00AC7BA0" w:rsidRDefault="00AC7BA0" w:rsidP="00AC7BA0">
      <w:pPr>
        <w:pStyle w:val="Heading1"/>
        <w:spacing w:line="360" w:lineRule="auto"/>
        <w:rPr>
          <w:rFonts w:ascii="Arial" w:hAnsi="Arial" w:cs="Arial"/>
          <w:b/>
          <w:color w:val="auto"/>
          <w:sz w:val="24"/>
        </w:rPr>
      </w:pPr>
      <w:bookmarkStart w:id="36" w:name="_Appendix_3:_Access"/>
      <w:bookmarkStart w:id="37" w:name="_Toc206774788"/>
      <w:bookmarkStart w:id="38" w:name="_Toc211502283"/>
      <w:bookmarkEnd w:id="36"/>
      <w:r w:rsidRPr="00AC7BA0">
        <w:rPr>
          <w:rFonts w:ascii="Arial" w:hAnsi="Arial" w:cs="Arial"/>
          <w:b/>
          <w:color w:val="auto"/>
          <w:sz w:val="24"/>
        </w:rPr>
        <w:lastRenderedPageBreak/>
        <w:t>Appendix 3: Access and Waiting Time Standards: Adult Mental Health Services</w:t>
      </w:r>
      <w:bookmarkEnd w:id="37"/>
      <w:bookmarkEnd w:id="38"/>
    </w:p>
    <w:p w14:paraId="2E25A5B5" w14:textId="6E628260" w:rsidR="00AC7BA0" w:rsidRDefault="00AC7BA0" w:rsidP="00AC7BA0">
      <w:pPr>
        <w:rPr>
          <w:rFonts w:cs="Arial"/>
          <w:b/>
          <w:bCs/>
          <w:i/>
          <w:iCs/>
          <w:color w:val="000000" w:themeColor="text1"/>
          <w:sz w:val="24"/>
          <w:u w:val="single"/>
        </w:rPr>
      </w:pPr>
      <w:r>
        <w:rPr>
          <w:rFonts w:cs="Arial"/>
          <w:color w:val="000000" w:themeColor="text1"/>
          <w:sz w:val="24"/>
        </w:rPr>
        <w:t xml:space="preserve">The NHS </w:t>
      </w:r>
      <w:r w:rsidR="00CF3C30">
        <w:rPr>
          <w:rFonts w:cs="Arial"/>
          <w:color w:val="000000" w:themeColor="text1"/>
          <w:sz w:val="24"/>
        </w:rPr>
        <w:t>10-year</w:t>
      </w:r>
      <w:r w:rsidR="00E04CF5">
        <w:rPr>
          <w:rFonts w:cs="Arial"/>
          <w:color w:val="000000" w:themeColor="text1"/>
          <w:sz w:val="24"/>
        </w:rPr>
        <w:t xml:space="preserve"> plan</w:t>
      </w:r>
      <w:r>
        <w:rPr>
          <w:rFonts w:cs="Arial"/>
          <w:color w:val="000000" w:themeColor="text1"/>
          <w:sz w:val="24"/>
        </w:rPr>
        <w:t xml:space="preserve"> commits to improving timely access for adults with severe mental illness through integrated models of care across primary and community mental health services. This includes the development of a new national four-week waiting time standard for non-urgent referrals, as outlined in the </w:t>
      </w:r>
      <w:r w:rsidR="00CF3C30">
        <w:rPr>
          <w:rFonts w:cs="Arial"/>
          <w:color w:val="000000" w:themeColor="text1"/>
          <w:sz w:val="24"/>
        </w:rPr>
        <w:t>Clinically led</w:t>
      </w:r>
      <w:r>
        <w:rPr>
          <w:rFonts w:cs="Arial"/>
          <w:color w:val="000000" w:themeColor="text1"/>
          <w:sz w:val="24"/>
        </w:rPr>
        <w:t xml:space="preserve"> Review of Standards (CRS).</w:t>
      </w:r>
    </w:p>
    <w:p w14:paraId="7552ECC3" w14:textId="77777777" w:rsidR="00AC7BA0" w:rsidRDefault="00AC7BA0" w:rsidP="00AC7BA0">
      <w:pPr>
        <w:spacing w:line="360" w:lineRule="auto"/>
        <w:rPr>
          <w:rStyle w:val="Strong"/>
          <w:rFonts w:cs="Arial"/>
          <w:color w:val="000000" w:themeColor="text1"/>
          <w:sz w:val="24"/>
        </w:rPr>
      </w:pPr>
    </w:p>
    <w:p w14:paraId="0951F725" w14:textId="77777777" w:rsidR="00AC7BA0" w:rsidRDefault="00AC7BA0" w:rsidP="00AC7BA0">
      <w:pPr>
        <w:spacing w:line="360" w:lineRule="auto"/>
        <w:rPr>
          <w:rFonts w:cs="Arial"/>
          <w:color w:val="000000" w:themeColor="text1"/>
          <w:sz w:val="24"/>
        </w:rPr>
      </w:pPr>
      <w:r>
        <w:rPr>
          <w:rStyle w:val="Strong"/>
          <w:rFonts w:cs="Arial"/>
          <w:color w:val="000000" w:themeColor="text1"/>
          <w:sz w:val="24"/>
        </w:rPr>
        <w:t>Services in Scope</w:t>
      </w:r>
    </w:p>
    <w:p w14:paraId="2882F520" w14:textId="77777777" w:rsidR="00AC7BA0" w:rsidRDefault="00AC7BA0" w:rsidP="00AC7BA0">
      <w:pPr>
        <w:rPr>
          <w:rFonts w:cs="Arial"/>
          <w:color w:val="000000" w:themeColor="text1"/>
          <w:sz w:val="24"/>
        </w:rPr>
      </w:pPr>
      <w:r>
        <w:rPr>
          <w:rFonts w:cs="Arial"/>
          <w:color w:val="000000" w:themeColor="text1"/>
          <w:sz w:val="24"/>
        </w:rPr>
        <w:t>This standard applies to the following services listed in the Mental Health Service Data Set (MHSDS)</w:t>
      </w:r>
      <w:r>
        <w:rPr>
          <w:rStyle w:val="Strong"/>
          <w:rFonts w:cs="Arial"/>
          <w:color w:val="000000" w:themeColor="text1"/>
          <w:sz w:val="24"/>
        </w:rPr>
        <w:t>:</w:t>
      </w:r>
    </w:p>
    <w:p w14:paraId="43028652" w14:textId="77777777" w:rsidR="00AC7BA0" w:rsidRDefault="00AC7BA0" w:rsidP="00AC7BA0">
      <w:pPr>
        <w:pStyle w:val="ListParagraph"/>
        <w:numPr>
          <w:ilvl w:val="0"/>
          <w:numId w:val="31"/>
        </w:numPr>
        <w:spacing w:after="160"/>
        <w:rPr>
          <w:rFonts w:cs="Arial"/>
          <w:color w:val="000000" w:themeColor="text1"/>
          <w:sz w:val="24"/>
        </w:rPr>
      </w:pPr>
      <w:r>
        <w:rPr>
          <w:rFonts w:cs="Arial"/>
          <w:color w:val="000000" w:themeColor="text1"/>
          <w:sz w:val="24"/>
        </w:rPr>
        <w:t>A05 - Primary Care Mental Health Service</w:t>
      </w:r>
      <w:r>
        <w:rPr>
          <w:rFonts w:cs="Arial"/>
          <w:color w:val="000000" w:themeColor="text1"/>
          <w:sz w:val="24"/>
          <w:highlight w:val="yellow"/>
        </w:rPr>
        <w:t xml:space="preserve"> </w:t>
      </w:r>
    </w:p>
    <w:p w14:paraId="52E7CC62" w14:textId="77777777" w:rsidR="00AC7BA0" w:rsidRDefault="00AC7BA0" w:rsidP="00AC7BA0">
      <w:pPr>
        <w:pStyle w:val="ListParagraph"/>
        <w:numPr>
          <w:ilvl w:val="0"/>
          <w:numId w:val="31"/>
        </w:numPr>
        <w:spacing w:after="160"/>
        <w:rPr>
          <w:rFonts w:cs="Arial"/>
          <w:color w:val="000000" w:themeColor="text1"/>
          <w:sz w:val="24"/>
        </w:rPr>
      </w:pPr>
      <w:r>
        <w:rPr>
          <w:rFonts w:cs="Arial"/>
          <w:color w:val="000000" w:themeColor="text1"/>
          <w:sz w:val="24"/>
        </w:rPr>
        <w:t xml:space="preserve">A06 - Community Mental Health Team – Functional </w:t>
      </w:r>
    </w:p>
    <w:p w14:paraId="2198A837" w14:textId="77777777" w:rsidR="00AC7BA0" w:rsidRDefault="00AC7BA0" w:rsidP="00AC7BA0">
      <w:pPr>
        <w:pStyle w:val="ListParagraph"/>
        <w:numPr>
          <w:ilvl w:val="0"/>
          <w:numId w:val="31"/>
        </w:numPr>
        <w:spacing w:after="160"/>
        <w:rPr>
          <w:rFonts w:cs="Arial"/>
          <w:color w:val="000000" w:themeColor="text1"/>
          <w:sz w:val="24"/>
        </w:rPr>
      </w:pPr>
      <w:r>
        <w:rPr>
          <w:rFonts w:cs="Arial"/>
          <w:color w:val="000000" w:themeColor="text1"/>
          <w:sz w:val="24"/>
        </w:rPr>
        <w:t>A08 - Assertive Outreach Team</w:t>
      </w:r>
    </w:p>
    <w:p w14:paraId="787A0CEF" w14:textId="77777777" w:rsidR="00AC7BA0" w:rsidRDefault="00AC7BA0" w:rsidP="00AC7BA0">
      <w:pPr>
        <w:pStyle w:val="ListParagraph"/>
        <w:numPr>
          <w:ilvl w:val="0"/>
          <w:numId w:val="31"/>
        </w:numPr>
        <w:spacing w:after="160"/>
        <w:rPr>
          <w:rFonts w:cs="Arial"/>
          <w:color w:val="000000" w:themeColor="text1"/>
          <w:sz w:val="24"/>
        </w:rPr>
      </w:pPr>
      <w:r>
        <w:rPr>
          <w:rFonts w:cs="Arial"/>
          <w:color w:val="000000" w:themeColor="text1"/>
          <w:sz w:val="24"/>
        </w:rPr>
        <w:t>A09 - Community Rehabilitation Service</w:t>
      </w:r>
    </w:p>
    <w:p w14:paraId="7D4F2D8C" w14:textId="77777777" w:rsidR="00AC7BA0" w:rsidRDefault="00AC7BA0" w:rsidP="00AC7BA0">
      <w:pPr>
        <w:pStyle w:val="ListParagraph"/>
        <w:numPr>
          <w:ilvl w:val="0"/>
          <w:numId w:val="31"/>
        </w:numPr>
        <w:spacing w:after="160"/>
        <w:rPr>
          <w:rFonts w:cs="Arial"/>
          <w:color w:val="000000" w:themeColor="text1"/>
          <w:sz w:val="24"/>
        </w:rPr>
      </w:pPr>
      <w:r>
        <w:rPr>
          <w:rFonts w:cs="Arial"/>
          <w:color w:val="000000" w:themeColor="text1"/>
          <w:sz w:val="24"/>
        </w:rPr>
        <w:t>A12 - Psychotherapy Service</w:t>
      </w:r>
    </w:p>
    <w:p w14:paraId="61935675" w14:textId="77777777" w:rsidR="00AC7BA0" w:rsidRDefault="00AC7BA0" w:rsidP="00AC7BA0">
      <w:pPr>
        <w:pStyle w:val="ListParagraph"/>
        <w:numPr>
          <w:ilvl w:val="0"/>
          <w:numId w:val="31"/>
        </w:numPr>
        <w:spacing w:after="160"/>
        <w:rPr>
          <w:rFonts w:cs="Arial"/>
          <w:color w:val="000000" w:themeColor="text1"/>
          <w:sz w:val="24"/>
        </w:rPr>
      </w:pPr>
      <w:r>
        <w:rPr>
          <w:rFonts w:cs="Arial"/>
          <w:color w:val="000000" w:themeColor="text1"/>
          <w:sz w:val="24"/>
        </w:rPr>
        <w:t>A13 - Psychological Therapy Service (non-IAPT)</w:t>
      </w:r>
    </w:p>
    <w:p w14:paraId="6C68B76B" w14:textId="77777777" w:rsidR="00AC7BA0" w:rsidRDefault="00AC7BA0" w:rsidP="00AC7BA0">
      <w:pPr>
        <w:pStyle w:val="ListParagraph"/>
        <w:numPr>
          <w:ilvl w:val="0"/>
          <w:numId w:val="31"/>
        </w:numPr>
        <w:spacing w:after="160"/>
        <w:rPr>
          <w:rFonts w:cs="Arial"/>
          <w:color w:val="000000" w:themeColor="text1"/>
          <w:sz w:val="24"/>
        </w:rPr>
      </w:pPr>
      <w:r>
        <w:rPr>
          <w:rFonts w:cs="Arial"/>
          <w:color w:val="000000" w:themeColor="text1"/>
          <w:sz w:val="24"/>
        </w:rPr>
        <w:t>A16 - Personality Disorder Service</w:t>
      </w:r>
    </w:p>
    <w:p w14:paraId="085179D0" w14:textId="77777777" w:rsidR="00AC7BA0" w:rsidRDefault="00AC7BA0" w:rsidP="00AC7BA0">
      <w:pPr>
        <w:pStyle w:val="ListParagraph"/>
        <w:numPr>
          <w:ilvl w:val="0"/>
          <w:numId w:val="31"/>
        </w:numPr>
        <w:spacing w:after="160"/>
        <w:rPr>
          <w:rFonts w:cs="Arial"/>
          <w:color w:val="000000" w:themeColor="text1"/>
          <w:sz w:val="24"/>
        </w:rPr>
      </w:pPr>
      <w:r>
        <w:rPr>
          <w:rFonts w:cs="Arial"/>
          <w:color w:val="000000" w:themeColor="text1"/>
          <w:sz w:val="24"/>
        </w:rPr>
        <w:t>Community Eating Disorder Services (C10, previously C03)</w:t>
      </w:r>
    </w:p>
    <w:p w14:paraId="38BAD071" w14:textId="77777777" w:rsidR="00AC7BA0" w:rsidRDefault="00AC7BA0" w:rsidP="00AC7BA0">
      <w:pPr>
        <w:spacing w:line="360" w:lineRule="auto"/>
        <w:rPr>
          <w:rFonts w:cs="Arial"/>
          <w:color w:val="000000" w:themeColor="text1"/>
          <w:sz w:val="24"/>
        </w:rPr>
      </w:pPr>
    </w:p>
    <w:p w14:paraId="71DB5B82" w14:textId="77777777" w:rsidR="00AC7BA0" w:rsidRDefault="00AC7BA0" w:rsidP="00AC7BA0">
      <w:pPr>
        <w:spacing w:line="360" w:lineRule="auto"/>
        <w:rPr>
          <w:rFonts w:cs="Arial"/>
          <w:b/>
          <w:bCs/>
          <w:color w:val="000000" w:themeColor="text1"/>
          <w:sz w:val="24"/>
        </w:rPr>
      </w:pPr>
      <w:r>
        <w:rPr>
          <w:rFonts w:cs="Arial"/>
          <w:b/>
          <w:bCs/>
          <w:color w:val="000000" w:themeColor="text1"/>
          <w:sz w:val="24"/>
        </w:rPr>
        <w:t xml:space="preserve"> Service-specific Targets</w:t>
      </w:r>
    </w:p>
    <w:tbl>
      <w:tblPr>
        <w:tblStyle w:val="TableGrid"/>
        <w:tblW w:w="0" w:type="auto"/>
        <w:tblLook w:val="04A0" w:firstRow="1" w:lastRow="0" w:firstColumn="1" w:lastColumn="0" w:noHBand="0" w:noVBand="1"/>
      </w:tblPr>
      <w:tblGrid>
        <w:gridCol w:w="4493"/>
        <w:gridCol w:w="4493"/>
      </w:tblGrid>
      <w:tr w:rsidR="00AC7BA0" w14:paraId="5445EF05" w14:textId="77777777" w:rsidTr="00AC7BA0">
        <w:trPr>
          <w:trHeight w:val="296"/>
        </w:trPr>
        <w:tc>
          <w:tcPr>
            <w:tcW w:w="4493" w:type="dxa"/>
            <w:tcBorders>
              <w:top w:val="single" w:sz="4" w:space="0" w:color="auto"/>
              <w:left w:val="single" w:sz="4" w:space="0" w:color="auto"/>
              <w:bottom w:val="single" w:sz="4" w:space="0" w:color="auto"/>
              <w:right w:val="single" w:sz="4" w:space="0" w:color="auto"/>
            </w:tcBorders>
            <w:hideMark/>
          </w:tcPr>
          <w:p w14:paraId="07528FFA" w14:textId="77777777" w:rsidR="00AC7BA0" w:rsidRDefault="00AC7BA0" w:rsidP="00AC7BA0">
            <w:pPr>
              <w:rPr>
                <w:rStyle w:val="Strong"/>
                <w:kern w:val="2"/>
                <w14:ligatures w14:val="standardContextual"/>
              </w:rPr>
            </w:pPr>
            <w:r>
              <w:rPr>
                <w:rStyle w:val="Strong"/>
                <w:rFonts w:cs="Arial"/>
                <w:color w:val="000000" w:themeColor="text1"/>
                <w:kern w:val="2"/>
                <w:sz w:val="24"/>
                <w14:ligatures w14:val="standardContextual"/>
              </w:rPr>
              <w:t>Service</w:t>
            </w:r>
          </w:p>
        </w:tc>
        <w:tc>
          <w:tcPr>
            <w:tcW w:w="4493" w:type="dxa"/>
            <w:tcBorders>
              <w:top w:val="single" w:sz="4" w:space="0" w:color="auto"/>
              <w:left w:val="single" w:sz="4" w:space="0" w:color="auto"/>
              <w:bottom w:val="single" w:sz="4" w:space="0" w:color="auto"/>
              <w:right w:val="single" w:sz="4" w:space="0" w:color="auto"/>
            </w:tcBorders>
            <w:hideMark/>
          </w:tcPr>
          <w:p w14:paraId="056A2624" w14:textId="77777777" w:rsidR="00AC7BA0" w:rsidRDefault="00AC7BA0" w:rsidP="00AC7BA0">
            <w:pPr>
              <w:rPr>
                <w:rStyle w:val="Strong"/>
                <w:rFonts w:cs="Arial"/>
                <w:color w:val="000000" w:themeColor="text1"/>
                <w:kern w:val="2"/>
                <w:sz w:val="24"/>
                <w14:ligatures w14:val="standardContextual"/>
              </w:rPr>
            </w:pPr>
            <w:r>
              <w:rPr>
                <w:rStyle w:val="Strong"/>
                <w:rFonts w:cs="Arial"/>
                <w:color w:val="000000" w:themeColor="text1"/>
                <w:kern w:val="2"/>
                <w:sz w:val="24"/>
                <w14:ligatures w14:val="standardContextual"/>
              </w:rPr>
              <w:t>Target</w:t>
            </w:r>
          </w:p>
        </w:tc>
      </w:tr>
      <w:tr w:rsidR="00AC7BA0" w14:paraId="3B631349" w14:textId="77777777" w:rsidTr="00AC7BA0">
        <w:trPr>
          <w:trHeight w:val="286"/>
        </w:trPr>
        <w:tc>
          <w:tcPr>
            <w:tcW w:w="4493" w:type="dxa"/>
            <w:tcBorders>
              <w:top w:val="single" w:sz="4" w:space="0" w:color="auto"/>
              <w:left w:val="single" w:sz="4" w:space="0" w:color="auto"/>
              <w:bottom w:val="single" w:sz="4" w:space="0" w:color="auto"/>
              <w:right w:val="single" w:sz="4" w:space="0" w:color="auto"/>
            </w:tcBorders>
            <w:hideMark/>
          </w:tcPr>
          <w:p w14:paraId="19EF78A6" w14:textId="77777777" w:rsidR="00AC7BA0" w:rsidRDefault="00AC7BA0" w:rsidP="00AC7BA0">
            <w:r>
              <w:rPr>
                <w:rFonts w:cs="Arial"/>
                <w:color w:val="000000" w:themeColor="text1"/>
                <w:kern w:val="2"/>
                <w:sz w:val="24"/>
                <w14:ligatures w14:val="standardContextual"/>
              </w:rPr>
              <w:t>CMHTs</w:t>
            </w:r>
          </w:p>
        </w:tc>
        <w:tc>
          <w:tcPr>
            <w:tcW w:w="4493" w:type="dxa"/>
            <w:tcBorders>
              <w:top w:val="single" w:sz="4" w:space="0" w:color="auto"/>
              <w:left w:val="single" w:sz="4" w:space="0" w:color="auto"/>
              <w:bottom w:val="single" w:sz="4" w:space="0" w:color="auto"/>
              <w:right w:val="single" w:sz="4" w:space="0" w:color="auto"/>
            </w:tcBorders>
            <w:hideMark/>
          </w:tcPr>
          <w:p w14:paraId="12F42604" w14:textId="77777777" w:rsidR="00AC7BA0" w:rsidRDefault="00AC7BA0" w:rsidP="00AC7BA0">
            <w:pPr>
              <w:rPr>
                <w:rStyle w:val="Strong"/>
                <w:b w:val="0"/>
                <w:bCs w:val="0"/>
              </w:rPr>
            </w:pPr>
            <w:r>
              <w:rPr>
                <w:rStyle w:val="Strong"/>
                <w:rFonts w:cs="Arial"/>
                <w:color w:val="000000" w:themeColor="text1"/>
                <w:kern w:val="2"/>
                <w:sz w:val="24"/>
                <w14:ligatures w14:val="standardContextual"/>
              </w:rPr>
              <w:t>4</w:t>
            </w:r>
            <w:r>
              <w:rPr>
                <w:rStyle w:val="Strong"/>
                <w:rFonts w:cs="Arial"/>
                <w:kern w:val="2"/>
                <w:sz w:val="24"/>
                <w14:ligatures w14:val="standardContextual"/>
              </w:rPr>
              <w:t xml:space="preserve"> weeks</w:t>
            </w:r>
          </w:p>
        </w:tc>
      </w:tr>
      <w:tr w:rsidR="00AC7BA0" w14:paraId="75E8BD90" w14:textId="77777777" w:rsidTr="00AC7BA0">
        <w:trPr>
          <w:trHeight w:val="296"/>
        </w:trPr>
        <w:tc>
          <w:tcPr>
            <w:tcW w:w="4493" w:type="dxa"/>
            <w:tcBorders>
              <w:top w:val="single" w:sz="4" w:space="0" w:color="auto"/>
              <w:left w:val="single" w:sz="4" w:space="0" w:color="auto"/>
              <w:bottom w:val="single" w:sz="4" w:space="0" w:color="auto"/>
              <w:right w:val="single" w:sz="4" w:space="0" w:color="auto"/>
            </w:tcBorders>
            <w:hideMark/>
          </w:tcPr>
          <w:p w14:paraId="62E7BB52" w14:textId="77777777" w:rsidR="00AC7BA0" w:rsidRDefault="00AC7BA0" w:rsidP="00AC7BA0">
            <w:pPr>
              <w:rPr>
                <w:rStyle w:val="Strong"/>
                <w:rFonts w:cs="Arial"/>
                <w:color w:val="000000" w:themeColor="text1"/>
                <w:kern w:val="2"/>
                <w:sz w:val="24"/>
                <w14:ligatures w14:val="standardContextual"/>
              </w:rPr>
            </w:pPr>
            <w:r>
              <w:rPr>
                <w:rFonts w:cs="Arial"/>
                <w:color w:val="000000" w:themeColor="text1"/>
                <w:kern w:val="2"/>
                <w:sz w:val="24"/>
                <w14:ligatures w14:val="standardContextual"/>
              </w:rPr>
              <w:t>EIS</w:t>
            </w:r>
          </w:p>
        </w:tc>
        <w:tc>
          <w:tcPr>
            <w:tcW w:w="4493" w:type="dxa"/>
            <w:tcBorders>
              <w:top w:val="single" w:sz="4" w:space="0" w:color="auto"/>
              <w:left w:val="single" w:sz="4" w:space="0" w:color="auto"/>
              <w:bottom w:val="single" w:sz="4" w:space="0" w:color="auto"/>
              <w:right w:val="single" w:sz="4" w:space="0" w:color="auto"/>
            </w:tcBorders>
            <w:hideMark/>
          </w:tcPr>
          <w:p w14:paraId="6F0A36E4" w14:textId="77777777" w:rsidR="00AC7BA0" w:rsidRDefault="00AC7BA0" w:rsidP="00AC7BA0">
            <w:pPr>
              <w:rPr>
                <w:rStyle w:val="Strong"/>
                <w:rFonts w:cs="Arial"/>
                <w:b w:val="0"/>
                <w:bCs w:val="0"/>
                <w:color w:val="000000" w:themeColor="text1"/>
                <w:kern w:val="2"/>
                <w:sz w:val="24"/>
                <w14:ligatures w14:val="standardContextual"/>
              </w:rPr>
            </w:pPr>
            <w:r>
              <w:rPr>
                <w:rStyle w:val="Strong"/>
                <w:rFonts w:cs="Arial"/>
                <w:color w:val="000000" w:themeColor="text1"/>
                <w:kern w:val="2"/>
                <w:sz w:val="24"/>
                <w14:ligatures w14:val="standardContextual"/>
              </w:rPr>
              <w:t>2 weeks</w:t>
            </w:r>
          </w:p>
        </w:tc>
      </w:tr>
      <w:tr w:rsidR="00AC7BA0" w14:paraId="76532D75" w14:textId="77777777" w:rsidTr="00AC7BA0">
        <w:trPr>
          <w:trHeight w:val="889"/>
        </w:trPr>
        <w:tc>
          <w:tcPr>
            <w:tcW w:w="4493" w:type="dxa"/>
            <w:tcBorders>
              <w:top w:val="single" w:sz="4" w:space="0" w:color="auto"/>
              <w:left w:val="single" w:sz="4" w:space="0" w:color="auto"/>
              <w:bottom w:val="single" w:sz="4" w:space="0" w:color="auto"/>
              <w:right w:val="single" w:sz="4" w:space="0" w:color="auto"/>
            </w:tcBorders>
            <w:hideMark/>
          </w:tcPr>
          <w:p w14:paraId="7CBD3D83" w14:textId="77777777" w:rsidR="00AC7BA0" w:rsidRDefault="00AC7BA0" w:rsidP="00AC7BA0">
            <w:pPr>
              <w:rPr>
                <w:rStyle w:val="Strong"/>
                <w:rFonts w:cs="Arial"/>
                <w:color w:val="000000" w:themeColor="text1"/>
                <w:kern w:val="2"/>
                <w:sz w:val="24"/>
                <w14:ligatures w14:val="standardContextual"/>
              </w:rPr>
            </w:pPr>
            <w:r>
              <w:rPr>
                <w:rFonts w:cs="Arial"/>
                <w:color w:val="000000" w:themeColor="text1"/>
                <w:kern w:val="2"/>
                <w:sz w:val="24"/>
                <w14:ligatures w14:val="standardContextual"/>
              </w:rPr>
              <w:t>Memory Clinic</w:t>
            </w:r>
          </w:p>
        </w:tc>
        <w:tc>
          <w:tcPr>
            <w:tcW w:w="4493" w:type="dxa"/>
            <w:tcBorders>
              <w:top w:val="single" w:sz="4" w:space="0" w:color="auto"/>
              <w:left w:val="single" w:sz="4" w:space="0" w:color="auto"/>
              <w:bottom w:val="single" w:sz="4" w:space="0" w:color="auto"/>
              <w:right w:val="single" w:sz="4" w:space="0" w:color="auto"/>
            </w:tcBorders>
            <w:hideMark/>
          </w:tcPr>
          <w:p w14:paraId="02EDC2B4" w14:textId="77777777" w:rsidR="00AC7BA0" w:rsidRDefault="00AC7BA0" w:rsidP="00AC7BA0">
            <w:pPr>
              <w:rPr>
                <w:rStyle w:val="Strong"/>
                <w:rFonts w:cs="Arial"/>
                <w:b w:val="0"/>
                <w:bCs w:val="0"/>
                <w:color w:val="000000" w:themeColor="text1"/>
                <w:kern w:val="2"/>
                <w:sz w:val="24"/>
                <w14:ligatures w14:val="standardContextual"/>
              </w:rPr>
            </w:pPr>
            <w:r>
              <w:rPr>
                <w:rStyle w:val="Strong"/>
                <w:rFonts w:cs="Arial"/>
                <w:color w:val="000000" w:themeColor="text1"/>
                <w:kern w:val="2"/>
                <w:sz w:val="24"/>
                <w14:ligatures w14:val="standardContextual"/>
              </w:rPr>
              <w:t>Assessment and diagnosis within 6 and 18 weeks respectively (diagnosis stops the clock)</w:t>
            </w:r>
          </w:p>
        </w:tc>
      </w:tr>
      <w:tr w:rsidR="00AC7BA0" w14:paraId="32D55806" w14:textId="77777777" w:rsidTr="00AC7BA0">
        <w:trPr>
          <w:trHeight w:val="296"/>
        </w:trPr>
        <w:tc>
          <w:tcPr>
            <w:tcW w:w="4493" w:type="dxa"/>
            <w:tcBorders>
              <w:top w:val="single" w:sz="4" w:space="0" w:color="auto"/>
              <w:left w:val="single" w:sz="4" w:space="0" w:color="auto"/>
              <w:bottom w:val="single" w:sz="4" w:space="0" w:color="auto"/>
              <w:right w:val="single" w:sz="4" w:space="0" w:color="auto"/>
            </w:tcBorders>
            <w:hideMark/>
          </w:tcPr>
          <w:p w14:paraId="7003D8F0" w14:textId="77777777" w:rsidR="00AC7BA0" w:rsidRDefault="00AC7BA0" w:rsidP="00AC7BA0">
            <w:pPr>
              <w:rPr>
                <w:rStyle w:val="Strong"/>
                <w:rFonts w:cs="Arial"/>
                <w:color w:val="000000" w:themeColor="text1"/>
                <w:kern w:val="2"/>
                <w:sz w:val="24"/>
                <w14:ligatures w14:val="standardContextual"/>
              </w:rPr>
            </w:pPr>
            <w:r>
              <w:rPr>
                <w:rFonts w:cs="Arial"/>
                <w:color w:val="000000" w:themeColor="text1"/>
                <w:kern w:val="2"/>
                <w:sz w:val="24"/>
                <w14:ligatures w14:val="standardContextual"/>
              </w:rPr>
              <w:t>Perinatal</w:t>
            </w:r>
          </w:p>
        </w:tc>
        <w:tc>
          <w:tcPr>
            <w:tcW w:w="4493" w:type="dxa"/>
            <w:tcBorders>
              <w:top w:val="single" w:sz="4" w:space="0" w:color="auto"/>
              <w:left w:val="single" w:sz="4" w:space="0" w:color="auto"/>
              <w:bottom w:val="single" w:sz="4" w:space="0" w:color="auto"/>
              <w:right w:val="single" w:sz="4" w:space="0" w:color="auto"/>
            </w:tcBorders>
            <w:hideMark/>
          </w:tcPr>
          <w:p w14:paraId="5EA674A2" w14:textId="77777777" w:rsidR="00AC7BA0" w:rsidRDefault="00AC7BA0" w:rsidP="00AC7BA0">
            <w:pPr>
              <w:rPr>
                <w:rStyle w:val="Strong"/>
                <w:rFonts w:cs="Arial"/>
                <w:b w:val="0"/>
                <w:bCs w:val="0"/>
                <w:color w:val="000000" w:themeColor="text1"/>
                <w:kern w:val="2"/>
                <w:sz w:val="24"/>
                <w14:ligatures w14:val="standardContextual"/>
              </w:rPr>
            </w:pPr>
            <w:r>
              <w:rPr>
                <w:rStyle w:val="Strong"/>
                <w:rFonts w:cs="Arial"/>
                <w:color w:val="000000" w:themeColor="text1"/>
                <w:kern w:val="2"/>
                <w:sz w:val="24"/>
                <w14:ligatures w14:val="standardContextual"/>
              </w:rPr>
              <w:t>28 days</w:t>
            </w:r>
          </w:p>
        </w:tc>
      </w:tr>
      <w:tr w:rsidR="00AC7BA0" w14:paraId="2ECDAF5F" w14:textId="77777777" w:rsidTr="00AC7BA0">
        <w:trPr>
          <w:trHeight w:val="286"/>
        </w:trPr>
        <w:tc>
          <w:tcPr>
            <w:tcW w:w="4493" w:type="dxa"/>
            <w:tcBorders>
              <w:top w:val="single" w:sz="4" w:space="0" w:color="auto"/>
              <w:left w:val="single" w:sz="4" w:space="0" w:color="auto"/>
              <w:bottom w:val="single" w:sz="4" w:space="0" w:color="auto"/>
              <w:right w:val="single" w:sz="4" w:space="0" w:color="auto"/>
            </w:tcBorders>
            <w:hideMark/>
          </w:tcPr>
          <w:p w14:paraId="3D9EAA9B" w14:textId="77777777" w:rsidR="00AC7BA0" w:rsidRDefault="00AC7BA0" w:rsidP="00AC7BA0">
            <w:pPr>
              <w:rPr>
                <w:rStyle w:val="Strong"/>
                <w:rFonts w:cs="Arial"/>
                <w:color w:val="000000" w:themeColor="text1"/>
                <w:kern w:val="2"/>
                <w:sz w:val="24"/>
                <w14:ligatures w14:val="standardContextual"/>
              </w:rPr>
            </w:pPr>
            <w:r>
              <w:rPr>
                <w:rFonts w:cs="Arial"/>
                <w:color w:val="000000" w:themeColor="text1"/>
                <w:kern w:val="2"/>
                <w:sz w:val="24"/>
                <w14:ligatures w14:val="standardContextual"/>
              </w:rPr>
              <w:t>Urgent Care Response</w:t>
            </w:r>
          </w:p>
        </w:tc>
        <w:tc>
          <w:tcPr>
            <w:tcW w:w="4493" w:type="dxa"/>
            <w:tcBorders>
              <w:top w:val="single" w:sz="4" w:space="0" w:color="auto"/>
              <w:left w:val="single" w:sz="4" w:space="0" w:color="auto"/>
              <w:bottom w:val="single" w:sz="4" w:space="0" w:color="auto"/>
              <w:right w:val="single" w:sz="4" w:space="0" w:color="auto"/>
            </w:tcBorders>
            <w:hideMark/>
          </w:tcPr>
          <w:p w14:paraId="0B03E0A4" w14:textId="77777777" w:rsidR="00AC7BA0" w:rsidRDefault="00AC7BA0" w:rsidP="00AC7BA0">
            <w:pPr>
              <w:rPr>
                <w:rStyle w:val="Strong"/>
                <w:rFonts w:cs="Arial"/>
                <w:b w:val="0"/>
                <w:bCs w:val="0"/>
                <w:color w:val="000000" w:themeColor="text1"/>
                <w:kern w:val="2"/>
                <w:sz w:val="24"/>
                <w14:ligatures w14:val="standardContextual"/>
              </w:rPr>
            </w:pPr>
            <w:r>
              <w:rPr>
                <w:rStyle w:val="Strong"/>
                <w:rFonts w:cs="Arial"/>
                <w:color w:val="000000" w:themeColor="text1"/>
                <w:kern w:val="2"/>
                <w:sz w:val="24"/>
                <w14:ligatures w14:val="standardContextual"/>
              </w:rPr>
              <w:t>1-hour, 4-hour and 24-hour targets</w:t>
            </w:r>
          </w:p>
        </w:tc>
      </w:tr>
      <w:tr w:rsidR="00AC7BA0" w14:paraId="31553562" w14:textId="77777777" w:rsidTr="00AC7BA0">
        <w:trPr>
          <w:trHeight w:val="296"/>
        </w:trPr>
        <w:tc>
          <w:tcPr>
            <w:tcW w:w="4493" w:type="dxa"/>
            <w:tcBorders>
              <w:top w:val="single" w:sz="4" w:space="0" w:color="auto"/>
              <w:left w:val="single" w:sz="4" w:space="0" w:color="auto"/>
              <w:bottom w:val="single" w:sz="4" w:space="0" w:color="auto"/>
              <w:right w:val="single" w:sz="4" w:space="0" w:color="auto"/>
            </w:tcBorders>
            <w:hideMark/>
          </w:tcPr>
          <w:p w14:paraId="23CDA768" w14:textId="77777777" w:rsidR="00AC7BA0" w:rsidRDefault="00AC7BA0" w:rsidP="00AC7BA0">
            <w:pPr>
              <w:rPr>
                <w:rStyle w:val="Strong"/>
                <w:rFonts w:cs="Arial"/>
                <w:b w:val="0"/>
                <w:bCs w:val="0"/>
                <w:color w:val="000000" w:themeColor="text1"/>
                <w:kern w:val="2"/>
                <w:sz w:val="24"/>
                <w14:ligatures w14:val="standardContextual"/>
              </w:rPr>
            </w:pPr>
            <w:r>
              <w:rPr>
                <w:rFonts w:cs="Arial"/>
                <w:kern w:val="2"/>
                <w:sz w:val="24"/>
                <w14:ligatures w14:val="standardContextual"/>
              </w:rPr>
              <w:t>Autism Services</w:t>
            </w:r>
          </w:p>
        </w:tc>
        <w:tc>
          <w:tcPr>
            <w:tcW w:w="4493" w:type="dxa"/>
            <w:tcBorders>
              <w:top w:val="single" w:sz="4" w:space="0" w:color="auto"/>
              <w:left w:val="single" w:sz="4" w:space="0" w:color="auto"/>
              <w:bottom w:val="single" w:sz="4" w:space="0" w:color="auto"/>
              <w:right w:val="single" w:sz="4" w:space="0" w:color="auto"/>
            </w:tcBorders>
            <w:hideMark/>
          </w:tcPr>
          <w:p w14:paraId="239BF6BB" w14:textId="77777777" w:rsidR="00AC7BA0" w:rsidRDefault="00AC7BA0" w:rsidP="00AC7BA0">
            <w:pPr>
              <w:rPr>
                <w:rStyle w:val="Strong"/>
                <w:rFonts w:cs="Arial"/>
                <w:b w:val="0"/>
                <w:bCs w:val="0"/>
                <w:color w:val="000000" w:themeColor="text1"/>
                <w:kern w:val="2"/>
                <w:sz w:val="24"/>
                <w14:ligatures w14:val="standardContextual"/>
              </w:rPr>
            </w:pPr>
            <w:r>
              <w:rPr>
                <w:rStyle w:val="Strong"/>
                <w:rFonts w:cs="Arial"/>
                <w:color w:val="000000" w:themeColor="text1"/>
                <w:kern w:val="2"/>
                <w:sz w:val="24"/>
                <w14:ligatures w14:val="standardContextual"/>
              </w:rPr>
              <w:t>1</w:t>
            </w:r>
            <w:r>
              <w:rPr>
                <w:rStyle w:val="Strong"/>
                <w:rFonts w:cs="Arial"/>
                <w:kern w:val="2"/>
                <w:sz w:val="24"/>
                <w14:ligatures w14:val="standardContextual"/>
              </w:rPr>
              <w:t>3 weeks</w:t>
            </w:r>
          </w:p>
        </w:tc>
      </w:tr>
    </w:tbl>
    <w:p w14:paraId="2CEDB516" w14:textId="77777777" w:rsidR="00AC7BA0" w:rsidRDefault="00AC7BA0" w:rsidP="00AC7BA0">
      <w:pPr>
        <w:spacing w:line="360" w:lineRule="auto"/>
        <w:rPr>
          <w:rStyle w:val="Strong"/>
          <w:rFonts w:cs="Arial"/>
          <w:color w:val="000000" w:themeColor="text1"/>
          <w:sz w:val="24"/>
          <w:lang w:eastAsia="en-US"/>
        </w:rPr>
      </w:pPr>
    </w:p>
    <w:p w14:paraId="3648E795" w14:textId="77777777" w:rsidR="00AC7BA0" w:rsidRDefault="00AC7BA0" w:rsidP="00AC7BA0">
      <w:pPr>
        <w:spacing w:line="360" w:lineRule="auto"/>
      </w:pPr>
      <w:r>
        <w:rPr>
          <w:rStyle w:val="Strong"/>
          <w:rFonts w:cs="Arial"/>
          <w:color w:val="000000" w:themeColor="text1"/>
          <w:sz w:val="24"/>
        </w:rPr>
        <w:t>Clock Start</w:t>
      </w:r>
    </w:p>
    <w:p w14:paraId="25E909C2" w14:textId="77777777" w:rsidR="00AC7BA0" w:rsidRDefault="00AC7BA0" w:rsidP="00AC7BA0">
      <w:pPr>
        <w:rPr>
          <w:rFonts w:cs="Arial"/>
          <w:color w:val="000000" w:themeColor="text1"/>
          <w:sz w:val="24"/>
        </w:rPr>
      </w:pPr>
      <w:r>
        <w:rPr>
          <w:rFonts w:cs="Arial"/>
          <w:color w:val="000000" w:themeColor="text1"/>
          <w:sz w:val="24"/>
        </w:rPr>
        <w:t>The clock starts when the first request for mental health service is received. Referrals may come from:</w:t>
      </w:r>
    </w:p>
    <w:p w14:paraId="78282E04" w14:textId="77777777" w:rsidR="00AC7BA0" w:rsidRDefault="00AC7BA0" w:rsidP="00AC7BA0">
      <w:pPr>
        <w:pStyle w:val="ListParagraph"/>
        <w:numPr>
          <w:ilvl w:val="0"/>
          <w:numId w:val="32"/>
        </w:numPr>
        <w:spacing w:after="160"/>
        <w:rPr>
          <w:rFonts w:cs="Arial"/>
          <w:color w:val="000000" w:themeColor="text1"/>
          <w:sz w:val="24"/>
        </w:rPr>
      </w:pPr>
      <w:r>
        <w:rPr>
          <w:rFonts w:cs="Arial"/>
          <w:color w:val="000000" w:themeColor="text1"/>
          <w:sz w:val="24"/>
        </w:rPr>
        <w:t>GP</w:t>
      </w:r>
    </w:p>
    <w:p w14:paraId="387A47CA" w14:textId="77777777" w:rsidR="00AC7BA0" w:rsidRDefault="00AC7BA0" w:rsidP="00AC7BA0">
      <w:pPr>
        <w:pStyle w:val="ListParagraph"/>
        <w:numPr>
          <w:ilvl w:val="0"/>
          <w:numId w:val="32"/>
        </w:numPr>
        <w:spacing w:after="160"/>
        <w:rPr>
          <w:rFonts w:cs="Arial"/>
          <w:color w:val="000000" w:themeColor="text1"/>
          <w:sz w:val="24"/>
        </w:rPr>
      </w:pPr>
      <w:r>
        <w:rPr>
          <w:rFonts w:cs="Arial"/>
          <w:color w:val="000000" w:themeColor="text1"/>
          <w:sz w:val="24"/>
        </w:rPr>
        <w:t>Home Treatment Team (HTT)</w:t>
      </w:r>
    </w:p>
    <w:p w14:paraId="4620DF6F" w14:textId="77777777" w:rsidR="00AC7BA0" w:rsidRDefault="00AC7BA0" w:rsidP="00AC7BA0">
      <w:pPr>
        <w:pStyle w:val="ListParagraph"/>
        <w:numPr>
          <w:ilvl w:val="0"/>
          <w:numId w:val="32"/>
        </w:numPr>
        <w:spacing w:after="160"/>
        <w:rPr>
          <w:rFonts w:cs="Arial"/>
          <w:color w:val="000000" w:themeColor="text1"/>
          <w:sz w:val="24"/>
        </w:rPr>
      </w:pPr>
      <w:r>
        <w:rPr>
          <w:rFonts w:cs="Arial"/>
          <w:color w:val="000000" w:themeColor="text1"/>
          <w:sz w:val="24"/>
        </w:rPr>
        <w:t>A&amp;E (Psychiatric Liaison Service)</w:t>
      </w:r>
    </w:p>
    <w:p w14:paraId="76287100" w14:textId="77777777" w:rsidR="00AC7BA0" w:rsidRDefault="00AC7BA0" w:rsidP="00AC7BA0">
      <w:pPr>
        <w:pStyle w:val="ListParagraph"/>
        <w:numPr>
          <w:ilvl w:val="0"/>
          <w:numId w:val="32"/>
        </w:numPr>
        <w:spacing w:after="160"/>
        <w:rPr>
          <w:rFonts w:cs="Arial"/>
          <w:color w:val="000000" w:themeColor="text1"/>
          <w:sz w:val="24"/>
        </w:rPr>
      </w:pPr>
      <w:r>
        <w:rPr>
          <w:rFonts w:cs="Arial"/>
          <w:color w:val="000000" w:themeColor="text1"/>
          <w:sz w:val="24"/>
        </w:rPr>
        <w:t>Crisis Assessment Team</w:t>
      </w:r>
    </w:p>
    <w:p w14:paraId="0883F860" w14:textId="77777777" w:rsidR="00AC7BA0" w:rsidRDefault="00AC7BA0" w:rsidP="00AC7BA0">
      <w:pPr>
        <w:rPr>
          <w:rFonts w:cs="Arial"/>
          <w:color w:val="000000" w:themeColor="text1"/>
          <w:sz w:val="24"/>
        </w:rPr>
      </w:pPr>
      <w:r>
        <w:rPr>
          <w:rFonts w:cs="Arial"/>
          <w:color w:val="000000" w:themeColor="text1"/>
          <w:sz w:val="24"/>
        </w:rPr>
        <w:t xml:space="preserve">For specific details on Crisis services, please review the policies in </w:t>
      </w:r>
      <w:hyperlink r:id="rId41" w:anchor="_Appendix_1:_Local" w:history="1">
        <w:r>
          <w:rPr>
            <w:rStyle w:val="Hyperlink"/>
            <w:rFonts w:cs="Arial"/>
            <w:sz w:val="24"/>
          </w:rPr>
          <w:t>Appendix 1</w:t>
        </w:r>
      </w:hyperlink>
      <w:r>
        <w:rPr>
          <w:rFonts w:cs="Arial"/>
          <w:color w:val="000000" w:themeColor="text1"/>
          <w:sz w:val="24"/>
        </w:rPr>
        <w:t>.</w:t>
      </w:r>
    </w:p>
    <w:p w14:paraId="49DC3997" w14:textId="77777777" w:rsidR="00AC7BA0" w:rsidRDefault="00AC7BA0" w:rsidP="00AC7BA0">
      <w:pPr>
        <w:rPr>
          <w:rFonts w:cs="Arial"/>
          <w:color w:val="000000" w:themeColor="text1"/>
          <w:sz w:val="24"/>
        </w:rPr>
      </w:pPr>
    </w:p>
    <w:p w14:paraId="209A30F8" w14:textId="77777777" w:rsidR="00AC7BA0" w:rsidRDefault="00AC7BA0" w:rsidP="00AC7BA0">
      <w:pPr>
        <w:spacing w:line="360" w:lineRule="auto"/>
        <w:rPr>
          <w:rFonts w:cs="Arial"/>
          <w:color w:val="000000" w:themeColor="text1"/>
          <w:sz w:val="24"/>
        </w:rPr>
      </w:pPr>
      <w:r>
        <w:rPr>
          <w:rStyle w:val="Strong"/>
          <w:rFonts w:cs="Arial"/>
          <w:color w:val="000000" w:themeColor="text1"/>
          <w:sz w:val="24"/>
        </w:rPr>
        <w:t>Clock Stop</w:t>
      </w:r>
    </w:p>
    <w:p w14:paraId="56556F23" w14:textId="77777777" w:rsidR="00AC7BA0" w:rsidRDefault="00AC7BA0" w:rsidP="00AC7BA0">
      <w:pPr>
        <w:rPr>
          <w:rFonts w:cs="Arial"/>
          <w:color w:val="000000" w:themeColor="text1"/>
          <w:sz w:val="24"/>
        </w:rPr>
      </w:pPr>
      <w:r>
        <w:rPr>
          <w:rFonts w:cs="Arial"/>
          <w:color w:val="000000" w:themeColor="text1"/>
          <w:sz w:val="24"/>
        </w:rPr>
        <w:t>The clock stops when a person:</w:t>
      </w:r>
    </w:p>
    <w:p w14:paraId="269571C6" w14:textId="77777777" w:rsidR="00AC7BA0" w:rsidRDefault="00AC7BA0" w:rsidP="00AC7BA0">
      <w:pPr>
        <w:pStyle w:val="ListParagraph"/>
        <w:numPr>
          <w:ilvl w:val="0"/>
          <w:numId w:val="33"/>
        </w:numPr>
        <w:spacing w:after="160"/>
        <w:rPr>
          <w:rFonts w:cs="Arial"/>
          <w:color w:val="000000" w:themeColor="text1"/>
          <w:sz w:val="24"/>
        </w:rPr>
      </w:pPr>
      <w:r>
        <w:rPr>
          <w:rFonts w:cs="Arial"/>
          <w:color w:val="000000" w:themeColor="text1"/>
          <w:sz w:val="24"/>
        </w:rPr>
        <w:t xml:space="preserve">Receives an appropriate clinical or social intervention, </w:t>
      </w:r>
      <w:r>
        <w:rPr>
          <w:rStyle w:val="Strong"/>
          <w:rFonts w:cs="Arial"/>
          <w:color w:val="000000" w:themeColor="text1"/>
          <w:sz w:val="24"/>
        </w:rPr>
        <w:t>or</w:t>
      </w:r>
    </w:p>
    <w:p w14:paraId="4E3A8D86" w14:textId="77777777" w:rsidR="00AC7BA0" w:rsidRDefault="00AC7BA0" w:rsidP="00AC7BA0">
      <w:pPr>
        <w:pStyle w:val="ListParagraph"/>
        <w:numPr>
          <w:ilvl w:val="0"/>
          <w:numId w:val="33"/>
        </w:numPr>
        <w:spacing w:after="160"/>
        <w:rPr>
          <w:rFonts w:cs="Arial"/>
          <w:color w:val="000000" w:themeColor="text1"/>
          <w:sz w:val="24"/>
        </w:rPr>
      </w:pPr>
      <w:r>
        <w:rPr>
          <w:rFonts w:cs="Arial"/>
          <w:color w:val="000000" w:themeColor="text1"/>
          <w:sz w:val="24"/>
        </w:rPr>
        <w:t xml:space="preserve">Has a co-produced care plan in place, </w:t>
      </w:r>
      <w:r>
        <w:rPr>
          <w:rStyle w:val="Strong"/>
          <w:rFonts w:cs="Arial"/>
          <w:color w:val="000000" w:themeColor="text1"/>
          <w:sz w:val="24"/>
        </w:rPr>
        <w:t>and</w:t>
      </w:r>
    </w:p>
    <w:p w14:paraId="37542A4B" w14:textId="77777777" w:rsidR="00AC7BA0" w:rsidRDefault="00AC7BA0" w:rsidP="00AC7BA0">
      <w:pPr>
        <w:pStyle w:val="ListParagraph"/>
        <w:numPr>
          <w:ilvl w:val="0"/>
          <w:numId w:val="33"/>
        </w:numPr>
        <w:spacing w:after="160"/>
        <w:rPr>
          <w:rFonts w:cs="Arial"/>
          <w:color w:val="000000" w:themeColor="text1"/>
          <w:sz w:val="24"/>
        </w:rPr>
      </w:pPr>
      <w:r>
        <w:rPr>
          <w:rFonts w:cs="Arial"/>
          <w:color w:val="000000" w:themeColor="text1"/>
          <w:sz w:val="24"/>
        </w:rPr>
        <w:lastRenderedPageBreak/>
        <w:t>Has completed a meaningful assessment with a recorded baseline outcome measure.</w:t>
      </w:r>
    </w:p>
    <w:p w14:paraId="32E74634" w14:textId="77777777" w:rsidR="00AC7BA0" w:rsidRDefault="00AC7BA0" w:rsidP="00AC7BA0">
      <w:pPr>
        <w:rPr>
          <w:rFonts w:cs="Arial"/>
          <w:i/>
          <w:iCs/>
          <w:color w:val="0B0C0C"/>
          <w:sz w:val="24"/>
        </w:rPr>
      </w:pPr>
      <w:r>
        <w:rPr>
          <w:rFonts w:cs="Arial"/>
          <w:i/>
          <w:iCs/>
          <w:color w:val="0B0C0C"/>
          <w:sz w:val="24"/>
        </w:rPr>
        <w:t xml:space="preserve">Treatment does not always start in the first appointment, in which cases the clock may be stopped in subsequent appointments/contacts. Clock stops on can be found on </w:t>
      </w:r>
      <w:hyperlink r:id="rId42" w:history="1">
        <w:r>
          <w:rPr>
            <w:rStyle w:val="Hyperlink"/>
            <w:rFonts w:cs="Arial"/>
            <w:i/>
            <w:iCs/>
            <w:sz w:val="24"/>
          </w:rPr>
          <w:t>Reporting Services</w:t>
        </w:r>
      </w:hyperlink>
      <w:r>
        <w:rPr>
          <w:rFonts w:cs="Arial"/>
          <w:i/>
          <w:iCs/>
          <w:color w:val="0B0C0C"/>
          <w:sz w:val="24"/>
        </w:rPr>
        <w:t>.</w:t>
      </w:r>
    </w:p>
    <w:p w14:paraId="6D7D1340" w14:textId="77777777" w:rsidR="00AC7BA0" w:rsidRDefault="00AC7BA0" w:rsidP="00AC7BA0">
      <w:pPr>
        <w:rPr>
          <w:rFonts w:cs="Arial"/>
          <w:color w:val="000000" w:themeColor="text1"/>
          <w:sz w:val="24"/>
        </w:rPr>
      </w:pPr>
      <w:r>
        <w:rPr>
          <w:rFonts w:cs="Arial"/>
          <w:color w:val="000000" w:themeColor="text1"/>
          <w:sz w:val="24"/>
        </w:rPr>
        <w:t>The waiting times table and diagram below shows the ‘clock start’ and ‘clock stop’ as outlined in the Clinically-led Review of Standards Consultation:</w:t>
      </w:r>
    </w:p>
    <w:p w14:paraId="725880B3" w14:textId="77777777" w:rsidR="00AC7BA0" w:rsidRDefault="00AC7BA0" w:rsidP="00AC7BA0">
      <w:pPr>
        <w:rPr>
          <w:rFonts w:cs="Arial"/>
          <w:color w:val="000000" w:themeColor="text1"/>
          <w:sz w:val="24"/>
        </w:rPr>
      </w:pPr>
      <w:r>
        <w:rPr>
          <w:rFonts w:cs="Arial"/>
          <w:noProof/>
          <w:sz w:val="24"/>
        </w:rPr>
        <w:drawing>
          <wp:inline distT="0" distB="0" distL="0" distR="0" wp14:anchorId="02A0DBF3" wp14:editId="7022A3E9">
            <wp:extent cx="5730875" cy="3051175"/>
            <wp:effectExtent l="0" t="0" r="3175" b="0"/>
            <wp:docPr id="7" name="Picture 7" descr="Title: Waitign times definition - Description: Table with clock stop and metric definition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Waitign times definition - Description: Table with clock stop and metric definition axis."/>
                    <pic:cNvPicPr>
                      <a:picLocks noChangeAspect="1" noChangeArrowheads="1"/>
                    </pic:cNvPicPr>
                  </pic:nvPicPr>
                  <pic:blipFill>
                    <a:blip r:embed="rId43">
                      <a:extLst>
                        <a:ext uri="{28A0092B-C50C-407E-A947-70E740481C1C}">
                          <a14:useLocalDpi xmlns:a14="http://schemas.microsoft.com/office/drawing/2010/main" val="0"/>
                        </a:ext>
                      </a:extLst>
                    </a:blip>
                    <a:srcRect r="-21" b="-84"/>
                    <a:stretch>
                      <a:fillRect/>
                    </a:stretch>
                  </pic:blipFill>
                  <pic:spPr bwMode="auto">
                    <a:xfrm>
                      <a:off x="0" y="0"/>
                      <a:ext cx="5730875" cy="3051175"/>
                    </a:xfrm>
                    <a:prstGeom prst="rect">
                      <a:avLst/>
                    </a:prstGeom>
                    <a:noFill/>
                    <a:ln>
                      <a:noFill/>
                    </a:ln>
                  </pic:spPr>
                </pic:pic>
              </a:graphicData>
            </a:graphic>
          </wp:inline>
        </w:drawing>
      </w:r>
    </w:p>
    <w:p w14:paraId="484E3602" w14:textId="77777777" w:rsidR="00AC7BA0" w:rsidRDefault="00AC7BA0" w:rsidP="00AC7BA0">
      <w:pPr>
        <w:rPr>
          <w:rFonts w:cs="Arial"/>
          <w:color w:val="000000" w:themeColor="text1"/>
          <w:sz w:val="24"/>
        </w:rPr>
      </w:pPr>
      <w:r>
        <w:rPr>
          <w:rFonts w:cs="Arial"/>
          <w:noProof/>
          <w:sz w:val="24"/>
        </w:rPr>
        <w:drawing>
          <wp:inline distT="0" distB="0" distL="0" distR="0" wp14:anchorId="7BF7090B" wp14:editId="4F22F563">
            <wp:extent cx="5721985" cy="3232150"/>
            <wp:effectExtent l="0" t="0" r="0" b="6350"/>
            <wp:docPr id="6" name="Picture 6" descr="Diagram show the clock starts when request of services is recieved and clock stops when an intervention is recie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 the clock starts when request of services is recieved and clock stops when an intervention is recieved. "/>
                    <pic:cNvPicPr>
                      <a:picLocks noChangeAspect="1" noChangeArrowheads="1"/>
                    </pic:cNvPicPr>
                  </pic:nvPicPr>
                  <pic:blipFill>
                    <a:blip r:embed="rId44">
                      <a:extLst>
                        <a:ext uri="{28A0092B-C50C-407E-A947-70E740481C1C}">
                          <a14:useLocalDpi xmlns:a14="http://schemas.microsoft.com/office/drawing/2010/main" val="0"/>
                        </a:ext>
                      </a:extLst>
                    </a:blip>
                    <a:srcRect l="7150" t="8034" r="7826" b="4996"/>
                    <a:stretch>
                      <a:fillRect/>
                    </a:stretch>
                  </pic:blipFill>
                  <pic:spPr bwMode="auto">
                    <a:xfrm>
                      <a:off x="0" y="0"/>
                      <a:ext cx="5721985" cy="3232150"/>
                    </a:xfrm>
                    <a:prstGeom prst="rect">
                      <a:avLst/>
                    </a:prstGeom>
                    <a:noFill/>
                    <a:ln>
                      <a:noFill/>
                    </a:ln>
                  </pic:spPr>
                </pic:pic>
              </a:graphicData>
            </a:graphic>
          </wp:inline>
        </w:drawing>
      </w:r>
    </w:p>
    <w:p w14:paraId="7B7AC29D" w14:textId="77777777" w:rsidR="00AC7BA0" w:rsidRDefault="00AC7BA0" w:rsidP="00AC7BA0">
      <w:pPr>
        <w:rPr>
          <w:rFonts w:cs="Arial"/>
          <w:color w:val="000000" w:themeColor="text1"/>
          <w:sz w:val="24"/>
        </w:rPr>
      </w:pPr>
      <w:r>
        <w:rPr>
          <w:rFonts w:cs="Arial"/>
          <w:noProof/>
          <w:sz w:val="24"/>
        </w:rPr>
        <w:lastRenderedPageBreak/>
        <w:drawing>
          <wp:inline distT="0" distB="0" distL="0" distR="0" wp14:anchorId="0B2CC3B0" wp14:editId="4F5BFFEB">
            <wp:extent cx="5721985" cy="1267460"/>
            <wp:effectExtent l="0" t="0" r="0" b="8890"/>
            <wp:docPr id="5" name="Picture 5" descr="Diagram showing the clock starts at referral to community and ends when therpay 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showing the clock starts at referral to community and ends when therpay begins."/>
                    <pic:cNvPicPr>
                      <a:picLocks noChangeAspect="1" noChangeArrowheads="1"/>
                    </pic:cNvPicPr>
                  </pic:nvPicPr>
                  <pic:blipFill>
                    <a:blip r:embed="rId45">
                      <a:extLst>
                        <a:ext uri="{28A0092B-C50C-407E-A947-70E740481C1C}">
                          <a14:useLocalDpi xmlns:a14="http://schemas.microsoft.com/office/drawing/2010/main" val="0"/>
                        </a:ext>
                      </a:extLst>
                    </a:blip>
                    <a:srcRect l="4131" t="9479" r="5133" b="5664"/>
                    <a:stretch>
                      <a:fillRect/>
                    </a:stretch>
                  </pic:blipFill>
                  <pic:spPr bwMode="auto">
                    <a:xfrm>
                      <a:off x="0" y="0"/>
                      <a:ext cx="5721985" cy="1267460"/>
                    </a:xfrm>
                    <a:prstGeom prst="rect">
                      <a:avLst/>
                    </a:prstGeom>
                    <a:noFill/>
                    <a:ln>
                      <a:noFill/>
                    </a:ln>
                  </pic:spPr>
                </pic:pic>
              </a:graphicData>
            </a:graphic>
          </wp:inline>
        </w:drawing>
      </w:r>
    </w:p>
    <w:p w14:paraId="2F8903B6" w14:textId="77777777" w:rsidR="00AC7BA0" w:rsidRDefault="00AC7BA0" w:rsidP="00AC7BA0">
      <w:pPr>
        <w:spacing w:line="360" w:lineRule="auto"/>
        <w:rPr>
          <w:rFonts w:cs="Arial"/>
          <w:color w:val="000000" w:themeColor="text1"/>
          <w:sz w:val="24"/>
        </w:rPr>
      </w:pPr>
      <w:r>
        <w:rPr>
          <w:rStyle w:val="Strong"/>
          <w:rFonts w:cs="Arial"/>
          <w:color w:val="000000" w:themeColor="text1"/>
          <w:sz w:val="24"/>
        </w:rPr>
        <w:t>What Counts as a Meaningful Assessment</w:t>
      </w:r>
    </w:p>
    <w:p w14:paraId="36602E91" w14:textId="77777777" w:rsidR="00AC7BA0" w:rsidRDefault="00AC7BA0" w:rsidP="00AC7BA0">
      <w:pPr>
        <w:rPr>
          <w:rFonts w:cs="Arial"/>
          <w:color w:val="000000" w:themeColor="text1"/>
          <w:sz w:val="24"/>
        </w:rPr>
      </w:pPr>
      <w:r>
        <w:rPr>
          <w:rFonts w:cs="Arial"/>
          <w:color w:val="000000" w:themeColor="text1"/>
          <w:sz w:val="24"/>
        </w:rPr>
        <w:t>An assessment that can lead to:</w:t>
      </w:r>
    </w:p>
    <w:p w14:paraId="22E7352A" w14:textId="77777777" w:rsidR="00AC7BA0" w:rsidRDefault="00AC7BA0" w:rsidP="00AC7BA0">
      <w:pPr>
        <w:pStyle w:val="ListParagraph"/>
        <w:numPr>
          <w:ilvl w:val="0"/>
          <w:numId w:val="34"/>
        </w:numPr>
        <w:spacing w:after="160"/>
        <w:rPr>
          <w:rFonts w:cs="Arial"/>
          <w:color w:val="000000" w:themeColor="text1"/>
          <w:sz w:val="24"/>
        </w:rPr>
      </w:pPr>
      <w:r>
        <w:rPr>
          <w:rFonts w:cs="Arial"/>
          <w:color w:val="000000" w:themeColor="text1"/>
          <w:sz w:val="24"/>
        </w:rPr>
        <w:t>The start of a clinical or social intervention</w:t>
      </w:r>
    </w:p>
    <w:p w14:paraId="1AEF407C" w14:textId="77777777" w:rsidR="00AC7BA0" w:rsidRDefault="00AC7BA0" w:rsidP="00AC7BA0">
      <w:pPr>
        <w:pStyle w:val="ListParagraph"/>
        <w:numPr>
          <w:ilvl w:val="0"/>
          <w:numId w:val="34"/>
        </w:numPr>
        <w:spacing w:after="160"/>
        <w:rPr>
          <w:rFonts w:cs="Arial"/>
          <w:color w:val="000000" w:themeColor="text1"/>
          <w:sz w:val="24"/>
        </w:rPr>
      </w:pPr>
      <w:r>
        <w:rPr>
          <w:rFonts w:cs="Arial"/>
          <w:color w:val="000000" w:themeColor="text1"/>
          <w:sz w:val="24"/>
        </w:rPr>
        <w:t>An agreed care plan</w:t>
      </w:r>
    </w:p>
    <w:p w14:paraId="67899FAC" w14:textId="77777777" w:rsidR="00AC7BA0" w:rsidRDefault="00AC7BA0" w:rsidP="00AC7BA0">
      <w:pPr>
        <w:rPr>
          <w:rFonts w:cs="Arial"/>
          <w:color w:val="000000" w:themeColor="text1"/>
          <w:sz w:val="24"/>
        </w:rPr>
      </w:pPr>
      <w:r>
        <w:rPr>
          <w:rStyle w:val="Strong"/>
          <w:rFonts w:cs="Arial"/>
          <w:color w:val="000000" w:themeColor="text1"/>
          <w:sz w:val="24"/>
        </w:rPr>
        <w:t>Triage or initial signposting assessments do not qualify</w:t>
      </w:r>
      <w:r>
        <w:rPr>
          <w:rFonts w:cs="Arial"/>
          <w:color w:val="000000" w:themeColor="text1"/>
          <w:sz w:val="24"/>
        </w:rPr>
        <w:t xml:space="preserve"> as a clock stop. Services should follow </w:t>
      </w:r>
      <w:r>
        <w:rPr>
          <w:rStyle w:val="Strong"/>
          <w:rFonts w:cs="Arial"/>
          <w:color w:val="000000" w:themeColor="text1"/>
          <w:sz w:val="24"/>
        </w:rPr>
        <w:t>NICE guidance</w:t>
      </w:r>
      <w:r>
        <w:rPr>
          <w:rFonts w:cs="Arial"/>
          <w:color w:val="000000" w:themeColor="text1"/>
          <w:sz w:val="24"/>
        </w:rPr>
        <w:t xml:space="preserve"> for comprehensive assessments.</w:t>
      </w:r>
    </w:p>
    <w:p w14:paraId="25BF8664" w14:textId="77777777" w:rsidR="00AC7BA0" w:rsidRDefault="00AC7BA0" w:rsidP="00AC7BA0">
      <w:pPr>
        <w:spacing w:line="360" w:lineRule="auto"/>
        <w:rPr>
          <w:rFonts w:cs="Arial"/>
          <w:color w:val="000000" w:themeColor="text1"/>
          <w:sz w:val="24"/>
        </w:rPr>
      </w:pPr>
    </w:p>
    <w:p w14:paraId="3F937C4D" w14:textId="77777777" w:rsidR="00AC7BA0" w:rsidRDefault="00AC7BA0" w:rsidP="00AC7BA0">
      <w:pPr>
        <w:spacing w:line="360" w:lineRule="auto"/>
        <w:rPr>
          <w:rFonts w:cs="Arial"/>
          <w:color w:val="000000" w:themeColor="text1"/>
          <w:sz w:val="24"/>
        </w:rPr>
      </w:pPr>
      <w:r>
        <w:rPr>
          <w:rStyle w:val="Strong"/>
          <w:rFonts w:cs="Arial"/>
          <w:color w:val="000000" w:themeColor="text1"/>
          <w:sz w:val="24"/>
        </w:rPr>
        <w:t>Outcome Tools</w:t>
      </w:r>
    </w:p>
    <w:p w14:paraId="181464E0" w14:textId="77777777" w:rsidR="00AC7BA0" w:rsidRDefault="00AC7BA0" w:rsidP="00AC7BA0">
      <w:pPr>
        <w:rPr>
          <w:rFonts w:cs="Arial"/>
          <w:color w:val="000000" w:themeColor="text1"/>
          <w:sz w:val="24"/>
        </w:rPr>
      </w:pPr>
      <w:r>
        <w:rPr>
          <w:rFonts w:cs="Arial"/>
          <w:color w:val="000000" w:themeColor="text1"/>
          <w:sz w:val="24"/>
        </w:rPr>
        <w:t xml:space="preserve">The Trust uses the </w:t>
      </w:r>
      <w:r>
        <w:rPr>
          <w:rStyle w:val="Strong"/>
          <w:rFonts w:cs="Arial"/>
          <w:color w:val="000000" w:themeColor="text1"/>
          <w:sz w:val="24"/>
        </w:rPr>
        <w:t>DIALOG tool</w:t>
      </w:r>
      <w:r>
        <w:rPr>
          <w:rFonts w:cs="Arial"/>
          <w:color w:val="000000" w:themeColor="text1"/>
          <w:sz w:val="24"/>
        </w:rPr>
        <w:t xml:space="preserve"> for adult and older adult services. Other teams may use additional tools as defined in their Standard Operating Procedures (SOPs).</w:t>
      </w:r>
    </w:p>
    <w:p w14:paraId="616EA31D" w14:textId="77777777" w:rsidR="00AC7BA0" w:rsidRDefault="00AC7BA0" w:rsidP="00AC7BA0">
      <w:pPr>
        <w:spacing w:line="360" w:lineRule="auto"/>
        <w:rPr>
          <w:rFonts w:cs="Arial"/>
          <w:color w:val="000000" w:themeColor="text1"/>
          <w:sz w:val="24"/>
        </w:rPr>
      </w:pPr>
    </w:p>
    <w:p w14:paraId="6C748326" w14:textId="77777777" w:rsidR="00AC7BA0" w:rsidRDefault="00AC7BA0" w:rsidP="00AC7BA0">
      <w:pPr>
        <w:spacing w:line="360" w:lineRule="auto"/>
        <w:rPr>
          <w:rFonts w:cs="Arial"/>
          <w:sz w:val="24"/>
        </w:rPr>
      </w:pPr>
      <w:r>
        <w:rPr>
          <w:rStyle w:val="Strong"/>
          <w:rFonts w:cs="Arial"/>
          <w:color w:val="000000" w:themeColor="text1"/>
          <w:sz w:val="24"/>
        </w:rPr>
        <w:t>What Constitutes a Valid Intervention (Clock Stop)</w:t>
      </w:r>
    </w:p>
    <w:p w14:paraId="4CD82D0F" w14:textId="77777777" w:rsidR="00AC7BA0" w:rsidRDefault="00AC7BA0" w:rsidP="00AC7BA0">
      <w:pPr>
        <w:spacing w:line="360" w:lineRule="auto"/>
        <w:rPr>
          <w:rFonts w:cs="Arial"/>
          <w:color w:val="000000" w:themeColor="text1"/>
          <w:sz w:val="24"/>
        </w:rPr>
      </w:pPr>
      <w:r>
        <w:rPr>
          <w:rStyle w:val="Strong"/>
          <w:rFonts w:cs="Arial"/>
          <w:color w:val="000000" w:themeColor="text1"/>
          <w:sz w:val="24"/>
        </w:rPr>
        <w:t>(a) Social Interventions</w:t>
      </w:r>
    </w:p>
    <w:p w14:paraId="1C4573CA" w14:textId="77777777" w:rsidR="00AC7BA0" w:rsidRDefault="00AC7BA0" w:rsidP="00AC7BA0">
      <w:pPr>
        <w:rPr>
          <w:rFonts w:cs="Arial"/>
          <w:color w:val="000000" w:themeColor="text1"/>
          <w:sz w:val="24"/>
        </w:rPr>
      </w:pPr>
      <w:r>
        <w:rPr>
          <w:rFonts w:cs="Arial"/>
          <w:color w:val="000000" w:themeColor="text1"/>
          <w:sz w:val="24"/>
        </w:rPr>
        <w:t>These reflect the holistic model set out in the Community Mental Health Framework. Examples include:</w:t>
      </w:r>
    </w:p>
    <w:p w14:paraId="2F77CFF8" w14:textId="77777777" w:rsidR="00AC7BA0" w:rsidRDefault="00AC7BA0" w:rsidP="00AC7BA0">
      <w:pPr>
        <w:pStyle w:val="ListParagraph"/>
        <w:numPr>
          <w:ilvl w:val="0"/>
          <w:numId w:val="35"/>
        </w:numPr>
        <w:spacing w:after="160"/>
        <w:rPr>
          <w:rFonts w:cs="Arial"/>
          <w:color w:val="000000" w:themeColor="text1"/>
          <w:sz w:val="24"/>
        </w:rPr>
      </w:pPr>
      <w:r>
        <w:rPr>
          <w:rFonts w:cs="Arial"/>
          <w:color w:val="000000" w:themeColor="text1"/>
          <w:sz w:val="24"/>
        </w:rPr>
        <w:t>Financial advice or support</w:t>
      </w:r>
    </w:p>
    <w:p w14:paraId="227230CA" w14:textId="77777777" w:rsidR="00AC7BA0" w:rsidRDefault="00AC7BA0" w:rsidP="00AC7BA0">
      <w:pPr>
        <w:pStyle w:val="ListParagraph"/>
        <w:numPr>
          <w:ilvl w:val="0"/>
          <w:numId w:val="35"/>
        </w:numPr>
        <w:spacing w:after="160"/>
        <w:rPr>
          <w:rFonts w:cs="Arial"/>
          <w:color w:val="000000" w:themeColor="text1"/>
          <w:sz w:val="24"/>
        </w:rPr>
      </w:pPr>
      <w:r>
        <w:rPr>
          <w:rFonts w:cs="Arial"/>
          <w:color w:val="000000" w:themeColor="text1"/>
          <w:sz w:val="24"/>
        </w:rPr>
        <w:t>Housing or homelessness support</w:t>
      </w:r>
    </w:p>
    <w:p w14:paraId="11C68B1B" w14:textId="77777777" w:rsidR="00AC7BA0" w:rsidRDefault="00AC7BA0" w:rsidP="00AC7BA0">
      <w:pPr>
        <w:pStyle w:val="ListParagraph"/>
        <w:numPr>
          <w:ilvl w:val="0"/>
          <w:numId w:val="35"/>
        </w:numPr>
        <w:spacing w:after="160"/>
        <w:rPr>
          <w:rFonts w:cs="Arial"/>
          <w:color w:val="000000" w:themeColor="text1"/>
          <w:sz w:val="24"/>
        </w:rPr>
      </w:pPr>
      <w:r>
        <w:rPr>
          <w:rFonts w:cs="Arial"/>
          <w:color w:val="000000" w:themeColor="text1"/>
          <w:sz w:val="24"/>
        </w:rPr>
        <w:t>Employment services (e.g. Individual Placement and Support)</w:t>
      </w:r>
    </w:p>
    <w:p w14:paraId="08D3367F" w14:textId="77777777" w:rsidR="00AC7BA0" w:rsidRDefault="00AC7BA0" w:rsidP="00AC7BA0">
      <w:pPr>
        <w:pStyle w:val="ListParagraph"/>
        <w:numPr>
          <w:ilvl w:val="0"/>
          <w:numId w:val="35"/>
        </w:numPr>
        <w:spacing w:after="160"/>
        <w:rPr>
          <w:rFonts w:cs="Arial"/>
          <w:color w:val="000000" w:themeColor="text1"/>
          <w:sz w:val="24"/>
        </w:rPr>
      </w:pPr>
      <w:r>
        <w:rPr>
          <w:rFonts w:cs="Arial"/>
          <w:color w:val="000000" w:themeColor="text1"/>
          <w:sz w:val="24"/>
        </w:rPr>
        <w:t>Education or training opportunities</w:t>
      </w:r>
    </w:p>
    <w:p w14:paraId="29DE55A5" w14:textId="77777777" w:rsidR="00AC7BA0" w:rsidRDefault="00AC7BA0" w:rsidP="00AC7BA0">
      <w:pPr>
        <w:pStyle w:val="ListParagraph"/>
        <w:numPr>
          <w:ilvl w:val="0"/>
          <w:numId w:val="35"/>
        </w:numPr>
        <w:spacing w:after="160"/>
        <w:rPr>
          <w:rFonts w:cs="Arial"/>
          <w:color w:val="000000" w:themeColor="text1"/>
          <w:sz w:val="24"/>
        </w:rPr>
      </w:pPr>
      <w:r>
        <w:rPr>
          <w:rFonts w:cs="Arial"/>
          <w:color w:val="000000" w:themeColor="text1"/>
          <w:sz w:val="24"/>
        </w:rPr>
        <w:t>Social prescribing</w:t>
      </w:r>
    </w:p>
    <w:p w14:paraId="5188548F" w14:textId="77777777" w:rsidR="00AC7BA0" w:rsidRDefault="00AC7BA0" w:rsidP="00AC7BA0">
      <w:pPr>
        <w:pStyle w:val="ListParagraph"/>
        <w:numPr>
          <w:ilvl w:val="0"/>
          <w:numId w:val="35"/>
        </w:numPr>
        <w:spacing w:after="160"/>
        <w:rPr>
          <w:rFonts w:cs="Arial"/>
          <w:color w:val="000000" w:themeColor="text1"/>
          <w:sz w:val="24"/>
        </w:rPr>
      </w:pPr>
      <w:r>
        <w:rPr>
          <w:rFonts w:cs="Arial"/>
          <w:color w:val="000000" w:themeColor="text1"/>
          <w:sz w:val="24"/>
        </w:rPr>
        <w:t>Peer support services</w:t>
      </w:r>
    </w:p>
    <w:p w14:paraId="7620E5EF" w14:textId="77777777" w:rsidR="00AC7BA0" w:rsidRDefault="00AC7BA0" w:rsidP="00AC7BA0">
      <w:pPr>
        <w:pStyle w:val="ListParagraph"/>
        <w:numPr>
          <w:ilvl w:val="0"/>
          <w:numId w:val="35"/>
        </w:numPr>
        <w:spacing w:after="160"/>
        <w:rPr>
          <w:rFonts w:cs="Arial"/>
          <w:color w:val="000000" w:themeColor="text1"/>
          <w:sz w:val="24"/>
        </w:rPr>
      </w:pPr>
      <w:r>
        <w:rPr>
          <w:rFonts w:cs="Arial"/>
          <w:color w:val="000000" w:themeColor="text1"/>
          <w:sz w:val="24"/>
        </w:rPr>
        <w:t>Social care planning</w:t>
      </w:r>
    </w:p>
    <w:p w14:paraId="672208EB" w14:textId="77777777" w:rsidR="00AC7BA0" w:rsidRDefault="00AC7BA0" w:rsidP="00AC7BA0">
      <w:pPr>
        <w:rPr>
          <w:rFonts w:cs="Arial"/>
          <w:color w:val="000000" w:themeColor="text1"/>
          <w:sz w:val="24"/>
        </w:rPr>
      </w:pPr>
      <w:r>
        <w:rPr>
          <w:rFonts w:cs="Arial"/>
          <w:color w:val="000000" w:themeColor="text1"/>
          <w:sz w:val="24"/>
        </w:rPr>
        <w:t>These may be delivered by ELFT teams or VCSE partners.</w:t>
      </w:r>
    </w:p>
    <w:p w14:paraId="1FBD0C65" w14:textId="77777777" w:rsidR="00AC7BA0" w:rsidRDefault="00AC7BA0" w:rsidP="00AC7BA0">
      <w:pPr>
        <w:rPr>
          <w:rFonts w:cs="Arial"/>
          <w:color w:val="000000" w:themeColor="text1"/>
          <w:sz w:val="24"/>
        </w:rPr>
      </w:pPr>
    </w:p>
    <w:p w14:paraId="32913D2F" w14:textId="77777777" w:rsidR="00AC7BA0" w:rsidRDefault="00AC7BA0" w:rsidP="00AC7BA0">
      <w:pPr>
        <w:spacing w:line="360" w:lineRule="auto"/>
        <w:rPr>
          <w:rFonts w:cs="Arial"/>
          <w:color w:val="000000" w:themeColor="text1"/>
          <w:sz w:val="24"/>
        </w:rPr>
      </w:pPr>
      <w:r>
        <w:rPr>
          <w:rStyle w:val="Strong"/>
          <w:rFonts w:cs="Arial"/>
          <w:color w:val="000000" w:themeColor="text1"/>
          <w:sz w:val="24"/>
        </w:rPr>
        <w:t>(b) Clinical Interventions</w:t>
      </w:r>
    </w:p>
    <w:p w14:paraId="08E4FA49" w14:textId="77777777" w:rsidR="00AC7BA0" w:rsidRDefault="00AC7BA0" w:rsidP="00AC7BA0">
      <w:pPr>
        <w:rPr>
          <w:rFonts w:cs="Arial"/>
          <w:color w:val="000000" w:themeColor="text1"/>
          <w:sz w:val="24"/>
        </w:rPr>
      </w:pPr>
      <w:r>
        <w:rPr>
          <w:rFonts w:cs="Arial"/>
          <w:color w:val="000000" w:themeColor="text1"/>
          <w:sz w:val="24"/>
        </w:rPr>
        <w:t>Examples include:</w:t>
      </w:r>
    </w:p>
    <w:p w14:paraId="53627D90" w14:textId="77777777" w:rsidR="00AC7BA0" w:rsidRDefault="00AC7BA0" w:rsidP="00AC7BA0">
      <w:pPr>
        <w:pStyle w:val="ListParagraph"/>
        <w:numPr>
          <w:ilvl w:val="0"/>
          <w:numId w:val="36"/>
        </w:numPr>
        <w:spacing w:after="160"/>
        <w:rPr>
          <w:rFonts w:cs="Arial"/>
          <w:color w:val="000000" w:themeColor="text1"/>
          <w:sz w:val="24"/>
        </w:rPr>
      </w:pPr>
      <w:r>
        <w:rPr>
          <w:rFonts w:cs="Arial"/>
          <w:color w:val="000000" w:themeColor="text1"/>
          <w:sz w:val="24"/>
        </w:rPr>
        <w:t>Psychological therapies (CBT, family therapy, counselling)</w:t>
      </w:r>
    </w:p>
    <w:p w14:paraId="0477DC40" w14:textId="77777777" w:rsidR="00AC7BA0" w:rsidRDefault="00AC7BA0" w:rsidP="00AC7BA0">
      <w:pPr>
        <w:pStyle w:val="ListParagraph"/>
        <w:numPr>
          <w:ilvl w:val="0"/>
          <w:numId w:val="36"/>
        </w:numPr>
        <w:spacing w:after="160"/>
        <w:rPr>
          <w:rFonts w:cs="Arial"/>
          <w:color w:val="000000" w:themeColor="text1"/>
          <w:sz w:val="24"/>
        </w:rPr>
      </w:pPr>
      <w:r>
        <w:rPr>
          <w:rFonts w:cs="Arial"/>
          <w:color w:val="000000" w:themeColor="text1"/>
          <w:sz w:val="24"/>
        </w:rPr>
        <w:t>Medication initiation</w:t>
      </w:r>
    </w:p>
    <w:p w14:paraId="05493C0D" w14:textId="77777777" w:rsidR="00AC7BA0" w:rsidRDefault="00AC7BA0" w:rsidP="00AC7BA0">
      <w:pPr>
        <w:pStyle w:val="ListParagraph"/>
        <w:numPr>
          <w:ilvl w:val="0"/>
          <w:numId w:val="36"/>
        </w:numPr>
        <w:spacing w:after="160"/>
        <w:rPr>
          <w:rFonts w:cs="Arial"/>
          <w:color w:val="000000" w:themeColor="text1"/>
          <w:sz w:val="24"/>
        </w:rPr>
      </w:pPr>
      <w:r>
        <w:rPr>
          <w:rFonts w:cs="Arial"/>
          <w:color w:val="000000" w:themeColor="text1"/>
          <w:sz w:val="24"/>
        </w:rPr>
        <w:t>Occupational therapy or arts therapies</w:t>
      </w:r>
    </w:p>
    <w:p w14:paraId="6591660F" w14:textId="77777777" w:rsidR="00AC7BA0" w:rsidRDefault="00AC7BA0" w:rsidP="00AC7BA0">
      <w:pPr>
        <w:pStyle w:val="ListParagraph"/>
        <w:numPr>
          <w:ilvl w:val="0"/>
          <w:numId w:val="36"/>
        </w:numPr>
        <w:spacing w:after="160"/>
        <w:rPr>
          <w:rFonts w:cs="Arial"/>
          <w:color w:val="000000" w:themeColor="text1"/>
          <w:sz w:val="24"/>
        </w:rPr>
      </w:pPr>
      <w:r>
        <w:rPr>
          <w:rFonts w:cs="Arial"/>
          <w:color w:val="000000" w:themeColor="text1"/>
          <w:sz w:val="24"/>
        </w:rPr>
        <w:t>Physical health interventions (e.g. smoking cessation, weight management)</w:t>
      </w:r>
    </w:p>
    <w:p w14:paraId="16053527" w14:textId="77777777" w:rsidR="00AC7BA0" w:rsidRDefault="00AC7BA0" w:rsidP="00AC7BA0">
      <w:pPr>
        <w:rPr>
          <w:rFonts w:cs="Arial"/>
          <w:szCs w:val="22"/>
        </w:rPr>
      </w:pPr>
    </w:p>
    <w:p w14:paraId="60D4DBA1" w14:textId="77777777" w:rsidR="00AC7BA0" w:rsidRDefault="00AC7BA0" w:rsidP="00AC7BA0">
      <w:pPr>
        <w:rPr>
          <w:rFonts w:cs="Arial"/>
          <w:szCs w:val="22"/>
        </w:rPr>
      </w:pPr>
    </w:p>
    <w:p w14:paraId="60FA8DBF" w14:textId="77777777" w:rsidR="00AC7BA0" w:rsidRDefault="00AC7BA0" w:rsidP="00AC7BA0">
      <w:pPr>
        <w:rPr>
          <w:rFonts w:cs="Arial"/>
          <w:szCs w:val="22"/>
        </w:rPr>
      </w:pPr>
    </w:p>
    <w:p w14:paraId="071CC590" w14:textId="77777777" w:rsidR="00AC7BA0" w:rsidRDefault="00AC7BA0" w:rsidP="00AC7BA0">
      <w:pPr>
        <w:rPr>
          <w:rFonts w:cs="Arial"/>
          <w:szCs w:val="22"/>
        </w:rPr>
      </w:pPr>
    </w:p>
    <w:p w14:paraId="75D3CB60" w14:textId="77777777" w:rsidR="00AC7BA0" w:rsidRDefault="00AC7BA0" w:rsidP="00AC7BA0">
      <w:pPr>
        <w:rPr>
          <w:rFonts w:cs="Arial"/>
          <w:szCs w:val="22"/>
        </w:rPr>
      </w:pPr>
    </w:p>
    <w:p w14:paraId="592E0634" w14:textId="77777777" w:rsidR="00AC7BA0" w:rsidRDefault="00AC7BA0" w:rsidP="00AC7BA0">
      <w:pPr>
        <w:pStyle w:val="Heading1"/>
        <w:rPr>
          <w:rFonts w:ascii="Arial" w:hAnsi="Arial" w:cs="Arial"/>
          <w:b/>
          <w:color w:val="auto"/>
          <w:sz w:val="24"/>
          <w:szCs w:val="24"/>
        </w:rPr>
      </w:pPr>
      <w:bookmarkStart w:id="39" w:name="_Toc206774789"/>
      <w:bookmarkStart w:id="40" w:name="_Toc211502284"/>
      <w:r w:rsidRPr="00AC7BA0">
        <w:rPr>
          <w:rFonts w:ascii="Arial" w:hAnsi="Arial" w:cs="Arial"/>
          <w:b/>
          <w:color w:val="auto"/>
          <w:sz w:val="24"/>
          <w:szCs w:val="24"/>
        </w:rPr>
        <w:lastRenderedPageBreak/>
        <w:t>Appendix 4: Access and Waiting Time Standards: Community Health Services</w:t>
      </w:r>
      <w:bookmarkEnd w:id="39"/>
      <w:bookmarkEnd w:id="40"/>
    </w:p>
    <w:p w14:paraId="55B0DB1F" w14:textId="77777777" w:rsidR="00AC7BA0" w:rsidRPr="00AC7BA0" w:rsidRDefault="00AC7BA0" w:rsidP="00AC7BA0">
      <w:pPr>
        <w:rPr>
          <w:lang w:eastAsia="en-US"/>
        </w:rPr>
      </w:pPr>
    </w:p>
    <w:bookmarkEnd w:id="33"/>
    <w:p w14:paraId="7CD3131E" w14:textId="77777777" w:rsidR="00AC7BA0" w:rsidRPr="00611B87" w:rsidRDefault="00AC7BA0" w:rsidP="00AC7BA0">
      <w:pPr>
        <w:spacing w:line="360" w:lineRule="auto"/>
        <w:rPr>
          <w:rFonts w:cs="Arial"/>
          <w:color w:val="000000" w:themeColor="text1"/>
          <w:sz w:val="24"/>
          <w:u w:val="single"/>
        </w:rPr>
      </w:pPr>
      <w:r w:rsidRPr="00611B87">
        <w:rPr>
          <w:rStyle w:val="Strong"/>
          <w:rFonts w:cs="Arial"/>
          <w:color w:val="000000" w:themeColor="text1"/>
          <w:sz w:val="24"/>
          <w:u w:val="single"/>
        </w:rPr>
        <w:t>RTT Framework</w:t>
      </w:r>
    </w:p>
    <w:p w14:paraId="48916474" w14:textId="77777777" w:rsidR="00611B87" w:rsidRDefault="00611B87" w:rsidP="00AC7BA0">
      <w:pPr>
        <w:pStyle w:val="Heading4"/>
        <w:shd w:val="clear" w:color="auto" w:fill="FFFFFF"/>
        <w:spacing w:before="0" w:line="360" w:lineRule="auto"/>
        <w:rPr>
          <w:rFonts w:ascii="Arial" w:hAnsi="Arial" w:cs="Arial"/>
          <w:b/>
          <w:i w:val="0"/>
          <w:iCs w:val="0"/>
          <w:color w:val="0B0C0C"/>
          <w:sz w:val="24"/>
        </w:rPr>
      </w:pPr>
      <w:r>
        <w:rPr>
          <w:rFonts w:ascii="Arial" w:hAnsi="Arial" w:cs="Arial"/>
          <w:b/>
          <w:i w:val="0"/>
          <w:iCs w:val="0"/>
          <w:color w:val="0B0C0C"/>
          <w:sz w:val="24"/>
        </w:rPr>
        <w:t>1.0 What Starts the Clock</w:t>
      </w:r>
    </w:p>
    <w:p w14:paraId="0CC7880A" w14:textId="77777777" w:rsidR="00AC7BA0" w:rsidRDefault="00AC7BA0" w:rsidP="00AC7BA0">
      <w:pPr>
        <w:pStyle w:val="Heading4"/>
        <w:shd w:val="clear" w:color="auto" w:fill="FFFFFF"/>
        <w:spacing w:before="0" w:line="360" w:lineRule="auto"/>
        <w:rPr>
          <w:rFonts w:ascii="Arial" w:hAnsi="Arial" w:cs="Arial"/>
          <w:b/>
          <w:i w:val="0"/>
          <w:iCs w:val="0"/>
          <w:color w:val="0B0C0C"/>
          <w:sz w:val="24"/>
        </w:rPr>
      </w:pPr>
      <w:r>
        <w:rPr>
          <w:rFonts w:ascii="Arial" w:hAnsi="Arial" w:cs="Arial"/>
          <w:b/>
          <w:i w:val="0"/>
          <w:iCs w:val="0"/>
          <w:color w:val="0B0C0C"/>
          <w:sz w:val="24"/>
        </w:rPr>
        <w:t>1.1 Referrals by care professionals or services</w:t>
      </w:r>
    </w:p>
    <w:p w14:paraId="5DBAAF90" w14:textId="77777777" w:rsidR="00AC7BA0" w:rsidRDefault="00AC7BA0" w:rsidP="00611B87">
      <w:pPr>
        <w:pStyle w:val="NormalWeb"/>
        <w:shd w:val="clear" w:color="auto" w:fill="FFFFFF"/>
        <w:spacing w:before="0" w:beforeAutospacing="0" w:after="300" w:afterAutospacing="0"/>
        <w:rPr>
          <w:rFonts w:ascii="Arial" w:hAnsi="Arial" w:cs="Arial"/>
          <w:color w:val="0B0C0C"/>
        </w:rPr>
      </w:pPr>
      <w:r>
        <w:rPr>
          <w:rFonts w:ascii="Arial" w:hAnsi="Arial" w:cs="Arial"/>
          <w:color w:val="0B0C0C"/>
        </w:rPr>
        <w:t>Rule 1: a waiting time clock starts when any care professional or service permitted by an English NHS commissioner to make such referrals, refers to:</w:t>
      </w:r>
    </w:p>
    <w:p w14:paraId="5DEE0F89" w14:textId="77777777" w:rsidR="00AC7BA0" w:rsidRDefault="00AC7BA0" w:rsidP="00611B87">
      <w:pPr>
        <w:pStyle w:val="NormalWeb"/>
        <w:numPr>
          <w:ilvl w:val="0"/>
          <w:numId w:val="37"/>
        </w:numPr>
        <w:shd w:val="clear" w:color="auto" w:fill="FFFFFF" w:themeFill="background1"/>
        <w:spacing w:before="0" w:beforeAutospacing="0" w:after="150" w:afterAutospacing="0"/>
        <w:ind w:left="300"/>
        <w:rPr>
          <w:rFonts w:ascii="Arial" w:hAnsi="Arial" w:cs="Arial"/>
          <w:color w:val="0B0C0C"/>
        </w:rPr>
      </w:pPr>
      <w:r>
        <w:rPr>
          <w:rFonts w:ascii="Arial" w:hAnsi="Arial" w:cs="Arial"/>
          <w:color w:val="0B0C0C"/>
        </w:rPr>
        <w:t>a) a service that adheres to the 18-week RTT standard, regardless of setting, with the intention that the patient will be assessed and, if appropriate, treated before responsibility is transferred back to the referring health professional or general practitioner (GP)</w:t>
      </w:r>
    </w:p>
    <w:p w14:paraId="10D6EE03" w14:textId="77777777" w:rsidR="00AC7BA0" w:rsidRDefault="00AC7BA0" w:rsidP="00611B87">
      <w:pPr>
        <w:pStyle w:val="NormalWeb"/>
        <w:numPr>
          <w:ilvl w:val="0"/>
          <w:numId w:val="37"/>
        </w:numPr>
        <w:shd w:val="clear" w:color="auto" w:fill="FFFFFF"/>
        <w:spacing w:before="0" w:beforeAutospacing="0" w:after="150" w:afterAutospacing="0"/>
        <w:ind w:left="300"/>
        <w:rPr>
          <w:rFonts w:ascii="Arial" w:hAnsi="Arial" w:cs="Arial"/>
          <w:color w:val="0B0C0C"/>
        </w:rPr>
      </w:pPr>
      <w:r>
        <w:rPr>
          <w:rFonts w:ascii="Arial" w:hAnsi="Arial" w:cs="Arial"/>
          <w:color w:val="0B0C0C"/>
        </w:rPr>
        <w:t>b) an interface or referral management or assessment service, which may result in an onward referral to a consultant-led service before responsibility is transferred back to the referring health professional or GP</w:t>
      </w:r>
    </w:p>
    <w:p w14:paraId="2075AA81" w14:textId="77777777" w:rsidR="00AC7BA0" w:rsidRDefault="00AC7BA0" w:rsidP="00AC7BA0">
      <w:pPr>
        <w:pStyle w:val="Heading4"/>
        <w:shd w:val="clear" w:color="auto" w:fill="FFFFFF"/>
        <w:spacing w:before="0" w:line="360" w:lineRule="auto"/>
        <w:rPr>
          <w:rFonts w:ascii="Arial" w:hAnsi="Arial" w:cs="Arial"/>
          <w:b/>
          <w:i w:val="0"/>
          <w:iCs w:val="0"/>
          <w:color w:val="0B0C0C"/>
          <w:sz w:val="24"/>
        </w:rPr>
      </w:pPr>
      <w:r>
        <w:rPr>
          <w:rFonts w:ascii="Arial" w:hAnsi="Arial" w:cs="Arial"/>
          <w:b/>
          <w:i w:val="0"/>
          <w:iCs w:val="0"/>
          <w:color w:val="0B0C0C"/>
          <w:sz w:val="24"/>
        </w:rPr>
        <w:t>1.2 Self-referrals</w:t>
      </w:r>
    </w:p>
    <w:p w14:paraId="5D1AE04B" w14:textId="77777777" w:rsidR="00AC7BA0" w:rsidRDefault="00AC7BA0" w:rsidP="00611B87">
      <w:pPr>
        <w:pStyle w:val="NormalWeb"/>
        <w:shd w:val="clear" w:color="auto" w:fill="FFFFFF"/>
        <w:spacing w:before="0" w:beforeAutospacing="0" w:after="300" w:afterAutospacing="0"/>
        <w:rPr>
          <w:rFonts w:ascii="Arial" w:hAnsi="Arial" w:cs="Arial"/>
          <w:color w:val="0B0C0C"/>
        </w:rPr>
      </w:pPr>
      <w:r>
        <w:rPr>
          <w:rFonts w:ascii="Arial" w:hAnsi="Arial" w:cs="Arial"/>
          <w:color w:val="0B0C0C"/>
        </w:rPr>
        <w:t>Rule 2: a waiting time clock also starts upon a self-referral by a patient to the above services, where these pathways have been agreed locally by commissioners and providers and once the referral is ratified by a care professional permitted to do so.</w:t>
      </w:r>
    </w:p>
    <w:p w14:paraId="6B1B7762" w14:textId="77777777" w:rsidR="00AC7BA0" w:rsidRDefault="00AC7BA0" w:rsidP="00AC7BA0">
      <w:pPr>
        <w:pStyle w:val="Heading4"/>
        <w:shd w:val="clear" w:color="auto" w:fill="FFFFFF"/>
        <w:spacing w:before="0" w:line="360" w:lineRule="auto"/>
        <w:rPr>
          <w:rFonts w:ascii="Arial" w:hAnsi="Arial" w:cs="Arial"/>
          <w:b/>
          <w:i w:val="0"/>
          <w:iCs w:val="0"/>
          <w:color w:val="0B0C0C"/>
          <w:sz w:val="24"/>
        </w:rPr>
      </w:pPr>
      <w:r>
        <w:rPr>
          <w:rFonts w:ascii="Arial" w:hAnsi="Arial" w:cs="Arial"/>
          <w:b/>
          <w:i w:val="0"/>
          <w:iCs w:val="0"/>
          <w:color w:val="0B0C0C"/>
          <w:sz w:val="24"/>
        </w:rPr>
        <w:t>1.3 The need for a new clock</w:t>
      </w:r>
    </w:p>
    <w:p w14:paraId="17BFD826" w14:textId="77777777" w:rsidR="00AC7BA0" w:rsidRDefault="00AC7BA0" w:rsidP="00611B87">
      <w:pPr>
        <w:pStyle w:val="NormalWeb"/>
        <w:shd w:val="clear" w:color="auto" w:fill="FFFFFF"/>
        <w:spacing w:before="0" w:beforeAutospacing="0" w:after="300" w:afterAutospacing="0"/>
        <w:rPr>
          <w:rFonts w:ascii="Arial" w:hAnsi="Arial" w:cs="Arial"/>
          <w:color w:val="0B0C0C"/>
        </w:rPr>
      </w:pPr>
      <w:r>
        <w:rPr>
          <w:rFonts w:ascii="Arial" w:hAnsi="Arial" w:cs="Arial"/>
          <w:color w:val="0B0C0C"/>
        </w:rPr>
        <w:t>Rule 3: upon completion of a consultant-led RTT period, a new waiting time clock only starts:</w:t>
      </w:r>
    </w:p>
    <w:p w14:paraId="35D3F2DC" w14:textId="77777777" w:rsidR="00AC7BA0" w:rsidRDefault="00AC7BA0" w:rsidP="00611B87">
      <w:pPr>
        <w:pStyle w:val="NormalWeb"/>
        <w:numPr>
          <w:ilvl w:val="0"/>
          <w:numId w:val="38"/>
        </w:numPr>
        <w:shd w:val="clear" w:color="auto" w:fill="FFFFFF"/>
        <w:spacing w:before="0" w:beforeAutospacing="0" w:after="150" w:afterAutospacing="0"/>
        <w:ind w:left="300"/>
        <w:rPr>
          <w:rFonts w:ascii="Arial" w:hAnsi="Arial" w:cs="Arial"/>
          <w:color w:val="0B0C0C"/>
        </w:rPr>
      </w:pPr>
      <w:r>
        <w:rPr>
          <w:rFonts w:ascii="Arial" w:hAnsi="Arial" w:cs="Arial"/>
          <w:color w:val="0B0C0C"/>
        </w:rPr>
        <w:t>a) upon the decision to start a substantively new or different treatment that does not already form part of that patient’s agreed care plan</w:t>
      </w:r>
    </w:p>
    <w:p w14:paraId="1F18BF96" w14:textId="77777777" w:rsidR="00AC7BA0" w:rsidRDefault="00AC7BA0" w:rsidP="00611B87">
      <w:pPr>
        <w:pStyle w:val="NormalWeb"/>
        <w:numPr>
          <w:ilvl w:val="0"/>
          <w:numId w:val="38"/>
        </w:numPr>
        <w:shd w:val="clear" w:color="auto" w:fill="FFFFFF"/>
        <w:spacing w:before="0" w:beforeAutospacing="0" w:after="150" w:afterAutospacing="0"/>
        <w:ind w:left="300"/>
        <w:rPr>
          <w:rFonts w:ascii="Arial" w:hAnsi="Arial" w:cs="Arial"/>
          <w:color w:val="0B0C0C"/>
        </w:rPr>
      </w:pPr>
      <w:r>
        <w:rPr>
          <w:rFonts w:ascii="Arial" w:hAnsi="Arial" w:cs="Arial"/>
          <w:color w:val="0B0C0C"/>
        </w:rPr>
        <w:t>b) upon a patient being re-referred into a service as a new referral</w:t>
      </w:r>
    </w:p>
    <w:p w14:paraId="137A92EB" w14:textId="77777777" w:rsidR="00AC7BA0" w:rsidRDefault="00AC7BA0" w:rsidP="00611B87">
      <w:pPr>
        <w:pStyle w:val="NormalWeb"/>
        <w:numPr>
          <w:ilvl w:val="0"/>
          <w:numId w:val="38"/>
        </w:numPr>
        <w:shd w:val="clear" w:color="auto" w:fill="FFFFFF"/>
        <w:spacing w:before="0" w:beforeAutospacing="0" w:after="150" w:afterAutospacing="0"/>
        <w:ind w:left="300"/>
        <w:rPr>
          <w:rFonts w:ascii="Arial" w:hAnsi="Arial" w:cs="Arial"/>
          <w:color w:val="0B0C0C"/>
        </w:rPr>
      </w:pPr>
      <w:r>
        <w:rPr>
          <w:rFonts w:ascii="Arial" w:hAnsi="Arial" w:cs="Arial"/>
          <w:color w:val="0B0C0C"/>
        </w:rPr>
        <w:t>c) when a patient rebooks their appointment following a first appointment ‘did not attend’ (DNA) that stopped and nullified their earlier clock (however, further DNAs do not reset the clock for service users or services, as per ELFT policy)</w:t>
      </w:r>
    </w:p>
    <w:p w14:paraId="60630867" w14:textId="77777777" w:rsidR="00AC7BA0" w:rsidRDefault="00AC7BA0" w:rsidP="00AC7BA0">
      <w:pPr>
        <w:pStyle w:val="NormalWeb"/>
        <w:shd w:val="clear" w:color="auto" w:fill="FFFFFF"/>
        <w:spacing w:before="0" w:beforeAutospacing="0" w:after="150" w:afterAutospacing="0" w:line="360" w:lineRule="auto"/>
        <w:ind w:left="-60"/>
        <w:rPr>
          <w:rFonts w:ascii="Arial" w:hAnsi="Arial" w:cs="Arial"/>
          <w:color w:val="0B0C0C"/>
        </w:rPr>
      </w:pPr>
    </w:p>
    <w:p w14:paraId="524638C0" w14:textId="77777777" w:rsidR="00AC7BA0" w:rsidRPr="00611B87" w:rsidRDefault="00AC7BA0" w:rsidP="00AC7BA0">
      <w:pPr>
        <w:pStyle w:val="Heading4"/>
        <w:spacing w:line="360" w:lineRule="auto"/>
        <w:rPr>
          <w:rFonts w:ascii="Arial" w:hAnsi="Arial" w:cs="Arial"/>
          <w:b/>
          <w:bCs/>
          <w:i w:val="0"/>
          <w:iCs w:val="0"/>
          <w:color w:val="000000" w:themeColor="text1"/>
          <w:sz w:val="24"/>
          <w:u w:val="single"/>
        </w:rPr>
      </w:pPr>
      <w:r w:rsidRPr="00611B87">
        <w:rPr>
          <w:rFonts w:ascii="Arial" w:hAnsi="Arial" w:cs="Arial"/>
          <w:b/>
          <w:bCs/>
          <w:i w:val="0"/>
          <w:iCs w:val="0"/>
          <w:color w:val="000000" w:themeColor="text1"/>
          <w:sz w:val="24"/>
          <w:u w:val="single"/>
        </w:rPr>
        <w:t>2.0 RTT: What Stops the Clock</w:t>
      </w:r>
    </w:p>
    <w:p w14:paraId="6AFBF5B7" w14:textId="77777777" w:rsidR="00AC7BA0" w:rsidRDefault="00AC7BA0" w:rsidP="00AC7BA0">
      <w:pPr>
        <w:pStyle w:val="Heading4"/>
        <w:shd w:val="clear" w:color="auto" w:fill="FFFFFF"/>
        <w:spacing w:before="0" w:line="360" w:lineRule="auto"/>
        <w:rPr>
          <w:rFonts w:ascii="Arial" w:hAnsi="Arial" w:cs="Arial"/>
          <w:b/>
          <w:i w:val="0"/>
          <w:iCs w:val="0"/>
          <w:color w:val="0B0C0C"/>
          <w:sz w:val="24"/>
        </w:rPr>
      </w:pPr>
      <w:r>
        <w:rPr>
          <w:rFonts w:ascii="Arial" w:hAnsi="Arial" w:cs="Arial"/>
          <w:b/>
          <w:i w:val="0"/>
          <w:iCs w:val="0"/>
          <w:color w:val="0B0C0C"/>
          <w:sz w:val="24"/>
        </w:rPr>
        <w:t>2.1 Clock stops for treatment</w:t>
      </w:r>
    </w:p>
    <w:p w14:paraId="5F0E50C2" w14:textId="77777777" w:rsidR="00AC7BA0" w:rsidRDefault="00AC7BA0" w:rsidP="00611B87">
      <w:pPr>
        <w:pStyle w:val="NormalWeb"/>
        <w:shd w:val="clear" w:color="auto" w:fill="FFFFFF"/>
        <w:spacing w:before="0" w:beforeAutospacing="0" w:after="300" w:afterAutospacing="0"/>
        <w:rPr>
          <w:rFonts w:ascii="Arial" w:hAnsi="Arial" w:cs="Arial"/>
          <w:color w:val="0B0C0C"/>
        </w:rPr>
      </w:pPr>
      <w:r>
        <w:rPr>
          <w:rFonts w:ascii="Arial" w:hAnsi="Arial" w:cs="Arial"/>
          <w:color w:val="0B0C0C"/>
        </w:rPr>
        <w:t>Rule 4: a clock stops when:</w:t>
      </w:r>
    </w:p>
    <w:p w14:paraId="433D163E" w14:textId="77777777" w:rsidR="00AC7BA0" w:rsidRDefault="00AC7BA0" w:rsidP="00611B87">
      <w:pPr>
        <w:numPr>
          <w:ilvl w:val="0"/>
          <w:numId w:val="39"/>
        </w:numPr>
        <w:shd w:val="clear" w:color="auto" w:fill="FFFFFF"/>
        <w:spacing w:after="150"/>
        <w:ind w:left="300"/>
        <w:rPr>
          <w:rFonts w:cs="Arial"/>
          <w:color w:val="0B0C0C"/>
          <w:sz w:val="24"/>
        </w:rPr>
      </w:pPr>
      <w:r>
        <w:rPr>
          <w:rFonts w:cs="Arial"/>
          <w:color w:val="0B0C0C"/>
          <w:sz w:val="24"/>
        </w:rPr>
        <w:t>a) first definitive treatment starts – this could be:</w:t>
      </w:r>
    </w:p>
    <w:p w14:paraId="198B145B" w14:textId="77777777" w:rsidR="00AC7BA0" w:rsidRDefault="00AC7BA0" w:rsidP="00611B87">
      <w:pPr>
        <w:numPr>
          <w:ilvl w:val="1"/>
          <w:numId w:val="39"/>
        </w:numPr>
        <w:shd w:val="clear" w:color="auto" w:fill="FFFFFF"/>
        <w:spacing w:after="150"/>
        <w:ind w:left="600"/>
        <w:rPr>
          <w:rFonts w:cs="Arial"/>
          <w:color w:val="0B0C0C"/>
          <w:sz w:val="24"/>
        </w:rPr>
      </w:pPr>
      <w:r>
        <w:rPr>
          <w:rFonts w:cs="Arial"/>
          <w:color w:val="0B0C0C"/>
          <w:sz w:val="24"/>
        </w:rPr>
        <w:t>treatment provided by a healthcare professional</w:t>
      </w:r>
    </w:p>
    <w:p w14:paraId="079893A5" w14:textId="77777777" w:rsidR="00AC7BA0" w:rsidRDefault="00AC7BA0" w:rsidP="00611B87">
      <w:pPr>
        <w:numPr>
          <w:ilvl w:val="1"/>
          <w:numId w:val="39"/>
        </w:numPr>
        <w:shd w:val="clear" w:color="auto" w:fill="FFFFFF" w:themeFill="background1"/>
        <w:spacing w:after="150"/>
        <w:ind w:left="600"/>
        <w:rPr>
          <w:rFonts w:cs="Arial"/>
          <w:color w:val="0B0C0C"/>
          <w:sz w:val="24"/>
        </w:rPr>
      </w:pPr>
      <w:r>
        <w:rPr>
          <w:rFonts w:cs="Arial"/>
          <w:color w:val="0B0C0C"/>
          <w:sz w:val="24"/>
        </w:rPr>
        <w:t>intervention provided to manage the patient’s disease, condition or injury and avoid further interventions</w:t>
      </w:r>
    </w:p>
    <w:p w14:paraId="0364D758" w14:textId="77777777" w:rsidR="00AC7BA0" w:rsidRDefault="00AC7BA0" w:rsidP="00AC7BA0">
      <w:pPr>
        <w:pStyle w:val="Heading4"/>
        <w:shd w:val="clear" w:color="auto" w:fill="FFFFFF"/>
        <w:spacing w:before="0" w:line="360" w:lineRule="auto"/>
        <w:rPr>
          <w:rFonts w:ascii="Arial" w:hAnsi="Arial" w:cs="Arial"/>
          <w:b/>
          <w:i w:val="0"/>
          <w:iCs w:val="0"/>
          <w:color w:val="0B0C0C"/>
          <w:sz w:val="24"/>
        </w:rPr>
      </w:pPr>
      <w:r>
        <w:rPr>
          <w:rFonts w:ascii="Arial" w:hAnsi="Arial" w:cs="Arial"/>
          <w:b/>
          <w:i w:val="0"/>
          <w:iCs w:val="0"/>
          <w:color w:val="0B0C0C"/>
          <w:sz w:val="24"/>
        </w:rPr>
        <w:lastRenderedPageBreak/>
        <w:t>2.2 Clock stops for ‘non-treatment’</w:t>
      </w:r>
    </w:p>
    <w:p w14:paraId="4EA5F980" w14:textId="77777777" w:rsidR="00AC7BA0" w:rsidRDefault="00AC7BA0" w:rsidP="00611B87">
      <w:pPr>
        <w:pStyle w:val="NormalWeb"/>
        <w:shd w:val="clear" w:color="auto" w:fill="FFFFFF"/>
        <w:spacing w:before="0" w:beforeAutospacing="0" w:after="300" w:afterAutospacing="0"/>
        <w:rPr>
          <w:rFonts w:ascii="Arial" w:hAnsi="Arial" w:cs="Arial"/>
          <w:color w:val="0B0C0C"/>
        </w:rPr>
      </w:pPr>
      <w:r>
        <w:rPr>
          <w:rFonts w:ascii="Arial" w:hAnsi="Arial" w:cs="Arial"/>
          <w:color w:val="0B0C0C"/>
        </w:rPr>
        <w:t>Rule 5: a waiting time clock stops when it is communicated to the patient, and subsequently their GP and/or other referring practitioner without undue delay that:</w:t>
      </w:r>
    </w:p>
    <w:p w14:paraId="5061759F" w14:textId="77777777" w:rsidR="00AC7BA0" w:rsidRDefault="00AC7BA0" w:rsidP="00611B87">
      <w:pPr>
        <w:pStyle w:val="NormalWeb"/>
        <w:numPr>
          <w:ilvl w:val="0"/>
          <w:numId w:val="40"/>
        </w:numPr>
        <w:shd w:val="clear" w:color="auto" w:fill="FFFFFF"/>
        <w:spacing w:before="0" w:beforeAutospacing="0" w:after="150" w:afterAutospacing="0"/>
        <w:ind w:left="300"/>
        <w:rPr>
          <w:rFonts w:ascii="Arial" w:hAnsi="Arial" w:cs="Arial"/>
          <w:color w:val="0B0C0C"/>
        </w:rPr>
      </w:pPr>
      <w:r>
        <w:rPr>
          <w:rFonts w:ascii="Arial" w:hAnsi="Arial" w:cs="Arial"/>
          <w:color w:val="0B0C0C"/>
        </w:rPr>
        <w:t>a) it is clinically appropriate to return the patient to primary care</w:t>
      </w:r>
    </w:p>
    <w:p w14:paraId="45EA3199" w14:textId="77777777" w:rsidR="00AC7BA0" w:rsidRDefault="00AC7BA0" w:rsidP="00611B87">
      <w:pPr>
        <w:pStyle w:val="NormalWeb"/>
        <w:numPr>
          <w:ilvl w:val="0"/>
          <w:numId w:val="40"/>
        </w:numPr>
        <w:shd w:val="clear" w:color="auto" w:fill="FFFFFF"/>
        <w:spacing w:before="0" w:beforeAutospacing="0" w:after="150" w:afterAutospacing="0"/>
        <w:ind w:left="300"/>
        <w:rPr>
          <w:rFonts w:ascii="Arial" w:hAnsi="Arial" w:cs="Arial"/>
          <w:color w:val="0B0C0C"/>
        </w:rPr>
      </w:pPr>
      <w:r>
        <w:rPr>
          <w:rFonts w:ascii="Arial" w:hAnsi="Arial" w:cs="Arial"/>
          <w:color w:val="0B0C0C"/>
        </w:rPr>
        <w:t>b) a patient declines treatment having been offered it</w:t>
      </w:r>
    </w:p>
    <w:p w14:paraId="447D9672" w14:textId="77777777" w:rsidR="00AC7BA0" w:rsidRDefault="00AC7BA0" w:rsidP="00611B87">
      <w:pPr>
        <w:pStyle w:val="NormalWeb"/>
        <w:numPr>
          <w:ilvl w:val="0"/>
          <w:numId w:val="40"/>
        </w:numPr>
        <w:shd w:val="clear" w:color="auto" w:fill="FFFFFF"/>
        <w:spacing w:before="0" w:beforeAutospacing="0" w:after="150" w:afterAutospacing="0"/>
        <w:ind w:left="300"/>
        <w:rPr>
          <w:rFonts w:ascii="Arial" w:hAnsi="Arial" w:cs="Arial"/>
          <w:color w:val="0B0C0C"/>
        </w:rPr>
      </w:pPr>
      <w:r>
        <w:rPr>
          <w:rFonts w:ascii="Arial" w:hAnsi="Arial" w:cs="Arial"/>
          <w:color w:val="0B0C0C"/>
        </w:rPr>
        <w:t>c) a clinical decision is made not to treat</w:t>
      </w:r>
    </w:p>
    <w:p w14:paraId="2101616B" w14:textId="77777777" w:rsidR="00AC7BA0" w:rsidRDefault="00AC7BA0" w:rsidP="00611B87">
      <w:pPr>
        <w:pStyle w:val="NormalWeb"/>
        <w:numPr>
          <w:ilvl w:val="0"/>
          <w:numId w:val="40"/>
        </w:numPr>
        <w:shd w:val="clear" w:color="auto" w:fill="FFFFFF" w:themeFill="background1"/>
        <w:spacing w:before="0" w:beforeAutospacing="0" w:after="150" w:afterAutospacing="0"/>
        <w:ind w:left="300"/>
        <w:rPr>
          <w:rFonts w:ascii="Arial" w:hAnsi="Arial" w:cs="Arial"/>
          <w:color w:val="0B0C0C"/>
        </w:rPr>
      </w:pPr>
      <w:r>
        <w:rPr>
          <w:rFonts w:ascii="Arial" w:hAnsi="Arial" w:cs="Arial"/>
          <w:color w:val="0B0C0C"/>
        </w:rPr>
        <w:t xml:space="preserve">d) a patient DNAs their second appointment following the initial referral that started their waiting time clock, provided that the provider can demonstrate that the appointment was clearly communicated to the patient where clinically appropriate </w:t>
      </w:r>
      <w:hyperlink r:id="rId46" w:anchor="fn:2" w:history="1"/>
    </w:p>
    <w:p w14:paraId="4D02FCB8" w14:textId="77777777" w:rsidR="00AC7BA0" w:rsidRDefault="00AC7BA0" w:rsidP="00611B87">
      <w:pPr>
        <w:pStyle w:val="NormalWeb"/>
        <w:numPr>
          <w:ilvl w:val="1"/>
          <w:numId w:val="40"/>
        </w:numPr>
        <w:shd w:val="clear" w:color="auto" w:fill="FFFFFF" w:themeFill="background1"/>
        <w:spacing w:before="0" w:beforeAutospacing="0" w:after="150" w:afterAutospacing="0"/>
        <w:rPr>
          <w:rFonts w:ascii="Arial" w:hAnsi="Arial" w:cs="Arial"/>
          <w:color w:val="0B0C0C"/>
        </w:rPr>
      </w:pPr>
      <w:r>
        <w:rPr>
          <w:rFonts w:ascii="Arial" w:hAnsi="Arial" w:cs="Arial"/>
          <w:color w:val="0B0C0C"/>
        </w:rPr>
        <w:t>In cases where there are safeguarding risks to the patient, the clock will not be stopped at this point.</w:t>
      </w:r>
    </w:p>
    <w:p w14:paraId="06A5F730" w14:textId="77777777" w:rsidR="00AC7BA0" w:rsidRDefault="00AC7BA0" w:rsidP="00611B87">
      <w:pPr>
        <w:pStyle w:val="NormalWeb"/>
        <w:numPr>
          <w:ilvl w:val="0"/>
          <w:numId w:val="40"/>
        </w:numPr>
        <w:shd w:val="clear" w:color="auto" w:fill="FFFFFF" w:themeFill="background1"/>
        <w:spacing w:before="0" w:beforeAutospacing="0" w:after="150" w:afterAutospacing="0"/>
        <w:ind w:left="300"/>
        <w:rPr>
          <w:rFonts w:ascii="Arial" w:hAnsi="Arial" w:cs="Arial"/>
          <w:color w:val="0B0C0C"/>
        </w:rPr>
      </w:pPr>
      <w:r>
        <w:rPr>
          <w:rFonts w:ascii="Arial" w:hAnsi="Arial" w:cs="Arial"/>
          <w:color w:val="0B0C0C"/>
        </w:rPr>
        <w:t>e) a patient DNAs any other appointment and is subsequently discharged back to the care of their GP, provided that:</w:t>
      </w:r>
    </w:p>
    <w:p w14:paraId="2808A5D6" w14:textId="77777777" w:rsidR="00AC7BA0" w:rsidRDefault="00AC7BA0" w:rsidP="00611B87">
      <w:pPr>
        <w:numPr>
          <w:ilvl w:val="1"/>
          <w:numId w:val="40"/>
        </w:numPr>
        <w:shd w:val="clear" w:color="auto" w:fill="FFFFFF"/>
        <w:spacing w:after="150"/>
        <w:ind w:left="600"/>
        <w:rPr>
          <w:rFonts w:cs="Arial"/>
          <w:color w:val="0B0C0C"/>
          <w:sz w:val="24"/>
        </w:rPr>
      </w:pPr>
      <w:r>
        <w:rPr>
          <w:rFonts w:cs="Arial"/>
          <w:color w:val="0B0C0C"/>
          <w:sz w:val="24"/>
        </w:rPr>
        <w:t>the provider can demonstrate that the appointment was clearly communicated to the patient</w:t>
      </w:r>
    </w:p>
    <w:p w14:paraId="6ECEBB76" w14:textId="77777777" w:rsidR="00AC7BA0" w:rsidRDefault="00AC7BA0" w:rsidP="00611B87">
      <w:pPr>
        <w:numPr>
          <w:ilvl w:val="1"/>
          <w:numId w:val="40"/>
        </w:numPr>
        <w:shd w:val="clear" w:color="auto" w:fill="FFFFFF"/>
        <w:spacing w:after="150"/>
        <w:ind w:left="600"/>
        <w:rPr>
          <w:rFonts w:cs="Arial"/>
          <w:color w:val="0B0C0C"/>
          <w:sz w:val="24"/>
        </w:rPr>
      </w:pPr>
      <w:r>
        <w:rPr>
          <w:rFonts w:cs="Arial"/>
          <w:color w:val="0B0C0C"/>
          <w:sz w:val="24"/>
        </w:rPr>
        <w:t>discharging the patient is not contrary to their best clinical interests</w:t>
      </w:r>
    </w:p>
    <w:p w14:paraId="0BFA8AF7" w14:textId="77777777" w:rsidR="00AC7BA0" w:rsidRDefault="00AC7BA0" w:rsidP="00611B87">
      <w:pPr>
        <w:numPr>
          <w:ilvl w:val="1"/>
          <w:numId w:val="40"/>
        </w:numPr>
        <w:shd w:val="clear" w:color="auto" w:fill="FFFFFF"/>
        <w:spacing w:after="150"/>
        <w:ind w:left="600"/>
        <w:rPr>
          <w:rFonts w:cs="Arial"/>
          <w:color w:val="0B0C0C"/>
          <w:sz w:val="24"/>
        </w:rPr>
      </w:pPr>
      <w:r>
        <w:rPr>
          <w:rFonts w:cs="Arial"/>
          <w:color w:val="0B0C0C"/>
          <w:sz w:val="24"/>
        </w:rPr>
        <w:t>discharging the patient is carried out according to local, publicly available or published policies on DNA</w:t>
      </w:r>
    </w:p>
    <w:p w14:paraId="25B1EB31" w14:textId="59ACEEC6" w:rsidR="00AC7BA0" w:rsidRDefault="00AC7BA0" w:rsidP="00611B87">
      <w:pPr>
        <w:numPr>
          <w:ilvl w:val="1"/>
          <w:numId w:val="40"/>
        </w:numPr>
        <w:shd w:val="clear" w:color="auto" w:fill="FFFFFF"/>
        <w:spacing w:after="150"/>
        <w:ind w:left="600"/>
        <w:rPr>
          <w:rFonts w:cs="Arial"/>
          <w:color w:val="0B0C0C"/>
          <w:sz w:val="24"/>
        </w:rPr>
      </w:pPr>
      <w:r>
        <w:rPr>
          <w:rFonts w:cs="Arial"/>
          <w:color w:val="0B0C0C"/>
          <w:sz w:val="24"/>
        </w:rPr>
        <w:t>these local policies are clearly defined and specifically protect the clinical interests of vulnerable patients (for example, children) and are agreed with clinicians, commissioners, patients and other relevant stakeholders</w:t>
      </w:r>
    </w:p>
    <w:p w14:paraId="5A511970" w14:textId="00824399" w:rsidR="00FC197F" w:rsidRDefault="00FC197F" w:rsidP="00FC197F">
      <w:pPr>
        <w:shd w:val="clear" w:color="auto" w:fill="FFFFFF"/>
        <w:spacing w:after="150"/>
        <w:rPr>
          <w:rFonts w:cs="Arial"/>
          <w:color w:val="0B0C0C"/>
          <w:sz w:val="24"/>
        </w:rPr>
      </w:pPr>
    </w:p>
    <w:p w14:paraId="20680193" w14:textId="4AF2A86A" w:rsidR="00FC197F" w:rsidRDefault="00FC197F" w:rsidP="00FC197F">
      <w:pPr>
        <w:shd w:val="clear" w:color="auto" w:fill="FFFFFF"/>
        <w:spacing w:after="150"/>
        <w:rPr>
          <w:rFonts w:cs="Arial"/>
          <w:color w:val="0B0C0C"/>
          <w:sz w:val="24"/>
        </w:rPr>
      </w:pPr>
      <w:hyperlink r:id="rId47" w:history="1">
        <w:r w:rsidRPr="00FC197F">
          <w:rPr>
            <w:rStyle w:val="Hyperlink"/>
            <w:rFonts w:cs="Arial"/>
            <w:sz w:val="24"/>
          </w:rPr>
          <w:t>NHS England National Guidance on Recording and Reporting RTT Waiting Times Guidance</w:t>
        </w:r>
      </w:hyperlink>
    </w:p>
    <w:p w14:paraId="359878E3" w14:textId="77777777" w:rsidR="00AC7BA0" w:rsidRDefault="00AC7BA0" w:rsidP="00611B87">
      <w:pPr>
        <w:pStyle w:val="Heading1"/>
        <w:spacing w:line="240" w:lineRule="auto"/>
        <w:rPr>
          <w:rFonts w:cs="Arial"/>
        </w:rPr>
      </w:pPr>
    </w:p>
    <w:p w14:paraId="35627E3F" w14:textId="77777777" w:rsidR="00AC7BA0" w:rsidRDefault="00AC7BA0" w:rsidP="00AC7BA0">
      <w:pPr>
        <w:rPr>
          <w:rFonts w:cstheme="minorBidi"/>
        </w:rPr>
      </w:pPr>
    </w:p>
    <w:p w14:paraId="1E92124D" w14:textId="77777777" w:rsidR="00AC7BA0" w:rsidRDefault="00AC7BA0" w:rsidP="00AC7BA0"/>
    <w:p w14:paraId="64D4DE86" w14:textId="77777777" w:rsidR="00AC7BA0" w:rsidRDefault="00AC7BA0" w:rsidP="00AC7BA0"/>
    <w:p w14:paraId="5569B09E" w14:textId="77777777" w:rsidR="00AC7BA0" w:rsidRDefault="00AC7BA0" w:rsidP="00AC7BA0"/>
    <w:p w14:paraId="52A9737D" w14:textId="77777777" w:rsidR="00AC7BA0" w:rsidRDefault="00AC7BA0" w:rsidP="00AC7BA0"/>
    <w:p w14:paraId="49C0774C" w14:textId="77777777" w:rsidR="00AC7BA0" w:rsidRDefault="00AC7BA0" w:rsidP="00AC7BA0"/>
    <w:p w14:paraId="77AD863B" w14:textId="77777777" w:rsidR="00AC7BA0" w:rsidRDefault="00AC7BA0" w:rsidP="00AC7BA0"/>
    <w:p w14:paraId="57038DA7" w14:textId="77777777" w:rsidR="00AC7BA0" w:rsidRDefault="00AC7BA0" w:rsidP="00AC7BA0"/>
    <w:p w14:paraId="3E5E2233" w14:textId="77777777" w:rsidR="00AC7BA0" w:rsidRDefault="00AC7BA0" w:rsidP="00AC7BA0"/>
    <w:p w14:paraId="3C52D2E6" w14:textId="77777777" w:rsidR="00AC7BA0" w:rsidRDefault="00AC7BA0" w:rsidP="00AC7BA0"/>
    <w:p w14:paraId="50718943" w14:textId="77777777" w:rsidR="00AC7BA0" w:rsidRDefault="00AC7BA0" w:rsidP="00AC7BA0"/>
    <w:p w14:paraId="2EABA2A9" w14:textId="77777777" w:rsidR="00AC7BA0" w:rsidRDefault="00AC7BA0" w:rsidP="00AC7BA0"/>
    <w:p w14:paraId="098C06A3" w14:textId="77777777" w:rsidR="00AC7BA0" w:rsidRDefault="00AC7BA0" w:rsidP="00AC7BA0"/>
    <w:p w14:paraId="5BE75B80" w14:textId="77777777" w:rsidR="00AC7BA0" w:rsidRDefault="00AC7BA0" w:rsidP="00AC7BA0"/>
    <w:p w14:paraId="1A2DA2A6" w14:textId="0EE4B052" w:rsidR="00AC7BA0" w:rsidRPr="00611B87" w:rsidRDefault="00AC7BA0" w:rsidP="00AC7BA0">
      <w:pPr>
        <w:pStyle w:val="Heading1"/>
        <w:rPr>
          <w:rFonts w:ascii="Arial" w:hAnsi="Arial" w:cs="Arial"/>
          <w:b/>
          <w:color w:val="auto"/>
          <w:sz w:val="24"/>
        </w:rPr>
      </w:pPr>
      <w:bookmarkStart w:id="41" w:name="_Toc206774790"/>
      <w:bookmarkStart w:id="42" w:name="_Toc211502285"/>
      <w:r w:rsidRPr="00611B87">
        <w:rPr>
          <w:rFonts w:ascii="Arial" w:hAnsi="Arial" w:cs="Arial"/>
          <w:b/>
          <w:color w:val="auto"/>
          <w:sz w:val="24"/>
        </w:rPr>
        <w:lastRenderedPageBreak/>
        <w:t>Appendix 5: Access and Waiting Time Standards: Child and Adolescent Mental Health Services (CAMHS)</w:t>
      </w:r>
      <w:bookmarkEnd w:id="41"/>
      <w:bookmarkEnd w:id="42"/>
    </w:p>
    <w:p w14:paraId="63C5830F" w14:textId="77777777" w:rsidR="00AC7BA0" w:rsidRDefault="00AC7BA0" w:rsidP="00AC7BA0">
      <w:pPr>
        <w:pStyle w:val="NoSpacing"/>
        <w:numPr>
          <w:ilvl w:val="0"/>
          <w:numId w:val="41"/>
        </w:numPr>
        <w:spacing w:line="360" w:lineRule="auto"/>
        <w:rPr>
          <w:rFonts w:ascii="Arial" w:eastAsia="Arial" w:hAnsi="Arial" w:cs="Arial"/>
          <w:b/>
          <w:bCs/>
          <w:sz w:val="24"/>
          <w:szCs w:val="24"/>
        </w:rPr>
      </w:pPr>
      <w:r>
        <w:rPr>
          <w:rFonts w:ascii="Arial" w:eastAsia="Arial" w:hAnsi="Arial" w:cs="Arial"/>
          <w:b/>
          <w:bCs/>
          <w:sz w:val="24"/>
          <w:szCs w:val="24"/>
        </w:rPr>
        <w:t>Overview:</w:t>
      </w:r>
    </w:p>
    <w:p w14:paraId="2B41BE9A" w14:textId="77777777" w:rsidR="00AC7BA0" w:rsidRDefault="00AC7BA0" w:rsidP="00AC7BA0">
      <w:pPr>
        <w:pStyle w:val="NoSpacing"/>
        <w:spacing w:line="360" w:lineRule="auto"/>
        <w:rPr>
          <w:rFonts w:ascii="Arial" w:eastAsia="Arial" w:hAnsi="Arial" w:cs="Arial"/>
          <w:sz w:val="24"/>
          <w:szCs w:val="24"/>
        </w:rPr>
      </w:pPr>
      <w:r>
        <w:rPr>
          <w:rFonts w:ascii="Arial" w:eastAsia="Arial" w:hAnsi="Arial" w:cs="Arial"/>
          <w:b/>
          <w:bCs/>
          <w:sz w:val="24"/>
          <w:szCs w:val="24"/>
        </w:rPr>
        <w:t>1.1 Current Practice:</w:t>
      </w:r>
      <w:r>
        <w:rPr>
          <w:rFonts w:ascii="Arial" w:eastAsia="Arial" w:hAnsi="Arial" w:cs="Arial"/>
          <w:sz w:val="24"/>
          <w:szCs w:val="24"/>
        </w:rPr>
        <w:t xml:space="preserve"> </w:t>
      </w:r>
    </w:p>
    <w:p w14:paraId="1439DFDB" w14:textId="77777777" w:rsidR="00AC7BA0" w:rsidRDefault="00AC7BA0" w:rsidP="00611B87">
      <w:pPr>
        <w:pStyle w:val="NoSpacing"/>
        <w:rPr>
          <w:rFonts w:ascii="Arial" w:eastAsia="Arial" w:hAnsi="Arial" w:cs="Arial"/>
          <w:sz w:val="24"/>
          <w:szCs w:val="24"/>
        </w:rPr>
      </w:pPr>
      <w:r>
        <w:rPr>
          <w:rFonts w:ascii="Arial" w:eastAsia="Arial" w:hAnsi="Arial" w:cs="Arial"/>
          <w:sz w:val="24"/>
          <w:szCs w:val="24"/>
        </w:rPr>
        <w:t>CAMHS currently measures waiting times in two parts:</w:t>
      </w:r>
    </w:p>
    <w:p w14:paraId="0B4D9A18" w14:textId="77777777" w:rsidR="00AC7BA0" w:rsidRDefault="00AC7BA0" w:rsidP="00611B87">
      <w:pPr>
        <w:pStyle w:val="NoSpacing"/>
        <w:rPr>
          <w:rFonts w:ascii="Arial" w:eastAsia="Arial" w:hAnsi="Arial" w:cs="Arial"/>
          <w:sz w:val="24"/>
          <w:szCs w:val="24"/>
        </w:rPr>
      </w:pPr>
      <w:r>
        <w:rPr>
          <w:rFonts w:ascii="Arial" w:eastAsia="Arial" w:hAnsi="Arial" w:cs="Arial"/>
          <w:sz w:val="24"/>
          <w:szCs w:val="24"/>
        </w:rPr>
        <w:t>a. Referral to Assessment (first direct contact)</w:t>
      </w:r>
    </w:p>
    <w:p w14:paraId="3B1D53C6" w14:textId="77777777" w:rsidR="00AC7BA0" w:rsidRDefault="00AC7BA0" w:rsidP="00611B87">
      <w:pPr>
        <w:pStyle w:val="NoSpacing"/>
        <w:rPr>
          <w:rFonts w:ascii="Arial" w:eastAsia="Arial" w:hAnsi="Arial" w:cs="Arial"/>
          <w:sz w:val="24"/>
          <w:szCs w:val="24"/>
        </w:rPr>
      </w:pPr>
      <w:r>
        <w:rPr>
          <w:rFonts w:ascii="Arial" w:eastAsia="Arial" w:hAnsi="Arial" w:cs="Arial"/>
          <w:sz w:val="24"/>
          <w:szCs w:val="24"/>
        </w:rPr>
        <w:t>b. Referral to Treatment (second direct contact)</w:t>
      </w:r>
    </w:p>
    <w:p w14:paraId="6F23B096" w14:textId="77777777" w:rsidR="00AC7BA0" w:rsidRDefault="00AC7BA0" w:rsidP="00611B87">
      <w:pPr>
        <w:pStyle w:val="NoSpacing"/>
        <w:rPr>
          <w:rFonts w:ascii="Arial" w:eastAsia="Arial" w:hAnsi="Arial" w:cs="Arial"/>
          <w:sz w:val="24"/>
          <w:szCs w:val="24"/>
        </w:rPr>
      </w:pPr>
    </w:p>
    <w:p w14:paraId="473A6CA4" w14:textId="77777777" w:rsidR="00AC7BA0" w:rsidRDefault="00AC7BA0" w:rsidP="00611B87">
      <w:pPr>
        <w:pStyle w:val="NoSpacing"/>
        <w:rPr>
          <w:rFonts w:ascii="Arial" w:eastAsia="Arial" w:hAnsi="Arial" w:cs="Arial"/>
          <w:sz w:val="24"/>
          <w:szCs w:val="24"/>
        </w:rPr>
      </w:pPr>
      <w:r>
        <w:rPr>
          <w:rFonts w:ascii="Arial" w:eastAsia="Arial" w:hAnsi="Arial" w:cs="Arial"/>
          <w:sz w:val="24"/>
          <w:szCs w:val="24"/>
        </w:rPr>
        <w:t>Additionally:</w:t>
      </w:r>
    </w:p>
    <w:p w14:paraId="2766BD0D" w14:textId="77777777" w:rsidR="00AC7BA0" w:rsidRDefault="00AC7BA0" w:rsidP="00611B87">
      <w:pPr>
        <w:pStyle w:val="NoSpacing"/>
        <w:numPr>
          <w:ilvl w:val="0"/>
          <w:numId w:val="42"/>
        </w:numPr>
        <w:rPr>
          <w:rFonts w:ascii="Arial" w:eastAsia="Arial" w:hAnsi="Arial" w:cs="Arial"/>
          <w:sz w:val="24"/>
          <w:szCs w:val="24"/>
        </w:rPr>
      </w:pPr>
      <w:r>
        <w:rPr>
          <w:rFonts w:ascii="Arial" w:eastAsia="Arial" w:hAnsi="Arial" w:cs="Arial"/>
          <w:sz w:val="24"/>
          <w:szCs w:val="24"/>
        </w:rPr>
        <w:t>Children and Young People’s Eating Disorder Services and Crisis Services follow separate national standards.</w:t>
      </w:r>
    </w:p>
    <w:p w14:paraId="2B6F5DA9" w14:textId="77777777" w:rsidR="00AC7BA0" w:rsidRDefault="00AC7BA0" w:rsidP="00611B87">
      <w:pPr>
        <w:pStyle w:val="NoSpacing"/>
        <w:numPr>
          <w:ilvl w:val="0"/>
          <w:numId w:val="42"/>
        </w:numPr>
        <w:rPr>
          <w:rFonts w:ascii="Arial" w:eastAsia="Arial" w:hAnsi="Arial" w:cs="Arial"/>
          <w:sz w:val="24"/>
          <w:szCs w:val="24"/>
        </w:rPr>
      </w:pPr>
      <w:r>
        <w:rPr>
          <w:rFonts w:ascii="Arial" w:eastAsia="Arial" w:hAnsi="Arial" w:cs="Arial"/>
          <w:sz w:val="24"/>
          <w:szCs w:val="24"/>
        </w:rPr>
        <w:t>Home Treatment Teams also operate under ICB/Collaborative response time targets.</w:t>
      </w:r>
    </w:p>
    <w:p w14:paraId="6A68F03D" w14:textId="77777777" w:rsidR="00AC7BA0" w:rsidRDefault="00AC7BA0" w:rsidP="00AC7BA0">
      <w:pPr>
        <w:pStyle w:val="NoSpacing"/>
        <w:spacing w:line="360" w:lineRule="auto"/>
        <w:rPr>
          <w:rFonts w:ascii="Arial" w:eastAsia="Arial" w:hAnsi="Arial" w:cs="Arial"/>
          <w:sz w:val="24"/>
          <w:szCs w:val="24"/>
        </w:rPr>
      </w:pPr>
      <w:r>
        <w:rPr>
          <w:rFonts w:ascii="Arial" w:eastAsia="Arial" w:hAnsi="Arial" w:cs="Arial"/>
          <w:sz w:val="24"/>
          <w:szCs w:val="24"/>
        </w:rPr>
        <w:t> </w:t>
      </w:r>
    </w:p>
    <w:p w14:paraId="56D537D0" w14:textId="77777777" w:rsidR="00AC7BA0" w:rsidRDefault="00AC7BA0" w:rsidP="00AC7BA0">
      <w:pPr>
        <w:pStyle w:val="NoSpacing"/>
        <w:spacing w:line="360" w:lineRule="auto"/>
        <w:rPr>
          <w:rFonts w:ascii="Arial" w:eastAsia="Arial" w:hAnsi="Arial" w:cs="Arial"/>
          <w:b/>
          <w:bCs/>
          <w:sz w:val="24"/>
          <w:szCs w:val="24"/>
        </w:rPr>
      </w:pPr>
      <w:r>
        <w:rPr>
          <w:rFonts w:ascii="Arial" w:eastAsia="Arial" w:hAnsi="Arial" w:cs="Arial"/>
          <w:b/>
          <w:bCs/>
          <w:sz w:val="24"/>
          <w:szCs w:val="24"/>
        </w:rPr>
        <w:t>1.2 Upcoming Changes:</w:t>
      </w:r>
    </w:p>
    <w:p w14:paraId="4CCB16BB" w14:textId="77777777" w:rsidR="00AC7BA0" w:rsidRDefault="00AC7BA0" w:rsidP="00611B87">
      <w:pPr>
        <w:pStyle w:val="NoSpacing"/>
        <w:rPr>
          <w:rFonts w:ascii="Arial" w:eastAsia="Arial" w:hAnsi="Arial" w:cs="Arial"/>
          <w:sz w:val="24"/>
          <w:szCs w:val="24"/>
        </w:rPr>
      </w:pPr>
      <w:r>
        <w:rPr>
          <w:rFonts w:ascii="Arial" w:eastAsia="Arial" w:hAnsi="Arial" w:cs="Arial"/>
          <w:sz w:val="24"/>
          <w:szCs w:val="24"/>
        </w:rPr>
        <w:t>CAMHS is moving towards a new model: Referral to First Intervention (including both direct and indirect contacts) within 4 weeks. This differs from the adult standard.</w:t>
      </w:r>
    </w:p>
    <w:p w14:paraId="2633DA8D" w14:textId="77777777" w:rsidR="00AC7BA0" w:rsidRDefault="00AC7BA0" w:rsidP="00AC7BA0">
      <w:pPr>
        <w:pStyle w:val="NoSpacing"/>
        <w:spacing w:line="360" w:lineRule="auto"/>
        <w:rPr>
          <w:rFonts w:ascii="Arial" w:eastAsia="Arial" w:hAnsi="Arial" w:cs="Arial"/>
          <w:sz w:val="24"/>
          <w:szCs w:val="24"/>
          <w:lang w:val="en-GB"/>
        </w:rPr>
      </w:pPr>
    </w:p>
    <w:p w14:paraId="2E542C2A" w14:textId="77777777" w:rsidR="00AC7BA0" w:rsidRDefault="00AC7BA0" w:rsidP="00AC7BA0">
      <w:pPr>
        <w:pStyle w:val="NoSpacing"/>
        <w:spacing w:line="360" w:lineRule="auto"/>
        <w:rPr>
          <w:rFonts w:ascii="Arial" w:eastAsia="Arial" w:hAnsi="Arial" w:cs="Arial"/>
          <w:b/>
          <w:bCs/>
          <w:sz w:val="24"/>
          <w:szCs w:val="24"/>
          <w:lang w:val="en-GB"/>
        </w:rPr>
      </w:pPr>
      <w:r>
        <w:rPr>
          <w:rFonts w:ascii="Arial" w:eastAsia="Arial" w:hAnsi="Arial" w:cs="Arial"/>
          <w:b/>
          <w:bCs/>
          <w:sz w:val="24"/>
          <w:szCs w:val="24"/>
          <w:lang w:val="en-GB"/>
        </w:rPr>
        <w:t>2.0 CAMHS Access Standard:</w:t>
      </w:r>
    </w:p>
    <w:p w14:paraId="6E2F1209" w14:textId="77777777" w:rsidR="00AC7BA0" w:rsidRDefault="00AC7BA0" w:rsidP="00611B87">
      <w:pPr>
        <w:pStyle w:val="NoSpacing"/>
        <w:rPr>
          <w:rFonts w:ascii="Arial" w:eastAsia="Arial" w:hAnsi="Arial" w:cs="Arial"/>
          <w:b/>
          <w:bCs/>
          <w:sz w:val="24"/>
          <w:szCs w:val="24"/>
          <w:lang w:val="en-GB"/>
        </w:rPr>
      </w:pPr>
    </w:p>
    <w:p w14:paraId="1ED3C7C0" w14:textId="77777777" w:rsidR="00AC7BA0" w:rsidRDefault="00AC7BA0" w:rsidP="00611B87">
      <w:pPr>
        <w:pStyle w:val="NoSpacing"/>
        <w:rPr>
          <w:rFonts w:ascii="Arial" w:eastAsia="Arial" w:hAnsi="Arial" w:cs="Arial"/>
          <w:b/>
          <w:bCs/>
          <w:i/>
          <w:iCs/>
          <w:sz w:val="24"/>
          <w:szCs w:val="24"/>
          <w:lang w:val="en-GB"/>
        </w:rPr>
      </w:pPr>
      <w:r>
        <w:rPr>
          <w:rFonts w:ascii="Arial" w:eastAsia="Arial" w:hAnsi="Arial" w:cs="Arial"/>
          <w:sz w:val="24"/>
          <w:szCs w:val="24"/>
          <w:lang w:val="en-GB"/>
        </w:rPr>
        <w:t xml:space="preserve">The below information is taken from: </w:t>
      </w:r>
      <w:r>
        <w:rPr>
          <w:rFonts w:ascii="Arial" w:eastAsia="Arial" w:hAnsi="Arial" w:cs="Arial"/>
          <w:b/>
          <w:bCs/>
          <w:i/>
          <w:iCs/>
          <w:sz w:val="24"/>
          <w:szCs w:val="24"/>
          <w:lang w:val="en-GB"/>
        </w:rPr>
        <w:t>Measuring waiting times in non-urgent community mental health services: Draft Guidance on the new metrics. Draft updated 23/04/24</w:t>
      </w:r>
    </w:p>
    <w:p w14:paraId="3DA2DA8E" w14:textId="77777777" w:rsidR="00AC7BA0" w:rsidRDefault="00AC7BA0" w:rsidP="00611B87">
      <w:pPr>
        <w:pStyle w:val="NoSpacing"/>
        <w:rPr>
          <w:rFonts w:ascii="Arial" w:eastAsia="Arial" w:hAnsi="Arial" w:cs="Arial"/>
          <w:b/>
          <w:bCs/>
          <w:i/>
          <w:iCs/>
          <w:sz w:val="24"/>
          <w:szCs w:val="24"/>
          <w:lang w:val="en-GB"/>
        </w:rPr>
      </w:pPr>
    </w:p>
    <w:p w14:paraId="2BA75034" w14:textId="77777777" w:rsidR="00AC7BA0" w:rsidRDefault="00AC7BA0" w:rsidP="00611B87">
      <w:pPr>
        <w:pStyle w:val="NoSpacing"/>
        <w:rPr>
          <w:rFonts w:ascii="Arial" w:eastAsia="Arial" w:hAnsi="Arial" w:cs="Arial"/>
          <w:color w:val="000000" w:themeColor="text1"/>
          <w:sz w:val="24"/>
          <w:szCs w:val="24"/>
          <w:lang w:val="en-GB"/>
        </w:rPr>
      </w:pPr>
      <w:r>
        <w:rPr>
          <w:rFonts w:ascii="Arial" w:eastAsia="Arial" w:hAnsi="Arial" w:cs="Arial"/>
          <w:sz w:val="24"/>
          <w:szCs w:val="24"/>
          <w:lang w:val="en-GB"/>
        </w:rPr>
        <w:t>Children and young people and their families/carers asking for help from community-based mental health services should start to receive help within four weeks of the request for service (referral). This may involve immediate advice, support or a brief intervention, help to access another more appropriate service, the start of a longer-term intervention or agreement about a patient care plan, or the start of a specialist assessment that may take longer.</w:t>
      </w:r>
    </w:p>
    <w:p w14:paraId="4CBCB3D4" w14:textId="77777777" w:rsidR="00AC7BA0" w:rsidRDefault="00AC7BA0" w:rsidP="00AC7BA0">
      <w:pPr>
        <w:spacing w:line="360" w:lineRule="auto"/>
        <w:rPr>
          <w:rFonts w:eastAsia="Arial" w:cs="Arial"/>
          <w:sz w:val="24"/>
        </w:rPr>
      </w:pPr>
    </w:p>
    <w:p w14:paraId="7E4BBD27" w14:textId="77777777" w:rsidR="00AC7BA0" w:rsidRDefault="00AC7BA0" w:rsidP="00AC7BA0">
      <w:pPr>
        <w:pStyle w:val="Heading4"/>
        <w:spacing w:line="360" w:lineRule="auto"/>
        <w:rPr>
          <w:rStyle w:val="Strong"/>
          <w:i w:val="0"/>
          <w:iCs w:val="0"/>
          <w:color w:val="000000" w:themeColor="text1"/>
        </w:rPr>
      </w:pPr>
      <w:r>
        <w:rPr>
          <w:rStyle w:val="Strong"/>
          <w:rFonts w:ascii="Arial" w:eastAsia="Arial" w:hAnsi="Arial" w:cs="Arial"/>
          <w:i w:val="0"/>
          <w:iCs w:val="0"/>
          <w:color w:val="000000" w:themeColor="text1"/>
          <w:sz w:val="24"/>
        </w:rPr>
        <w:t>2.1 Services in Scope</w:t>
      </w:r>
    </w:p>
    <w:p w14:paraId="3AA48C03" w14:textId="77777777" w:rsidR="00AC7BA0" w:rsidRDefault="00AC7BA0" w:rsidP="00611B87">
      <w:pPr>
        <w:pStyle w:val="NoSpacing"/>
        <w:rPr>
          <w:lang w:val="en-GB"/>
        </w:rPr>
      </w:pPr>
      <w:r>
        <w:rPr>
          <w:rFonts w:ascii="Arial" w:eastAsia="Arial" w:hAnsi="Arial" w:cs="Arial"/>
          <w:sz w:val="24"/>
          <w:szCs w:val="24"/>
          <w:lang w:val="en-GB"/>
        </w:rPr>
        <w:t>The CYPMH Waiting Times metric will include all children aged 0-17 at date of first referral, to all services across the children and young people’s community mental health pathway, other than exclusions listed below. As CYPMH encompasses a broad pathway we have not detailed all services in scope, but instead list exclusions by exception.</w:t>
      </w:r>
    </w:p>
    <w:p w14:paraId="559C18E5" w14:textId="77777777" w:rsidR="00AC7BA0" w:rsidRDefault="00AC7BA0" w:rsidP="00AC7BA0">
      <w:pPr>
        <w:spacing w:line="360" w:lineRule="auto"/>
        <w:rPr>
          <w:rStyle w:val="Strong"/>
          <w:rFonts w:eastAsiaTheme="minorHAnsi"/>
          <w:b w:val="0"/>
          <w:bCs w:val="0"/>
        </w:rPr>
      </w:pPr>
      <w:r>
        <w:rPr>
          <w:noProof/>
        </w:rPr>
        <w:lastRenderedPageBreak/>
        <w:drawing>
          <wp:inline distT="0" distB="0" distL="0" distR="0" wp14:anchorId="1775B111" wp14:editId="191692B9">
            <wp:extent cx="6088654" cy="7324253"/>
            <wp:effectExtent l="0" t="0" r="7620" b="0"/>
            <wp:docPr id="4" name="Picture 4"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041002" descr="A white sheet of paper with black tex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3523" cy="7330110"/>
                    </a:xfrm>
                    <a:prstGeom prst="rect">
                      <a:avLst/>
                    </a:prstGeom>
                    <a:noFill/>
                    <a:ln>
                      <a:noFill/>
                    </a:ln>
                  </pic:spPr>
                </pic:pic>
              </a:graphicData>
            </a:graphic>
          </wp:inline>
        </w:drawing>
      </w:r>
    </w:p>
    <w:p w14:paraId="6073DFCF" w14:textId="77777777" w:rsidR="00AC7BA0" w:rsidRDefault="00AC7BA0" w:rsidP="00AC7BA0">
      <w:pPr>
        <w:pStyle w:val="Heading4"/>
        <w:spacing w:line="360" w:lineRule="auto"/>
        <w:rPr>
          <w:rFonts w:eastAsia="Arial"/>
          <w:i w:val="0"/>
          <w:iCs w:val="0"/>
          <w:color w:val="000000" w:themeColor="text1"/>
        </w:rPr>
      </w:pPr>
      <w:r>
        <w:rPr>
          <w:rStyle w:val="Strong"/>
          <w:rFonts w:ascii="Arial" w:eastAsia="Arial" w:hAnsi="Arial" w:cs="Arial"/>
          <w:i w:val="0"/>
          <w:iCs w:val="0"/>
          <w:color w:val="000000" w:themeColor="text1"/>
          <w:sz w:val="24"/>
        </w:rPr>
        <w:t>2.2 Clock Start and Clock Stop</w:t>
      </w:r>
    </w:p>
    <w:p w14:paraId="585DE123" w14:textId="77777777" w:rsidR="00AC7BA0" w:rsidRDefault="00AC7BA0" w:rsidP="00611B87">
      <w:pPr>
        <w:pStyle w:val="NoSpacing"/>
        <w:rPr>
          <w:rFonts w:ascii="Arial" w:eastAsia="Arial" w:hAnsi="Arial" w:cs="Arial"/>
          <w:sz w:val="24"/>
          <w:szCs w:val="24"/>
        </w:rPr>
      </w:pPr>
      <w:r>
        <w:rPr>
          <w:rFonts w:ascii="Arial" w:eastAsia="Arial" w:hAnsi="Arial" w:cs="Arial"/>
          <w:sz w:val="24"/>
          <w:szCs w:val="24"/>
        </w:rPr>
        <w:t>The waiting times table and diagram below shows the ‘clock start’ and ‘clock stop’ as outlined in the Clinically-led Review of Standards Consultation:</w:t>
      </w:r>
    </w:p>
    <w:p w14:paraId="2492ECDC" w14:textId="77777777" w:rsidR="00AC7BA0" w:rsidRDefault="00AC7BA0" w:rsidP="00AC7BA0">
      <w:pPr>
        <w:spacing w:before="100" w:beforeAutospacing="1" w:after="100" w:afterAutospacing="1" w:line="360" w:lineRule="auto"/>
        <w:rPr>
          <w:rFonts w:eastAsiaTheme="minorHAnsi" w:cs="Arial"/>
          <w:sz w:val="24"/>
        </w:rPr>
      </w:pPr>
      <w:r>
        <w:rPr>
          <w:rFonts w:cs="Arial"/>
          <w:noProof/>
          <w:sz w:val="24"/>
        </w:rPr>
        <w:lastRenderedPageBreak/>
        <w:drawing>
          <wp:inline distT="0" distB="0" distL="0" distR="0" wp14:anchorId="120789DE" wp14:editId="4640C823">
            <wp:extent cx="4771390" cy="3249930"/>
            <wp:effectExtent l="0" t="0" r="0" b="7620"/>
            <wp:docPr id="3" name="Picture 3" descr="A white and black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247256" descr="A white and black document with black text&#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1390" cy="3249930"/>
                    </a:xfrm>
                    <a:prstGeom prst="rect">
                      <a:avLst/>
                    </a:prstGeom>
                    <a:noFill/>
                    <a:ln>
                      <a:noFill/>
                    </a:ln>
                  </pic:spPr>
                </pic:pic>
              </a:graphicData>
            </a:graphic>
          </wp:inline>
        </w:drawing>
      </w:r>
    </w:p>
    <w:p w14:paraId="3395720A" w14:textId="77777777" w:rsidR="00AC7BA0" w:rsidRDefault="00AC7BA0" w:rsidP="00611B87">
      <w:pPr>
        <w:spacing w:before="100" w:beforeAutospacing="1" w:after="100" w:afterAutospacing="1"/>
        <w:rPr>
          <w:rFonts w:cs="Arial"/>
          <w:sz w:val="24"/>
        </w:rPr>
      </w:pPr>
      <w:r>
        <w:rPr>
          <w:rFonts w:cs="Arial"/>
          <w:noProof/>
          <w:sz w:val="24"/>
        </w:rPr>
        <w:drawing>
          <wp:inline distT="0" distB="0" distL="0" distR="0" wp14:anchorId="3E4AD349" wp14:editId="0552F77A">
            <wp:extent cx="5133340" cy="3204845"/>
            <wp:effectExtent l="19050" t="19050" r="10160" b="14605"/>
            <wp:docPr id="2" name="Picture 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69591" descr="A diagram of a process&#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33340" cy="3204845"/>
                    </a:xfrm>
                    <a:prstGeom prst="rect">
                      <a:avLst/>
                    </a:prstGeom>
                    <a:noFill/>
                    <a:ln w="12700" cmpd="sng">
                      <a:solidFill>
                        <a:srgbClr val="000000"/>
                      </a:solidFill>
                      <a:miter lim="800000"/>
                      <a:headEnd/>
                      <a:tailEnd/>
                    </a:ln>
                    <a:effectLst/>
                  </pic:spPr>
                </pic:pic>
              </a:graphicData>
            </a:graphic>
          </wp:inline>
        </w:drawing>
      </w:r>
    </w:p>
    <w:p w14:paraId="0744B35E" w14:textId="77777777" w:rsidR="00AC7BA0" w:rsidRDefault="00AC7BA0" w:rsidP="00611B87">
      <w:pPr>
        <w:jc w:val="both"/>
        <w:rPr>
          <w:rFonts w:eastAsia="Arial" w:cs="Arial"/>
          <w:color w:val="000000" w:themeColor="text1"/>
          <w:sz w:val="24"/>
        </w:rPr>
      </w:pPr>
      <w:r>
        <w:rPr>
          <w:rFonts w:eastAsia="Arial" w:cs="Arial"/>
          <w:color w:val="000000" w:themeColor="text1"/>
          <w:sz w:val="24"/>
        </w:rPr>
        <w:t xml:space="preserve">It is essential that: </w:t>
      </w:r>
    </w:p>
    <w:p w14:paraId="71A1C66E" w14:textId="77777777" w:rsidR="00AC7BA0" w:rsidRDefault="00AC7BA0" w:rsidP="00611B87">
      <w:pPr>
        <w:pStyle w:val="ListParagraph"/>
        <w:numPr>
          <w:ilvl w:val="0"/>
          <w:numId w:val="43"/>
        </w:numPr>
        <w:jc w:val="both"/>
        <w:rPr>
          <w:rFonts w:eastAsia="Arial" w:cs="Arial"/>
          <w:color w:val="000000" w:themeColor="text1"/>
          <w:sz w:val="24"/>
        </w:rPr>
      </w:pPr>
      <w:r>
        <w:rPr>
          <w:rFonts w:eastAsia="Arial" w:cs="Arial"/>
          <w:color w:val="000000" w:themeColor="text1"/>
          <w:sz w:val="24"/>
        </w:rPr>
        <w:t xml:space="preserve">Services ensure that, from the first contact, effort is made to understand the needs and perspectives of the child or young person, their parent or carer so that they access the most helpful intervention (whether this be advice, support, a reasonable formulation of the presenting problem, a therapeutic intervention). </w:t>
      </w:r>
    </w:p>
    <w:p w14:paraId="66466D62" w14:textId="77777777" w:rsidR="00AC7BA0" w:rsidRDefault="00AC7BA0" w:rsidP="00611B87">
      <w:pPr>
        <w:pStyle w:val="ListParagraph"/>
        <w:numPr>
          <w:ilvl w:val="0"/>
          <w:numId w:val="43"/>
        </w:numPr>
        <w:jc w:val="both"/>
        <w:rPr>
          <w:rFonts w:eastAsia="Arial" w:cs="Arial"/>
          <w:color w:val="000000" w:themeColor="text1"/>
          <w:sz w:val="24"/>
        </w:rPr>
      </w:pPr>
      <w:r>
        <w:rPr>
          <w:rFonts w:eastAsia="Arial" w:cs="Arial"/>
          <w:color w:val="000000" w:themeColor="text1"/>
          <w:sz w:val="24"/>
        </w:rPr>
        <w:t xml:space="preserve">The needs and perspectives of children and young people their parent or carer should be considered in a holistic and compassionate way, so that they feel listened to; the impact of their mental ill health upon their daily life and future plans is understood; different support options are discussed; </w:t>
      </w:r>
      <w:r>
        <w:rPr>
          <w:rFonts w:eastAsia="Arial" w:cs="Arial"/>
          <w:b/>
          <w:bCs/>
          <w:color w:val="000000" w:themeColor="text1"/>
          <w:sz w:val="24"/>
        </w:rPr>
        <w:t xml:space="preserve">the chosen intervention is agreed jointly by the clinician and young person/ parent </w:t>
      </w:r>
      <w:r>
        <w:rPr>
          <w:rFonts w:eastAsia="Arial" w:cs="Arial"/>
          <w:color w:val="000000" w:themeColor="text1"/>
          <w:sz w:val="24"/>
        </w:rPr>
        <w:lastRenderedPageBreak/>
        <w:t xml:space="preserve">Services understand any interventions that have been used to meet the mental health needs of the child or young person </w:t>
      </w:r>
    </w:p>
    <w:p w14:paraId="36DF3985" w14:textId="77777777" w:rsidR="00AC7BA0" w:rsidRDefault="00AC7BA0" w:rsidP="00611B87">
      <w:pPr>
        <w:pStyle w:val="ListParagraph"/>
        <w:numPr>
          <w:ilvl w:val="0"/>
          <w:numId w:val="43"/>
        </w:numPr>
        <w:jc w:val="both"/>
        <w:rPr>
          <w:rFonts w:eastAsia="Arial" w:cs="Arial"/>
          <w:color w:val="000000" w:themeColor="text1"/>
          <w:sz w:val="24"/>
        </w:rPr>
      </w:pPr>
      <w:r>
        <w:rPr>
          <w:rFonts w:eastAsia="Arial" w:cs="Arial"/>
          <w:color w:val="000000" w:themeColor="text1"/>
          <w:sz w:val="24"/>
        </w:rPr>
        <w:t xml:space="preserve">Services identify any safeguarding concerns, actual or potential risks of harm to self, and to or from other people. </w:t>
      </w:r>
    </w:p>
    <w:p w14:paraId="2CAE72E4" w14:textId="77777777" w:rsidR="00AC7BA0" w:rsidRDefault="00AC7BA0" w:rsidP="00611B87">
      <w:pPr>
        <w:pStyle w:val="ListParagraph"/>
        <w:numPr>
          <w:ilvl w:val="0"/>
          <w:numId w:val="43"/>
        </w:numPr>
        <w:jc w:val="both"/>
        <w:rPr>
          <w:rFonts w:eastAsia="Arial" w:cs="Arial"/>
          <w:color w:val="000000" w:themeColor="text1"/>
          <w:sz w:val="24"/>
        </w:rPr>
      </w:pPr>
      <w:r>
        <w:rPr>
          <w:rFonts w:eastAsia="Arial" w:cs="Arial"/>
          <w:color w:val="000000" w:themeColor="text1"/>
          <w:sz w:val="24"/>
        </w:rPr>
        <w:t xml:space="preserve">Staff communicate in ways that are accessible and appropriate for children and young people. </w:t>
      </w:r>
    </w:p>
    <w:p w14:paraId="3B7A6AEC" w14:textId="77777777" w:rsidR="00AC7BA0" w:rsidRDefault="00AC7BA0" w:rsidP="00611B87">
      <w:pPr>
        <w:jc w:val="both"/>
        <w:rPr>
          <w:rFonts w:eastAsia="Arial" w:cs="Arial"/>
          <w:color w:val="000000" w:themeColor="text1"/>
          <w:sz w:val="24"/>
        </w:rPr>
      </w:pPr>
      <w:r>
        <w:rPr>
          <w:rFonts w:eastAsia="Arial" w:cs="Arial"/>
          <w:color w:val="000000" w:themeColor="text1"/>
          <w:sz w:val="24"/>
        </w:rPr>
        <w:t xml:space="preserve"> </w:t>
      </w:r>
    </w:p>
    <w:p w14:paraId="6264AE42" w14:textId="77777777" w:rsidR="00AC7BA0" w:rsidRDefault="00AC7BA0" w:rsidP="00611B87">
      <w:pPr>
        <w:jc w:val="both"/>
        <w:rPr>
          <w:rFonts w:eastAsia="Arial" w:cs="Arial"/>
          <w:sz w:val="24"/>
        </w:rPr>
      </w:pPr>
      <w:r>
        <w:rPr>
          <w:rFonts w:eastAsia="Arial" w:cs="Arial"/>
          <w:sz w:val="24"/>
        </w:rPr>
        <w:t>This is intended to work with frameworks such as iThrive and the Care and Partnership Approach (CAPA).</w:t>
      </w:r>
    </w:p>
    <w:p w14:paraId="4B7E019A" w14:textId="77777777" w:rsidR="00AC7BA0" w:rsidRDefault="00AC7BA0" w:rsidP="00611B87">
      <w:pPr>
        <w:pStyle w:val="Heading1"/>
        <w:spacing w:line="240" w:lineRule="auto"/>
        <w:rPr>
          <w:rFonts w:cs="Arial"/>
        </w:rPr>
      </w:pPr>
    </w:p>
    <w:p w14:paraId="3C1052CD" w14:textId="77777777" w:rsidR="00AC7BA0" w:rsidRDefault="00AC7BA0" w:rsidP="00AC7BA0">
      <w:pPr>
        <w:rPr>
          <w:rFonts w:cstheme="minorBidi"/>
        </w:rPr>
      </w:pPr>
    </w:p>
    <w:p w14:paraId="594564DA" w14:textId="77777777" w:rsidR="00AC7BA0" w:rsidRDefault="00AC7BA0" w:rsidP="00AC7BA0"/>
    <w:p w14:paraId="563AEBFD" w14:textId="77777777" w:rsidR="00AC7BA0" w:rsidRDefault="00AC7BA0" w:rsidP="00AC7BA0"/>
    <w:p w14:paraId="2D7C3F39" w14:textId="77777777" w:rsidR="00AC7BA0" w:rsidRDefault="00AC7BA0" w:rsidP="00AC7BA0"/>
    <w:p w14:paraId="12924048" w14:textId="77777777" w:rsidR="00AC7BA0" w:rsidRDefault="00AC7BA0" w:rsidP="00AC7BA0"/>
    <w:p w14:paraId="0FB8C414" w14:textId="77777777" w:rsidR="00AC7BA0" w:rsidRDefault="00AC7BA0" w:rsidP="00AC7BA0"/>
    <w:p w14:paraId="3E46F667" w14:textId="77777777" w:rsidR="00AC7BA0" w:rsidRDefault="00AC7BA0" w:rsidP="00AC7BA0">
      <w:pPr>
        <w:pStyle w:val="Heading1"/>
        <w:spacing w:line="360" w:lineRule="auto"/>
        <w:rPr>
          <w:rFonts w:cs="Arial"/>
        </w:rPr>
      </w:pPr>
    </w:p>
    <w:p w14:paraId="43679DAB" w14:textId="77777777" w:rsidR="00611B87" w:rsidRDefault="00611B87" w:rsidP="00611B87">
      <w:pPr>
        <w:rPr>
          <w:lang w:eastAsia="en-US"/>
        </w:rPr>
      </w:pPr>
    </w:p>
    <w:p w14:paraId="79187133" w14:textId="77777777" w:rsidR="00611B87" w:rsidRDefault="00611B87" w:rsidP="00611B87">
      <w:pPr>
        <w:rPr>
          <w:lang w:eastAsia="en-US"/>
        </w:rPr>
      </w:pPr>
    </w:p>
    <w:p w14:paraId="39BBA7B1" w14:textId="77777777" w:rsidR="00611B87" w:rsidRDefault="00611B87" w:rsidP="00611B87">
      <w:pPr>
        <w:rPr>
          <w:lang w:eastAsia="en-US"/>
        </w:rPr>
      </w:pPr>
    </w:p>
    <w:p w14:paraId="6F1CF602" w14:textId="77777777" w:rsidR="00611B87" w:rsidRDefault="00611B87" w:rsidP="00611B87">
      <w:pPr>
        <w:rPr>
          <w:lang w:eastAsia="en-US"/>
        </w:rPr>
      </w:pPr>
    </w:p>
    <w:p w14:paraId="45169A38" w14:textId="77777777" w:rsidR="00611B87" w:rsidRDefault="00611B87" w:rsidP="00611B87">
      <w:pPr>
        <w:rPr>
          <w:lang w:eastAsia="en-US"/>
        </w:rPr>
      </w:pPr>
    </w:p>
    <w:p w14:paraId="0F273AFA" w14:textId="77777777" w:rsidR="00611B87" w:rsidRDefault="00611B87" w:rsidP="00611B87">
      <w:pPr>
        <w:rPr>
          <w:lang w:eastAsia="en-US"/>
        </w:rPr>
      </w:pPr>
    </w:p>
    <w:p w14:paraId="6F0E3A1F" w14:textId="77777777" w:rsidR="00611B87" w:rsidRDefault="00611B87" w:rsidP="00611B87">
      <w:pPr>
        <w:rPr>
          <w:lang w:eastAsia="en-US"/>
        </w:rPr>
      </w:pPr>
    </w:p>
    <w:p w14:paraId="0FD8A509" w14:textId="77777777" w:rsidR="00611B87" w:rsidRDefault="00611B87" w:rsidP="00611B87">
      <w:pPr>
        <w:rPr>
          <w:lang w:eastAsia="en-US"/>
        </w:rPr>
      </w:pPr>
    </w:p>
    <w:p w14:paraId="054001CC" w14:textId="77777777" w:rsidR="00611B87" w:rsidRDefault="00611B87" w:rsidP="00611B87">
      <w:pPr>
        <w:rPr>
          <w:lang w:eastAsia="en-US"/>
        </w:rPr>
      </w:pPr>
    </w:p>
    <w:p w14:paraId="03919314" w14:textId="77777777" w:rsidR="00611B87" w:rsidRDefault="00611B87" w:rsidP="00611B87">
      <w:pPr>
        <w:rPr>
          <w:lang w:eastAsia="en-US"/>
        </w:rPr>
      </w:pPr>
    </w:p>
    <w:p w14:paraId="02C420F0" w14:textId="77777777" w:rsidR="00611B87" w:rsidRDefault="00611B87" w:rsidP="00611B87">
      <w:pPr>
        <w:rPr>
          <w:lang w:eastAsia="en-US"/>
        </w:rPr>
      </w:pPr>
    </w:p>
    <w:p w14:paraId="39305348" w14:textId="77777777" w:rsidR="00611B87" w:rsidRDefault="00611B87" w:rsidP="00611B87">
      <w:pPr>
        <w:rPr>
          <w:lang w:eastAsia="en-US"/>
        </w:rPr>
      </w:pPr>
    </w:p>
    <w:p w14:paraId="0DF7BE90" w14:textId="77777777" w:rsidR="00611B87" w:rsidRDefault="00611B87" w:rsidP="00611B87">
      <w:pPr>
        <w:rPr>
          <w:lang w:eastAsia="en-US"/>
        </w:rPr>
      </w:pPr>
    </w:p>
    <w:p w14:paraId="745656C7" w14:textId="77777777" w:rsidR="00611B87" w:rsidRDefault="00611B87" w:rsidP="00611B87">
      <w:pPr>
        <w:rPr>
          <w:lang w:eastAsia="en-US"/>
        </w:rPr>
      </w:pPr>
    </w:p>
    <w:p w14:paraId="2F4C0089" w14:textId="77777777" w:rsidR="00611B87" w:rsidRDefault="00611B87" w:rsidP="00611B87">
      <w:pPr>
        <w:rPr>
          <w:lang w:eastAsia="en-US"/>
        </w:rPr>
      </w:pPr>
    </w:p>
    <w:p w14:paraId="11BD6582" w14:textId="77777777" w:rsidR="00611B87" w:rsidRDefault="00611B87" w:rsidP="00611B87">
      <w:pPr>
        <w:rPr>
          <w:lang w:eastAsia="en-US"/>
        </w:rPr>
      </w:pPr>
    </w:p>
    <w:p w14:paraId="29EBE89F" w14:textId="77777777" w:rsidR="00611B87" w:rsidRDefault="00611B87" w:rsidP="00611B87">
      <w:pPr>
        <w:rPr>
          <w:lang w:eastAsia="en-US"/>
        </w:rPr>
      </w:pPr>
    </w:p>
    <w:p w14:paraId="5A47DEAC" w14:textId="77777777" w:rsidR="00611B87" w:rsidRPr="00611B87" w:rsidRDefault="00611B87" w:rsidP="00611B87">
      <w:pPr>
        <w:rPr>
          <w:lang w:eastAsia="en-US"/>
        </w:rPr>
      </w:pPr>
    </w:p>
    <w:p w14:paraId="12364E32" w14:textId="77777777" w:rsidR="00AC7BA0" w:rsidRDefault="00AC7BA0" w:rsidP="00AC7BA0">
      <w:pPr>
        <w:rPr>
          <w:rFonts w:cstheme="minorBidi"/>
        </w:rPr>
      </w:pPr>
    </w:p>
    <w:p w14:paraId="4862823F" w14:textId="77777777" w:rsidR="00AC7BA0" w:rsidRDefault="00AC7BA0" w:rsidP="00AC7BA0"/>
    <w:p w14:paraId="062B7991" w14:textId="77777777" w:rsidR="00611B87" w:rsidRDefault="00611B87" w:rsidP="00AC7BA0"/>
    <w:p w14:paraId="4CE35883" w14:textId="77777777" w:rsidR="00611B87" w:rsidRDefault="00611B87" w:rsidP="00AC7BA0"/>
    <w:p w14:paraId="48C77334" w14:textId="77777777" w:rsidR="00611B87" w:rsidRDefault="00611B87" w:rsidP="00AC7BA0"/>
    <w:p w14:paraId="269B7506" w14:textId="77777777" w:rsidR="00611B87" w:rsidRDefault="00611B87" w:rsidP="00AC7BA0"/>
    <w:p w14:paraId="34E52692" w14:textId="77777777" w:rsidR="00611B87" w:rsidRDefault="00611B87" w:rsidP="00AC7BA0"/>
    <w:p w14:paraId="56057C24" w14:textId="77777777" w:rsidR="00611B87" w:rsidRDefault="00611B87" w:rsidP="00AC7BA0"/>
    <w:p w14:paraId="2B784766" w14:textId="77777777" w:rsidR="00AC7BA0" w:rsidRDefault="00AC7BA0" w:rsidP="00AC7BA0"/>
    <w:p w14:paraId="4057D11F" w14:textId="77777777" w:rsidR="00AC7BA0" w:rsidRDefault="00AC7BA0" w:rsidP="00611B87">
      <w:pPr>
        <w:pStyle w:val="Heading1"/>
        <w:spacing w:line="240" w:lineRule="auto"/>
        <w:rPr>
          <w:rFonts w:ascii="Arial" w:hAnsi="Arial" w:cs="Arial"/>
          <w:b/>
          <w:color w:val="auto"/>
          <w:sz w:val="24"/>
          <w:szCs w:val="24"/>
        </w:rPr>
      </w:pPr>
      <w:bookmarkStart w:id="43" w:name="_Toc206774791"/>
      <w:bookmarkStart w:id="44" w:name="_Toc211502286"/>
      <w:r w:rsidRPr="00611B87">
        <w:rPr>
          <w:rFonts w:ascii="Arial" w:hAnsi="Arial" w:cs="Arial"/>
          <w:b/>
          <w:color w:val="auto"/>
          <w:sz w:val="24"/>
          <w:szCs w:val="24"/>
        </w:rPr>
        <w:lastRenderedPageBreak/>
        <w:t>Appendix 6: Access and Waiting Time Standards: Talking Therapies for Anxiety and Depression</w:t>
      </w:r>
      <w:bookmarkEnd w:id="43"/>
      <w:bookmarkEnd w:id="44"/>
    </w:p>
    <w:p w14:paraId="03FE6D87" w14:textId="77777777" w:rsidR="00611B87" w:rsidRPr="00611B87" w:rsidRDefault="00611B87" w:rsidP="00611B87">
      <w:pPr>
        <w:rPr>
          <w:lang w:eastAsia="en-US"/>
        </w:rPr>
      </w:pPr>
    </w:p>
    <w:p w14:paraId="52BC90A9" w14:textId="77777777" w:rsidR="00AC7BA0" w:rsidRDefault="00AC7BA0" w:rsidP="00611B87">
      <w:pPr>
        <w:rPr>
          <w:rFonts w:cs="Arial"/>
          <w:color w:val="000000" w:themeColor="text1"/>
          <w:sz w:val="24"/>
        </w:rPr>
      </w:pPr>
      <w:r>
        <w:rPr>
          <w:rFonts w:cs="Arial"/>
          <w:color w:val="000000" w:themeColor="text1"/>
          <w:sz w:val="24"/>
        </w:rPr>
        <w:t>The NHS Talking Therapies, for anxiety and depression programme aims to support as many people as possible, through providing assessment, advice and for those who are likely to benefit, a course of treatment.</w:t>
      </w:r>
    </w:p>
    <w:p w14:paraId="27067B36" w14:textId="77777777" w:rsidR="00611B87" w:rsidRDefault="00611B87" w:rsidP="00611B87">
      <w:pPr>
        <w:rPr>
          <w:rFonts w:eastAsiaTheme="majorEastAsia" w:cs="Arial"/>
          <w:b/>
          <w:color w:val="000000" w:themeColor="text1"/>
          <w:sz w:val="24"/>
          <w:u w:val="single"/>
        </w:rPr>
      </w:pPr>
    </w:p>
    <w:p w14:paraId="3EB19BF6" w14:textId="77777777" w:rsidR="00AC7BA0" w:rsidRDefault="00AC7BA0" w:rsidP="00611B87">
      <w:pPr>
        <w:rPr>
          <w:rFonts w:eastAsiaTheme="minorHAnsi" w:cs="Arial"/>
          <w:i/>
          <w:iCs/>
          <w:color w:val="000000" w:themeColor="text1"/>
          <w:sz w:val="24"/>
        </w:rPr>
      </w:pPr>
      <w:r>
        <w:rPr>
          <w:rFonts w:cs="Arial"/>
          <w:color w:val="000000" w:themeColor="text1"/>
          <w:sz w:val="24"/>
        </w:rPr>
        <w:t>All patients will receive an assessment, be given advice and psychoeducation, and either signposted elsewhere or offered a multi-session course of NHS Talking Therapies treatment. A patient is coded as having ‘received a course of NHS Talking Therapies treatment’ if they have been discharged and at least two sessions are recorded as either ‘assessment and treatment’ or ‘treatment’.</w:t>
      </w:r>
    </w:p>
    <w:p w14:paraId="3EB901F0" w14:textId="77777777" w:rsidR="00AC7BA0" w:rsidRDefault="00AC7BA0" w:rsidP="00AC7BA0">
      <w:pPr>
        <w:spacing w:line="360" w:lineRule="auto"/>
        <w:rPr>
          <w:rFonts w:cs="Arial"/>
          <w:color w:val="000000" w:themeColor="text1"/>
          <w:sz w:val="24"/>
        </w:rPr>
      </w:pPr>
    </w:p>
    <w:p w14:paraId="5A8C184C" w14:textId="77777777" w:rsidR="00AC7BA0" w:rsidRDefault="00AC7BA0" w:rsidP="00AC7BA0">
      <w:pPr>
        <w:spacing w:line="360" w:lineRule="auto"/>
        <w:rPr>
          <w:rStyle w:val="Strong"/>
          <w:b w:val="0"/>
          <w:bCs w:val="0"/>
        </w:rPr>
      </w:pPr>
      <w:r>
        <w:rPr>
          <w:rStyle w:val="Strong"/>
          <w:rFonts w:cs="Arial"/>
          <w:color w:val="000000" w:themeColor="text1"/>
          <w:sz w:val="24"/>
        </w:rPr>
        <w:t>Services in Scope</w:t>
      </w:r>
    </w:p>
    <w:p w14:paraId="4B8CF9B8" w14:textId="77777777" w:rsidR="00AC7BA0" w:rsidRDefault="00AC7BA0" w:rsidP="00611B87">
      <w:pPr>
        <w:pStyle w:val="ListParagraph"/>
        <w:numPr>
          <w:ilvl w:val="0"/>
          <w:numId w:val="45"/>
        </w:numPr>
      </w:pPr>
      <w:r w:rsidRPr="00611B87">
        <w:rPr>
          <w:rFonts w:cs="Arial"/>
          <w:sz w:val="24"/>
        </w:rPr>
        <w:t xml:space="preserve">NHS Talking Therapies for Anxiety and Depression. Within ELFT this includes </w:t>
      </w:r>
    </w:p>
    <w:p w14:paraId="7A54E713" w14:textId="77777777" w:rsidR="00AC7BA0" w:rsidRPr="00611B87" w:rsidRDefault="00AC7BA0" w:rsidP="00611B87">
      <w:pPr>
        <w:pStyle w:val="ListParagraph"/>
        <w:numPr>
          <w:ilvl w:val="0"/>
          <w:numId w:val="45"/>
        </w:numPr>
        <w:rPr>
          <w:rFonts w:cs="Arial"/>
          <w:sz w:val="24"/>
        </w:rPr>
      </w:pPr>
      <w:r w:rsidRPr="00611B87">
        <w:rPr>
          <w:rFonts w:cs="Arial"/>
          <w:sz w:val="24"/>
        </w:rPr>
        <w:t>Bedfordshire Talking Therapies</w:t>
      </w:r>
    </w:p>
    <w:p w14:paraId="2631BEF0" w14:textId="77777777" w:rsidR="00AC7BA0" w:rsidRPr="00611B87" w:rsidRDefault="00AC7BA0" w:rsidP="00611B87">
      <w:pPr>
        <w:pStyle w:val="ListParagraph"/>
        <w:numPr>
          <w:ilvl w:val="0"/>
          <w:numId w:val="45"/>
        </w:numPr>
        <w:rPr>
          <w:rFonts w:cs="Arial"/>
          <w:sz w:val="24"/>
        </w:rPr>
      </w:pPr>
      <w:r w:rsidRPr="00611B87">
        <w:rPr>
          <w:rFonts w:cs="Arial"/>
          <w:sz w:val="24"/>
        </w:rPr>
        <w:t>Newham Talking Therapies</w:t>
      </w:r>
    </w:p>
    <w:p w14:paraId="5D76BA8D" w14:textId="77777777" w:rsidR="00AC7BA0" w:rsidRPr="00611B87" w:rsidRDefault="00AC7BA0" w:rsidP="00611B87">
      <w:pPr>
        <w:pStyle w:val="ListParagraph"/>
        <w:numPr>
          <w:ilvl w:val="0"/>
          <w:numId w:val="45"/>
        </w:numPr>
        <w:rPr>
          <w:rFonts w:cs="Arial"/>
          <w:sz w:val="24"/>
        </w:rPr>
      </w:pPr>
      <w:r w:rsidRPr="00611B87">
        <w:rPr>
          <w:rFonts w:cs="Arial"/>
          <w:sz w:val="24"/>
        </w:rPr>
        <w:t>Tower Hamlets Talking Therapies</w:t>
      </w:r>
    </w:p>
    <w:p w14:paraId="2EDFAA5C" w14:textId="77777777" w:rsidR="00AC7BA0" w:rsidRPr="00611B87" w:rsidRDefault="00AC7BA0" w:rsidP="00611B87">
      <w:pPr>
        <w:pStyle w:val="ListParagraph"/>
        <w:numPr>
          <w:ilvl w:val="0"/>
          <w:numId w:val="45"/>
        </w:numPr>
        <w:rPr>
          <w:rFonts w:cs="Arial"/>
          <w:sz w:val="24"/>
        </w:rPr>
      </w:pPr>
      <w:r w:rsidRPr="00611B87">
        <w:rPr>
          <w:rFonts w:cs="Arial"/>
          <w:sz w:val="24"/>
        </w:rPr>
        <w:t xml:space="preserve">ELFT Digital Therapies when delivering interventions on behalf of one of the three services named above. </w:t>
      </w:r>
    </w:p>
    <w:p w14:paraId="55975DEB" w14:textId="77777777" w:rsidR="00AC7BA0" w:rsidRPr="00611B87" w:rsidRDefault="00AC7BA0" w:rsidP="00611B87">
      <w:pPr>
        <w:pStyle w:val="ListParagraph"/>
        <w:numPr>
          <w:ilvl w:val="0"/>
          <w:numId w:val="45"/>
        </w:numPr>
        <w:rPr>
          <w:rFonts w:cs="Arial"/>
          <w:sz w:val="24"/>
        </w:rPr>
      </w:pPr>
      <w:r w:rsidRPr="00611B87">
        <w:rPr>
          <w:rFonts w:cs="Arial"/>
          <w:sz w:val="24"/>
        </w:rPr>
        <w:t>Where ELFT Digital Therapies is delivering Talking Therapies interventions on behalf of another provider Trust, then the locally applicable waiting time targets, DNA policies and recording standards should be followed</w:t>
      </w:r>
    </w:p>
    <w:p w14:paraId="2AFAD9B0" w14:textId="77777777" w:rsidR="00AC7BA0" w:rsidRDefault="00AC7BA0" w:rsidP="00AC7BA0">
      <w:pPr>
        <w:spacing w:line="360" w:lineRule="auto"/>
        <w:rPr>
          <w:rFonts w:cs="Arial"/>
          <w:sz w:val="24"/>
        </w:rPr>
      </w:pPr>
    </w:p>
    <w:p w14:paraId="747DFC31" w14:textId="77777777" w:rsidR="00AC7BA0" w:rsidRDefault="00AC7BA0" w:rsidP="00AC7BA0">
      <w:pPr>
        <w:spacing w:line="360" w:lineRule="auto"/>
        <w:rPr>
          <w:rFonts w:cs="Arial"/>
          <w:color w:val="000000" w:themeColor="text1"/>
          <w:sz w:val="24"/>
        </w:rPr>
      </w:pPr>
      <w:r>
        <w:rPr>
          <w:rStyle w:val="Strong"/>
          <w:rFonts w:cs="Arial"/>
          <w:color w:val="000000" w:themeColor="text1"/>
          <w:sz w:val="24"/>
        </w:rPr>
        <w:t>Clock Start</w:t>
      </w:r>
    </w:p>
    <w:p w14:paraId="2040DA0A" w14:textId="77777777" w:rsidR="00AC7BA0" w:rsidRDefault="00AC7BA0" w:rsidP="00611B87">
      <w:pPr>
        <w:rPr>
          <w:rFonts w:cs="Arial"/>
          <w:color w:val="000000" w:themeColor="text1"/>
          <w:sz w:val="24"/>
        </w:rPr>
      </w:pPr>
      <w:r>
        <w:rPr>
          <w:rFonts w:cs="Arial"/>
          <w:color w:val="000000" w:themeColor="text1"/>
          <w:sz w:val="24"/>
        </w:rPr>
        <w:t>The clock starts when the referral is received by the service, either through the online self-referral form, by telephone, or from a GP or another relevant service.</w:t>
      </w:r>
    </w:p>
    <w:p w14:paraId="72F97D62" w14:textId="77777777" w:rsidR="00AC7BA0" w:rsidRDefault="00AC7BA0" w:rsidP="00AC7BA0">
      <w:pPr>
        <w:spacing w:line="360" w:lineRule="auto"/>
        <w:rPr>
          <w:rFonts w:cs="Arial"/>
          <w:color w:val="000000" w:themeColor="text1"/>
          <w:sz w:val="24"/>
        </w:rPr>
      </w:pPr>
    </w:p>
    <w:p w14:paraId="684C0AF1" w14:textId="77777777" w:rsidR="00AC7BA0" w:rsidRDefault="00AC7BA0" w:rsidP="00AC7BA0">
      <w:pPr>
        <w:spacing w:line="360" w:lineRule="auto"/>
        <w:rPr>
          <w:rFonts w:cs="Arial"/>
          <w:color w:val="000000" w:themeColor="text1"/>
          <w:sz w:val="24"/>
        </w:rPr>
      </w:pPr>
      <w:r>
        <w:rPr>
          <w:rStyle w:val="Strong"/>
          <w:rFonts w:cs="Arial"/>
          <w:color w:val="000000" w:themeColor="text1"/>
          <w:sz w:val="24"/>
        </w:rPr>
        <w:t>Clock Stop</w:t>
      </w:r>
    </w:p>
    <w:p w14:paraId="484CA095" w14:textId="77777777" w:rsidR="00AC7BA0" w:rsidRDefault="00AC7BA0" w:rsidP="00611B87">
      <w:pPr>
        <w:rPr>
          <w:rFonts w:cs="Arial"/>
          <w:color w:val="000000" w:themeColor="text1"/>
          <w:sz w:val="24"/>
        </w:rPr>
      </w:pPr>
      <w:r>
        <w:rPr>
          <w:rFonts w:cs="Arial"/>
          <w:color w:val="000000" w:themeColor="text1"/>
          <w:sz w:val="24"/>
        </w:rPr>
        <w:t>The clock stops when a person:</w:t>
      </w:r>
    </w:p>
    <w:p w14:paraId="3EB95696" w14:textId="77777777" w:rsidR="00AC7BA0" w:rsidRDefault="00AC7BA0" w:rsidP="00611B87">
      <w:pPr>
        <w:rPr>
          <w:rFonts w:cs="Arial"/>
          <w:color w:val="000000" w:themeColor="text1"/>
          <w:sz w:val="24"/>
        </w:rPr>
      </w:pPr>
      <w:r>
        <w:rPr>
          <w:rFonts w:cs="Arial"/>
          <w:color w:val="000000" w:themeColor="text1"/>
          <w:sz w:val="24"/>
        </w:rPr>
        <w:t>Has attended their first MDS (Minimum Data Set) appointment and recorded outcome measures on both the PHQ-9 and the relevant anxiety measure.</w:t>
      </w:r>
    </w:p>
    <w:p w14:paraId="673B85E4" w14:textId="77777777" w:rsidR="00AC7BA0" w:rsidRDefault="00AC7BA0" w:rsidP="00AC7BA0">
      <w:pPr>
        <w:spacing w:line="360" w:lineRule="auto"/>
        <w:rPr>
          <w:rFonts w:cs="Arial"/>
          <w:color w:val="000000" w:themeColor="text1"/>
          <w:sz w:val="24"/>
        </w:rPr>
      </w:pPr>
    </w:p>
    <w:p w14:paraId="718C6E04" w14:textId="77777777" w:rsidR="00AC7BA0" w:rsidRDefault="00AC7BA0" w:rsidP="00AC7BA0">
      <w:pPr>
        <w:spacing w:line="360" w:lineRule="auto"/>
        <w:rPr>
          <w:rFonts w:cs="Arial"/>
          <w:color w:val="000000" w:themeColor="text1"/>
          <w:sz w:val="24"/>
        </w:rPr>
      </w:pPr>
      <w:r>
        <w:rPr>
          <w:rStyle w:val="Strong"/>
          <w:rFonts w:cs="Arial"/>
          <w:color w:val="000000" w:themeColor="text1"/>
          <w:sz w:val="24"/>
        </w:rPr>
        <w:t>Outcome Measures</w:t>
      </w:r>
    </w:p>
    <w:p w14:paraId="336588C3" w14:textId="77777777" w:rsidR="00AC7BA0" w:rsidRDefault="00AC7BA0" w:rsidP="00611B87">
      <w:pPr>
        <w:rPr>
          <w:rFonts w:cs="Arial"/>
          <w:color w:val="000000" w:themeColor="text1"/>
          <w:sz w:val="24"/>
        </w:rPr>
      </w:pPr>
      <w:r>
        <w:rPr>
          <w:rFonts w:cs="Arial"/>
          <w:color w:val="000000" w:themeColor="text1"/>
          <w:sz w:val="24"/>
        </w:rPr>
        <w:t>Most people who are seen in NHS Talking Therapies, for anxiety and depression services report significant levels of both depressive and anxiety related symptoms. Patients complete measures for both depression and anxiety at every session.</w:t>
      </w:r>
    </w:p>
    <w:p w14:paraId="593C7DAD" w14:textId="77777777" w:rsidR="00AC7BA0" w:rsidRDefault="00AC7BA0" w:rsidP="00611B87">
      <w:pPr>
        <w:rPr>
          <w:rFonts w:cs="Arial"/>
          <w:color w:val="000000" w:themeColor="text1"/>
          <w:sz w:val="24"/>
        </w:rPr>
      </w:pPr>
    </w:p>
    <w:p w14:paraId="00AE31B7" w14:textId="77777777" w:rsidR="00AC7BA0" w:rsidRDefault="00AC7BA0" w:rsidP="00611B87">
      <w:pPr>
        <w:rPr>
          <w:rFonts w:cs="Arial"/>
          <w:color w:val="000000" w:themeColor="text1"/>
          <w:sz w:val="24"/>
        </w:rPr>
      </w:pPr>
      <w:r>
        <w:rPr>
          <w:rFonts w:cs="Arial"/>
          <w:b/>
          <w:color w:val="000000" w:themeColor="text1"/>
          <w:sz w:val="24"/>
        </w:rPr>
        <w:t>Patient health questionnaire – 9 (PHQ-9)</w:t>
      </w:r>
      <w:r>
        <w:rPr>
          <w:rFonts w:cs="Arial"/>
          <w:color w:val="000000" w:themeColor="text1"/>
          <w:sz w:val="24"/>
        </w:rPr>
        <w:t xml:space="preserve"> is used as the depression measure for all patients.</w:t>
      </w:r>
    </w:p>
    <w:p w14:paraId="35B5E11E" w14:textId="77777777" w:rsidR="00AC7BA0" w:rsidRDefault="00AC7BA0" w:rsidP="00611B87">
      <w:pPr>
        <w:rPr>
          <w:rFonts w:cs="Arial"/>
          <w:color w:val="000000" w:themeColor="text1"/>
          <w:sz w:val="24"/>
        </w:rPr>
      </w:pPr>
    </w:p>
    <w:p w14:paraId="1D8A191D" w14:textId="77777777" w:rsidR="00AC7BA0" w:rsidRDefault="00AC7BA0" w:rsidP="00611B87">
      <w:pPr>
        <w:rPr>
          <w:rFonts w:cs="Arial"/>
          <w:color w:val="000000" w:themeColor="text1"/>
          <w:sz w:val="24"/>
        </w:rPr>
      </w:pPr>
      <w:r>
        <w:rPr>
          <w:rFonts w:cs="Arial"/>
          <w:b/>
          <w:color w:val="000000" w:themeColor="text1"/>
          <w:sz w:val="24"/>
        </w:rPr>
        <w:t>Generalised anxiety disorder assessment (GAD-7)</w:t>
      </w:r>
      <w:r>
        <w:rPr>
          <w:rFonts w:cs="Arial"/>
          <w:color w:val="000000" w:themeColor="text1"/>
          <w:sz w:val="24"/>
        </w:rPr>
        <w:t xml:space="preserve"> is the default measure for anxiety. This scale was originally developed to assess the severity of anxiety symptoms in generalised anxiety disorder only.</w:t>
      </w:r>
    </w:p>
    <w:p w14:paraId="55F22AFA" w14:textId="77777777" w:rsidR="00AC7BA0" w:rsidRDefault="00AC7BA0" w:rsidP="00611B87">
      <w:pPr>
        <w:rPr>
          <w:rFonts w:cs="Arial"/>
          <w:color w:val="000000" w:themeColor="text1"/>
          <w:sz w:val="24"/>
        </w:rPr>
      </w:pPr>
      <w:r>
        <w:rPr>
          <w:rFonts w:cs="Arial"/>
          <w:color w:val="000000" w:themeColor="text1"/>
          <w:sz w:val="24"/>
        </w:rPr>
        <w:lastRenderedPageBreak/>
        <w:t xml:space="preserve">In cases where there is a specific anxiety disorder identified it would be more appropriate to replace GAD-7 with an appropriate anxiety disorder specific measure (ADSM). </w:t>
      </w:r>
    </w:p>
    <w:p w14:paraId="46679090" w14:textId="77777777" w:rsidR="00AC7BA0" w:rsidRDefault="00AC7BA0" w:rsidP="00611B87">
      <w:pPr>
        <w:rPr>
          <w:rFonts w:cs="Arial"/>
          <w:color w:val="000000" w:themeColor="text1"/>
          <w:sz w:val="24"/>
        </w:rPr>
      </w:pPr>
      <w:r>
        <w:rPr>
          <w:rFonts w:cs="Arial"/>
          <w:color w:val="000000" w:themeColor="text1"/>
          <w:sz w:val="24"/>
        </w:rPr>
        <w:t>The below tables give the recommended outcome measure for each problem descriptor:</w:t>
      </w:r>
    </w:p>
    <w:p w14:paraId="0E21B2B1" w14:textId="77777777" w:rsidR="00AC7BA0" w:rsidRDefault="00AC7BA0" w:rsidP="00AC7BA0">
      <w:pPr>
        <w:rPr>
          <w:rFonts w:cs="Arial"/>
          <w:color w:val="000000" w:themeColor="text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75"/>
        <w:gridCol w:w="31"/>
        <w:gridCol w:w="2943"/>
        <w:gridCol w:w="63"/>
        <w:gridCol w:w="3004"/>
      </w:tblGrid>
      <w:tr w:rsidR="00AC7BA0" w14:paraId="47A18615" w14:textId="77777777" w:rsidTr="00AC7BA0">
        <w:trPr>
          <w:trHeight w:val="840"/>
        </w:trPr>
        <w:tc>
          <w:tcPr>
            <w:tcW w:w="1650" w:type="pct"/>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3DD0E3A1" w14:textId="77777777" w:rsidR="00AC7BA0" w:rsidRDefault="00AC7BA0">
            <w:pPr>
              <w:rPr>
                <w:rFonts w:cs="Arial"/>
                <w:color w:val="000000" w:themeColor="text1"/>
                <w:kern w:val="2"/>
                <w:sz w:val="24"/>
                <w14:ligatures w14:val="standardContextual"/>
              </w:rPr>
            </w:pPr>
            <w:r>
              <w:rPr>
                <w:rFonts w:cs="Arial"/>
                <w:b/>
                <w:bCs/>
                <w:color w:val="000000" w:themeColor="text1"/>
                <w:kern w:val="2"/>
                <w:sz w:val="24"/>
                <w14:ligatures w14:val="standardContextual"/>
              </w:rPr>
              <w:t>Main mental health problem</w:t>
            </w:r>
            <w:r>
              <w:rPr>
                <w:rFonts w:cs="Arial"/>
                <w:b/>
                <w:bCs/>
                <w:color w:val="000000" w:themeColor="text1"/>
                <w:kern w:val="2"/>
                <w:sz w:val="24"/>
                <w14:ligatures w14:val="standardContextual"/>
              </w:rPr>
              <w:br/>
              <w:t>(primary problem descriptor)</w:t>
            </w:r>
          </w:p>
        </w:tc>
        <w:tc>
          <w:tcPr>
            <w:tcW w:w="1649"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11B95B3A" w14:textId="77777777" w:rsidR="00AC7BA0" w:rsidRDefault="00AC7BA0">
            <w:pPr>
              <w:rPr>
                <w:rFonts w:cs="Arial"/>
                <w:color w:val="000000" w:themeColor="text1"/>
                <w:kern w:val="2"/>
                <w:sz w:val="24"/>
                <w14:ligatures w14:val="standardContextual"/>
              </w:rPr>
            </w:pPr>
            <w:r>
              <w:rPr>
                <w:rFonts w:cs="Arial"/>
                <w:b/>
                <w:bCs/>
                <w:color w:val="000000" w:themeColor="text1"/>
                <w:kern w:val="2"/>
                <w:sz w:val="24"/>
                <w14:ligatures w14:val="standardContextual"/>
              </w:rPr>
              <w:t>Depression symptom measure</w:t>
            </w:r>
          </w:p>
        </w:tc>
        <w:tc>
          <w:tcPr>
            <w:tcW w:w="1702"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0EED7B58" w14:textId="77777777" w:rsidR="00AC7BA0" w:rsidRDefault="00AC7BA0">
            <w:pPr>
              <w:rPr>
                <w:rFonts w:cs="Arial"/>
                <w:color w:val="000000" w:themeColor="text1"/>
                <w:kern w:val="2"/>
                <w:sz w:val="24"/>
                <w14:ligatures w14:val="standardContextual"/>
              </w:rPr>
            </w:pPr>
            <w:r>
              <w:rPr>
                <w:rFonts w:cs="Arial"/>
                <w:b/>
                <w:bCs/>
                <w:color w:val="000000" w:themeColor="text1"/>
                <w:kern w:val="2"/>
                <w:sz w:val="24"/>
                <w14:ligatures w14:val="standardContextual"/>
              </w:rPr>
              <w:t>Recommended measure for anxiety symptoms or medically unexplained symptoms (MUS)</w:t>
            </w:r>
          </w:p>
        </w:tc>
      </w:tr>
      <w:tr w:rsidR="00AC7BA0" w14:paraId="0EBDEBE3" w14:textId="77777777" w:rsidTr="00AC7BA0">
        <w:trPr>
          <w:trHeight w:val="360"/>
        </w:trPr>
        <w:tc>
          <w:tcPr>
            <w:tcW w:w="1650" w:type="pct"/>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1AA1A66D"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Depression</w:t>
            </w:r>
          </w:p>
        </w:tc>
        <w:tc>
          <w:tcPr>
            <w:tcW w:w="1649"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467A726C"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702"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6284765E"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Generalised anxiety disorder–7</w:t>
            </w:r>
            <w:r>
              <w:rPr>
                <w:rFonts w:cs="Arial"/>
                <w:color w:val="000000" w:themeColor="text1"/>
                <w:kern w:val="2"/>
                <w:sz w:val="24"/>
                <w14:ligatures w14:val="standardContextual"/>
              </w:rPr>
              <w:br/>
              <w:t>(GAD-7)</w:t>
            </w:r>
          </w:p>
        </w:tc>
      </w:tr>
      <w:tr w:rsidR="00AC7BA0" w14:paraId="51F9F17A" w14:textId="77777777" w:rsidTr="00AC7BA0">
        <w:trPr>
          <w:trHeight w:val="360"/>
        </w:trPr>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270F20FC"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Generalised anxiety disorder</w:t>
            </w:r>
          </w:p>
        </w:tc>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0A711BE6"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3047EA72"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GAD-7</w:t>
            </w:r>
          </w:p>
        </w:tc>
      </w:tr>
      <w:tr w:rsidR="00AC7BA0" w14:paraId="11F5F1E0" w14:textId="77777777" w:rsidTr="00AC7BA0">
        <w:trPr>
          <w:trHeight w:val="360"/>
        </w:trPr>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7CB1BBE5"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Mixed anxiety/depression</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49823395"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2301AA7B"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GAD-7</w:t>
            </w:r>
          </w:p>
        </w:tc>
      </w:tr>
      <w:tr w:rsidR="00AC7BA0" w14:paraId="677A07B2"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234CD2E7"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No problem descriptor</w:t>
            </w:r>
          </w:p>
        </w:tc>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5543A80E"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1F930D82"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GAD-7</w:t>
            </w:r>
          </w:p>
        </w:tc>
      </w:tr>
      <w:tr w:rsidR="00AC7BA0" w14:paraId="65DB1F36"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4F861ED7"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Chronic pain</w:t>
            </w:r>
            <w:r>
              <w:rPr>
                <w:rFonts w:cs="Arial"/>
                <w:color w:val="000000" w:themeColor="text1"/>
                <w:kern w:val="2"/>
                <w:sz w:val="24"/>
                <w14:ligatures w14:val="standardContextual"/>
              </w:rPr>
              <w:br/>
              <w:t>(in context of anxiety/ depression)</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6759FC83"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023928B3"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GAD-7</w:t>
            </w:r>
          </w:p>
        </w:tc>
      </w:tr>
      <w:tr w:rsidR="00AC7BA0" w14:paraId="182DA4E3"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22493FB3"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Agoraphobia</w:t>
            </w:r>
          </w:p>
        </w:tc>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6F1D81C7"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5A08A1A2"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Mobility inventory (MI)</w:t>
            </w:r>
          </w:p>
        </w:tc>
      </w:tr>
      <w:tr w:rsidR="00AC7BA0" w14:paraId="5AF506A0"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2A1B548F"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Health anxiety (hypochondriasis)</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7587BF59"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73C4AB85"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Health anxiety inventory</w:t>
            </w:r>
          </w:p>
        </w:tc>
      </w:tr>
      <w:tr w:rsidR="00AC7BA0" w14:paraId="0773C58A"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050C04F7"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OCD</w:t>
            </w:r>
          </w:p>
        </w:tc>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39272D3B"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2EFEFE6F"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Obsessive-compulsive inventory (OCI)</w:t>
            </w:r>
          </w:p>
        </w:tc>
      </w:tr>
      <w:tr w:rsidR="00AC7BA0" w14:paraId="3D805455"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7F6DF11B"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Panic disorder</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37C79EEE"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0028EFB3"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Panic disorder severity scale (PDSS)</w:t>
            </w:r>
          </w:p>
        </w:tc>
      </w:tr>
      <w:tr w:rsidR="00AC7BA0" w14:paraId="6E35A6A2"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7F302475"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PTSD</w:t>
            </w:r>
          </w:p>
        </w:tc>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74F39416"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3F850C4C"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PTSD checklist for DSM-5 (PCL-5)</w:t>
            </w:r>
          </w:p>
        </w:tc>
      </w:tr>
      <w:tr w:rsidR="00AC7BA0" w14:paraId="45D4BF75"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1B468BB1"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Social anxiety</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7C69BC12"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7F60F645"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Social phobia inventory (SPIN)</w:t>
            </w:r>
          </w:p>
        </w:tc>
      </w:tr>
      <w:tr w:rsidR="00AC7BA0" w14:paraId="03C9C96C" w14:textId="77777777" w:rsidTr="00AC7BA0">
        <w:trPr>
          <w:trHeight w:val="360"/>
        </w:trPr>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0DC1D83A"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Body dysmorphic disorder (BDD)</w:t>
            </w:r>
          </w:p>
        </w:tc>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6090F20C"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33A2B36A"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Body image questionnaire (BIQ) weekly</w:t>
            </w:r>
          </w:p>
        </w:tc>
      </w:tr>
      <w:tr w:rsidR="00AC7BA0" w14:paraId="6E2F7DFC" w14:textId="77777777" w:rsidTr="00AC7BA0">
        <w:trPr>
          <w:trHeight w:val="360"/>
        </w:trPr>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6F40D487"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Chronic fatigue syndrome</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252623E6"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433BF4EA"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Chalder fatigue questionnaire (CFQ)</w:t>
            </w:r>
          </w:p>
        </w:tc>
      </w:tr>
      <w:tr w:rsidR="00AC7BA0" w14:paraId="722A5CB9"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2F01299B"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Irritable bowel syndrome</w:t>
            </w:r>
          </w:p>
        </w:tc>
        <w:tc>
          <w:tcPr>
            <w:tcW w:w="1667" w:type="pct"/>
            <w:gridSpan w:val="2"/>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5AA5D8ED"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E8EDEE"/>
            <w:tcMar>
              <w:top w:w="113" w:type="dxa"/>
              <w:left w:w="0" w:type="dxa"/>
              <w:bottom w:w="113" w:type="dxa"/>
              <w:right w:w="0" w:type="dxa"/>
            </w:tcMar>
            <w:vAlign w:val="bottom"/>
            <w:hideMark/>
          </w:tcPr>
          <w:p w14:paraId="277FF017"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Francis irritable bowel syndrome (IBS) scale</w:t>
            </w:r>
          </w:p>
        </w:tc>
      </w:tr>
      <w:tr w:rsidR="00AC7BA0" w14:paraId="38E74E52" w14:textId="77777777" w:rsidTr="00AC7BA0">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5E341227"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lastRenderedPageBreak/>
              <w:t>MUS not otherwise specified</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0EA94035"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PHQ-9</w:t>
            </w:r>
          </w:p>
        </w:tc>
        <w:tc>
          <w:tcPr>
            <w:tcW w:w="1666" w:type="pct"/>
            <w:tcBorders>
              <w:top w:val="single" w:sz="4" w:space="0" w:color="auto"/>
              <w:left w:val="single" w:sz="4" w:space="0" w:color="auto"/>
              <w:bottom w:val="single" w:sz="4" w:space="0" w:color="auto"/>
              <w:right w:val="single" w:sz="4" w:space="0" w:color="auto"/>
            </w:tcBorders>
            <w:shd w:val="clear" w:color="auto" w:fill="FFFFFF"/>
            <w:tcMar>
              <w:top w:w="113" w:type="dxa"/>
              <w:left w:w="0" w:type="dxa"/>
              <w:bottom w:w="113" w:type="dxa"/>
              <w:right w:w="0" w:type="dxa"/>
            </w:tcMar>
            <w:vAlign w:val="bottom"/>
            <w:hideMark/>
          </w:tcPr>
          <w:p w14:paraId="0E10E329" w14:textId="77777777" w:rsidR="00AC7BA0" w:rsidRDefault="00AC7BA0">
            <w:pPr>
              <w:rPr>
                <w:rFonts w:cs="Arial"/>
                <w:color w:val="000000" w:themeColor="text1"/>
                <w:kern w:val="2"/>
                <w:sz w:val="24"/>
                <w14:ligatures w14:val="standardContextual"/>
              </w:rPr>
            </w:pPr>
            <w:r>
              <w:rPr>
                <w:rFonts w:cs="Arial"/>
                <w:color w:val="000000" w:themeColor="text1"/>
                <w:kern w:val="2"/>
                <w:sz w:val="24"/>
                <w14:ligatures w14:val="standardContextual"/>
              </w:rPr>
              <w:t>Patient health questionnaire–15 (PHQ-15)</w:t>
            </w:r>
          </w:p>
        </w:tc>
      </w:tr>
    </w:tbl>
    <w:p w14:paraId="1CB482FF" w14:textId="77777777" w:rsidR="00AC7BA0" w:rsidRDefault="00AC7BA0" w:rsidP="00AC7BA0">
      <w:pPr>
        <w:spacing w:line="360" w:lineRule="auto"/>
        <w:rPr>
          <w:rFonts w:cs="Arial"/>
          <w:color w:val="000000" w:themeColor="text1"/>
          <w:sz w:val="24"/>
          <w:lang w:eastAsia="en-US"/>
        </w:rPr>
      </w:pPr>
    </w:p>
    <w:p w14:paraId="541236FE" w14:textId="015A6BBA" w:rsidR="00AC7BA0" w:rsidRDefault="00FC197F" w:rsidP="00611B87">
      <w:pPr>
        <w:rPr>
          <w:rFonts w:cs="Arial"/>
          <w:b/>
          <w:color w:val="000000" w:themeColor="text1"/>
          <w:sz w:val="24"/>
        </w:rPr>
      </w:pPr>
      <w:r>
        <w:rPr>
          <w:rFonts w:cs="Arial"/>
          <w:b/>
          <w:color w:val="000000" w:themeColor="text1"/>
          <w:sz w:val="24"/>
        </w:rPr>
        <w:t xml:space="preserve">Talking Therapies </w:t>
      </w:r>
      <w:r w:rsidR="00AC7BA0">
        <w:rPr>
          <w:rFonts w:cs="Arial"/>
          <w:b/>
          <w:color w:val="000000" w:themeColor="text1"/>
          <w:sz w:val="24"/>
        </w:rPr>
        <w:t xml:space="preserve">DNA and cancellations </w:t>
      </w:r>
    </w:p>
    <w:p w14:paraId="59D49D9E" w14:textId="77777777" w:rsidR="00611B87" w:rsidRDefault="00611B87" w:rsidP="00611B87">
      <w:pPr>
        <w:rPr>
          <w:rFonts w:cs="Arial"/>
          <w:color w:val="000000" w:themeColor="text1"/>
          <w:sz w:val="24"/>
        </w:rPr>
      </w:pPr>
    </w:p>
    <w:p w14:paraId="4CAF8D17" w14:textId="01567359" w:rsidR="00AC7BA0" w:rsidRDefault="00AC7BA0" w:rsidP="00611B87">
      <w:pPr>
        <w:rPr>
          <w:rFonts w:cs="Arial"/>
          <w:color w:val="000000" w:themeColor="text1"/>
          <w:sz w:val="24"/>
        </w:rPr>
      </w:pPr>
      <w:r>
        <w:rPr>
          <w:rFonts w:cs="Arial"/>
          <w:color w:val="000000" w:themeColor="text1"/>
          <w:sz w:val="24"/>
        </w:rPr>
        <w:t xml:space="preserve">Where a patient DNAs two appointments within their course of treatment this would generally result in the patient being discharged from the service unless there are significant extenuating circumstances in which case managers may exercise flexibility. </w:t>
      </w:r>
    </w:p>
    <w:p w14:paraId="6C93C411" w14:textId="77777777" w:rsidR="00F136B7" w:rsidRDefault="00F136B7" w:rsidP="00611B87">
      <w:pPr>
        <w:rPr>
          <w:rFonts w:cs="Arial"/>
          <w:color w:val="000000" w:themeColor="text1"/>
          <w:sz w:val="24"/>
        </w:rPr>
      </w:pPr>
    </w:p>
    <w:p w14:paraId="05C48B44" w14:textId="4F652EC4" w:rsidR="00AC7BA0" w:rsidRDefault="00AC7BA0" w:rsidP="00611B87">
      <w:pPr>
        <w:rPr>
          <w:rFonts w:cs="Arial"/>
          <w:color w:val="000000" w:themeColor="text1"/>
          <w:sz w:val="24"/>
        </w:rPr>
      </w:pPr>
      <w:r>
        <w:rPr>
          <w:rFonts w:cs="Arial"/>
          <w:color w:val="000000" w:themeColor="text1"/>
          <w:sz w:val="24"/>
        </w:rPr>
        <w:t>Similarly</w:t>
      </w:r>
      <w:r w:rsidR="00F136B7">
        <w:rPr>
          <w:rFonts w:cs="Arial"/>
          <w:color w:val="000000" w:themeColor="text1"/>
          <w:sz w:val="24"/>
        </w:rPr>
        <w:t>,</w:t>
      </w:r>
      <w:r>
        <w:rPr>
          <w:rFonts w:cs="Arial"/>
          <w:color w:val="000000" w:themeColor="text1"/>
          <w:sz w:val="24"/>
        </w:rPr>
        <w:t xml:space="preserve"> where a patient indicates that they will not be available for appointments for an extended period of time (e.g. travelling or hospital inpatient treatment) then the typical course of action would be to discharge the patient and advise them to self-refer again when they expect to have more consistent availability.</w:t>
      </w:r>
    </w:p>
    <w:p w14:paraId="601F765C" w14:textId="77777777" w:rsidR="00AC7BA0" w:rsidRPr="00124413" w:rsidRDefault="00AC7BA0" w:rsidP="00124413">
      <w:pPr>
        <w:jc w:val="both"/>
        <w:rPr>
          <w:lang w:eastAsia="en-US"/>
        </w:rPr>
      </w:pPr>
    </w:p>
    <w:sectPr w:rsidR="00AC7BA0" w:rsidRPr="00124413">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CA9D4" w14:textId="77777777" w:rsidR="00C07318" w:rsidRDefault="00C07318" w:rsidP="00C13F16">
      <w:r>
        <w:separator/>
      </w:r>
    </w:p>
  </w:endnote>
  <w:endnote w:type="continuationSeparator" w:id="0">
    <w:p w14:paraId="4E3258DD" w14:textId="77777777" w:rsidR="00C07318" w:rsidRDefault="00C07318" w:rsidP="00C13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406659"/>
      <w:docPartObj>
        <w:docPartGallery w:val="Page Numbers (Bottom of Page)"/>
        <w:docPartUnique/>
      </w:docPartObj>
    </w:sdtPr>
    <w:sdtEndPr>
      <w:rPr>
        <w:noProof/>
      </w:rPr>
    </w:sdtEndPr>
    <w:sdtContent>
      <w:p w14:paraId="2D56DB5F" w14:textId="13B5522A" w:rsidR="00CF3C30" w:rsidRDefault="00CF3C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6ED444" w14:textId="77777777" w:rsidR="00C07318" w:rsidRDefault="00C07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24112" w14:textId="77777777" w:rsidR="00C07318" w:rsidRDefault="00C07318" w:rsidP="00C13F16">
      <w:r>
        <w:separator/>
      </w:r>
    </w:p>
  </w:footnote>
  <w:footnote w:type="continuationSeparator" w:id="0">
    <w:p w14:paraId="1059D714" w14:textId="77777777" w:rsidR="00C07318" w:rsidRDefault="00C07318" w:rsidP="00C13F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93C"/>
    <w:multiLevelType w:val="hybridMultilevel"/>
    <w:tmpl w:val="02748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7E3CE6"/>
    <w:multiLevelType w:val="hybridMultilevel"/>
    <w:tmpl w:val="E4FE6930"/>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651FA"/>
    <w:multiLevelType w:val="hybridMultilevel"/>
    <w:tmpl w:val="6C3A8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6A72F8"/>
    <w:multiLevelType w:val="multilevel"/>
    <w:tmpl w:val="642426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CB942AD"/>
    <w:multiLevelType w:val="hybridMultilevel"/>
    <w:tmpl w:val="2E885D82"/>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F261A"/>
    <w:multiLevelType w:val="hybridMultilevel"/>
    <w:tmpl w:val="D3202E68"/>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C7432"/>
    <w:multiLevelType w:val="hybridMultilevel"/>
    <w:tmpl w:val="F51847E2"/>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2585D"/>
    <w:multiLevelType w:val="multilevel"/>
    <w:tmpl w:val="5FD01D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914EDA"/>
    <w:multiLevelType w:val="hybridMultilevel"/>
    <w:tmpl w:val="9AB4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0574A"/>
    <w:multiLevelType w:val="hybridMultilevel"/>
    <w:tmpl w:val="FDD68174"/>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24C4D"/>
    <w:multiLevelType w:val="hybridMultilevel"/>
    <w:tmpl w:val="B268C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C06BDF"/>
    <w:multiLevelType w:val="hybridMultilevel"/>
    <w:tmpl w:val="F51CD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1A24611"/>
    <w:multiLevelType w:val="hybridMultilevel"/>
    <w:tmpl w:val="43D2659A"/>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C0FC3"/>
    <w:multiLevelType w:val="hybridMultilevel"/>
    <w:tmpl w:val="B1D83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603A61"/>
    <w:multiLevelType w:val="hybridMultilevel"/>
    <w:tmpl w:val="C3FC33F8"/>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E2C55"/>
    <w:multiLevelType w:val="hybridMultilevel"/>
    <w:tmpl w:val="E4A40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7894F16"/>
    <w:multiLevelType w:val="hybridMultilevel"/>
    <w:tmpl w:val="7610A052"/>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DE3A12"/>
    <w:multiLevelType w:val="hybridMultilevel"/>
    <w:tmpl w:val="F522D9AE"/>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B2AB7"/>
    <w:multiLevelType w:val="hybridMultilevel"/>
    <w:tmpl w:val="C1EACD9C"/>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0A07B1"/>
    <w:multiLevelType w:val="hybridMultilevel"/>
    <w:tmpl w:val="67605A14"/>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E8490E"/>
    <w:multiLevelType w:val="hybridMultilevel"/>
    <w:tmpl w:val="9F4246C0"/>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C04AA7"/>
    <w:multiLevelType w:val="hybridMultilevel"/>
    <w:tmpl w:val="3FD40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FD5F8E"/>
    <w:multiLevelType w:val="hybridMultilevel"/>
    <w:tmpl w:val="288A8D4C"/>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915D0E"/>
    <w:multiLevelType w:val="hybridMultilevel"/>
    <w:tmpl w:val="33C8E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F26AD7"/>
    <w:multiLevelType w:val="hybridMultilevel"/>
    <w:tmpl w:val="C7302CFC"/>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A16C4"/>
    <w:multiLevelType w:val="multilevel"/>
    <w:tmpl w:val="05468BC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493D71D3"/>
    <w:multiLevelType w:val="multilevel"/>
    <w:tmpl w:val="1D00F3AC"/>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8A6693"/>
    <w:multiLevelType w:val="multilevel"/>
    <w:tmpl w:val="D20832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AA45A4"/>
    <w:multiLevelType w:val="hybridMultilevel"/>
    <w:tmpl w:val="E5DA7466"/>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AF29F2"/>
    <w:multiLevelType w:val="hybridMultilevel"/>
    <w:tmpl w:val="A21C765E"/>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0D5F17"/>
    <w:multiLevelType w:val="hybridMultilevel"/>
    <w:tmpl w:val="6B44A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98B6260"/>
    <w:multiLevelType w:val="hybridMultilevel"/>
    <w:tmpl w:val="6CD480A0"/>
    <w:lvl w:ilvl="0" w:tplc="84E0EF4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2F1277"/>
    <w:multiLevelType w:val="hybridMultilevel"/>
    <w:tmpl w:val="1DC0BCFA"/>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41984"/>
    <w:multiLevelType w:val="hybridMultilevel"/>
    <w:tmpl w:val="35EC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147475"/>
    <w:multiLevelType w:val="hybridMultilevel"/>
    <w:tmpl w:val="1270B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E774123"/>
    <w:multiLevelType w:val="hybridMultilevel"/>
    <w:tmpl w:val="28768B14"/>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142BA2"/>
    <w:multiLevelType w:val="multilevel"/>
    <w:tmpl w:val="477EFE0C"/>
    <w:lvl w:ilvl="0">
      <w:start w:val="1"/>
      <w:numFmt w:val="decimal"/>
      <w:lvlText w:val="%1.0"/>
      <w:lvlJc w:val="left"/>
      <w:pPr>
        <w:ind w:left="403" w:hanging="403"/>
      </w:pPr>
    </w:lvl>
    <w:lvl w:ilvl="1">
      <w:start w:val="1"/>
      <w:numFmt w:val="decimal"/>
      <w:lvlText w:val="%1.%2"/>
      <w:lvlJc w:val="left"/>
      <w:pPr>
        <w:ind w:left="1123" w:hanging="403"/>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7" w15:restartNumberingAfterBreak="0">
    <w:nsid w:val="609E4EC3"/>
    <w:multiLevelType w:val="hybridMultilevel"/>
    <w:tmpl w:val="BCE2A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EEB4AA"/>
    <w:multiLevelType w:val="hybridMultilevel"/>
    <w:tmpl w:val="277C4B6A"/>
    <w:lvl w:ilvl="0" w:tplc="7708DEEC">
      <w:start w:val="1"/>
      <w:numFmt w:val="bullet"/>
      <w:lvlText w:val="·"/>
      <w:lvlJc w:val="left"/>
      <w:pPr>
        <w:ind w:left="720" w:hanging="360"/>
      </w:pPr>
      <w:rPr>
        <w:rFonts w:ascii="Symbol" w:hAnsi="Symbol" w:hint="default"/>
      </w:rPr>
    </w:lvl>
    <w:lvl w:ilvl="1" w:tplc="C68EAC40">
      <w:start w:val="1"/>
      <w:numFmt w:val="bullet"/>
      <w:lvlText w:val="o"/>
      <w:lvlJc w:val="left"/>
      <w:pPr>
        <w:ind w:left="1440" w:hanging="360"/>
      </w:pPr>
      <w:rPr>
        <w:rFonts w:ascii="Courier New" w:hAnsi="Courier New" w:cs="Times New Roman" w:hint="default"/>
      </w:rPr>
    </w:lvl>
    <w:lvl w:ilvl="2" w:tplc="856C20AE">
      <w:start w:val="1"/>
      <w:numFmt w:val="bullet"/>
      <w:lvlText w:val=""/>
      <w:lvlJc w:val="left"/>
      <w:pPr>
        <w:ind w:left="2160" w:hanging="360"/>
      </w:pPr>
      <w:rPr>
        <w:rFonts w:ascii="Wingdings" w:hAnsi="Wingdings" w:hint="default"/>
      </w:rPr>
    </w:lvl>
    <w:lvl w:ilvl="3" w:tplc="095A02D6">
      <w:start w:val="1"/>
      <w:numFmt w:val="bullet"/>
      <w:lvlText w:val=""/>
      <w:lvlJc w:val="left"/>
      <w:pPr>
        <w:ind w:left="2880" w:hanging="360"/>
      </w:pPr>
      <w:rPr>
        <w:rFonts w:ascii="Symbol" w:hAnsi="Symbol" w:hint="default"/>
      </w:rPr>
    </w:lvl>
    <w:lvl w:ilvl="4" w:tplc="0FDCD7F4">
      <w:start w:val="1"/>
      <w:numFmt w:val="bullet"/>
      <w:lvlText w:val="o"/>
      <w:lvlJc w:val="left"/>
      <w:pPr>
        <w:ind w:left="3600" w:hanging="360"/>
      </w:pPr>
      <w:rPr>
        <w:rFonts w:ascii="Courier New" w:hAnsi="Courier New" w:cs="Times New Roman" w:hint="default"/>
      </w:rPr>
    </w:lvl>
    <w:lvl w:ilvl="5" w:tplc="6D18B85C">
      <w:start w:val="1"/>
      <w:numFmt w:val="bullet"/>
      <w:lvlText w:val=""/>
      <w:lvlJc w:val="left"/>
      <w:pPr>
        <w:ind w:left="4320" w:hanging="360"/>
      </w:pPr>
      <w:rPr>
        <w:rFonts w:ascii="Wingdings" w:hAnsi="Wingdings" w:hint="default"/>
      </w:rPr>
    </w:lvl>
    <w:lvl w:ilvl="6" w:tplc="3088339C">
      <w:start w:val="1"/>
      <w:numFmt w:val="bullet"/>
      <w:lvlText w:val=""/>
      <w:lvlJc w:val="left"/>
      <w:pPr>
        <w:ind w:left="5040" w:hanging="360"/>
      </w:pPr>
      <w:rPr>
        <w:rFonts w:ascii="Symbol" w:hAnsi="Symbol" w:hint="default"/>
      </w:rPr>
    </w:lvl>
    <w:lvl w:ilvl="7" w:tplc="2F80C20C">
      <w:start w:val="1"/>
      <w:numFmt w:val="bullet"/>
      <w:lvlText w:val="o"/>
      <w:lvlJc w:val="left"/>
      <w:pPr>
        <w:ind w:left="5760" w:hanging="360"/>
      </w:pPr>
      <w:rPr>
        <w:rFonts w:ascii="Courier New" w:hAnsi="Courier New" w:cs="Times New Roman" w:hint="default"/>
      </w:rPr>
    </w:lvl>
    <w:lvl w:ilvl="8" w:tplc="DEA27ACA">
      <w:start w:val="1"/>
      <w:numFmt w:val="bullet"/>
      <w:lvlText w:val=""/>
      <w:lvlJc w:val="left"/>
      <w:pPr>
        <w:ind w:left="6480" w:hanging="360"/>
      </w:pPr>
      <w:rPr>
        <w:rFonts w:ascii="Wingdings" w:hAnsi="Wingdings" w:hint="default"/>
      </w:rPr>
    </w:lvl>
  </w:abstractNum>
  <w:abstractNum w:abstractNumId="39" w15:restartNumberingAfterBreak="0">
    <w:nsid w:val="63B907F7"/>
    <w:multiLevelType w:val="hybridMultilevel"/>
    <w:tmpl w:val="9B465D2A"/>
    <w:lvl w:ilvl="0" w:tplc="209A2B28">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4C6025"/>
    <w:multiLevelType w:val="hybridMultilevel"/>
    <w:tmpl w:val="85A20066"/>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6C7EA0"/>
    <w:multiLevelType w:val="hybridMultilevel"/>
    <w:tmpl w:val="4B32360C"/>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6902B2"/>
    <w:multiLevelType w:val="hybridMultilevel"/>
    <w:tmpl w:val="430A404E"/>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15397A"/>
    <w:multiLevelType w:val="multilevel"/>
    <w:tmpl w:val="5F6062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D86EEF"/>
    <w:multiLevelType w:val="hybridMultilevel"/>
    <w:tmpl w:val="172A2D7C"/>
    <w:lvl w:ilvl="0" w:tplc="209A2B2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D96401"/>
    <w:multiLevelType w:val="hybridMultilevel"/>
    <w:tmpl w:val="72A0B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67268D"/>
    <w:multiLevelType w:val="multilevel"/>
    <w:tmpl w:val="57F00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CA7D4E"/>
    <w:multiLevelType w:val="multilevel"/>
    <w:tmpl w:val="FF8E7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914783748">
    <w:abstractNumId w:val="3"/>
  </w:num>
  <w:num w:numId="2" w16cid:durableId="589239731">
    <w:abstractNumId w:val="25"/>
  </w:num>
  <w:num w:numId="3" w16cid:durableId="1245922099">
    <w:abstractNumId w:val="33"/>
  </w:num>
  <w:num w:numId="4" w16cid:durableId="805782935">
    <w:abstractNumId w:val="1"/>
  </w:num>
  <w:num w:numId="5" w16cid:durableId="1066343395">
    <w:abstractNumId w:val="28"/>
  </w:num>
  <w:num w:numId="6" w16cid:durableId="100341118">
    <w:abstractNumId w:val="12"/>
  </w:num>
  <w:num w:numId="7" w16cid:durableId="1202017936">
    <w:abstractNumId w:val="41"/>
  </w:num>
  <w:num w:numId="8" w16cid:durableId="29502826">
    <w:abstractNumId w:val="16"/>
  </w:num>
  <w:num w:numId="9" w16cid:durableId="27990955">
    <w:abstractNumId w:val="40"/>
  </w:num>
  <w:num w:numId="10" w16cid:durableId="1699625112">
    <w:abstractNumId w:val="9"/>
  </w:num>
  <w:num w:numId="11" w16cid:durableId="2114742795">
    <w:abstractNumId w:val="20"/>
  </w:num>
  <w:num w:numId="12" w16cid:durableId="2069526376">
    <w:abstractNumId w:val="31"/>
  </w:num>
  <w:num w:numId="13" w16cid:durableId="1375932745">
    <w:abstractNumId w:val="45"/>
  </w:num>
  <w:num w:numId="14" w16cid:durableId="251554069">
    <w:abstractNumId w:val="37"/>
  </w:num>
  <w:num w:numId="15" w16cid:durableId="593394133">
    <w:abstractNumId w:val="44"/>
  </w:num>
  <w:num w:numId="16" w16cid:durableId="1367486128">
    <w:abstractNumId w:val="29"/>
  </w:num>
  <w:num w:numId="17" w16cid:durableId="1236091309">
    <w:abstractNumId w:val="19"/>
  </w:num>
  <w:num w:numId="18" w16cid:durableId="919408577">
    <w:abstractNumId w:val="17"/>
  </w:num>
  <w:num w:numId="19" w16cid:durableId="1047952699">
    <w:abstractNumId w:val="22"/>
  </w:num>
  <w:num w:numId="20" w16cid:durableId="469136325">
    <w:abstractNumId w:val="14"/>
  </w:num>
  <w:num w:numId="21" w16cid:durableId="1408458255">
    <w:abstractNumId w:val="5"/>
  </w:num>
  <w:num w:numId="22" w16cid:durableId="1170754208">
    <w:abstractNumId w:val="24"/>
  </w:num>
  <w:num w:numId="23" w16cid:durableId="961883704">
    <w:abstractNumId w:val="18"/>
  </w:num>
  <w:num w:numId="24" w16cid:durableId="330184536">
    <w:abstractNumId w:val="6"/>
  </w:num>
  <w:num w:numId="25" w16cid:durableId="1094546679">
    <w:abstractNumId w:val="39"/>
  </w:num>
  <w:num w:numId="26" w16cid:durableId="351494836">
    <w:abstractNumId w:val="32"/>
  </w:num>
  <w:num w:numId="27" w16cid:durableId="73094679">
    <w:abstractNumId w:val="4"/>
  </w:num>
  <w:num w:numId="28" w16cid:durableId="891312460">
    <w:abstractNumId w:val="35"/>
  </w:num>
  <w:num w:numId="29" w16cid:durableId="1699623861">
    <w:abstractNumId w:val="30"/>
  </w:num>
  <w:num w:numId="30" w16cid:durableId="2020884708">
    <w:abstractNumId w:val="11"/>
  </w:num>
  <w:num w:numId="31" w16cid:durableId="2138377472">
    <w:abstractNumId w:val="10"/>
  </w:num>
  <w:num w:numId="32" w16cid:durableId="636112423">
    <w:abstractNumId w:val="15"/>
  </w:num>
  <w:num w:numId="33" w16cid:durableId="1473013010">
    <w:abstractNumId w:val="2"/>
  </w:num>
  <w:num w:numId="34" w16cid:durableId="1590625953">
    <w:abstractNumId w:val="34"/>
  </w:num>
  <w:num w:numId="35" w16cid:durableId="928149722">
    <w:abstractNumId w:val="23"/>
  </w:num>
  <w:num w:numId="36" w16cid:durableId="65349546">
    <w:abstractNumId w:val="0"/>
  </w:num>
  <w:num w:numId="37" w16cid:durableId="1324046927">
    <w:abstractNumId w:val="7"/>
  </w:num>
  <w:num w:numId="38" w16cid:durableId="887499550">
    <w:abstractNumId w:val="43"/>
  </w:num>
  <w:num w:numId="39" w16cid:durableId="1978752800">
    <w:abstractNumId w:val="47"/>
  </w:num>
  <w:num w:numId="40" w16cid:durableId="508640500">
    <w:abstractNumId w:val="27"/>
  </w:num>
  <w:num w:numId="41" w16cid:durableId="21416046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9055993">
    <w:abstractNumId w:val="46"/>
  </w:num>
  <w:num w:numId="43" w16cid:durableId="370226407">
    <w:abstractNumId w:val="38"/>
  </w:num>
  <w:num w:numId="44" w16cid:durableId="1074815631">
    <w:abstractNumId w:val="0"/>
  </w:num>
  <w:num w:numId="45" w16cid:durableId="382799878">
    <w:abstractNumId w:val="42"/>
  </w:num>
  <w:num w:numId="46" w16cid:durableId="1905530041">
    <w:abstractNumId w:val="13"/>
  </w:num>
  <w:num w:numId="47" w16cid:durableId="813181356">
    <w:abstractNumId w:val="26"/>
  </w:num>
  <w:num w:numId="48" w16cid:durableId="1807090574">
    <w:abstractNumId w:val="8"/>
  </w:num>
  <w:num w:numId="49" w16cid:durableId="52444230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F16"/>
    <w:rsid w:val="00033B90"/>
    <w:rsid w:val="000C0892"/>
    <w:rsid w:val="00124413"/>
    <w:rsid w:val="001553E7"/>
    <w:rsid w:val="001C4681"/>
    <w:rsid w:val="002B320E"/>
    <w:rsid w:val="002E663B"/>
    <w:rsid w:val="00353D1D"/>
    <w:rsid w:val="00362ACF"/>
    <w:rsid w:val="0038453E"/>
    <w:rsid w:val="00417327"/>
    <w:rsid w:val="004D2732"/>
    <w:rsid w:val="00557F80"/>
    <w:rsid w:val="005A7C85"/>
    <w:rsid w:val="005C4663"/>
    <w:rsid w:val="00611B87"/>
    <w:rsid w:val="00701895"/>
    <w:rsid w:val="00760923"/>
    <w:rsid w:val="007A10F7"/>
    <w:rsid w:val="008B2E09"/>
    <w:rsid w:val="008B6142"/>
    <w:rsid w:val="008D140A"/>
    <w:rsid w:val="009C20C9"/>
    <w:rsid w:val="00AC7BA0"/>
    <w:rsid w:val="00AF7950"/>
    <w:rsid w:val="00B22644"/>
    <w:rsid w:val="00B77004"/>
    <w:rsid w:val="00C07318"/>
    <w:rsid w:val="00C13F16"/>
    <w:rsid w:val="00C802FA"/>
    <w:rsid w:val="00CF3C30"/>
    <w:rsid w:val="00D86822"/>
    <w:rsid w:val="00DE28FC"/>
    <w:rsid w:val="00DF6542"/>
    <w:rsid w:val="00E04CF5"/>
    <w:rsid w:val="00E07899"/>
    <w:rsid w:val="00E36C0C"/>
    <w:rsid w:val="00F02613"/>
    <w:rsid w:val="00F06517"/>
    <w:rsid w:val="00F136B7"/>
    <w:rsid w:val="00FC19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163DD46E"/>
  <w15:chartTrackingRefBased/>
  <w15:docId w15:val="{12B8C710-DBAD-4B42-9228-4AEE001F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16"/>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uiPriority w:val="1"/>
    <w:qFormat/>
    <w:rsid w:val="00C13F16"/>
    <w:pPr>
      <w:keepNext/>
      <w:keepLines/>
      <w:spacing w:before="360" w:after="80" w:line="256" w:lineRule="auto"/>
      <w:outlineLvl w:val="0"/>
    </w:pPr>
    <w:rPr>
      <w:rFonts w:asciiTheme="majorHAnsi" w:eastAsiaTheme="majorEastAsia" w:hAnsiTheme="majorHAnsi" w:cstheme="majorBidi"/>
      <w:color w:val="2E74B5" w:themeColor="accent1" w:themeShade="BF"/>
      <w:sz w:val="40"/>
      <w:szCs w:val="40"/>
      <w:lang w:eastAsia="en-US"/>
    </w:rPr>
  </w:style>
  <w:style w:type="paragraph" w:styleId="Heading2">
    <w:name w:val="heading 2"/>
    <w:basedOn w:val="Normal"/>
    <w:next w:val="Normal"/>
    <w:link w:val="Heading2Char"/>
    <w:uiPriority w:val="9"/>
    <w:unhideWhenUsed/>
    <w:qFormat/>
    <w:rsid w:val="00C13F1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092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AC7BA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F16"/>
    <w:pPr>
      <w:tabs>
        <w:tab w:val="center" w:pos="4513"/>
        <w:tab w:val="right" w:pos="9026"/>
      </w:tabs>
    </w:pPr>
  </w:style>
  <w:style w:type="character" w:customStyle="1" w:styleId="HeaderChar">
    <w:name w:val="Header Char"/>
    <w:basedOn w:val="DefaultParagraphFont"/>
    <w:link w:val="Header"/>
    <w:uiPriority w:val="99"/>
    <w:rsid w:val="00C13F16"/>
    <w:rPr>
      <w:rFonts w:ascii="Arial" w:eastAsia="Times New Roman" w:hAnsi="Arial" w:cs="Times New Roman"/>
      <w:szCs w:val="24"/>
      <w:lang w:eastAsia="en-GB"/>
    </w:rPr>
  </w:style>
  <w:style w:type="paragraph" w:styleId="Footer">
    <w:name w:val="footer"/>
    <w:basedOn w:val="Normal"/>
    <w:link w:val="FooterChar"/>
    <w:uiPriority w:val="99"/>
    <w:unhideWhenUsed/>
    <w:rsid w:val="00C13F16"/>
    <w:pPr>
      <w:tabs>
        <w:tab w:val="center" w:pos="4513"/>
        <w:tab w:val="right" w:pos="9026"/>
      </w:tabs>
    </w:pPr>
  </w:style>
  <w:style w:type="character" w:customStyle="1" w:styleId="FooterChar">
    <w:name w:val="Footer Char"/>
    <w:basedOn w:val="DefaultParagraphFont"/>
    <w:link w:val="Footer"/>
    <w:uiPriority w:val="99"/>
    <w:rsid w:val="00C13F16"/>
    <w:rPr>
      <w:rFonts w:ascii="Arial" w:eastAsia="Times New Roman" w:hAnsi="Arial" w:cs="Times New Roman"/>
      <w:szCs w:val="24"/>
      <w:lang w:eastAsia="en-GB"/>
    </w:rPr>
  </w:style>
  <w:style w:type="character" w:customStyle="1" w:styleId="Heading1Char">
    <w:name w:val="Heading 1 Char"/>
    <w:basedOn w:val="DefaultParagraphFont"/>
    <w:link w:val="Heading1"/>
    <w:uiPriority w:val="1"/>
    <w:rsid w:val="00C13F16"/>
    <w:rPr>
      <w:rFonts w:asciiTheme="majorHAnsi" w:eastAsiaTheme="majorEastAsia" w:hAnsiTheme="majorHAnsi" w:cstheme="majorBidi"/>
      <w:color w:val="2E74B5" w:themeColor="accent1" w:themeShade="BF"/>
      <w:sz w:val="40"/>
      <w:szCs w:val="40"/>
    </w:rPr>
  </w:style>
  <w:style w:type="character" w:styleId="Hyperlink">
    <w:name w:val="Hyperlink"/>
    <w:basedOn w:val="DefaultParagraphFont"/>
    <w:uiPriority w:val="99"/>
    <w:unhideWhenUsed/>
    <w:rsid w:val="00C13F16"/>
    <w:rPr>
      <w:color w:val="0563C1" w:themeColor="hyperlink"/>
      <w:u w:val="single"/>
    </w:rPr>
  </w:style>
  <w:style w:type="paragraph" w:styleId="TOC1">
    <w:name w:val="toc 1"/>
    <w:basedOn w:val="Normal"/>
    <w:next w:val="Normal"/>
    <w:autoRedefine/>
    <w:uiPriority w:val="39"/>
    <w:unhideWhenUsed/>
    <w:rsid w:val="00E07899"/>
    <w:pPr>
      <w:tabs>
        <w:tab w:val="left" w:pos="660"/>
        <w:tab w:val="right" w:leader="dot" w:pos="9016"/>
      </w:tabs>
      <w:spacing w:after="100" w:line="256" w:lineRule="auto"/>
    </w:pPr>
    <w:rPr>
      <w:rFonts w:eastAsiaTheme="minorHAnsi" w:cs="Arial"/>
      <w:b/>
      <w:noProof/>
      <w:szCs w:val="22"/>
      <w:lang w:eastAsia="en-US"/>
    </w:rPr>
  </w:style>
  <w:style w:type="paragraph" w:styleId="TOCHeading">
    <w:name w:val="TOC Heading"/>
    <w:basedOn w:val="Heading1"/>
    <w:next w:val="Normal"/>
    <w:uiPriority w:val="39"/>
    <w:unhideWhenUsed/>
    <w:qFormat/>
    <w:rsid w:val="00C13F16"/>
    <w:pPr>
      <w:spacing w:after="0"/>
      <w:outlineLvl w:val="9"/>
    </w:pPr>
    <w:rPr>
      <w:rFonts w:ascii="Arial" w:hAnsi="Arial"/>
      <w:b/>
      <w:color w:val="000000" w:themeColor="text1"/>
      <w:sz w:val="24"/>
      <w:szCs w:val="32"/>
      <w:lang w:val="en-US"/>
    </w:rPr>
  </w:style>
  <w:style w:type="paragraph" w:styleId="ListParagraph">
    <w:name w:val="List Paragraph"/>
    <w:basedOn w:val="Normal"/>
    <w:uiPriority w:val="1"/>
    <w:qFormat/>
    <w:rsid w:val="00C13F16"/>
    <w:pPr>
      <w:ind w:left="720"/>
      <w:contextualSpacing/>
    </w:pPr>
  </w:style>
  <w:style w:type="character" w:customStyle="1" w:styleId="Heading2Char">
    <w:name w:val="Heading 2 Char"/>
    <w:basedOn w:val="DefaultParagraphFont"/>
    <w:link w:val="Heading2"/>
    <w:uiPriority w:val="9"/>
    <w:rsid w:val="00C13F16"/>
    <w:rPr>
      <w:rFonts w:asciiTheme="majorHAnsi" w:eastAsiaTheme="majorEastAsia" w:hAnsiTheme="majorHAnsi" w:cstheme="majorBidi"/>
      <w:color w:val="2E74B5" w:themeColor="accent1" w:themeShade="BF"/>
      <w:sz w:val="26"/>
      <w:szCs w:val="26"/>
      <w:lang w:eastAsia="en-GB"/>
    </w:rPr>
  </w:style>
  <w:style w:type="paragraph" w:styleId="TOC2">
    <w:name w:val="toc 2"/>
    <w:basedOn w:val="Normal"/>
    <w:next w:val="Normal"/>
    <w:autoRedefine/>
    <w:uiPriority w:val="39"/>
    <w:unhideWhenUsed/>
    <w:rsid w:val="00E07899"/>
    <w:pPr>
      <w:tabs>
        <w:tab w:val="left" w:pos="880"/>
        <w:tab w:val="right" w:leader="dot" w:pos="9016"/>
      </w:tabs>
      <w:spacing w:after="100"/>
    </w:pPr>
  </w:style>
  <w:style w:type="paragraph" w:styleId="TOC3">
    <w:name w:val="toc 3"/>
    <w:basedOn w:val="Normal"/>
    <w:next w:val="Normal"/>
    <w:autoRedefine/>
    <w:uiPriority w:val="39"/>
    <w:unhideWhenUsed/>
    <w:rsid w:val="009C20C9"/>
    <w:pPr>
      <w:tabs>
        <w:tab w:val="left" w:pos="1100"/>
        <w:tab w:val="right" w:leader="dot" w:pos="9016"/>
      </w:tabs>
      <w:spacing w:after="100" w:line="259" w:lineRule="auto"/>
      <w:ind w:left="440"/>
    </w:pPr>
    <w:rPr>
      <w:rFonts w:eastAsiaTheme="minorEastAsia" w:cs="Arial"/>
      <w:noProof/>
      <w:szCs w:val="22"/>
      <w:lang w:val="en-US" w:eastAsia="en-US"/>
    </w:rPr>
  </w:style>
  <w:style w:type="table" w:styleId="TableGrid">
    <w:name w:val="Table Grid"/>
    <w:basedOn w:val="TableNormal"/>
    <w:uiPriority w:val="39"/>
    <w:rsid w:val="00E0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60923"/>
    <w:rPr>
      <w:rFonts w:asciiTheme="majorHAnsi" w:eastAsiaTheme="majorEastAsia" w:hAnsiTheme="majorHAnsi" w:cstheme="majorBidi"/>
      <w:color w:val="1F4D78" w:themeColor="accent1" w:themeShade="7F"/>
      <w:sz w:val="24"/>
      <w:szCs w:val="24"/>
      <w:lang w:eastAsia="en-GB"/>
    </w:rPr>
  </w:style>
  <w:style w:type="character" w:customStyle="1" w:styleId="Heading4Char">
    <w:name w:val="Heading 4 Char"/>
    <w:basedOn w:val="DefaultParagraphFont"/>
    <w:link w:val="Heading4"/>
    <w:uiPriority w:val="9"/>
    <w:semiHidden/>
    <w:rsid w:val="00AC7BA0"/>
    <w:rPr>
      <w:rFonts w:asciiTheme="majorHAnsi" w:eastAsiaTheme="majorEastAsia" w:hAnsiTheme="majorHAnsi" w:cstheme="majorBidi"/>
      <w:i/>
      <w:iCs/>
      <w:color w:val="2E74B5" w:themeColor="accent1" w:themeShade="BF"/>
      <w:szCs w:val="24"/>
      <w:lang w:eastAsia="en-GB"/>
    </w:rPr>
  </w:style>
  <w:style w:type="paragraph" w:styleId="NormalWeb">
    <w:name w:val="Normal (Web)"/>
    <w:basedOn w:val="Normal"/>
    <w:uiPriority w:val="99"/>
    <w:semiHidden/>
    <w:unhideWhenUsed/>
    <w:rsid w:val="00AC7BA0"/>
    <w:pPr>
      <w:spacing w:before="100" w:beforeAutospacing="1" w:after="100" w:afterAutospacing="1"/>
    </w:pPr>
    <w:rPr>
      <w:rFonts w:ascii="Times New Roman" w:hAnsi="Times New Roman"/>
      <w:sz w:val="24"/>
    </w:rPr>
  </w:style>
  <w:style w:type="paragraph" w:styleId="CommentText">
    <w:name w:val="annotation text"/>
    <w:basedOn w:val="Normal"/>
    <w:link w:val="CommentTextChar"/>
    <w:uiPriority w:val="99"/>
    <w:semiHidden/>
    <w:unhideWhenUsed/>
    <w:rsid w:val="00AC7BA0"/>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AC7BA0"/>
    <w:rPr>
      <w:sz w:val="20"/>
      <w:szCs w:val="20"/>
    </w:rPr>
  </w:style>
  <w:style w:type="paragraph" w:styleId="NoSpacing">
    <w:name w:val="No Spacing"/>
    <w:uiPriority w:val="1"/>
    <w:qFormat/>
    <w:rsid w:val="00AC7BA0"/>
    <w:pPr>
      <w:widowControl w:val="0"/>
      <w:spacing w:after="0" w:line="240" w:lineRule="auto"/>
    </w:pPr>
    <w:rPr>
      <w:lang w:val="en-US"/>
    </w:rPr>
  </w:style>
  <w:style w:type="paragraph" w:customStyle="1" w:styleId="paragraph">
    <w:name w:val="paragraph"/>
    <w:basedOn w:val="Normal"/>
    <w:uiPriority w:val="99"/>
    <w:rsid w:val="00AC7BA0"/>
    <w:pPr>
      <w:spacing w:before="100" w:beforeAutospacing="1" w:after="100" w:afterAutospacing="1"/>
    </w:pPr>
    <w:rPr>
      <w:rFonts w:ascii="Times New Roman" w:hAnsi="Times New Roman"/>
      <w:sz w:val="24"/>
    </w:rPr>
  </w:style>
  <w:style w:type="character" w:styleId="CommentReference">
    <w:name w:val="annotation reference"/>
    <w:basedOn w:val="DefaultParagraphFont"/>
    <w:uiPriority w:val="99"/>
    <w:semiHidden/>
    <w:unhideWhenUsed/>
    <w:rsid w:val="00AC7BA0"/>
    <w:rPr>
      <w:sz w:val="16"/>
      <w:szCs w:val="16"/>
    </w:rPr>
  </w:style>
  <w:style w:type="character" w:customStyle="1" w:styleId="normaltextrun">
    <w:name w:val="normaltextrun"/>
    <w:basedOn w:val="DefaultParagraphFont"/>
    <w:rsid w:val="00AC7BA0"/>
  </w:style>
  <w:style w:type="character" w:customStyle="1" w:styleId="eop">
    <w:name w:val="eop"/>
    <w:basedOn w:val="DefaultParagraphFont"/>
    <w:rsid w:val="00AC7BA0"/>
  </w:style>
  <w:style w:type="character" w:styleId="Strong">
    <w:name w:val="Strong"/>
    <w:basedOn w:val="DefaultParagraphFont"/>
    <w:uiPriority w:val="22"/>
    <w:qFormat/>
    <w:rsid w:val="00AC7BA0"/>
    <w:rPr>
      <w:b/>
      <w:bCs/>
    </w:rPr>
  </w:style>
  <w:style w:type="paragraph" w:styleId="BalloonText">
    <w:name w:val="Balloon Text"/>
    <w:basedOn w:val="Normal"/>
    <w:link w:val="BalloonTextChar"/>
    <w:uiPriority w:val="99"/>
    <w:semiHidden/>
    <w:unhideWhenUsed/>
    <w:rsid w:val="00AC7B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BA0"/>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AC7BA0"/>
    <w:pPr>
      <w:spacing w:after="0"/>
    </w:pPr>
    <w:rPr>
      <w:rFonts w:ascii="Arial" w:eastAsia="Times New Roman" w:hAnsi="Arial" w:cs="Times New Roman"/>
      <w:b/>
      <w:bCs/>
      <w:lang w:eastAsia="en-GB"/>
    </w:rPr>
  </w:style>
  <w:style w:type="character" w:customStyle="1" w:styleId="CommentSubjectChar">
    <w:name w:val="Comment Subject Char"/>
    <w:basedOn w:val="CommentTextChar"/>
    <w:link w:val="CommentSubject"/>
    <w:uiPriority w:val="99"/>
    <w:semiHidden/>
    <w:rsid w:val="00AC7BA0"/>
    <w:rPr>
      <w:rFonts w:ascii="Arial" w:eastAsia="Times New Roman" w:hAnsi="Arial" w:cs="Times New Roman"/>
      <w:b/>
      <w:bCs/>
      <w:sz w:val="20"/>
      <w:szCs w:val="20"/>
      <w:lang w:eastAsia="en-GB"/>
    </w:rPr>
  </w:style>
  <w:style w:type="character" w:styleId="FollowedHyperlink">
    <w:name w:val="FollowedHyperlink"/>
    <w:basedOn w:val="DefaultParagraphFont"/>
    <w:uiPriority w:val="99"/>
    <w:semiHidden/>
    <w:unhideWhenUsed/>
    <w:rsid w:val="00557F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632370">
      <w:bodyDiv w:val="1"/>
      <w:marLeft w:val="0"/>
      <w:marRight w:val="0"/>
      <w:marTop w:val="0"/>
      <w:marBottom w:val="0"/>
      <w:divBdr>
        <w:top w:val="none" w:sz="0" w:space="0" w:color="auto"/>
        <w:left w:val="none" w:sz="0" w:space="0" w:color="auto"/>
        <w:bottom w:val="none" w:sz="0" w:space="0" w:color="auto"/>
        <w:right w:val="none" w:sz="0" w:space="0" w:color="auto"/>
      </w:divBdr>
    </w:div>
    <w:div w:id="219245533">
      <w:bodyDiv w:val="1"/>
      <w:marLeft w:val="0"/>
      <w:marRight w:val="0"/>
      <w:marTop w:val="0"/>
      <w:marBottom w:val="0"/>
      <w:divBdr>
        <w:top w:val="none" w:sz="0" w:space="0" w:color="auto"/>
        <w:left w:val="none" w:sz="0" w:space="0" w:color="auto"/>
        <w:bottom w:val="none" w:sz="0" w:space="0" w:color="auto"/>
        <w:right w:val="none" w:sz="0" w:space="0" w:color="auto"/>
      </w:divBdr>
    </w:div>
    <w:div w:id="512841857">
      <w:bodyDiv w:val="1"/>
      <w:marLeft w:val="0"/>
      <w:marRight w:val="0"/>
      <w:marTop w:val="0"/>
      <w:marBottom w:val="0"/>
      <w:divBdr>
        <w:top w:val="none" w:sz="0" w:space="0" w:color="auto"/>
        <w:left w:val="none" w:sz="0" w:space="0" w:color="auto"/>
        <w:bottom w:val="none" w:sz="0" w:space="0" w:color="auto"/>
        <w:right w:val="none" w:sz="0" w:space="0" w:color="auto"/>
      </w:divBdr>
    </w:div>
    <w:div w:id="517620557">
      <w:bodyDiv w:val="1"/>
      <w:marLeft w:val="0"/>
      <w:marRight w:val="0"/>
      <w:marTop w:val="0"/>
      <w:marBottom w:val="0"/>
      <w:divBdr>
        <w:top w:val="none" w:sz="0" w:space="0" w:color="auto"/>
        <w:left w:val="none" w:sz="0" w:space="0" w:color="auto"/>
        <w:bottom w:val="none" w:sz="0" w:space="0" w:color="auto"/>
        <w:right w:val="none" w:sz="0" w:space="0" w:color="auto"/>
      </w:divBdr>
    </w:div>
    <w:div w:id="578518924">
      <w:bodyDiv w:val="1"/>
      <w:marLeft w:val="0"/>
      <w:marRight w:val="0"/>
      <w:marTop w:val="0"/>
      <w:marBottom w:val="0"/>
      <w:divBdr>
        <w:top w:val="none" w:sz="0" w:space="0" w:color="auto"/>
        <w:left w:val="none" w:sz="0" w:space="0" w:color="auto"/>
        <w:bottom w:val="none" w:sz="0" w:space="0" w:color="auto"/>
        <w:right w:val="none" w:sz="0" w:space="0" w:color="auto"/>
      </w:divBdr>
    </w:div>
    <w:div w:id="647369528">
      <w:bodyDiv w:val="1"/>
      <w:marLeft w:val="0"/>
      <w:marRight w:val="0"/>
      <w:marTop w:val="0"/>
      <w:marBottom w:val="0"/>
      <w:divBdr>
        <w:top w:val="none" w:sz="0" w:space="0" w:color="auto"/>
        <w:left w:val="none" w:sz="0" w:space="0" w:color="auto"/>
        <w:bottom w:val="none" w:sz="0" w:space="0" w:color="auto"/>
        <w:right w:val="none" w:sz="0" w:space="0" w:color="auto"/>
      </w:divBdr>
    </w:div>
    <w:div w:id="1068917268">
      <w:bodyDiv w:val="1"/>
      <w:marLeft w:val="0"/>
      <w:marRight w:val="0"/>
      <w:marTop w:val="0"/>
      <w:marBottom w:val="0"/>
      <w:divBdr>
        <w:top w:val="none" w:sz="0" w:space="0" w:color="auto"/>
        <w:left w:val="none" w:sz="0" w:space="0" w:color="auto"/>
        <w:bottom w:val="none" w:sz="0" w:space="0" w:color="auto"/>
        <w:right w:val="none" w:sz="0" w:space="0" w:color="auto"/>
      </w:divBdr>
    </w:div>
    <w:div w:id="1223831705">
      <w:bodyDiv w:val="1"/>
      <w:marLeft w:val="0"/>
      <w:marRight w:val="0"/>
      <w:marTop w:val="0"/>
      <w:marBottom w:val="0"/>
      <w:divBdr>
        <w:top w:val="none" w:sz="0" w:space="0" w:color="auto"/>
        <w:left w:val="none" w:sz="0" w:space="0" w:color="auto"/>
        <w:bottom w:val="none" w:sz="0" w:space="0" w:color="auto"/>
        <w:right w:val="none" w:sz="0" w:space="0" w:color="auto"/>
      </w:divBdr>
    </w:div>
    <w:div w:id="1277326714">
      <w:bodyDiv w:val="1"/>
      <w:marLeft w:val="0"/>
      <w:marRight w:val="0"/>
      <w:marTop w:val="0"/>
      <w:marBottom w:val="0"/>
      <w:divBdr>
        <w:top w:val="none" w:sz="0" w:space="0" w:color="auto"/>
        <w:left w:val="none" w:sz="0" w:space="0" w:color="auto"/>
        <w:bottom w:val="none" w:sz="0" w:space="0" w:color="auto"/>
        <w:right w:val="none" w:sz="0" w:space="0" w:color="auto"/>
      </w:divBdr>
    </w:div>
    <w:div w:id="1283537383">
      <w:bodyDiv w:val="1"/>
      <w:marLeft w:val="0"/>
      <w:marRight w:val="0"/>
      <w:marTop w:val="0"/>
      <w:marBottom w:val="0"/>
      <w:divBdr>
        <w:top w:val="none" w:sz="0" w:space="0" w:color="auto"/>
        <w:left w:val="none" w:sz="0" w:space="0" w:color="auto"/>
        <w:bottom w:val="none" w:sz="0" w:space="0" w:color="auto"/>
        <w:right w:val="none" w:sz="0" w:space="0" w:color="auto"/>
      </w:divBdr>
    </w:div>
    <w:div w:id="1327367605">
      <w:bodyDiv w:val="1"/>
      <w:marLeft w:val="0"/>
      <w:marRight w:val="0"/>
      <w:marTop w:val="0"/>
      <w:marBottom w:val="0"/>
      <w:divBdr>
        <w:top w:val="none" w:sz="0" w:space="0" w:color="auto"/>
        <w:left w:val="none" w:sz="0" w:space="0" w:color="auto"/>
        <w:bottom w:val="none" w:sz="0" w:space="0" w:color="auto"/>
        <w:right w:val="none" w:sz="0" w:space="0" w:color="auto"/>
      </w:divBdr>
    </w:div>
    <w:div w:id="1527526567">
      <w:bodyDiv w:val="1"/>
      <w:marLeft w:val="0"/>
      <w:marRight w:val="0"/>
      <w:marTop w:val="0"/>
      <w:marBottom w:val="0"/>
      <w:divBdr>
        <w:top w:val="none" w:sz="0" w:space="0" w:color="auto"/>
        <w:left w:val="none" w:sz="0" w:space="0" w:color="auto"/>
        <w:bottom w:val="none" w:sz="0" w:space="0" w:color="auto"/>
        <w:right w:val="none" w:sz="0" w:space="0" w:color="auto"/>
      </w:divBdr>
    </w:div>
    <w:div w:id="1694958480">
      <w:bodyDiv w:val="1"/>
      <w:marLeft w:val="0"/>
      <w:marRight w:val="0"/>
      <w:marTop w:val="0"/>
      <w:marBottom w:val="0"/>
      <w:divBdr>
        <w:top w:val="none" w:sz="0" w:space="0" w:color="auto"/>
        <w:left w:val="none" w:sz="0" w:space="0" w:color="auto"/>
        <w:bottom w:val="none" w:sz="0" w:space="0" w:color="auto"/>
        <w:right w:val="none" w:sz="0" w:space="0" w:color="auto"/>
      </w:divBdr>
    </w:div>
    <w:div w:id="1889995200">
      <w:bodyDiv w:val="1"/>
      <w:marLeft w:val="0"/>
      <w:marRight w:val="0"/>
      <w:marTop w:val="0"/>
      <w:marBottom w:val="0"/>
      <w:divBdr>
        <w:top w:val="none" w:sz="0" w:space="0" w:color="auto"/>
        <w:left w:val="none" w:sz="0" w:space="0" w:color="auto"/>
        <w:bottom w:val="none" w:sz="0" w:space="0" w:color="auto"/>
        <w:right w:val="none" w:sz="0" w:space="0" w:color="auto"/>
      </w:divBdr>
    </w:div>
    <w:div w:id="1904290190">
      <w:bodyDiv w:val="1"/>
      <w:marLeft w:val="0"/>
      <w:marRight w:val="0"/>
      <w:marTop w:val="0"/>
      <w:marBottom w:val="0"/>
      <w:divBdr>
        <w:top w:val="none" w:sz="0" w:space="0" w:color="auto"/>
        <w:left w:val="none" w:sz="0" w:space="0" w:color="auto"/>
        <w:bottom w:val="none" w:sz="0" w:space="0" w:color="auto"/>
        <w:right w:val="none" w:sz="0" w:space="0" w:color="auto"/>
      </w:divBdr>
    </w:div>
    <w:div w:id="1915698207">
      <w:bodyDiv w:val="1"/>
      <w:marLeft w:val="0"/>
      <w:marRight w:val="0"/>
      <w:marTop w:val="0"/>
      <w:marBottom w:val="0"/>
      <w:divBdr>
        <w:top w:val="none" w:sz="0" w:space="0" w:color="auto"/>
        <w:left w:val="none" w:sz="0" w:space="0" w:color="auto"/>
        <w:bottom w:val="none" w:sz="0" w:space="0" w:color="auto"/>
        <w:right w:val="none" w:sz="0" w:space="0" w:color="auto"/>
      </w:divBdr>
    </w:div>
    <w:div w:id="1921326009">
      <w:bodyDiv w:val="1"/>
      <w:marLeft w:val="0"/>
      <w:marRight w:val="0"/>
      <w:marTop w:val="0"/>
      <w:marBottom w:val="0"/>
      <w:divBdr>
        <w:top w:val="none" w:sz="0" w:space="0" w:color="auto"/>
        <w:left w:val="none" w:sz="0" w:space="0" w:color="auto"/>
        <w:bottom w:val="none" w:sz="0" w:space="0" w:color="auto"/>
        <w:right w:val="none" w:sz="0" w:space="0" w:color="auto"/>
      </w:divBdr>
    </w:div>
    <w:div w:id="1992832388">
      <w:bodyDiv w:val="1"/>
      <w:marLeft w:val="0"/>
      <w:marRight w:val="0"/>
      <w:marTop w:val="0"/>
      <w:marBottom w:val="0"/>
      <w:divBdr>
        <w:top w:val="none" w:sz="0" w:space="0" w:color="auto"/>
        <w:left w:val="none" w:sz="0" w:space="0" w:color="auto"/>
        <w:bottom w:val="none" w:sz="0" w:space="0" w:color="auto"/>
        <w:right w:val="none" w:sz="0" w:space="0" w:color="auto"/>
      </w:divBdr>
    </w:div>
    <w:div w:id="204455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ft.nhs.uk/intranet/teams-support-me/corporate-performance/resources-guidance-training" TargetMode="External"/><Relationship Id="rId18" Type="http://schemas.openxmlformats.org/officeDocument/2006/relationships/hyperlink" Target="https://nhs.sharepoint.com/:b:/s/msteams_5a5631/Ee4-IXNIEvNMsC1-OXnIqtoBbrJBlPJUKhaE93BpJ2aNKA?e=CxIWi6" TargetMode="External"/><Relationship Id="rId26" Type="http://schemas.openxmlformats.org/officeDocument/2006/relationships/hyperlink" Target="https://www.elft.nhs.uk/system/files/2022-04/Children%27s%20Community%20Nursing%20Team%20Operationa%20Policy%201.2.docx" TargetMode="External"/><Relationship Id="rId39" Type="http://schemas.openxmlformats.org/officeDocument/2006/relationships/image" Target="media/image5.png"/><Relationship Id="rId21" Type="http://schemas.openxmlformats.org/officeDocument/2006/relationships/hyperlink" Target="https://nhs.sharepoint.com/:w:/s/msteams_5a5631/EX8Bf_2krKVBlOgE-MLwzAsBVlZ3QnOZU6LezBDZMXfZjA?e=CEysUD" TargetMode="External"/><Relationship Id="rId34" Type="http://schemas.openxmlformats.org/officeDocument/2006/relationships/hyperlink" Target="https://www.elft.nhs.uk/intranet/documents/trust-wide-care-programme-approach-cpa-policy-14" TargetMode="External"/><Relationship Id="rId42" Type="http://schemas.openxmlformats.org/officeDocument/2006/relationships/hyperlink" Target="http://svr-dwprod/reports/report/Trustwide/Referrals/Referrals%20-%20All%20Seen%20Waiters" TargetMode="External"/><Relationship Id="rId47" Type="http://schemas.openxmlformats.org/officeDocument/2006/relationships/hyperlink" Target="https://www.england.nhs.uk/wp-content/uploads/sites/2/2025/02/Recording-and-reporting-RTT-waiting-times-guidance-v5.0-Feb25.pdf" TargetMode="External"/><Relationship Id="rId50"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lft.nhs.uk/admission-transfer-and-discharge-policy-mental-health-service" TargetMode="External"/><Relationship Id="rId29" Type="http://schemas.openxmlformats.org/officeDocument/2006/relationships/hyperlink" Target="https://www.elft.nhs.uk/sites/default/files/2024-06/Children%20in%20Care%20Clinical%20Initial%20and%20Review%20Health%20Assessments%20SOP%203.0.docx" TargetMode="External"/><Relationship Id="rId11" Type="http://schemas.openxmlformats.org/officeDocument/2006/relationships/image" Target="media/image1.jpeg"/><Relationship Id="rId24" Type="http://schemas.openxmlformats.org/officeDocument/2006/relationships/hyperlink" Target="https://www.elft.nhs.uk/intranet/documents/transition-child-and-adolescent-mental-health-services-adult-mental-health" TargetMode="External"/><Relationship Id="rId32" Type="http://schemas.openxmlformats.org/officeDocument/2006/relationships/hyperlink" Target="https://www.nhsgp.net/nhs-gp-appointment-booking-reforms-in-2025/"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nhs.sharepoint.com/:w:/s/msteams_5a5631/EbczsgqQWAxGveP3ddk6m6sBq10NqU7kxfsO1RZz9QCRRQ?e=qPJVHz" TargetMode="External"/><Relationship Id="rId31" Type="http://schemas.openxmlformats.org/officeDocument/2006/relationships/hyperlink" Target="https://nhs.sharepoint.com/:w:/s/msteams_5a5631/EemxdeM0OERPmky0PSCWtHEBYuSQ1zTVGfuTXHpVh6PT_Q?e=60C3k0" TargetMode="External"/><Relationship Id="rId44" Type="http://schemas.openxmlformats.org/officeDocument/2006/relationships/image" Target="media/image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lft.nhs.uk/sites/default/files/2022-01/da3510a_adult_cmht_op_policy_-_update_29.3.18.pdf" TargetMode="External"/><Relationship Id="rId22" Type="http://schemas.openxmlformats.org/officeDocument/2006/relationships/hyperlink" Target="https://nhs.sharepoint.com/:w:/s/msteams_5a5631/EVbI9Xd1RKhLkWs7BhAl1qwB0Q2IHsqo7qAPAowRGDXpew?e=J2fvjL" TargetMode="External"/><Relationship Id="rId27" Type="http://schemas.openxmlformats.org/officeDocument/2006/relationships/hyperlink" Target="https://www.elft.nhs.uk/system/files/2022-03/Dietetic%20Operational%20Policy%201.1.pdf" TargetMode="External"/><Relationship Id="rId30" Type="http://schemas.openxmlformats.org/officeDocument/2006/relationships/hyperlink" Target="https://www.elft.nhs.uk/sites/default/files/2024-03/Epilepsy%20nursing%20service%20operational%20policy%204.0.docx" TargetMode="External"/><Relationship Id="rId35" Type="http://schemas.openxmlformats.org/officeDocument/2006/relationships/hyperlink" Target="https://www.elft.nhs.uk/sites/default/files/2024-04/clinical_risk_assessment_and_management_policy_5.2.docx" TargetMode="External"/><Relationship Id="rId43" Type="http://schemas.openxmlformats.org/officeDocument/2006/relationships/image" Target="media/image7.png"/><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app.powerbi.com/groups/me/apps/cbc0ae13-db42-4ac1-8688-a2d86c3a2920/reports/0eb9f022-29be-4d2f-918f-57c5c95878bf/ReportSection?ctid=b7a2ec96-1f25-4ba8-b4e2-019abc93697f&amp;experience=power-bi" TargetMode="External"/><Relationship Id="rId17" Type="http://schemas.openxmlformats.org/officeDocument/2006/relationships/hyperlink" Target="https://nhs.sharepoint.com/:w:/s/msteams_5a5631/EXKanyQRj55NrSqlmjJOJ9IBRu_BXAD6UncJi5dfawmpRA?e=B2XHte" TargetMode="External"/><Relationship Id="rId25" Type="http://schemas.openxmlformats.org/officeDocument/2006/relationships/hyperlink" Target="https://www.elft.nhs.uk/sites/default/files/2022-01/da3725_appendix_14_da3725.pdf" TargetMode="External"/><Relationship Id="rId33" Type="http://schemas.openxmlformats.org/officeDocument/2006/relationships/hyperlink" Target="https://www.elft.nhs.uk/sites/default/files/2022-01/da3810a_appendix_1._risk_management_policy.pdf" TargetMode="External"/><Relationship Id="rId38" Type="http://schemas.openxmlformats.org/officeDocument/2006/relationships/image" Target="media/image4.png"/><Relationship Id="rId46" Type="http://schemas.openxmlformats.org/officeDocument/2006/relationships/hyperlink" Target="https://www.gov.uk/government/publications/right-to-start-consultant-led-treatment-within-18-weeks/referral-to-treatment-consultant-led-waiting-times-rules-suite-october-2022" TargetMode="External"/><Relationship Id="rId20" Type="http://schemas.openxmlformats.org/officeDocument/2006/relationships/hyperlink" Target="https://nhs.sharepoint.com/:w:/s/msteams_5a5631/ETLxqDbzSRZAqFMxY6XFNiQB5KzRVnKy_xFtDaTwFSqRcw?e=ibGdx6" TargetMode="External"/><Relationship Id="rId41" Type="http://schemas.openxmlformats.org/officeDocument/2006/relationships/hyperlink" Target="https://nhs.sharepoint.com/sites/msteams_5a5631/Shared%20Documents/ELFT%20Access%20Policy/Access%20policy%20V3%20(in%20progres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lft.nhs.uk/sites/default/files/2023-12/adult_safeguarding_policy_9.0.docx" TargetMode="External"/><Relationship Id="rId23" Type="http://schemas.openxmlformats.org/officeDocument/2006/relationships/hyperlink" Target="https://gbr01.safelinks.protection.outlook.com/?url=https%3A%2F%2Fwww.elft.nhs.uk%2Fintranet%2Fteams-support-me%2Fgovernance-and-risk-management%2Fpolicy-management%2Ftrust-policies&amp;data=05%7C02%7Cabi.winer%40nhs.net%7Cfa810b5553684dff02df08ddba289846%7C37c354b285b047f5b22207b48d774ee3%7C0%7C0%7C638871405704664515%7CUnknown%7CTWFpbGZsb3d8eyJFbXB0eU1hcGkiOnRydWUsIlYiOiIwLjAuMDAwMCIsIlAiOiJXaW4zMiIsIkFOIjoiTWFpbCIsIldUIjoyfQ%3D%3D%7C0%7C%7C%7C&amp;sdata=WTwNTNGnqBZjQYFW1C6fAkXXOqif8tAyYzlLsN87u5M%3D&amp;reserved=0" TargetMode="External"/><Relationship Id="rId28" Type="http://schemas.openxmlformats.org/officeDocument/2006/relationships/hyperlink" Target="https://www.elft.nhs.uk/sites/default/files/2023-06/Diana%20Children%E2%80%99s%20Community%20Palliative%20Care%20Team%20Operartional%20Policy%201.3_0.doc" TargetMode="External"/><Relationship Id="rId36" Type="http://schemas.openxmlformats.org/officeDocument/2006/relationships/image" Target="media/image2.png"/><Relationship Id="rId4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20c8ee1-5c4d-4fe6-a884-671ceaf52101">
      <Terms xmlns="http://schemas.microsoft.com/office/infopath/2007/PartnerControls"/>
    </lcf76f155ced4ddcb4097134ff3c332f>
    <TaxCatchAll xmlns="daf8bb99-f63a-4e33-b200-ec62ac311639" xsi:nil="true"/>
    <Reportedby xmlns="f20c8ee1-5c4d-4fe6-a884-671ceaf52101" xsi:nil="true"/>
    <ContractFundingSource xmlns="f20c8ee1-5c4d-4fe6-a884-671ceaf521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174624CA836641BE22D1EB9A9E2204" ma:contentTypeVersion="20" ma:contentTypeDescription="Create a new document." ma:contentTypeScope="" ma:versionID="ade49fcd4fbe536fe87612d722f6915a">
  <xsd:schema xmlns:xsd="http://www.w3.org/2001/XMLSchema" xmlns:xs="http://www.w3.org/2001/XMLSchema" xmlns:p="http://schemas.microsoft.com/office/2006/metadata/properties" xmlns:ns1="http://schemas.microsoft.com/sharepoint/v3" xmlns:ns2="f20c8ee1-5c4d-4fe6-a884-671ceaf52101" xmlns:ns3="daf8bb99-f63a-4e33-b200-ec62ac311639" targetNamespace="http://schemas.microsoft.com/office/2006/metadata/properties" ma:root="true" ma:fieldsID="0d9296c7ff625bd20adcb728d130b81f" ns1:_="" ns2:_="" ns3:_="">
    <xsd:import namespace="http://schemas.microsoft.com/sharepoint/v3"/>
    <xsd:import namespace="f20c8ee1-5c4d-4fe6-a884-671ceaf52101"/>
    <xsd:import namespace="daf8bb99-f63a-4e33-b200-ec62ac3116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Reportedby" minOccurs="0"/>
                <xsd:element ref="ns2:ContractFundingSource"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0c8ee1-5c4d-4fe6-a884-671ceaf52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eportedby" ma:index="14" nillable="true" ma:displayName="Reported by" ma:format="Dropdown" ma:internalName="Reportedby">
      <xsd:simpleType>
        <xsd:restriction base="dms:Text">
          <xsd:maxLength value="255"/>
        </xsd:restriction>
      </xsd:simpleType>
    </xsd:element>
    <xsd:element name="ContractFundingSource" ma:index="15" nillable="true" ma:displayName="Contract&amp; Funding Source" ma:format="Dropdown" ma:internalName="ContractFundingSource">
      <xsd:simpleType>
        <xsd:restriction base="dms:Text">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f8bb99-f63a-4e33-b200-ec62ac3116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2fa7a57f-5e65-4867-89e4-2c79845d1204}" ma:internalName="TaxCatchAll" ma:showField="CatchAllData" ma:web="daf8bb99-f63a-4e33-b200-ec62ac3116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AA7F36-69BE-4162-AEEB-7B022A5A0673}">
  <ds:schemaRefs>
    <ds:schemaRef ds:uri="http://purl.org/dc/terms/"/>
    <ds:schemaRef ds:uri="daf8bb99-f63a-4e33-b200-ec62ac311639"/>
    <ds:schemaRef ds:uri="http://schemas.microsoft.com/office/2006/documentManagement/type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schemas.microsoft.com/sharepoint/v3"/>
    <ds:schemaRef ds:uri="f20c8ee1-5c4d-4fe6-a884-671ceaf52101"/>
    <ds:schemaRef ds:uri="http://www.w3.org/XML/1998/namespace"/>
    <ds:schemaRef ds:uri="http://purl.org/dc/elements/1.1/"/>
  </ds:schemaRefs>
</ds:datastoreItem>
</file>

<file path=customXml/itemProps2.xml><?xml version="1.0" encoding="utf-8"?>
<ds:datastoreItem xmlns:ds="http://schemas.openxmlformats.org/officeDocument/2006/customXml" ds:itemID="{EE3F1006-D7A2-417C-BC23-CA4D182B2DA8}">
  <ds:schemaRefs>
    <ds:schemaRef ds:uri="http://schemas.microsoft.com/sharepoint/v3/contenttype/forms"/>
  </ds:schemaRefs>
</ds:datastoreItem>
</file>

<file path=customXml/itemProps3.xml><?xml version="1.0" encoding="utf-8"?>
<ds:datastoreItem xmlns:ds="http://schemas.openxmlformats.org/officeDocument/2006/customXml" ds:itemID="{89FE3142-32A3-405E-A855-1E785987AB62}">
  <ds:schemaRefs>
    <ds:schemaRef ds:uri="http://schemas.openxmlformats.org/officeDocument/2006/bibliography"/>
  </ds:schemaRefs>
</ds:datastoreItem>
</file>

<file path=customXml/itemProps4.xml><?xml version="1.0" encoding="utf-8"?>
<ds:datastoreItem xmlns:ds="http://schemas.openxmlformats.org/officeDocument/2006/customXml" ds:itemID="{D98452C3-8302-4EF6-AFDA-A7CE7315B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0c8ee1-5c4d-4fe6-a884-671ceaf52101"/>
    <ds:schemaRef ds:uri="daf8bb99-f63a-4e33-b200-ec62ac311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8008</Words>
  <Characters>45646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BAKSH DE LA IGLESIA, Amber (EAST LONDON NHS FOUNDATION TRUST)</dc:creator>
  <cp:keywords/>
  <dc:description/>
  <cp:lastModifiedBy>KHATUN, Rashida (EAST LONDON NHS FOUNDATION TRUST)</cp:lastModifiedBy>
  <cp:revision>3</cp:revision>
  <dcterms:created xsi:type="dcterms:W3CDTF">2025-11-04T09:34:00Z</dcterms:created>
  <dcterms:modified xsi:type="dcterms:W3CDTF">2025-11-04T09:34:00Z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0x01010031174624CA836641BE22D1EB9A9E2204</vt:lpwstr>
  </property>
  <property fmtid="{D5CDD505-2E9C-101B-9397-08002B2CF9AE}" pid="3" name="MediaServiceImageTags">
    <vt:lpwstr/>
  </property>
</Properties>
</file>