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2C3F" w14:textId="77777777" w:rsidR="002932AE" w:rsidRPr="00373A85" w:rsidRDefault="002932AE" w:rsidP="004E39BE">
      <w:pPr>
        <w:jc w:val="center"/>
        <w:rPr>
          <w:rFonts w:ascii="Arial" w:hAnsi="Arial" w:cs="Arial"/>
          <w:b/>
          <w:bCs/>
          <w:sz w:val="24"/>
          <w:szCs w:val="24"/>
        </w:rPr>
      </w:pPr>
      <w:r w:rsidRPr="00373A85">
        <w:rPr>
          <w:rFonts w:ascii="Arial" w:hAnsi="Arial" w:cs="Arial"/>
          <w:b/>
          <w:bCs/>
          <w:sz w:val="24"/>
          <w:szCs w:val="24"/>
        </w:rPr>
        <w:t>Policy in a Nutshell (November 2025)</w:t>
      </w:r>
    </w:p>
    <w:p w14:paraId="103C5358" w14:textId="77777777" w:rsidR="004E39BE" w:rsidRDefault="004E39BE" w:rsidP="004E39BE">
      <w:pPr>
        <w:jc w:val="center"/>
        <w:rPr>
          <w:rFonts w:ascii="Arial" w:hAnsi="Arial" w:cs="Arial"/>
          <w:b/>
          <w:bCs/>
        </w:rPr>
      </w:pPr>
    </w:p>
    <w:p w14:paraId="6E05D309" w14:textId="77777777" w:rsidR="004E39BE" w:rsidRDefault="004E39BE" w:rsidP="004E39BE">
      <w:pPr>
        <w:rPr>
          <w:rFonts w:ascii="Arial" w:hAnsi="Arial" w:cs="Arial"/>
        </w:rPr>
      </w:pPr>
      <w:r w:rsidRPr="004E39BE">
        <w:rPr>
          <w:rFonts w:ascii="Arial" w:hAnsi="Arial" w:cs="Arial"/>
        </w:rPr>
        <w:t xml:space="preserve">All Trust wide policies are available on the ELFT intranet, </w:t>
      </w:r>
    </w:p>
    <w:p w14:paraId="17061249" w14:textId="15492BB2" w:rsidR="004E39BE" w:rsidRPr="004E39BE" w:rsidRDefault="004E39BE" w:rsidP="004E39BE">
      <w:pPr>
        <w:rPr>
          <w:rFonts w:ascii="Arial" w:hAnsi="Arial" w:cs="Arial"/>
        </w:rPr>
      </w:pPr>
      <w:hyperlink r:id="rId4" w:history="1">
        <w:r w:rsidRPr="004E39BE">
          <w:rPr>
            <w:rStyle w:val="Hyperlink"/>
            <w:rFonts w:ascii="Arial" w:hAnsi="Arial" w:cs="Arial"/>
          </w:rPr>
          <w:t>https://www.elft.nhs.uk/intranet/teams-support-me/governance-and-risk-management/policy-management/trust-policies</w:t>
        </w:r>
      </w:hyperlink>
    </w:p>
    <w:p w14:paraId="29CB249F" w14:textId="3B2334A2" w:rsidR="004E39BE" w:rsidRDefault="004E39BE" w:rsidP="004E39BE">
      <w:pPr>
        <w:rPr>
          <w:rFonts w:ascii="Arial" w:hAnsi="Arial" w:cs="Arial"/>
        </w:rPr>
      </w:pPr>
      <w:r w:rsidRPr="004E39BE">
        <w:rPr>
          <w:rFonts w:ascii="Arial" w:hAnsi="Arial" w:cs="Arial"/>
        </w:rPr>
        <w:t xml:space="preserve">As a polite reminder please do not search for policies on the internet as not all policies are published externally, and you may not find what you are looking for! </w:t>
      </w:r>
    </w:p>
    <w:p w14:paraId="31749719" w14:textId="77777777" w:rsidR="00373A85" w:rsidRPr="00373A85" w:rsidRDefault="00373A85" w:rsidP="004E39BE">
      <w:pPr>
        <w:rPr>
          <w:rFonts w:ascii="Arial" w:hAnsi="Arial" w:cs="Arial"/>
        </w:rPr>
      </w:pPr>
    </w:p>
    <w:p w14:paraId="1F104AFF" w14:textId="47F5C8BF" w:rsidR="004E39BE" w:rsidRDefault="002932AE" w:rsidP="002932AE">
      <w:pPr>
        <w:rPr>
          <w:rFonts w:ascii="Arial" w:hAnsi="Arial" w:cs="Arial"/>
          <w:b/>
          <w:bCs/>
        </w:rPr>
      </w:pPr>
      <w:r w:rsidRPr="004E39BE">
        <w:rPr>
          <w:rFonts w:ascii="Arial" w:hAnsi="Arial" w:cs="Arial"/>
          <w:b/>
          <w:bCs/>
        </w:rPr>
        <w:t>The following policies were ratified or extended recently by the Quality Committee.</w:t>
      </w:r>
    </w:p>
    <w:p w14:paraId="735AA99E" w14:textId="77777777" w:rsidR="00373A85" w:rsidRDefault="00373A85" w:rsidP="002932AE">
      <w:pPr>
        <w:rPr>
          <w:rFonts w:ascii="Arial" w:hAnsi="Arial" w:cs="Arial"/>
          <w:b/>
          <w:bCs/>
        </w:rPr>
      </w:pPr>
    </w:p>
    <w:p w14:paraId="01717E0D" w14:textId="69272DAE" w:rsidR="002010EB" w:rsidRPr="004E39BE" w:rsidRDefault="002932AE" w:rsidP="002932AE">
      <w:pPr>
        <w:rPr>
          <w:rFonts w:ascii="Arial" w:hAnsi="Arial" w:cs="Arial"/>
          <w:b/>
          <w:bCs/>
        </w:rPr>
      </w:pPr>
      <w:r w:rsidRPr="004E39BE">
        <w:rPr>
          <w:rFonts w:ascii="Arial" w:hAnsi="Arial" w:cs="Arial"/>
        </w:rPr>
        <w:t xml:space="preserve">The </w:t>
      </w:r>
      <w:r w:rsidR="002010EB" w:rsidRPr="004E39BE">
        <w:rPr>
          <w:rFonts w:ascii="Arial" w:hAnsi="Arial" w:cs="Arial"/>
          <w:b/>
          <w:bCs/>
        </w:rPr>
        <w:t>Electro</w:t>
      </w:r>
      <w:r w:rsidR="002010EB" w:rsidRPr="004E39BE">
        <w:rPr>
          <w:rFonts w:ascii="Arial" w:hAnsi="Arial" w:cs="Arial"/>
          <w:b/>
          <w:bCs/>
        </w:rPr>
        <w:noBreakHyphen/>
        <w:t xml:space="preserve">Convulsive Therapy (ECT) Policy </w:t>
      </w:r>
      <w:r w:rsidRPr="004E39BE">
        <w:rPr>
          <w:rFonts w:ascii="Arial" w:hAnsi="Arial" w:cs="Arial"/>
        </w:rPr>
        <w:t>provides a governance framework for the safe and effective administration of Electroconvulsive Therapy within the Trust. It offers evidence</w:t>
      </w:r>
      <w:r w:rsidRPr="004E39BE">
        <w:rPr>
          <w:rFonts w:ascii="Arial" w:hAnsi="Arial" w:cs="Arial"/>
        </w:rPr>
        <w:noBreakHyphen/>
        <w:t>based guidance to prescribers, treating clinicians and referring professionals, ensuring ECT is delivered consistently and in line with national ECTAS standards. The policy outlines roles and responsibilities, pre</w:t>
      </w:r>
      <w:r w:rsidRPr="004E39BE">
        <w:rPr>
          <w:rFonts w:ascii="Arial" w:hAnsi="Arial" w:cs="Arial"/>
        </w:rPr>
        <w:noBreakHyphen/>
        <w:t xml:space="preserve">treatment assessment requirements, legal considerations under the Mental Health Act and Mental Capacity Act, and anaesthetic contraindications. </w:t>
      </w:r>
    </w:p>
    <w:p w14:paraId="58BA44AE" w14:textId="79FD5EB5" w:rsidR="002932AE" w:rsidRPr="004E39BE" w:rsidRDefault="002932AE" w:rsidP="002932AE">
      <w:pPr>
        <w:rPr>
          <w:rFonts w:ascii="Arial" w:hAnsi="Arial" w:cs="Arial"/>
          <w:b/>
          <w:bCs/>
        </w:rPr>
      </w:pPr>
      <w:r w:rsidRPr="004E39BE">
        <w:rPr>
          <w:rFonts w:ascii="Arial" w:hAnsi="Arial" w:cs="Arial"/>
        </w:rPr>
        <w:t xml:space="preserve">Changes to this policy included minor updates to training requirements and references. </w:t>
      </w:r>
    </w:p>
    <w:p w14:paraId="663ABF22" w14:textId="468551DD" w:rsidR="002010EB" w:rsidRDefault="004E39BE" w:rsidP="002932AE">
      <w:pPr>
        <w:rPr>
          <w:rFonts w:ascii="Arial" w:hAnsi="Arial" w:cs="Arial"/>
        </w:rPr>
      </w:pPr>
      <w:hyperlink r:id="rId5" w:history="1">
        <w:r w:rsidRPr="005A6C12">
          <w:rPr>
            <w:rStyle w:val="Hyperlink"/>
            <w:rFonts w:ascii="Arial" w:hAnsi="Arial" w:cs="Arial"/>
          </w:rPr>
          <w:t>https://www.elft.nhs.uk/sites/default/files/2025-11/ElectroConvulsive%20Therapy%20%28ECT%29%20Policy%205.0.docx</w:t>
        </w:r>
      </w:hyperlink>
      <w:r>
        <w:rPr>
          <w:rFonts w:ascii="Arial" w:hAnsi="Arial" w:cs="Arial"/>
        </w:rPr>
        <w:t xml:space="preserve"> </w:t>
      </w:r>
    </w:p>
    <w:p w14:paraId="1288F916" w14:textId="77777777" w:rsidR="004E39BE" w:rsidRDefault="004E39BE" w:rsidP="002932AE">
      <w:pPr>
        <w:rPr>
          <w:rFonts w:ascii="Arial" w:hAnsi="Arial" w:cs="Arial"/>
        </w:rPr>
      </w:pPr>
    </w:p>
    <w:p w14:paraId="6DD975F4" w14:textId="77777777" w:rsidR="004E39BE" w:rsidRPr="004E39BE" w:rsidRDefault="004E39BE" w:rsidP="002932AE">
      <w:pPr>
        <w:rPr>
          <w:rFonts w:ascii="Arial" w:hAnsi="Arial" w:cs="Arial"/>
        </w:rPr>
      </w:pPr>
    </w:p>
    <w:p w14:paraId="088DA2C2" w14:textId="77777777" w:rsidR="002010EB" w:rsidRPr="004E39BE" w:rsidRDefault="002932AE" w:rsidP="002932AE">
      <w:pPr>
        <w:rPr>
          <w:rFonts w:ascii="Arial" w:hAnsi="Arial" w:cs="Arial"/>
        </w:rPr>
      </w:pPr>
      <w:r w:rsidRPr="004E39BE">
        <w:rPr>
          <w:rFonts w:ascii="Arial" w:hAnsi="Arial" w:cs="Arial"/>
        </w:rPr>
        <w:t>Th</w:t>
      </w:r>
      <w:r w:rsidR="002010EB" w:rsidRPr="004E39BE">
        <w:rPr>
          <w:rFonts w:ascii="Arial" w:hAnsi="Arial" w:cs="Arial"/>
        </w:rPr>
        <w:t xml:space="preserve">e </w:t>
      </w:r>
      <w:r w:rsidR="002010EB" w:rsidRPr="004E39BE">
        <w:rPr>
          <w:rFonts w:ascii="Arial" w:hAnsi="Arial" w:cs="Arial"/>
          <w:b/>
          <w:bCs/>
        </w:rPr>
        <w:t xml:space="preserve">Advance Decision to Refuse Treatment Policy </w:t>
      </w:r>
      <w:r w:rsidRPr="004E39BE">
        <w:rPr>
          <w:rFonts w:ascii="Arial" w:hAnsi="Arial" w:cs="Arial"/>
        </w:rPr>
        <w:t xml:space="preserve">sets out what practitioners should do when an individual has made an advance decision to refuse treatment. It explains the legal framework under the Mental Capacity Act 2005 and Mental Health Act 1983, outlining when an advance decision must be respected and when it may be overridden. </w:t>
      </w:r>
    </w:p>
    <w:p w14:paraId="29C8C1EA" w14:textId="3CA99AB5" w:rsidR="002932AE" w:rsidRPr="004E39BE" w:rsidRDefault="002932AE" w:rsidP="002932AE">
      <w:pPr>
        <w:rPr>
          <w:rFonts w:ascii="Arial" w:hAnsi="Arial" w:cs="Arial"/>
          <w:b/>
          <w:bCs/>
        </w:rPr>
      </w:pPr>
      <w:r w:rsidRPr="004E39BE">
        <w:rPr>
          <w:rFonts w:ascii="Arial" w:hAnsi="Arial" w:cs="Arial"/>
        </w:rPr>
        <w:t xml:space="preserve">There were no changes made during this review. </w:t>
      </w:r>
    </w:p>
    <w:p w14:paraId="25E5531C" w14:textId="4A85A8B1" w:rsidR="002010EB" w:rsidRDefault="004E39BE" w:rsidP="002932AE">
      <w:pPr>
        <w:rPr>
          <w:rFonts w:ascii="Arial" w:hAnsi="Arial" w:cs="Arial"/>
        </w:rPr>
      </w:pPr>
      <w:hyperlink r:id="rId6" w:history="1">
        <w:r w:rsidRPr="004E39BE">
          <w:rPr>
            <w:rStyle w:val="Hyperlink"/>
            <w:rFonts w:ascii="Arial" w:hAnsi="Arial" w:cs="Arial"/>
          </w:rPr>
          <w:t>https://www.elft.nhs.uk/sites/default/files/2025-11/Advance%20Decision%20to%20Refuse%20Treatment%20Policy%206.0.docx</w:t>
        </w:r>
      </w:hyperlink>
      <w:r w:rsidRPr="004E39BE">
        <w:rPr>
          <w:rFonts w:ascii="Arial" w:hAnsi="Arial" w:cs="Arial"/>
        </w:rPr>
        <w:t xml:space="preserve"> </w:t>
      </w:r>
    </w:p>
    <w:p w14:paraId="589B3F3E" w14:textId="77777777" w:rsidR="004E39BE" w:rsidRDefault="004E39BE" w:rsidP="002932AE">
      <w:pPr>
        <w:rPr>
          <w:rFonts w:ascii="Arial" w:hAnsi="Arial" w:cs="Arial"/>
        </w:rPr>
      </w:pPr>
    </w:p>
    <w:p w14:paraId="69A18BC5" w14:textId="463C9B48" w:rsidR="004E39BE" w:rsidRPr="004E39BE" w:rsidRDefault="004E39BE" w:rsidP="002932AE">
      <w:pPr>
        <w:rPr>
          <w:rFonts w:ascii="Arial" w:hAnsi="Arial" w:cs="Arial"/>
        </w:rPr>
      </w:pPr>
    </w:p>
    <w:p w14:paraId="501595DF" w14:textId="77777777" w:rsidR="002010EB" w:rsidRPr="004E39BE" w:rsidRDefault="002932AE" w:rsidP="002932AE">
      <w:pPr>
        <w:rPr>
          <w:rFonts w:ascii="Arial" w:hAnsi="Arial" w:cs="Arial"/>
        </w:rPr>
      </w:pPr>
      <w:r w:rsidRPr="004E39BE">
        <w:rPr>
          <w:rFonts w:ascii="Arial" w:hAnsi="Arial" w:cs="Arial"/>
        </w:rPr>
        <w:t>Th</w:t>
      </w:r>
      <w:r w:rsidR="002010EB" w:rsidRPr="004E39BE">
        <w:rPr>
          <w:rFonts w:ascii="Arial" w:hAnsi="Arial" w:cs="Arial"/>
        </w:rPr>
        <w:t xml:space="preserve">e </w:t>
      </w:r>
      <w:r w:rsidR="002010EB" w:rsidRPr="004E39BE">
        <w:rPr>
          <w:rFonts w:ascii="Arial" w:hAnsi="Arial" w:cs="Arial"/>
          <w:b/>
          <w:bCs/>
        </w:rPr>
        <w:t>Policy on the Use of Physical Holding Skills</w:t>
      </w:r>
      <w:r w:rsidRPr="004E39BE">
        <w:rPr>
          <w:rFonts w:ascii="Arial" w:hAnsi="Arial" w:cs="Arial"/>
        </w:rPr>
        <w:t xml:space="preserve"> outlines the appropriate use of physical interventions when non</w:t>
      </w:r>
      <w:r w:rsidRPr="004E39BE">
        <w:rPr>
          <w:rFonts w:ascii="Arial" w:hAnsi="Arial" w:cs="Arial"/>
        </w:rPr>
        <w:noBreakHyphen/>
        <w:t>physical strategies such as communication and de</w:t>
      </w:r>
      <w:r w:rsidRPr="004E39BE">
        <w:rPr>
          <w:rFonts w:ascii="Arial" w:hAnsi="Arial" w:cs="Arial"/>
        </w:rPr>
        <w:noBreakHyphen/>
        <w:t xml:space="preserve">escalation have failed. Only staff trained in Safety Intervention or MAPA may use these techniques. Planned prone restraint is prohibited, and any physical intervention must be followed by a full debrief. </w:t>
      </w:r>
    </w:p>
    <w:p w14:paraId="191B07C9" w14:textId="6723658D" w:rsidR="002932AE" w:rsidRPr="004E39BE" w:rsidRDefault="002932AE" w:rsidP="002932AE">
      <w:pPr>
        <w:rPr>
          <w:rFonts w:ascii="Arial" w:hAnsi="Arial" w:cs="Arial"/>
        </w:rPr>
      </w:pPr>
      <w:r w:rsidRPr="004E39BE">
        <w:rPr>
          <w:rFonts w:ascii="Arial" w:hAnsi="Arial" w:cs="Arial"/>
        </w:rPr>
        <w:t xml:space="preserve">Changes to this policy included updating references from Datix to </w:t>
      </w:r>
      <w:proofErr w:type="spellStart"/>
      <w:r w:rsidRPr="004E39BE">
        <w:rPr>
          <w:rFonts w:ascii="Arial" w:hAnsi="Arial" w:cs="Arial"/>
        </w:rPr>
        <w:t>InPhase</w:t>
      </w:r>
      <w:proofErr w:type="spellEnd"/>
      <w:r w:rsidRPr="004E39BE">
        <w:rPr>
          <w:rFonts w:ascii="Arial" w:hAnsi="Arial" w:cs="Arial"/>
        </w:rPr>
        <w:t xml:space="preserve"> and adding Appendix 3 – Memorandum of Understanding: Police Use of Restraint in Mental Health and Learning Disability Settings. </w:t>
      </w:r>
    </w:p>
    <w:p w14:paraId="38F96E15" w14:textId="53D2A2D6" w:rsidR="002010EB" w:rsidRPr="00373A85" w:rsidRDefault="00373A85" w:rsidP="002932AE">
      <w:pPr>
        <w:rPr>
          <w:rFonts w:ascii="Arial" w:hAnsi="Arial" w:cs="Arial"/>
        </w:rPr>
      </w:pPr>
      <w:hyperlink r:id="rId7" w:history="1">
        <w:r w:rsidRPr="005A6C12">
          <w:rPr>
            <w:rStyle w:val="Hyperlink"/>
            <w:rFonts w:ascii="Arial" w:hAnsi="Arial" w:cs="Arial"/>
          </w:rPr>
          <w:t>https://www.elft.nhs.uk/sites/default/files/2025-11/Policy%20on%20the%20use%20of%20Physical%20Holding%20Skills%208.3.docx</w:t>
        </w:r>
      </w:hyperlink>
      <w:r>
        <w:rPr>
          <w:rFonts w:ascii="Arial" w:hAnsi="Arial" w:cs="Arial"/>
        </w:rPr>
        <w:t xml:space="preserve"> </w:t>
      </w:r>
    </w:p>
    <w:p w14:paraId="7E60CEFC" w14:textId="77777777" w:rsidR="00373A85" w:rsidRDefault="00373A85" w:rsidP="002932AE">
      <w:pPr>
        <w:rPr>
          <w:rFonts w:ascii="Arial" w:hAnsi="Arial" w:cs="Arial"/>
        </w:rPr>
      </w:pPr>
    </w:p>
    <w:p w14:paraId="6A9B615F" w14:textId="77777777" w:rsidR="00373A85" w:rsidRDefault="00373A85" w:rsidP="002932AE">
      <w:pPr>
        <w:rPr>
          <w:rFonts w:ascii="Arial" w:hAnsi="Arial" w:cs="Arial"/>
        </w:rPr>
      </w:pPr>
    </w:p>
    <w:p w14:paraId="2973C02A" w14:textId="77777777" w:rsidR="00FC0868" w:rsidRPr="00FC0868" w:rsidRDefault="002932AE" w:rsidP="00FC0868">
      <w:pPr>
        <w:rPr>
          <w:rFonts w:ascii="Arial" w:hAnsi="Arial" w:cs="Arial"/>
        </w:rPr>
      </w:pPr>
      <w:r w:rsidRPr="004E39BE">
        <w:rPr>
          <w:rFonts w:ascii="Arial" w:hAnsi="Arial" w:cs="Arial"/>
        </w:rPr>
        <w:t>Th</w:t>
      </w:r>
      <w:r w:rsidR="002010EB" w:rsidRPr="004E39BE">
        <w:rPr>
          <w:rFonts w:ascii="Arial" w:hAnsi="Arial" w:cs="Arial"/>
        </w:rPr>
        <w:t xml:space="preserve">e </w:t>
      </w:r>
      <w:r w:rsidR="002010EB" w:rsidRPr="004E39BE">
        <w:rPr>
          <w:rFonts w:ascii="Arial" w:hAnsi="Arial" w:cs="Arial"/>
          <w:b/>
          <w:bCs/>
        </w:rPr>
        <w:t xml:space="preserve">Adult Urinary Catheter Insertion and Management Policy </w:t>
      </w:r>
      <w:r w:rsidR="00FC0868" w:rsidRPr="00FC0868">
        <w:rPr>
          <w:rFonts w:ascii="Arial" w:hAnsi="Arial" w:cs="Arial"/>
        </w:rPr>
        <w:t>provides best-practice guidance for the assessment, insertion, management, and removal of urethral and suprapubic urinary catheters, aiming to prevent complications and reduce catheter-associated infections. Catheterisation should only be undertaken after thorough assessment and when less invasive bladder management methods are unsuitable. Care must be delivered sensitively and equitably, ensuring all patients receive appropriate support regardless of age, gender, disability, race, or sexual orientation.</w:t>
      </w:r>
    </w:p>
    <w:p w14:paraId="589FD5F6" w14:textId="77777777" w:rsidR="00FC0868" w:rsidRPr="00FC0868" w:rsidRDefault="00FC0868" w:rsidP="00FC0868">
      <w:pPr>
        <w:rPr>
          <w:rFonts w:ascii="Arial" w:hAnsi="Arial" w:cs="Arial"/>
        </w:rPr>
      </w:pPr>
      <w:r w:rsidRPr="00FC0868">
        <w:rPr>
          <w:rFonts w:ascii="Arial" w:hAnsi="Arial" w:cs="Arial"/>
        </w:rPr>
        <w:t>The policy supports safe, effective bladder management, promoting patient independence and aligning with the Trust’s commitment to reducing catheter-related infections.</w:t>
      </w:r>
    </w:p>
    <w:p w14:paraId="1132187D" w14:textId="77777777" w:rsidR="00FC0868" w:rsidRDefault="00FC0868" w:rsidP="00FC0868">
      <w:pPr>
        <w:rPr>
          <w:rFonts w:ascii="Arial" w:hAnsi="Arial" w:cs="Arial"/>
        </w:rPr>
      </w:pPr>
      <w:r w:rsidRPr="00FC0868">
        <w:rPr>
          <w:rFonts w:ascii="Arial" w:hAnsi="Arial" w:cs="Arial"/>
        </w:rPr>
        <w:t>This policy was updated with current research and evidence-based practices, clarification of the Registered Nursing Associate role, and revised guidance on who can perform catheterisation and associated skills development requirements.</w:t>
      </w:r>
    </w:p>
    <w:p w14:paraId="482C97AE" w14:textId="6755D690" w:rsidR="00373A85" w:rsidRDefault="005F5B99" w:rsidP="00FC0868">
      <w:pPr>
        <w:rPr>
          <w:rFonts w:ascii="Arial" w:hAnsi="Arial" w:cs="Arial"/>
        </w:rPr>
      </w:pPr>
      <w:hyperlink r:id="rId8" w:history="1">
        <w:r w:rsidRPr="005A6C12">
          <w:rPr>
            <w:rStyle w:val="Hyperlink"/>
            <w:rFonts w:ascii="Arial" w:hAnsi="Arial" w:cs="Arial"/>
          </w:rPr>
          <w:t>https://www.elft.nhs.uk/sites/default/files/202511/Adult%20Urinary%20Catheter%20Insertion%20and%20Management%20policy%20for%20Community%20Health%20Staff%204.0.docx</w:t>
        </w:r>
      </w:hyperlink>
      <w:r w:rsidR="00373A85">
        <w:rPr>
          <w:rFonts w:ascii="Arial" w:hAnsi="Arial" w:cs="Arial"/>
        </w:rPr>
        <w:t xml:space="preserve"> </w:t>
      </w:r>
    </w:p>
    <w:p w14:paraId="7D6B9D13" w14:textId="77777777" w:rsidR="00373A85" w:rsidRDefault="00373A85" w:rsidP="002932AE">
      <w:pPr>
        <w:rPr>
          <w:rFonts w:ascii="Arial" w:hAnsi="Arial" w:cs="Arial"/>
          <w:b/>
          <w:bCs/>
        </w:rPr>
      </w:pPr>
    </w:p>
    <w:p w14:paraId="33F5676D" w14:textId="77777777" w:rsidR="00373A85" w:rsidRPr="004E39BE" w:rsidRDefault="00373A85" w:rsidP="002932AE">
      <w:pPr>
        <w:rPr>
          <w:rFonts w:ascii="Arial" w:hAnsi="Arial" w:cs="Arial"/>
          <w:b/>
          <w:bCs/>
        </w:rPr>
      </w:pPr>
    </w:p>
    <w:p w14:paraId="5AFA17BD" w14:textId="77777777" w:rsidR="002932AE" w:rsidRPr="004E39BE" w:rsidRDefault="002932AE" w:rsidP="002932AE">
      <w:pPr>
        <w:rPr>
          <w:rFonts w:ascii="Arial" w:hAnsi="Arial" w:cs="Arial"/>
          <w:b/>
          <w:bCs/>
        </w:rPr>
      </w:pPr>
      <w:r w:rsidRPr="004E39BE">
        <w:rPr>
          <w:rFonts w:ascii="Arial" w:hAnsi="Arial" w:cs="Arial"/>
          <w:b/>
          <w:bCs/>
        </w:rPr>
        <w:t>Medical Device Policy</w:t>
      </w:r>
    </w:p>
    <w:p w14:paraId="0C3F8B31" w14:textId="77777777" w:rsidR="00FC0868" w:rsidRDefault="00FC0868" w:rsidP="002932AE">
      <w:pPr>
        <w:rPr>
          <w:rFonts w:ascii="Arial" w:hAnsi="Arial" w:cs="Arial"/>
        </w:rPr>
      </w:pPr>
      <w:r w:rsidRPr="00FC0868">
        <w:rPr>
          <w:rFonts w:ascii="Arial" w:hAnsi="Arial" w:cs="Arial"/>
        </w:rPr>
        <w:t>The Medical Devices Policy provides a clear framework governing the acquisition, use, maintenance, and disposal of all reusable medical devices to ensure safe systems of work across the organisation. Healthcare staff play a critical role in the safe procurement and operation of devices, which are essential for diagnosis, monitoring, rehabilitation, and ongoing care. Effective management of these resources supports high-quality patient outcomes, reduces the risk of adverse incidents, and strengthens both clinical and financial governance.</w:t>
      </w:r>
    </w:p>
    <w:p w14:paraId="476D94E9" w14:textId="7E7FE9F6" w:rsidR="002932AE" w:rsidRDefault="002932AE" w:rsidP="002932AE">
      <w:pPr>
        <w:rPr>
          <w:rFonts w:ascii="Arial" w:hAnsi="Arial" w:cs="Arial"/>
        </w:rPr>
      </w:pPr>
      <w:r w:rsidRPr="004E39BE">
        <w:rPr>
          <w:rFonts w:ascii="Arial" w:hAnsi="Arial" w:cs="Arial"/>
        </w:rPr>
        <w:t xml:space="preserve">The policy was fully updated in line with MHRA guidance. </w:t>
      </w:r>
    </w:p>
    <w:p w14:paraId="211452BF" w14:textId="40A8FDB7" w:rsidR="00373A85" w:rsidRDefault="00373A85" w:rsidP="002932AE">
      <w:pPr>
        <w:rPr>
          <w:rFonts w:ascii="Arial" w:hAnsi="Arial" w:cs="Arial"/>
        </w:rPr>
      </w:pPr>
      <w:hyperlink r:id="rId9" w:history="1">
        <w:r w:rsidRPr="005A6C12">
          <w:rPr>
            <w:rStyle w:val="Hyperlink"/>
            <w:rFonts w:ascii="Arial" w:hAnsi="Arial" w:cs="Arial"/>
          </w:rPr>
          <w:t>https://www.elft.nhs.uk/sites/default/files/202511/Medical%20Device%20Policy%206.0_0.docx</w:t>
        </w:r>
      </w:hyperlink>
      <w:r>
        <w:rPr>
          <w:rFonts w:ascii="Arial" w:hAnsi="Arial" w:cs="Arial"/>
        </w:rPr>
        <w:t xml:space="preserve"> </w:t>
      </w:r>
    </w:p>
    <w:p w14:paraId="6BF8B959" w14:textId="77777777" w:rsidR="00373A85" w:rsidRPr="004E39BE" w:rsidRDefault="00373A85" w:rsidP="002932AE">
      <w:pPr>
        <w:rPr>
          <w:rFonts w:ascii="Arial" w:hAnsi="Arial" w:cs="Arial"/>
        </w:rPr>
      </w:pPr>
    </w:p>
    <w:p w14:paraId="51F69406" w14:textId="77777777" w:rsidR="002932AE" w:rsidRPr="004E39BE" w:rsidRDefault="002932AE" w:rsidP="002932AE">
      <w:pPr>
        <w:rPr>
          <w:rFonts w:ascii="Arial" w:hAnsi="Arial" w:cs="Arial"/>
          <w:b/>
          <w:bCs/>
        </w:rPr>
      </w:pPr>
      <w:r w:rsidRPr="004E39BE">
        <w:rPr>
          <w:rFonts w:ascii="Arial" w:hAnsi="Arial" w:cs="Arial"/>
          <w:b/>
          <w:bCs/>
        </w:rPr>
        <w:t>Therapeutic Engagement and Observation Policy</w:t>
      </w:r>
    </w:p>
    <w:p w14:paraId="335B9334" w14:textId="77777777" w:rsidR="00FC0868" w:rsidRDefault="00FC0868" w:rsidP="002932AE">
      <w:pPr>
        <w:rPr>
          <w:rFonts w:ascii="Arial" w:hAnsi="Arial" w:cs="Arial"/>
        </w:rPr>
      </w:pPr>
      <w:r w:rsidRPr="00FC0868">
        <w:rPr>
          <w:rFonts w:ascii="Arial" w:hAnsi="Arial" w:cs="Arial"/>
        </w:rPr>
        <w:t>The policy's purpose is to provide direction and guidance for the planning, implementation and undertaking of high-quality supportive observation procedures for the services in receipt of inpatient care. It provides a framework for the care of patients who may be suicidal, at risk of self-harm, harm from or to others; risk associated with physical frailty, or physical or psychotic or cognitive deterioration, increased risk of falls, and sexual disinhibition.</w:t>
      </w:r>
    </w:p>
    <w:p w14:paraId="7B997ACD" w14:textId="255119E8" w:rsidR="002932AE" w:rsidRPr="004E39BE" w:rsidRDefault="002932AE" w:rsidP="002932AE">
      <w:pPr>
        <w:rPr>
          <w:rFonts w:ascii="Arial" w:hAnsi="Arial" w:cs="Arial"/>
        </w:rPr>
      </w:pPr>
      <w:r w:rsidRPr="004E39BE">
        <w:rPr>
          <w:rFonts w:ascii="Arial" w:hAnsi="Arial" w:cs="Arial"/>
        </w:rPr>
        <w:t>A minor amendment clarified documentation requirements and decision</w:t>
      </w:r>
      <w:r w:rsidRPr="004E39BE">
        <w:rPr>
          <w:rFonts w:ascii="Arial" w:hAnsi="Arial" w:cs="Arial"/>
        </w:rPr>
        <w:noBreakHyphen/>
        <w:t>making processes for de</w:t>
      </w:r>
      <w:r w:rsidRPr="004E39BE">
        <w:rPr>
          <w:rFonts w:ascii="Arial" w:hAnsi="Arial" w:cs="Arial"/>
        </w:rPr>
        <w:noBreakHyphen/>
        <w:t>escalating observations.</w:t>
      </w:r>
    </w:p>
    <w:p w14:paraId="7F267DFE" w14:textId="481A35E1" w:rsidR="00373A85" w:rsidRDefault="00373A85" w:rsidP="002932AE">
      <w:pPr>
        <w:rPr>
          <w:rFonts w:ascii="Arial" w:hAnsi="Arial" w:cs="Arial"/>
        </w:rPr>
      </w:pPr>
      <w:hyperlink r:id="rId10" w:history="1">
        <w:r w:rsidRPr="00373A85">
          <w:rPr>
            <w:rStyle w:val="Hyperlink"/>
            <w:rFonts w:ascii="Arial" w:hAnsi="Arial" w:cs="Arial"/>
          </w:rPr>
          <w:t>https://www.elft.nhs.uk/intranet/documents/observation-policy-90</w:t>
        </w:r>
      </w:hyperlink>
      <w:r w:rsidRPr="00373A85">
        <w:rPr>
          <w:rFonts w:ascii="Arial" w:hAnsi="Arial" w:cs="Arial"/>
        </w:rPr>
        <w:t xml:space="preserve"> </w:t>
      </w:r>
    </w:p>
    <w:p w14:paraId="0514FA46" w14:textId="77777777" w:rsidR="00373A85" w:rsidRPr="00373A85" w:rsidRDefault="00373A85" w:rsidP="002932AE">
      <w:pPr>
        <w:rPr>
          <w:rFonts w:ascii="Arial" w:hAnsi="Arial" w:cs="Arial"/>
        </w:rPr>
      </w:pPr>
    </w:p>
    <w:p w14:paraId="741A5B9B" w14:textId="1FE4B619" w:rsidR="004E39BE" w:rsidRDefault="00373A85" w:rsidP="004E39BE">
      <w:pPr>
        <w:shd w:val="clear" w:color="auto" w:fill="FFFFFF"/>
        <w:jc w:val="both"/>
        <w:rPr>
          <w:rFonts w:ascii="Arial" w:hAnsi="Arial" w:cs="Arial"/>
          <w:b/>
          <w:bCs/>
          <w:u w:val="single"/>
        </w:rPr>
      </w:pPr>
      <w:r w:rsidRPr="00373A85">
        <w:rPr>
          <w:rFonts w:ascii="Arial" w:hAnsi="Arial" w:cs="Arial"/>
          <w:b/>
          <w:bCs/>
          <w:u w:val="single"/>
        </w:rPr>
        <w:t>Policies for Extension</w:t>
      </w:r>
    </w:p>
    <w:p w14:paraId="11967D00" w14:textId="77777777" w:rsidR="00373A85" w:rsidRPr="00373A85" w:rsidRDefault="00373A85" w:rsidP="004E39BE">
      <w:pPr>
        <w:shd w:val="clear" w:color="auto" w:fill="FFFFFF"/>
        <w:jc w:val="both"/>
        <w:rPr>
          <w:rFonts w:ascii="Arial" w:hAnsi="Arial" w:cs="Arial"/>
          <w:bCs/>
          <w:u w:val="single"/>
        </w:rPr>
      </w:pPr>
    </w:p>
    <w:tbl>
      <w:tblPr>
        <w:tblStyle w:val="TableGrid"/>
        <w:tblW w:w="9555" w:type="dxa"/>
        <w:tblLook w:val="04A0" w:firstRow="1" w:lastRow="0" w:firstColumn="1" w:lastColumn="0" w:noHBand="0" w:noVBand="1"/>
      </w:tblPr>
      <w:tblGrid>
        <w:gridCol w:w="3317"/>
        <w:gridCol w:w="2411"/>
        <w:gridCol w:w="3827"/>
      </w:tblGrid>
      <w:tr w:rsidR="004E39BE" w:rsidRPr="004E39BE" w14:paraId="7225AE0D" w14:textId="77777777" w:rsidTr="00E439E7">
        <w:tc>
          <w:tcPr>
            <w:tcW w:w="3317" w:type="dxa"/>
          </w:tcPr>
          <w:p w14:paraId="32393BCD" w14:textId="77777777" w:rsidR="004E39BE" w:rsidRPr="004E39BE" w:rsidRDefault="004E39BE" w:rsidP="00E439E7">
            <w:pPr>
              <w:shd w:val="clear" w:color="auto" w:fill="FFFFFF"/>
              <w:jc w:val="both"/>
              <w:rPr>
                <w:rFonts w:ascii="Arial" w:hAnsi="Arial" w:cs="Arial"/>
                <w:b/>
                <w:bCs/>
                <w:sz w:val="22"/>
                <w:szCs w:val="22"/>
              </w:rPr>
            </w:pPr>
            <w:r w:rsidRPr="004E39BE">
              <w:rPr>
                <w:rFonts w:ascii="Arial" w:hAnsi="Arial" w:cs="Arial"/>
                <w:b/>
                <w:bCs/>
                <w:sz w:val="22"/>
                <w:szCs w:val="22"/>
              </w:rPr>
              <w:t>Policy Name</w:t>
            </w:r>
          </w:p>
        </w:tc>
        <w:tc>
          <w:tcPr>
            <w:tcW w:w="2411" w:type="dxa"/>
          </w:tcPr>
          <w:p w14:paraId="58B7EFED" w14:textId="77777777" w:rsidR="004E39BE" w:rsidRPr="004E39BE" w:rsidRDefault="004E39BE" w:rsidP="00E439E7">
            <w:pPr>
              <w:shd w:val="clear" w:color="auto" w:fill="FFFFFF"/>
              <w:jc w:val="both"/>
              <w:rPr>
                <w:rFonts w:ascii="Arial" w:hAnsi="Arial" w:cs="Arial"/>
                <w:b/>
                <w:bCs/>
                <w:sz w:val="22"/>
                <w:szCs w:val="22"/>
              </w:rPr>
            </w:pPr>
            <w:r w:rsidRPr="004E39BE">
              <w:rPr>
                <w:rFonts w:ascii="Arial" w:hAnsi="Arial" w:cs="Arial"/>
                <w:b/>
                <w:bCs/>
                <w:sz w:val="22"/>
                <w:szCs w:val="22"/>
              </w:rPr>
              <w:t>Extension requested to</w:t>
            </w:r>
          </w:p>
        </w:tc>
        <w:tc>
          <w:tcPr>
            <w:tcW w:w="3827" w:type="dxa"/>
          </w:tcPr>
          <w:p w14:paraId="237C49BD" w14:textId="77777777" w:rsidR="004E39BE" w:rsidRPr="004E39BE" w:rsidRDefault="004E39BE" w:rsidP="00E439E7">
            <w:pPr>
              <w:shd w:val="clear" w:color="auto" w:fill="FFFFFF"/>
              <w:jc w:val="both"/>
              <w:rPr>
                <w:rFonts w:ascii="Arial" w:hAnsi="Arial" w:cs="Arial"/>
                <w:b/>
                <w:bCs/>
                <w:sz w:val="22"/>
                <w:szCs w:val="22"/>
              </w:rPr>
            </w:pPr>
            <w:r w:rsidRPr="004E39BE">
              <w:rPr>
                <w:rFonts w:ascii="Arial" w:hAnsi="Arial" w:cs="Arial"/>
                <w:b/>
                <w:bCs/>
                <w:sz w:val="22"/>
                <w:szCs w:val="22"/>
              </w:rPr>
              <w:t>Rationale</w:t>
            </w:r>
          </w:p>
        </w:tc>
      </w:tr>
      <w:tr w:rsidR="004E39BE" w:rsidRPr="004E39BE" w14:paraId="3A9E053A" w14:textId="77777777" w:rsidTr="00E439E7">
        <w:tc>
          <w:tcPr>
            <w:tcW w:w="3317" w:type="dxa"/>
          </w:tcPr>
          <w:p w14:paraId="2A93131F"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sz w:val="22"/>
                <w:szCs w:val="22"/>
              </w:rPr>
              <w:t>Long Term Segregation Policy</w:t>
            </w:r>
          </w:p>
        </w:tc>
        <w:tc>
          <w:tcPr>
            <w:tcW w:w="2411" w:type="dxa"/>
          </w:tcPr>
          <w:p w14:paraId="67516367" w14:textId="77777777" w:rsidR="004E39BE" w:rsidRPr="004E39BE" w:rsidRDefault="004E39BE" w:rsidP="00E439E7">
            <w:pPr>
              <w:shd w:val="clear" w:color="auto" w:fill="FFFFFF"/>
              <w:jc w:val="both"/>
              <w:rPr>
                <w:rFonts w:ascii="Arial" w:hAnsi="Arial" w:cs="Arial"/>
                <w:bCs/>
                <w:sz w:val="22"/>
                <w:szCs w:val="22"/>
              </w:rPr>
            </w:pPr>
            <w:r w:rsidRPr="004E39BE">
              <w:rPr>
                <w:rFonts w:ascii="Arial" w:hAnsi="Arial" w:cs="Arial"/>
                <w:bCs/>
                <w:sz w:val="22"/>
                <w:szCs w:val="22"/>
              </w:rPr>
              <w:t>May 2026</w:t>
            </w:r>
          </w:p>
        </w:tc>
        <w:tc>
          <w:tcPr>
            <w:tcW w:w="3827" w:type="dxa"/>
          </w:tcPr>
          <w:p w14:paraId="385F49C6"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bCs/>
                <w:sz w:val="22"/>
                <w:szCs w:val="22"/>
              </w:rPr>
              <w:t>Extended until March 2026 to allow for consultation and input from others</w:t>
            </w:r>
          </w:p>
        </w:tc>
      </w:tr>
      <w:tr w:rsidR="004E39BE" w:rsidRPr="004E39BE" w14:paraId="5A521B39" w14:textId="77777777" w:rsidTr="00E439E7">
        <w:tc>
          <w:tcPr>
            <w:tcW w:w="3317" w:type="dxa"/>
          </w:tcPr>
          <w:p w14:paraId="5B3B42CF"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sz w:val="22"/>
                <w:szCs w:val="22"/>
              </w:rPr>
              <w:t>Legal Claims Policy</w:t>
            </w:r>
          </w:p>
        </w:tc>
        <w:tc>
          <w:tcPr>
            <w:tcW w:w="2411" w:type="dxa"/>
          </w:tcPr>
          <w:p w14:paraId="0B7ED6A5" w14:textId="77777777" w:rsidR="004E39BE" w:rsidRPr="004E39BE" w:rsidRDefault="004E39BE" w:rsidP="00E439E7">
            <w:pPr>
              <w:shd w:val="clear" w:color="auto" w:fill="FFFFFF"/>
              <w:jc w:val="both"/>
              <w:rPr>
                <w:rFonts w:ascii="Arial" w:hAnsi="Arial" w:cs="Arial"/>
                <w:bCs/>
                <w:sz w:val="22"/>
                <w:szCs w:val="22"/>
              </w:rPr>
            </w:pPr>
            <w:r w:rsidRPr="004E39BE">
              <w:rPr>
                <w:rFonts w:ascii="Arial" w:hAnsi="Arial" w:cs="Arial"/>
                <w:bCs/>
                <w:sz w:val="22"/>
                <w:szCs w:val="22"/>
              </w:rPr>
              <w:t>February 2026</w:t>
            </w:r>
          </w:p>
        </w:tc>
        <w:tc>
          <w:tcPr>
            <w:tcW w:w="3827" w:type="dxa"/>
          </w:tcPr>
          <w:p w14:paraId="1BFD2A72"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bCs/>
                <w:sz w:val="22"/>
                <w:szCs w:val="22"/>
              </w:rPr>
              <w:t>Extended for 3 months to agree processes for review</w:t>
            </w:r>
          </w:p>
        </w:tc>
      </w:tr>
      <w:tr w:rsidR="004E39BE" w:rsidRPr="004E39BE" w14:paraId="33285548" w14:textId="77777777" w:rsidTr="00E439E7">
        <w:tc>
          <w:tcPr>
            <w:tcW w:w="3317" w:type="dxa"/>
          </w:tcPr>
          <w:p w14:paraId="1AEB424F"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sz w:val="22"/>
                <w:szCs w:val="22"/>
              </w:rPr>
              <w:t>Risk Management Framework</w:t>
            </w:r>
          </w:p>
        </w:tc>
        <w:tc>
          <w:tcPr>
            <w:tcW w:w="2411" w:type="dxa"/>
          </w:tcPr>
          <w:p w14:paraId="4E5B9A0E" w14:textId="77777777" w:rsidR="004E39BE" w:rsidRPr="004E39BE" w:rsidRDefault="004E39BE" w:rsidP="00E439E7">
            <w:pPr>
              <w:shd w:val="clear" w:color="auto" w:fill="FFFFFF"/>
              <w:jc w:val="both"/>
              <w:rPr>
                <w:rFonts w:ascii="Arial" w:hAnsi="Arial" w:cs="Arial"/>
                <w:bCs/>
                <w:sz w:val="22"/>
                <w:szCs w:val="22"/>
              </w:rPr>
            </w:pPr>
            <w:r w:rsidRPr="004E39BE">
              <w:rPr>
                <w:rFonts w:ascii="Arial" w:hAnsi="Arial" w:cs="Arial"/>
                <w:bCs/>
                <w:sz w:val="22"/>
                <w:szCs w:val="22"/>
              </w:rPr>
              <w:t>February 2026</w:t>
            </w:r>
          </w:p>
        </w:tc>
        <w:tc>
          <w:tcPr>
            <w:tcW w:w="3827" w:type="dxa"/>
          </w:tcPr>
          <w:p w14:paraId="2B31DE42"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bCs/>
                <w:sz w:val="22"/>
                <w:szCs w:val="22"/>
              </w:rPr>
              <w:t>Extended for 3 months whilst awaiting result of risk management audit</w:t>
            </w:r>
          </w:p>
        </w:tc>
      </w:tr>
      <w:tr w:rsidR="004E39BE" w:rsidRPr="004E39BE" w14:paraId="1933ADBF" w14:textId="77777777" w:rsidTr="00E439E7">
        <w:tc>
          <w:tcPr>
            <w:tcW w:w="3317" w:type="dxa"/>
          </w:tcPr>
          <w:p w14:paraId="2D5C73B0"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sz w:val="22"/>
                <w:szCs w:val="22"/>
              </w:rPr>
              <w:t>Same Sex Accommodation (DSSA) Policy</w:t>
            </w:r>
          </w:p>
        </w:tc>
        <w:tc>
          <w:tcPr>
            <w:tcW w:w="2411" w:type="dxa"/>
          </w:tcPr>
          <w:p w14:paraId="4ECEFA2F" w14:textId="77777777" w:rsidR="004E39BE" w:rsidRPr="004E39BE" w:rsidRDefault="004E39BE" w:rsidP="00E439E7">
            <w:pPr>
              <w:shd w:val="clear" w:color="auto" w:fill="FFFFFF"/>
              <w:jc w:val="both"/>
              <w:rPr>
                <w:rFonts w:ascii="Arial" w:hAnsi="Arial" w:cs="Arial"/>
                <w:bCs/>
                <w:sz w:val="22"/>
                <w:szCs w:val="22"/>
              </w:rPr>
            </w:pPr>
            <w:r w:rsidRPr="004E39BE">
              <w:rPr>
                <w:rFonts w:ascii="Arial" w:hAnsi="Arial" w:cs="Arial"/>
                <w:bCs/>
                <w:sz w:val="22"/>
                <w:szCs w:val="22"/>
              </w:rPr>
              <w:t>May 2026</w:t>
            </w:r>
          </w:p>
        </w:tc>
        <w:tc>
          <w:tcPr>
            <w:tcW w:w="3827" w:type="dxa"/>
          </w:tcPr>
          <w:p w14:paraId="7560AF58"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bCs/>
                <w:sz w:val="22"/>
                <w:szCs w:val="22"/>
              </w:rPr>
              <w:t>Extended for 6 months due to changes in the law and pending guidance from NHSE</w:t>
            </w:r>
          </w:p>
        </w:tc>
      </w:tr>
      <w:tr w:rsidR="004E39BE" w:rsidRPr="004E39BE" w14:paraId="3E390E4A" w14:textId="77777777" w:rsidTr="00E439E7">
        <w:tc>
          <w:tcPr>
            <w:tcW w:w="3317" w:type="dxa"/>
          </w:tcPr>
          <w:p w14:paraId="6E9D25B7"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sz w:val="22"/>
                <w:szCs w:val="22"/>
              </w:rPr>
              <w:t>Transgender Inpatients Policy</w:t>
            </w:r>
          </w:p>
        </w:tc>
        <w:tc>
          <w:tcPr>
            <w:tcW w:w="2411" w:type="dxa"/>
          </w:tcPr>
          <w:p w14:paraId="1DBCD990" w14:textId="77777777" w:rsidR="004E39BE" w:rsidRPr="004E39BE" w:rsidRDefault="004E39BE" w:rsidP="00E439E7">
            <w:pPr>
              <w:shd w:val="clear" w:color="auto" w:fill="FFFFFF"/>
              <w:jc w:val="both"/>
              <w:rPr>
                <w:rFonts w:ascii="Arial" w:hAnsi="Arial" w:cs="Arial"/>
                <w:bCs/>
                <w:sz w:val="22"/>
                <w:szCs w:val="22"/>
              </w:rPr>
            </w:pPr>
            <w:r w:rsidRPr="004E39BE">
              <w:rPr>
                <w:rFonts w:ascii="Arial" w:hAnsi="Arial" w:cs="Arial"/>
                <w:bCs/>
                <w:sz w:val="22"/>
                <w:szCs w:val="22"/>
              </w:rPr>
              <w:t>May 2026</w:t>
            </w:r>
          </w:p>
        </w:tc>
        <w:tc>
          <w:tcPr>
            <w:tcW w:w="3827" w:type="dxa"/>
          </w:tcPr>
          <w:p w14:paraId="70F33B5B"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bCs/>
                <w:sz w:val="22"/>
                <w:szCs w:val="22"/>
              </w:rPr>
              <w:t>Extended for 6 months due to changes in the law and pending guidance from NHSE</w:t>
            </w:r>
          </w:p>
        </w:tc>
      </w:tr>
      <w:tr w:rsidR="004E39BE" w:rsidRPr="004E39BE" w14:paraId="3C713652" w14:textId="77777777" w:rsidTr="00E439E7">
        <w:tc>
          <w:tcPr>
            <w:tcW w:w="3317" w:type="dxa"/>
          </w:tcPr>
          <w:p w14:paraId="2DE60D04" w14:textId="77777777" w:rsidR="004E39BE" w:rsidRPr="004E39BE" w:rsidRDefault="004E39BE" w:rsidP="00E439E7">
            <w:pPr>
              <w:shd w:val="clear" w:color="auto" w:fill="FFFFFF"/>
              <w:rPr>
                <w:rFonts w:ascii="Arial" w:hAnsi="Arial" w:cs="Arial"/>
                <w:sz w:val="22"/>
                <w:szCs w:val="22"/>
              </w:rPr>
            </w:pPr>
            <w:r w:rsidRPr="004E39BE">
              <w:rPr>
                <w:rFonts w:ascii="Arial" w:hAnsi="Arial" w:cs="Arial"/>
                <w:sz w:val="22"/>
                <w:szCs w:val="22"/>
              </w:rPr>
              <w:t>Infection Prevention and Control Policy Manual</w:t>
            </w:r>
          </w:p>
        </w:tc>
        <w:tc>
          <w:tcPr>
            <w:tcW w:w="2411" w:type="dxa"/>
          </w:tcPr>
          <w:p w14:paraId="6D8E2E03" w14:textId="77777777" w:rsidR="004E39BE" w:rsidRPr="004E39BE" w:rsidRDefault="004E39BE" w:rsidP="00E439E7">
            <w:pPr>
              <w:shd w:val="clear" w:color="auto" w:fill="FFFFFF"/>
              <w:jc w:val="both"/>
              <w:rPr>
                <w:rFonts w:ascii="Arial" w:hAnsi="Arial" w:cs="Arial"/>
                <w:bCs/>
                <w:sz w:val="22"/>
                <w:szCs w:val="22"/>
              </w:rPr>
            </w:pPr>
            <w:r w:rsidRPr="004E39BE">
              <w:rPr>
                <w:rFonts w:ascii="Arial" w:hAnsi="Arial" w:cs="Arial"/>
                <w:bCs/>
                <w:sz w:val="22"/>
                <w:szCs w:val="22"/>
              </w:rPr>
              <w:t>January 2025</w:t>
            </w:r>
          </w:p>
        </w:tc>
        <w:tc>
          <w:tcPr>
            <w:tcW w:w="3827" w:type="dxa"/>
          </w:tcPr>
          <w:p w14:paraId="028827F3" w14:textId="77777777" w:rsidR="004E39BE" w:rsidRPr="004E39BE" w:rsidRDefault="004E39BE" w:rsidP="00E439E7">
            <w:pPr>
              <w:shd w:val="clear" w:color="auto" w:fill="FFFFFF"/>
              <w:rPr>
                <w:rFonts w:ascii="Arial" w:hAnsi="Arial" w:cs="Arial"/>
                <w:bCs/>
                <w:sz w:val="22"/>
                <w:szCs w:val="22"/>
              </w:rPr>
            </w:pPr>
            <w:r w:rsidRPr="004E39BE">
              <w:rPr>
                <w:rFonts w:ascii="Arial" w:hAnsi="Arial" w:cs="Arial"/>
                <w:bCs/>
                <w:sz w:val="22"/>
                <w:szCs w:val="22"/>
              </w:rPr>
              <w:t>Extended for 3 months whilst awaiting approval at February 2026 IPC Committee</w:t>
            </w:r>
          </w:p>
        </w:tc>
      </w:tr>
    </w:tbl>
    <w:p w14:paraId="53391FF0" w14:textId="77777777" w:rsidR="004E39BE" w:rsidRPr="004E39BE" w:rsidRDefault="004E39BE" w:rsidP="002932AE">
      <w:pPr>
        <w:rPr>
          <w:rFonts w:ascii="Arial" w:hAnsi="Arial" w:cs="Arial"/>
          <w:b/>
          <w:bCs/>
        </w:rPr>
      </w:pPr>
    </w:p>
    <w:p w14:paraId="7DE45081" w14:textId="77777777" w:rsidR="00373A85" w:rsidRDefault="00373A85" w:rsidP="002932AE">
      <w:pPr>
        <w:rPr>
          <w:rFonts w:ascii="Arial" w:hAnsi="Arial" w:cs="Arial"/>
          <w:b/>
          <w:bCs/>
        </w:rPr>
      </w:pPr>
    </w:p>
    <w:p w14:paraId="2F0390D8" w14:textId="72DF5C49" w:rsidR="00373A85" w:rsidRPr="00373A85" w:rsidRDefault="00373A85" w:rsidP="002932AE">
      <w:pPr>
        <w:rPr>
          <w:rFonts w:ascii="Arial" w:hAnsi="Arial" w:cs="Arial"/>
          <w:b/>
          <w:bCs/>
          <w:u w:val="single"/>
        </w:rPr>
      </w:pPr>
      <w:r w:rsidRPr="00373A85">
        <w:rPr>
          <w:rFonts w:ascii="Arial" w:hAnsi="Arial" w:cs="Arial"/>
          <w:b/>
          <w:bCs/>
          <w:u w:val="single"/>
        </w:rPr>
        <w:t>Other Trust Policies Ratified this month:</w:t>
      </w:r>
    </w:p>
    <w:p w14:paraId="42FDE481" w14:textId="77777777" w:rsidR="00373A85" w:rsidRDefault="00373A85">
      <w:pPr>
        <w:rPr>
          <w:rFonts w:ascii="Arial" w:hAnsi="Arial" w:cs="Arial"/>
        </w:rPr>
      </w:pPr>
    </w:p>
    <w:p w14:paraId="0BED8FAE" w14:textId="06CB5EBB" w:rsidR="00BE3A04" w:rsidRPr="00373A85" w:rsidRDefault="00373A85">
      <w:pPr>
        <w:rPr>
          <w:rFonts w:ascii="Arial" w:hAnsi="Arial" w:cs="Arial"/>
          <w:b/>
          <w:bCs/>
        </w:rPr>
      </w:pPr>
      <w:r w:rsidRPr="00373A85">
        <w:rPr>
          <w:rFonts w:ascii="Arial" w:hAnsi="Arial" w:cs="Arial"/>
          <w:b/>
          <w:bCs/>
        </w:rPr>
        <w:t>Antipsychotics and Mood Stabilisers Physical Health Monitoring Guidance</w:t>
      </w:r>
    </w:p>
    <w:p w14:paraId="08056E2C" w14:textId="77777777" w:rsidR="00FC0868" w:rsidRDefault="00FC0868">
      <w:pPr>
        <w:rPr>
          <w:rFonts w:ascii="Arial" w:hAnsi="Arial" w:cs="Arial"/>
        </w:rPr>
      </w:pPr>
      <w:r w:rsidRPr="00FC0868">
        <w:rPr>
          <w:rFonts w:ascii="Arial" w:hAnsi="Arial" w:cs="Arial"/>
        </w:rPr>
        <w:t xml:space="preserve">This guidance defines the minimum standards for physical health monitoring of antipsychotic and mood-stabilising medications across adult, older adult, rehabilitation, and learning-disability services within </w:t>
      </w:r>
      <w:r>
        <w:rPr>
          <w:rFonts w:ascii="Arial" w:hAnsi="Arial" w:cs="Arial"/>
        </w:rPr>
        <w:t xml:space="preserve">the </w:t>
      </w:r>
      <w:r w:rsidRPr="00FC0868">
        <w:rPr>
          <w:rFonts w:ascii="Arial" w:hAnsi="Arial" w:cs="Arial"/>
        </w:rPr>
        <w:t xml:space="preserve">Trust. </w:t>
      </w:r>
    </w:p>
    <w:p w14:paraId="319BFC6F" w14:textId="72C4E6CF" w:rsidR="00FC0868" w:rsidRDefault="00FC0868">
      <w:pPr>
        <w:rPr>
          <w:rFonts w:ascii="Arial" w:hAnsi="Arial" w:cs="Arial"/>
        </w:rPr>
      </w:pPr>
      <w:r w:rsidRPr="00FC0868">
        <w:rPr>
          <w:rFonts w:ascii="Arial" w:hAnsi="Arial" w:cs="Arial"/>
        </w:rPr>
        <w:t xml:space="preserve">It emphasises that each service must determine how to implement these standards while meeting additional local </w:t>
      </w:r>
      <w:r w:rsidRPr="00FC0868">
        <w:rPr>
          <w:rFonts w:ascii="Arial" w:hAnsi="Arial" w:cs="Arial"/>
        </w:rPr>
        <w:t>needs and</w:t>
      </w:r>
      <w:r w:rsidRPr="00FC0868">
        <w:rPr>
          <w:rFonts w:ascii="Arial" w:hAnsi="Arial" w:cs="Arial"/>
        </w:rPr>
        <w:t xml:space="preserve"> should be read alongside related ELFT policies (e.g., Clozapine, Lithium, Valproate, Depot Prescribing). </w:t>
      </w:r>
    </w:p>
    <w:p w14:paraId="5AC78306" w14:textId="536054A4" w:rsidR="00373A85" w:rsidRDefault="00FC0868">
      <w:pPr>
        <w:rPr>
          <w:rFonts w:ascii="Arial" w:hAnsi="Arial" w:cs="Arial"/>
        </w:rPr>
      </w:pPr>
      <w:r w:rsidRPr="00FC0868">
        <w:rPr>
          <w:rFonts w:ascii="Arial" w:hAnsi="Arial" w:cs="Arial"/>
        </w:rPr>
        <w:t>Because these medications can cause significant physical health effects—such as weight gain, hyperlipidaemia, and diabetes—the guidance reinforces the requirement for at least annual physical health checks and outlines mental health services’ responsibility to monitor side-effects for the first 12 months or until stabilisation before shared-care arrangements may apply. Its purpose is to provide clear, simplified direction on the monitoring required for different patient groups based on national and local guidance.</w:t>
      </w:r>
    </w:p>
    <w:p w14:paraId="4A8FB97A" w14:textId="77777777" w:rsidR="00373A85" w:rsidRDefault="00373A85">
      <w:pPr>
        <w:rPr>
          <w:rFonts w:ascii="Arial" w:hAnsi="Arial" w:cs="Arial"/>
        </w:rPr>
      </w:pPr>
    </w:p>
    <w:p w14:paraId="19A31B78" w14:textId="2E215D86" w:rsidR="00373A85" w:rsidRDefault="00373A85">
      <w:pPr>
        <w:rPr>
          <w:rFonts w:ascii="Arial" w:hAnsi="Arial" w:cs="Arial"/>
          <w:b/>
          <w:bCs/>
        </w:rPr>
      </w:pPr>
      <w:r w:rsidRPr="00FC0868">
        <w:rPr>
          <w:rFonts w:ascii="Arial" w:hAnsi="Arial" w:cs="Arial"/>
          <w:b/>
          <w:bCs/>
        </w:rPr>
        <w:t>Clozapine Policy</w:t>
      </w:r>
    </w:p>
    <w:p w14:paraId="7FBD402D" w14:textId="1E1CF6B1" w:rsidR="00FC0868" w:rsidRDefault="00FC0868">
      <w:pPr>
        <w:rPr>
          <w:rFonts w:ascii="Arial" w:hAnsi="Arial" w:cs="Arial"/>
        </w:rPr>
      </w:pPr>
      <w:r w:rsidRPr="00FC0868">
        <w:rPr>
          <w:rFonts w:ascii="Arial" w:hAnsi="Arial" w:cs="Arial"/>
        </w:rPr>
        <w:t>The purpose of this policy is to define how clozapine should be initiated, maintained, and monitored across ELFT services.</w:t>
      </w:r>
    </w:p>
    <w:p w14:paraId="531817B3" w14:textId="330C73A5" w:rsidR="00FC0868" w:rsidRDefault="00FC0868">
      <w:pPr>
        <w:rPr>
          <w:rFonts w:ascii="Arial" w:hAnsi="Arial" w:cs="Arial"/>
        </w:rPr>
      </w:pPr>
      <w:r w:rsidRPr="00FC0868">
        <w:rPr>
          <w:rFonts w:ascii="Arial" w:hAnsi="Arial" w:cs="Arial"/>
        </w:rPr>
        <w:lastRenderedPageBreak/>
        <w:t>This policy outlines the safe use of clozapine—an atypical antipsychotic reserved for treatment-resistant schizophrenia and Parkinson’s disease–related psychosis—which requires strict blood monitoring due to risks such as neutropenia and agranulocytosis. Because different clozapine brands (</w:t>
      </w:r>
      <w:proofErr w:type="spellStart"/>
      <w:r w:rsidRPr="00FC0868">
        <w:rPr>
          <w:rFonts w:ascii="Arial" w:hAnsi="Arial" w:cs="Arial"/>
        </w:rPr>
        <w:t>Zaponex</w:t>
      </w:r>
      <w:proofErr w:type="spellEnd"/>
      <w:r w:rsidRPr="00FC0868">
        <w:rPr>
          <w:rFonts w:ascii="Arial" w:hAnsi="Arial" w:cs="Arial"/>
        </w:rPr>
        <w:t xml:space="preserve">, </w:t>
      </w:r>
      <w:proofErr w:type="spellStart"/>
      <w:r w:rsidRPr="00FC0868">
        <w:rPr>
          <w:rFonts w:ascii="Arial" w:hAnsi="Arial" w:cs="Arial"/>
        </w:rPr>
        <w:t>Denzapine</w:t>
      </w:r>
      <w:proofErr w:type="spellEnd"/>
      <w:r w:rsidRPr="00FC0868">
        <w:rPr>
          <w:rFonts w:ascii="Arial" w:hAnsi="Arial" w:cs="Arial"/>
        </w:rPr>
        <w:t xml:space="preserve">, and Clozaril) have separate monitoring systems, prescriptions must specify the brand. </w:t>
      </w:r>
    </w:p>
    <w:p w14:paraId="0C803BC3" w14:textId="77777777" w:rsidR="00FC0868" w:rsidRDefault="00FC0868">
      <w:pPr>
        <w:rPr>
          <w:rFonts w:ascii="Arial" w:hAnsi="Arial" w:cs="Arial"/>
        </w:rPr>
      </w:pPr>
      <w:r w:rsidRPr="00FC0868">
        <w:rPr>
          <w:rFonts w:ascii="Arial" w:hAnsi="Arial" w:cs="Arial"/>
        </w:rPr>
        <w:t xml:space="preserve">Clozapine is hospital-only within ELFT, and its management spans inpatient and outpatient settings, involving multidisciplinary teams and GPs. The Clozapine Clinics coordinate all statutory and clinical monitoring requirements while supporting service users, carers, and healthcare professionals. </w:t>
      </w:r>
    </w:p>
    <w:p w14:paraId="79D68782" w14:textId="77777777" w:rsidR="00FC0868" w:rsidRPr="00FC0868" w:rsidRDefault="00FC0868">
      <w:pPr>
        <w:rPr>
          <w:rFonts w:ascii="Arial" w:hAnsi="Arial" w:cs="Arial"/>
          <w:b/>
          <w:bCs/>
        </w:rPr>
      </w:pPr>
    </w:p>
    <w:p w14:paraId="38449B23" w14:textId="444BA24A" w:rsidR="00373A85" w:rsidRPr="00FC0868" w:rsidRDefault="00FC0868">
      <w:pPr>
        <w:rPr>
          <w:rFonts w:ascii="Arial" w:hAnsi="Arial" w:cs="Arial"/>
          <w:b/>
          <w:bCs/>
        </w:rPr>
      </w:pPr>
      <w:r w:rsidRPr="00FC0868">
        <w:rPr>
          <w:rFonts w:ascii="Arial" w:hAnsi="Arial" w:cs="Arial"/>
          <w:b/>
          <w:bCs/>
        </w:rPr>
        <w:t>Clinical Pharmacy Standards</w:t>
      </w:r>
    </w:p>
    <w:p w14:paraId="7B5965DB" w14:textId="77777777" w:rsidR="00FC0868" w:rsidRDefault="00FC0868">
      <w:pPr>
        <w:rPr>
          <w:rFonts w:ascii="Arial" w:hAnsi="Arial" w:cs="Arial"/>
        </w:rPr>
      </w:pPr>
      <w:r w:rsidRPr="00FC0868">
        <w:rPr>
          <w:rFonts w:ascii="Arial" w:hAnsi="Arial" w:cs="Arial"/>
        </w:rPr>
        <w:t xml:space="preserve">The policy explains that </w:t>
      </w:r>
      <w:r>
        <w:rPr>
          <w:rFonts w:ascii="Arial" w:hAnsi="Arial" w:cs="Arial"/>
        </w:rPr>
        <w:t xml:space="preserve">the </w:t>
      </w:r>
      <w:r w:rsidRPr="00FC0868">
        <w:rPr>
          <w:rFonts w:ascii="Arial" w:hAnsi="Arial" w:cs="Arial"/>
        </w:rPr>
        <w:t xml:space="preserve">Trust’s pharmacy department delivers services across diverse clinical areas and therefore needs unified standards to ensure safe, effective, high-quality pharmacy care. </w:t>
      </w:r>
    </w:p>
    <w:p w14:paraId="78C914D0" w14:textId="77777777" w:rsidR="00FC0868" w:rsidRDefault="00FC0868">
      <w:pPr>
        <w:rPr>
          <w:rFonts w:ascii="Arial" w:hAnsi="Arial" w:cs="Arial"/>
        </w:rPr>
      </w:pPr>
      <w:r w:rsidRPr="00FC0868">
        <w:rPr>
          <w:rFonts w:ascii="Arial" w:hAnsi="Arial" w:cs="Arial"/>
        </w:rPr>
        <w:t xml:space="preserve">Earlier standards focused mainly on mental health inpatient services, but the Trust’s expansion requires broader, updated clinical pharmacy standards aligned with the Royal Pharmaceutical Society’s 2022 Hospital Pharmacy Standards. </w:t>
      </w:r>
    </w:p>
    <w:p w14:paraId="549F2B11" w14:textId="2FA57011" w:rsidR="00FC0868" w:rsidRPr="004E39BE" w:rsidRDefault="00FC0868">
      <w:pPr>
        <w:rPr>
          <w:rFonts w:ascii="Arial" w:hAnsi="Arial" w:cs="Arial"/>
        </w:rPr>
      </w:pPr>
      <w:r w:rsidRPr="00FC0868">
        <w:rPr>
          <w:rFonts w:ascii="Arial" w:hAnsi="Arial" w:cs="Arial"/>
        </w:rPr>
        <w:t>The policy highlights key domains—Episodes of Care, Putting People First, and Integrated Transfer of Care—while noting that other RPS standards remain relevant but fall outside routine clinical pharmacy. It also clarifies which activities are essential, routine, and should be included in Business Continuity Plans.</w:t>
      </w:r>
    </w:p>
    <w:sectPr w:rsidR="00FC0868" w:rsidRPr="004E3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AE"/>
    <w:rsid w:val="001E1BFE"/>
    <w:rsid w:val="002010EB"/>
    <w:rsid w:val="002932AE"/>
    <w:rsid w:val="00305F8F"/>
    <w:rsid w:val="003278C1"/>
    <w:rsid w:val="00373A85"/>
    <w:rsid w:val="003F0D90"/>
    <w:rsid w:val="004E39BE"/>
    <w:rsid w:val="005F5B99"/>
    <w:rsid w:val="006B65C9"/>
    <w:rsid w:val="009D5F7E"/>
    <w:rsid w:val="00BE3A04"/>
    <w:rsid w:val="00C91F87"/>
    <w:rsid w:val="00E6405C"/>
    <w:rsid w:val="00FC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50B9"/>
  <w15:chartTrackingRefBased/>
  <w15:docId w15:val="{E138F8A5-5A21-463A-A925-997DE451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32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32A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32A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32A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3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32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32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32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3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AE"/>
    <w:rPr>
      <w:rFonts w:eastAsiaTheme="majorEastAsia" w:cstheme="majorBidi"/>
      <w:color w:val="272727" w:themeColor="text1" w:themeTint="D8"/>
    </w:rPr>
  </w:style>
  <w:style w:type="paragraph" w:styleId="Title">
    <w:name w:val="Title"/>
    <w:basedOn w:val="Normal"/>
    <w:next w:val="Normal"/>
    <w:link w:val="TitleChar"/>
    <w:uiPriority w:val="10"/>
    <w:qFormat/>
    <w:rsid w:val="0029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AE"/>
    <w:pPr>
      <w:spacing w:before="160"/>
      <w:jc w:val="center"/>
    </w:pPr>
    <w:rPr>
      <w:i/>
      <w:iCs/>
      <w:color w:val="404040" w:themeColor="text1" w:themeTint="BF"/>
    </w:rPr>
  </w:style>
  <w:style w:type="character" w:customStyle="1" w:styleId="QuoteChar">
    <w:name w:val="Quote Char"/>
    <w:basedOn w:val="DefaultParagraphFont"/>
    <w:link w:val="Quote"/>
    <w:uiPriority w:val="29"/>
    <w:rsid w:val="002932AE"/>
    <w:rPr>
      <w:i/>
      <w:iCs/>
      <w:color w:val="404040" w:themeColor="text1" w:themeTint="BF"/>
    </w:rPr>
  </w:style>
  <w:style w:type="paragraph" w:styleId="ListParagraph">
    <w:name w:val="List Paragraph"/>
    <w:basedOn w:val="Normal"/>
    <w:uiPriority w:val="34"/>
    <w:qFormat/>
    <w:rsid w:val="002932AE"/>
    <w:pPr>
      <w:ind w:left="720"/>
      <w:contextualSpacing/>
    </w:pPr>
  </w:style>
  <w:style w:type="character" w:styleId="IntenseEmphasis">
    <w:name w:val="Intense Emphasis"/>
    <w:basedOn w:val="DefaultParagraphFont"/>
    <w:uiPriority w:val="21"/>
    <w:qFormat/>
    <w:rsid w:val="002932AE"/>
    <w:rPr>
      <w:i/>
      <w:iCs/>
      <w:color w:val="2E74B5" w:themeColor="accent1" w:themeShade="BF"/>
    </w:rPr>
  </w:style>
  <w:style w:type="paragraph" w:styleId="IntenseQuote">
    <w:name w:val="Intense Quote"/>
    <w:basedOn w:val="Normal"/>
    <w:next w:val="Normal"/>
    <w:link w:val="IntenseQuoteChar"/>
    <w:uiPriority w:val="30"/>
    <w:qFormat/>
    <w:rsid w:val="002932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32AE"/>
    <w:rPr>
      <w:i/>
      <w:iCs/>
      <w:color w:val="2E74B5" w:themeColor="accent1" w:themeShade="BF"/>
    </w:rPr>
  </w:style>
  <w:style w:type="character" w:styleId="IntenseReference">
    <w:name w:val="Intense Reference"/>
    <w:basedOn w:val="DefaultParagraphFont"/>
    <w:uiPriority w:val="32"/>
    <w:qFormat/>
    <w:rsid w:val="002932AE"/>
    <w:rPr>
      <w:b/>
      <w:bCs/>
      <w:smallCaps/>
      <w:color w:val="2E74B5" w:themeColor="accent1" w:themeShade="BF"/>
      <w:spacing w:val="5"/>
    </w:rPr>
  </w:style>
  <w:style w:type="table" w:styleId="TableGrid">
    <w:name w:val="Table Grid"/>
    <w:basedOn w:val="TableNormal"/>
    <w:rsid w:val="004E39B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9BE"/>
    <w:rPr>
      <w:color w:val="0563C1" w:themeColor="hyperlink"/>
      <w:u w:val="single"/>
    </w:rPr>
  </w:style>
  <w:style w:type="character" w:styleId="UnresolvedMention">
    <w:name w:val="Unresolved Mention"/>
    <w:basedOn w:val="DefaultParagraphFont"/>
    <w:uiPriority w:val="99"/>
    <w:semiHidden/>
    <w:unhideWhenUsed/>
    <w:rsid w:val="004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sites/default/files/202511/Adult%20Urinary%20Catheter%20Insertion%20and%20Management%20policy%20for%20Community%20Health%20Staff%204.0.docx" TargetMode="External"/><Relationship Id="rId3" Type="http://schemas.openxmlformats.org/officeDocument/2006/relationships/webSettings" Target="webSettings.xml"/><Relationship Id="rId7" Type="http://schemas.openxmlformats.org/officeDocument/2006/relationships/hyperlink" Target="https://www.elft.nhs.uk/sites/default/files/2025-11/Policy%20on%20the%20use%20of%20Physical%20Holding%20Skills%208.3.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ft.nhs.uk/sites/default/files/2025-11/Advance%20Decision%20to%20Refuse%20Treatment%20Policy%206.0.docx" TargetMode="External"/><Relationship Id="rId11" Type="http://schemas.openxmlformats.org/officeDocument/2006/relationships/fontTable" Target="fontTable.xml"/><Relationship Id="rId5" Type="http://schemas.openxmlformats.org/officeDocument/2006/relationships/hyperlink" Target="https://www.elft.nhs.uk/sites/default/files/2025-11/ElectroConvulsive%20Therapy%20%28ECT%29%20Policy%205.0.docx" TargetMode="External"/><Relationship Id="rId10" Type="http://schemas.openxmlformats.org/officeDocument/2006/relationships/hyperlink" Target="https://www.elft.nhs.uk/intranet/documents/observation-policy-90" TargetMode="External"/><Relationship Id="rId4" Type="http://schemas.openxmlformats.org/officeDocument/2006/relationships/hyperlink" Target="https://www.elft.nhs.uk/intranet/teams-support-me/governance-and-risk-management/policy-management/trust-policies" TargetMode="External"/><Relationship Id="rId9" Type="http://schemas.openxmlformats.org/officeDocument/2006/relationships/hyperlink" Target="https://www.elft.nhs.uk/sites/default/files/202511/Medical%20Device%20Policy%206.0_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3</cp:revision>
  <dcterms:created xsi:type="dcterms:W3CDTF">2025-12-01T11:21:00Z</dcterms:created>
  <dcterms:modified xsi:type="dcterms:W3CDTF">2025-12-09T08:57:00Z</dcterms:modified>
</cp:coreProperties>
</file>