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0962" w14:textId="7BF9F07B" w:rsidR="00DB68E0" w:rsidRPr="00373A85" w:rsidRDefault="00DB68E0" w:rsidP="00DB68E0">
      <w:pPr>
        <w:jc w:val="center"/>
        <w:rPr>
          <w:rFonts w:ascii="Arial" w:hAnsi="Arial" w:cs="Arial"/>
          <w:b/>
          <w:bCs/>
          <w:sz w:val="24"/>
          <w:szCs w:val="24"/>
        </w:rPr>
      </w:pPr>
      <w:r w:rsidRPr="00373A85">
        <w:rPr>
          <w:rFonts w:ascii="Arial" w:hAnsi="Arial" w:cs="Arial"/>
          <w:b/>
          <w:bCs/>
          <w:sz w:val="24"/>
          <w:szCs w:val="24"/>
        </w:rPr>
        <w:t>Policy in a Nutshell (</w:t>
      </w:r>
      <w:r>
        <w:rPr>
          <w:rFonts w:ascii="Arial" w:hAnsi="Arial" w:cs="Arial"/>
          <w:b/>
          <w:bCs/>
          <w:sz w:val="24"/>
          <w:szCs w:val="24"/>
        </w:rPr>
        <w:t>Dec</w:t>
      </w:r>
      <w:r w:rsidRPr="00373A85">
        <w:rPr>
          <w:rFonts w:ascii="Arial" w:hAnsi="Arial" w:cs="Arial"/>
          <w:b/>
          <w:bCs/>
          <w:sz w:val="24"/>
          <w:szCs w:val="24"/>
        </w:rPr>
        <w:t>ember 2025)</w:t>
      </w:r>
    </w:p>
    <w:p w14:paraId="730CA7DA" w14:textId="77777777" w:rsidR="00DB68E0" w:rsidRDefault="00DB68E0" w:rsidP="00DB68E0">
      <w:pPr>
        <w:jc w:val="center"/>
        <w:rPr>
          <w:rFonts w:ascii="Arial" w:hAnsi="Arial" w:cs="Arial"/>
          <w:b/>
          <w:bCs/>
        </w:rPr>
      </w:pPr>
    </w:p>
    <w:p w14:paraId="47903953" w14:textId="77777777" w:rsidR="00DB68E0" w:rsidRDefault="00DB68E0" w:rsidP="00DB68E0">
      <w:pPr>
        <w:rPr>
          <w:rFonts w:ascii="Arial" w:hAnsi="Arial" w:cs="Arial"/>
        </w:rPr>
      </w:pPr>
      <w:r w:rsidRPr="004E39BE">
        <w:rPr>
          <w:rFonts w:ascii="Arial" w:hAnsi="Arial" w:cs="Arial"/>
        </w:rPr>
        <w:t xml:space="preserve">All Trust wide policies are available on the ELFT intranet, </w:t>
      </w:r>
    </w:p>
    <w:p w14:paraId="02F40AFC" w14:textId="77777777" w:rsidR="00DB68E0" w:rsidRPr="004E39BE" w:rsidRDefault="00DB68E0" w:rsidP="00DB68E0">
      <w:pPr>
        <w:rPr>
          <w:rFonts w:ascii="Arial" w:hAnsi="Arial" w:cs="Arial"/>
        </w:rPr>
      </w:pPr>
      <w:hyperlink r:id="rId4" w:history="1">
        <w:r w:rsidRPr="004E39BE">
          <w:rPr>
            <w:rStyle w:val="Hyperlink"/>
            <w:rFonts w:ascii="Arial" w:hAnsi="Arial" w:cs="Arial"/>
          </w:rPr>
          <w:t>https://www.elft.nhs.uk/intranet/teams-support-me/governance-and-risk-management/policy-management/trust-policies</w:t>
        </w:r>
      </w:hyperlink>
    </w:p>
    <w:p w14:paraId="67561340" w14:textId="77777777" w:rsidR="00DB68E0" w:rsidRDefault="00DB68E0" w:rsidP="00DB68E0">
      <w:pPr>
        <w:rPr>
          <w:rFonts w:ascii="Arial" w:hAnsi="Arial" w:cs="Arial"/>
        </w:rPr>
      </w:pPr>
      <w:r w:rsidRPr="004E39BE">
        <w:rPr>
          <w:rFonts w:ascii="Arial" w:hAnsi="Arial" w:cs="Arial"/>
        </w:rPr>
        <w:t xml:space="preserve">As a polite reminder please do not search for policies on the internet as not all policies are published externally, and you may not find what you are looking for! </w:t>
      </w:r>
    </w:p>
    <w:p w14:paraId="6C2D76CF" w14:textId="77777777" w:rsidR="00DB68E0" w:rsidRPr="00373A85" w:rsidRDefault="00DB68E0" w:rsidP="00DB68E0">
      <w:pPr>
        <w:rPr>
          <w:rFonts w:ascii="Arial" w:hAnsi="Arial" w:cs="Arial"/>
        </w:rPr>
      </w:pPr>
    </w:p>
    <w:p w14:paraId="2733DE02" w14:textId="77777777" w:rsidR="00DB68E0" w:rsidRDefault="00DB68E0" w:rsidP="00DB68E0">
      <w:pPr>
        <w:rPr>
          <w:rFonts w:ascii="Arial" w:hAnsi="Arial" w:cs="Arial"/>
          <w:b/>
          <w:bCs/>
        </w:rPr>
      </w:pPr>
      <w:r w:rsidRPr="004E39BE">
        <w:rPr>
          <w:rFonts w:ascii="Arial" w:hAnsi="Arial" w:cs="Arial"/>
          <w:b/>
          <w:bCs/>
        </w:rPr>
        <w:t>The following policies were ratified or extended recently by the Quality Committee.</w:t>
      </w:r>
    </w:p>
    <w:p w14:paraId="13FC5F23" w14:textId="77777777" w:rsidR="00DB68E0" w:rsidRDefault="00DB68E0" w:rsidP="00DB68E0">
      <w:pPr>
        <w:rPr>
          <w:rFonts w:ascii="Arial" w:hAnsi="Arial" w:cs="Arial"/>
          <w:b/>
          <w:bCs/>
        </w:rPr>
      </w:pPr>
    </w:p>
    <w:p w14:paraId="59B4D829" w14:textId="5D62023A" w:rsidR="001248EC" w:rsidRDefault="00DB68E0" w:rsidP="00DB68E0">
      <w:pPr>
        <w:rPr>
          <w:rFonts w:ascii="Arial" w:hAnsi="Arial" w:cs="Arial"/>
          <w:b/>
          <w:bCs/>
        </w:rPr>
      </w:pPr>
      <w:r w:rsidRPr="00DB68E0">
        <w:rPr>
          <w:rFonts w:ascii="Arial" w:hAnsi="Arial" w:cs="Arial"/>
          <w:b/>
          <w:bCs/>
        </w:rPr>
        <w:t>Major Incident Communications Strategy and Plan</w:t>
      </w:r>
    </w:p>
    <w:p w14:paraId="19676685" w14:textId="305D50F0" w:rsidR="00DB68E0" w:rsidRPr="00DB68E0" w:rsidRDefault="00DB68E0" w:rsidP="00DB68E0">
      <w:pPr>
        <w:rPr>
          <w:rFonts w:ascii="Arial" w:hAnsi="Arial" w:cs="Arial"/>
        </w:rPr>
      </w:pPr>
      <w:r w:rsidRPr="00DB68E0">
        <w:rPr>
          <w:rFonts w:ascii="Arial" w:hAnsi="Arial" w:cs="Arial"/>
        </w:rPr>
        <w:t>This policy outlines how the Trust prepares for and responds to major incidents that may impact services, staff, service users and the wider community. It applies across all Trust services and locations and sets out the arrangements for communication and coordination during a major incident, in line with the Trust’s responsibilities as a Category 1 responder under the Civil Contingencies Act.</w:t>
      </w:r>
    </w:p>
    <w:p w14:paraId="00E2728D" w14:textId="2ED4AF7E" w:rsidR="00DB68E0" w:rsidRPr="00DB68E0" w:rsidRDefault="00DB68E0" w:rsidP="00DB68E0">
      <w:pPr>
        <w:rPr>
          <w:rFonts w:ascii="Arial" w:hAnsi="Arial" w:cs="Arial"/>
        </w:rPr>
      </w:pPr>
      <w:r w:rsidRPr="00DB68E0">
        <w:rPr>
          <w:rFonts w:ascii="Arial" w:hAnsi="Arial" w:cs="Arial"/>
        </w:rPr>
        <w:t>The purpose of the policy is to ensure a clear, effective and timely response to major incidents by defining roles, responsibilities and communication processes. It aims to support the safety and wellbeing of staff and service users, provide accurate and timely information to relevant audiences, and enable ELFT to work effectively with partner organisations to protect public health and maintain essential services.</w:t>
      </w:r>
    </w:p>
    <w:p w14:paraId="6A88C311" w14:textId="77777777" w:rsidR="00DB68E0" w:rsidRDefault="00DB68E0" w:rsidP="00DB68E0">
      <w:pPr>
        <w:rPr>
          <w:rFonts w:ascii="Arial" w:hAnsi="Arial" w:cs="Arial"/>
          <w:b/>
          <w:bCs/>
        </w:rPr>
      </w:pPr>
    </w:p>
    <w:p w14:paraId="44CB01C1" w14:textId="77777777" w:rsidR="00DB68E0" w:rsidRPr="00DB68E0" w:rsidRDefault="00DB68E0" w:rsidP="00DB68E0">
      <w:pPr>
        <w:rPr>
          <w:rFonts w:ascii="Arial" w:hAnsi="Arial" w:cs="Arial"/>
          <w:b/>
          <w:bCs/>
        </w:rPr>
      </w:pPr>
    </w:p>
    <w:p w14:paraId="0AA2CDB9" w14:textId="77777777" w:rsidR="001248EC" w:rsidRPr="00DB68E0" w:rsidRDefault="001248EC" w:rsidP="001248EC">
      <w:pPr>
        <w:rPr>
          <w:rFonts w:ascii="Arial" w:hAnsi="Arial" w:cs="Arial"/>
          <w:b/>
          <w:bCs/>
        </w:rPr>
      </w:pPr>
      <w:r w:rsidRPr="00DB68E0">
        <w:rPr>
          <w:rFonts w:ascii="Arial" w:hAnsi="Arial" w:cs="Arial"/>
          <w:b/>
          <w:bCs/>
        </w:rPr>
        <w:t>Procedure for Managing Sudden Unexpected or Near Death of a Patient</w:t>
      </w:r>
    </w:p>
    <w:p w14:paraId="22BAF3EC" w14:textId="2CABBAE9" w:rsidR="001248EC" w:rsidRDefault="001248EC" w:rsidP="001248EC">
      <w:pPr>
        <w:rPr>
          <w:rFonts w:ascii="Arial" w:hAnsi="Arial" w:cs="Arial"/>
        </w:rPr>
      </w:pPr>
      <w:r w:rsidRPr="00DB68E0">
        <w:rPr>
          <w:rFonts w:ascii="Arial" w:hAnsi="Arial" w:cs="Arial"/>
        </w:rPr>
        <w:t xml:space="preserve">This policy provides clear guidance for staff following a sudden or unexpected death, including legal obligations, reporting requirements and responsibilities of clinical teams. It distinguishes these events from expected deaths covered under the </w:t>
      </w:r>
      <w:r w:rsidR="008976C8" w:rsidRPr="00DB68E0">
        <w:rPr>
          <w:rFonts w:ascii="Arial" w:hAnsi="Arial" w:cs="Arial"/>
        </w:rPr>
        <w:t>End-of-Life</w:t>
      </w:r>
      <w:r w:rsidRPr="00DB68E0">
        <w:rPr>
          <w:rFonts w:ascii="Arial" w:hAnsi="Arial" w:cs="Arial"/>
        </w:rPr>
        <w:t xml:space="preserve"> Care Policy. Changes to this policy were made for operational clarity and to strengthen reporting processes to the Coroner’s Office.</w:t>
      </w:r>
    </w:p>
    <w:p w14:paraId="0B4E9BCB" w14:textId="77777777" w:rsidR="00DB68E0" w:rsidRDefault="00DB68E0" w:rsidP="001248EC">
      <w:pPr>
        <w:rPr>
          <w:rFonts w:ascii="Arial" w:hAnsi="Arial" w:cs="Arial"/>
        </w:rPr>
      </w:pPr>
    </w:p>
    <w:p w14:paraId="711574A2" w14:textId="77777777" w:rsidR="00DB68E0" w:rsidRPr="00DB68E0" w:rsidRDefault="00DB68E0" w:rsidP="001248EC">
      <w:pPr>
        <w:rPr>
          <w:rFonts w:ascii="Arial" w:hAnsi="Arial" w:cs="Arial"/>
        </w:rPr>
      </w:pPr>
    </w:p>
    <w:p w14:paraId="792C63AC" w14:textId="77777777" w:rsidR="001248EC" w:rsidRPr="00DB68E0" w:rsidRDefault="001248EC" w:rsidP="001248EC">
      <w:pPr>
        <w:rPr>
          <w:rFonts w:ascii="Arial" w:hAnsi="Arial" w:cs="Arial"/>
          <w:b/>
          <w:bCs/>
        </w:rPr>
      </w:pPr>
      <w:r w:rsidRPr="00DB68E0">
        <w:rPr>
          <w:rFonts w:ascii="Arial" w:hAnsi="Arial" w:cs="Arial"/>
          <w:b/>
          <w:bCs/>
        </w:rPr>
        <w:t>End of Life Care Policy</w:t>
      </w:r>
    </w:p>
    <w:p w14:paraId="5DD1351D" w14:textId="52578AF3" w:rsidR="001248EC" w:rsidRPr="00DB68E0" w:rsidRDefault="001248EC" w:rsidP="001248EC">
      <w:pPr>
        <w:rPr>
          <w:rFonts w:ascii="Arial" w:hAnsi="Arial" w:cs="Arial"/>
        </w:rPr>
      </w:pPr>
      <w:r w:rsidRPr="00DB68E0">
        <w:rPr>
          <w:rFonts w:ascii="Arial" w:hAnsi="Arial" w:cs="Arial"/>
        </w:rPr>
        <w:t xml:space="preserve">This policy supports staff to deliver high quality, compassionate care for adults with life limiting illness, aligned with national best practice including NICE Quality Standards and NHS England’s Ambitions for Palliative and End of Life Care. It promotes early recognition of </w:t>
      </w:r>
      <w:r w:rsidR="00DB68E0" w:rsidRPr="00DB68E0">
        <w:rPr>
          <w:rFonts w:ascii="Arial" w:hAnsi="Arial" w:cs="Arial"/>
        </w:rPr>
        <w:t>end-of-life</w:t>
      </w:r>
      <w:r w:rsidRPr="00DB68E0">
        <w:rPr>
          <w:rFonts w:ascii="Arial" w:hAnsi="Arial" w:cs="Arial"/>
        </w:rPr>
        <w:t xml:space="preserve"> needs, personalised care planning, and strong support for families and carers. Changes to this policy were made for operational clarity and to align reporting requirements with the Coroner’s Office.</w:t>
      </w:r>
    </w:p>
    <w:p w14:paraId="5896B3E6" w14:textId="77777777" w:rsidR="00DB68E0" w:rsidRPr="00DB68E0" w:rsidRDefault="00DB68E0" w:rsidP="001248EC">
      <w:pPr>
        <w:rPr>
          <w:rFonts w:ascii="Arial" w:hAnsi="Arial" w:cs="Arial"/>
        </w:rPr>
      </w:pPr>
    </w:p>
    <w:p w14:paraId="2C2F3F9E" w14:textId="1B26EB3E" w:rsidR="00DB68E0" w:rsidRPr="00DB68E0" w:rsidRDefault="00DB68E0" w:rsidP="00DB68E0">
      <w:pPr>
        <w:shd w:val="clear" w:color="auto" w:fill="FFFFFF"/>
        <w:spacing w:after="200" w:line="276" w:lineRule="auto"/>
        <w:jc w:val="both"/>
        <w:rPr>
          <w:rFonts w:ascii="Arial" w:eastAsia="Calibri" w:hAnsi="Arial" w:cs="Arial"/>
          <w:b/>
          <w:bCs/>
          <w:kern w:val="0"/>
          <w:u w:val="single"/>
          <w14:ligatures w14:val="none"/>
        </w:rPr>
      </w:pPr>
      <w:r w:rsidRPr="00DB68E0">
        <w:rPr>
          <w:rFonts w:ascii="Arial" w:eastAsia="Calibri" w:hAnsi="Arial" w:cs="Arial"/>
          <w:b/>
          <w:bCs/>
          <w:kern w:val="0"/>
          <w:u w:val="single"/>
          <w14:ligatures w14:val="none"/>
        </w:rPr>
        <w:t>Policies for Extension</w:t>
      </w:r>
    </w:p>
    <w:tbl>
      <w:tblPr>
        <w:tblStyle w:val="TableGrid"/>
        <w:tblW w:w="9555" w:type="dxa"/>
        <w:tblLook w:val="04A0" w:firstRow="1" w:lastRow="0" w:firstColumn="1" w:lastColumn="0" w:noHBand="0" w:noVBand="1"/>
      </w:tblPr>
      <w:tblGrid>
        <w:gridCol w:w="3317"/>
        <w:gridCol w:w="2411"/>
        <w:gridCol w:w="3827"/>
      </w:tblGrid>
      <w:tr w:rsidR="00DB68E0" w:rsidRPr="00DB68E0" w14:paraId="0789FC9B" w14:textId="77777777" w:rsidTr="00B83D94">
        <w:tc>
          <w:tcPr>
            <w:tcW w:w="3317" w:type="dxa"/>
          </w:tcPr>
          <w:p w14:paraId="2BA8666B" w14:textId="77777777" w:rsidR="00DB68E0" w:rsidRPr="00DB68E0" w:rsidRDefault="00DB68E0" w:rsidP="00DB68E0">
            <w:pPr>
              <w:shd w:val="clear" w:color="auto" w:fill="FFFFFF"/>
              <w:spacing w:after="200" w:line="276" w:lineRule="auto"/>
              <w:jc w:val="both"/>
              <w:rPr>
                <w:rFonts w:ascii="Arial" w:eastAsia="Calibri" w:hAnsi="Arial" w:cs="Arial"/>
                <w:b/>
                <w:bCs/>
                <w:sz w:val="22"/>
                <w:szCs w:val="22"/>
              </w:rPr>
            </w:pPr>
            <w:r w:rsidRPr="00DB68E0">
              <w:rPr>
                <w:rFonts w:ascii="Arial" w:eastAsia="Calibri" w:hAnsi="Arial" w:cs="Arial"/>
                <w:b/>
                <w:bCs/>
                <w:sz w:val="22"/>
                <w:szCs w:val="22"/>
              </w:rPr>
              <w:t>Policy Name</w:t>
            </w:r>
          </w:p>
        </w:tc>
        <w:tc>
          <w:tcPr>
            <w:tcW w:w="2411" w:type="dxa"/>
          </w:tcPr>
          <w:p w14:paraId="766DDE6D" w14:textId="77777777" w:rsidR="00DB68E0" w:rsidRPr="00DB68E0" w:rsidRDefault="00DB68E0" w:rsidP="00DB68E0">
            <w:pPr>
              <w:shd w:val="clear" w:color="auto" w:fill="FFFFFF"/>
              <w:spacing w:after="200" w:line="276" w:lineRule="auto"/>
              <w:jc w:val="both"/>
              <w:rPr>
                <w:rFonts w:ascii="Arial" w:eastAsia="Calibri" w:hAnsi="Arial" w:cs="Arial"/>
                <w:b/>
                <w:bCs/>
                <w:sz w:val="22"/>
                <w:szCs w:val="22"/>
              </w:rPr>
            </w:pPr>
            <w:r w:rsidRPr="00DB68E0">
              <w:rPr>
                <w:rFonts w:ascii="Arial" w:eastAsia="Calibri" w:hAnsi="Arial" w:cs="Arial"/>
                <w:b/>
                <w:bCs/>
                <w:sz w:val="22"/>
                <w:szCs w:val="22"/>
              </w:rPr>
              <w:t>Extension requested to</w:t>
            </w:r>
          </w:p>
        </w:tc>
        <w:tc>
          <w:tcPr>
            <w:tcW w:w="3827" w:type="dxa"/>
          </w:tcPr>
          <w:p w14:paraId="6FFAE758" w14:textId="77777777" w:rsidR="00DB68E0" w:rsidRPr="00DB68E0" w:rsidRDefault="00DB68E0" w:rsidP="00DB68E0">
            <w:pPr>
              <w:shd w:val="clear" w:color="auto" w:fill="FFFFFF"/>
              <w:spacing w:after="200" w:line="276" w:lineRule="auto"/>
              <w:jc w:val="both"/>
              <w:rPr>
                <w:rFonts w:ascii="Arial" w:eastAsia="Calibri" w:hAnsi="Arial" w:cs="Arial"/>
                <w:b/>
                <w:bCs/>
                <w:sz w:val="22"/>
                <w:szCs w:val="22"/>
              </w:rPr>
            </w:pPr>
            <w:r w:rsidRPr="00DB68E0">
              <w:rPr>
                <w:rFonts w:ascii="Arial" w:eastAsia="Calibri" w:hAnsi="Arial" w:cs="Arial"/>
                <w:b/>
                <w:bCs/>
                <w:sz w:val="22"/>
                <w:szCs w:val="22"/>
              </w:rPr>
              <w:t>Rationale</w:t>
            </w:r>
          </w:p>
        </w:tc>
      </w:tr>
      <w:tr w:rsidR="00DB68E0" w:rsidRPr="00DB68E0" w14:paraId="67784345" w14:textId="77777777" w:rsidTr="00B83D94">
        <w:tc>
          <w:tcPr>
            <w:tcW w:w="3317" w:type="dxa"/>
          </w:tcPr>
          <w:p w14:paraId="53AC6D7F" w14:textId="77777777" w:rsidR="00DB68E0" w:rsidRPr="00DB68E0" w:rsidRDefault="00DB68E0" w:rsidP="00DB68E0">
            <w:pPr>
              <w:shd w:val="clear" w:color="auto" w:fill="FFFFFF"/>
              <w:spacing w:after="200" w:line="276" w:lineRule="auto"/>
              <w:rPr>
                <w:rFonts w:ascii="Arial" w:eastAsia="Calibri" w:hAnsi="Arial" w:cs="Arial"/>
                <w:bCs/>
                <w:sz w:val="22"/>
                <w:szCs w:val="22"/>
              </w:rPr>
            </w:pPr>
            <w:r w:rsidRPr="00DB68E0">
              <w:rPr>
                <w:rFonts w:ascii="Arial" w:eastAsia="Calibri" w:hAnsi="Arial" w:cs="Arial"/>
                <w:bCs/>
                <w:sz w:val="22"/>
                <w:szCs w:val="22"/>
              </w:rPr>
              <w:t>Section 117 Policy</w:t>
            </w:r>
          </w:p>
        </w:tc>
        <w:tc>
          <w:tcPr>
            <w:tcW w:w="2411" w:type="dxa"/>
          </w:tcPr>
          <w:p w14:paraId="18F17AE7" w14:textId="77777777" w:rsidR="00DB68E0" w:rsidRPr="00DB68E0" w:rsidRDefault="00DB68E0" w:rsidP="00DB68E0">
            <w:pPr>
              <w:shd w:val="clear" w:color="auto" w:fill="FFFFFF"/>
              <w:spacing w:after="200" w:line="276" w:lineRule="auto"/>
              <w:jc w:val="both"/>
              <w:rPr>
                <w:rFonts w:ascii="Arial" w:eastAsia="Calibri" w:hAnsi="Arial" w:cs="Arial"/>
                <w:bCs/>
                <w:sz w:val="22"/>
                <w:szCs w:val="22"/>
              </w:rPr>
            </w:pPr>
            <w:r w:rsidRPr="00DB68E0">
              <w:rPr>
                <w:rFonts w:ascii="Arial" w:eastAsia="Calibri" w:hAnsi="Arial" w:cs="Arial"/>
                <w:bCs/>
                <w:sz w:val="22"/>
                <w:szCs w:val="22"/>
              </w:rPr>
              <w:t>May 2026</w:t>
            </w:r>
          </w:p>
        </w:tc>
        <w:tc>
          <w:tcPr>
            <w:tcW w:w="3827" w:type="dxa"/>
          </w:tcPr>
          <w:p w14:paraId="0304BAA0" w14:textId="77777777" w:rsidR="00DB68E0" w:rsidRPr="00DB68E0" w:rsidRDefault="00DB68E0" w:rsidP="00DB68E0">
            <w:pPr>
              <w:shd w:val="clear" w:color="auto" w:fill="FFFFFF"/>
              <w:spacing w:after="200" w:line="276" w:lineRule="auto"/>
              <w:rPr>
                <w:rFonts w:ascii="Arial" w:eastAsia="Calibri" w:hAnsi="Arial" w:cs="Arial"/>
                <w:bCs/>
                <w:sz w:val="22"/>
                <w:szCs w:val="22"/>
              </w:rPr>
            </w:pPr>
            <w:r w:rsidRPr="00DB68E0">
              <w:rPr>
                <w:rFonts w:ascii="Arial" w:eastAsia="Calibri" w:hAnsi="Arial" w:cs="Arial"/>
                <w:bCs/>
                <w:sz w:val="22"/>
                <w:szCs w:val="22"/>
              </w:rPr>
              <w:t>The policy extension is required while the Mental Health Bill continues its passage through Parliament, as proposed changes to Section 117 may have implications for the policy.</w:t>
            </w:r>
          </w:p>
        </w:tc>
      </w:tr>
    </w:tbl>
    <w:p w14:paraId="5DD7975B" w14:textId="77777777" w:rsidR="00DB68E0" w:rsidRDefault="00DB68E0" w:rsidP="001248EC">
      <w:pPr>
        <w:rPr>
          <w:rFonts w:ascii="Arial" w:hAnsi="Arial" w:cs="Arial"/>
        </w:rPr>
      </w:pPr>
    </w:p>
    <w:p w14:paraId="0DCD9345" w14:textId="2561E4E3" w:rsidR="00776BF6" w:rsidRPr="00776BF6" w:rsidRDefault="00776BF6" w:rsidP="00776BF6">
      <w:pPr>
        <w:rPr>
          <w:rFonts w:ascii="Arial" w:hAnsi="Arial" w:cs="Arial"/>
          <w:b/>
          <w:bCs/>
        </w:rPr>
      </w:pPr>
      <w:r w:rsidRPr="00776BF6">
        <w:rPr>
          <w:rFonts w:ascii="Arial" w:hAnsi="Arial" w:cs="Arial"/>
          <w:b/>
          <w:bCs/>
        </w:rPr>
        <w:t>Further updates</w:t>
      </w:r>
    </w:p>
    <w:p w14:paraId="0CB4B660" w14:textId="22976747" w:rsidR="00776BF6" w:rsidRDefault="00776BF6" w:rsidP="00776BF6">
      <w:pPr>
        <w:shd w:val="clear" w:color="auto" w:fill="FFFFFF"/>
        <w:jc w:val="both"/>
        <w:rPr>
          <w:rFonts w:ascii="Arial" w:hAnsi="Arial" w:cs="Arial"/>
          <w:b/>
        </w:rPr>
      </w:pPr>
      <w:r w:rsidRPr="009458F9">
        <w:rPr>
          <w:rFonts w:ascii="Arial" w:hAnsi="Arial" w:cs="Arial"/>
          <w:b/>
        </w:rPr>
        <w:t>Appendix to</w:t>
      </w:r>
      <w:r>
        <w:rPr>
          <w:rFonts w:ascii="Arial" w:hAnsi="Arial" w:cs="Arial"/>
          <w:bCs/>
        </w:rPr>
        <w:t xml:space="preserve"> </w:t>
      </w:r>
      <w:r w:rsidRPr="009458F9">
        <w:rPr>
          <w:rFonts w:ascii="Arial" w:hAnsi="Arial" w:cs="Arial"/>
          <w:b/>
        </w:rPr>
        <w:t>Policy for the Development and Management of Procedural Documents 3.1</w:t>
      </w:r>
    </w:p>
    <w:p w14:paraId="0BC52F7C" w14:textId="77777777" w:rsidR="00776BF6" w:rsidRPr="007064BF" w:rsidRDefault="00776BF6" w:rsidP="00776BF6">
      <w:pPr>
        <w:shd w:val="clear" w:color="auto" w:fill="FFFFFF"/>
        <w:jc w:val="both"/>
        <w:rPr>
          <w:rFonts w:ascii="Arial" w:hAnsi="Arial" w:cs="Arial"/>
          <w:bCs/>
        </w:rPr>
      </w:pPr>
      <w:r>
        <w:rPr>
          <w:rFonts w:ascii="Arial" w:hAnsi="Arial" w:cs="Arial"/>
          <w:bCs/>
        </w:rPr>
        <w:t xml:space="preserve">Appendix B (Procedure template) was updated to include the new </w:t>
      </w:r>
      <w:r w:rsidRPr="009458F9">
        <w:rPr>
          <w:rFonts w:ascii="Arial" w:hAnsi="Arial" w:cs="Arial"/>
          <w:bCs/>
        </w:rPr>
        <w:t>Equality Impact Assessment Form</w:t>
      </w:r>
      <w:r>
        <w:rPr>
          <w:rFonts w:ascii="Arial" w:hAnsi="Arial" w:cs="Arial"/>
          <w:bCs/>
        </w:rPr>
        <w:t>s</w:t>
      </w:r>
      <w:r>
        <w:t xml:space="preserve"> </w:t>
      </w:r>
      <w:r w:rsidRPr="002339A6">
        <w:rPr>
          <w:rFonts w:ascii="Arial" w:hAnsi="Arial" w:cs="Arial"/>
          <w:bCs/>
        </w:rPr>
        <w:t>t</w:t>
      </w:r>
      <w:r>
        <w:rPr>
          <w:rFonts w:ascii="Arial" w:hAnsi="Arial" w:cs="Arial"/>
          <w:bCs/>
        </w:rPr>
        <w:t xml:space="preserve">o </w:t>
      </w:r>
      <w:r w:rsidRPr="002339A6">
        <w:rPr>
          <w:rFonts w:ascii="Arial" w:hAnsi="Arial" w:cs="Arial"/>
          <w:bCs/>
        </w:rPr>
        <w:t xml:space="preserve">reduce the risk of </w:t>
      </w:r>
      <w:r>
        <w:rPr>
          <w:rFonts w:ascii="Arial" w:hAnsi="Arial" w:cs="Arial"/>
          <w:bCs/>
        </w:rPr>
        <w:t xml:space="preserve">these </w:t>
      </w:r>
      <w:r w:rsidRPr="002339A6">
        <w:rPr>
          <w:rFonts w:ascii="Arial" w:hAnsi="Arial" w:cs="Arial"/>
          <w:bCs/>
        </w:rPr>
        <w:t>being overlooked during policy development and review. Responsibility for</w:t>
      </w:r>
      <w:r>
        <w:rPr>
          <w:rFonts w:ascii="Arial" w:hAnsi="Arial" w:cs="Arial"/>
          <w:bCs/>
        </w:rPr>
        <w:t xml:space="preserve"> EIA remains with the policy author and </w:t>
      </w:r>
      <w:r w:rsidRPr="002339A6">
        <w:rPr>
          <w:rFonts w:ascii="Arial" w:hAnsi="Arial" w:cs="Arial"/>
          <w:bCs/>
        </w:rPr>
        <w:t>oversight of the EIA process with the Equality, Diversity and Inclusion (EDI) Team.</w:t>
      </w:r>
    </w:p>
    <w:p w14:paraId="75F07BA8" w14:textId="77777777" w:rsidR="00776BF6" w:rsidRPr="00DB68E0" w:rsidRDefault="00776BF6" w:rsidP="001248EC">
      <w:pPr>
        <w:rPr>
          <w:rFonts w:ascii="Arial" w:hAnsi="Arial" w:cs="Arial"/>
        </w:rPr>
      </w:pPr>
    </w:p>
    <w:sectPr w:rsidR="00776BF6" w:rsidRPr="00DB6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EC"/>
    <w:rsid w:val="001248EC"/>
    <w:rsid w:val="001E1BFE"/>
    <w:rsid w:val="002749EA"/>
    <w:rsid w:val="00305F8F"/>
    <w:rsid w:val="006B65C9"/>
    <w:rsid w:val="00776BF6"/>
    <w:rsid w:val="008976C8"/>
    <w:rsid w:val="009D5F7E"/>
    <w:rsid w:val="00BE3A04"/>
    <w:rsid w:val="00DB68E0"/>
    <w:rsid w:val="00E6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8C03"/>
  <w15:chartTrackingRefBased/>
  <w15:docId w15:val="{480A9913-26C2-4A1D-B63A-337E3307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248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248E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248E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248E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24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8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248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248E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248E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248E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24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8EC"/>
    <w:rPr>
      <w:rFonts w:eastAsiaTheme="majorEastAsia" w:cstheme="majorBidi"/>
      <w:color w:val="272727" w:themeColor="text1" w:themeTint="D8"/>
    </w:rPr>
  </w:style>
  <w:style w:type="paragraph" w:styleId="Title">
    <w:name w:val="Title"/>
    <w:basedOn w:val="Normal"/>
    <w:next w:val="Normal"/>
    <w:link w:val="TitleChar"/>
    <w:uiPriority w:val="10"/>
    <w:qFormat/>
    <w:rsid w:val="00124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8EC"/>
    <w:pPr>
      <w:spacing w:before="160"/>
      <w:jc w:val="center"/>
    </w:pPr>
    <w:rPr>
      <w:i/>
      <w:iCs/>
      <w:color w:val="404040" w:themeColor="text1" w:themeTint="BF"/>
    </w:rPr>
  </w:style>
  <w:style w:type="character" w:customStyle="1" w:styleId="QuoteChar">
    <w:name w:val="Quote Char"/>
    <w:basedOn w:val="DefaultParagraphFont"/>
    <w:link w:val="Quote"/>
    <w:uiPriority w:val="29"/>
    <w:rsid w:val="001248EC"/>
    <w:rPr>
      <w:i/>
      <w:iCs/>
      <w:color w:val="404040" w:themeColor="text1" w:themeTint="BF"/>
    </w:rPr>
  </w:style>
  <w:style w:type="paragraph" w:styleId="ListParagraph">
    <w:name w:val="List Paragraph"/>
    <w:basedOn w:val="Normal"/>
    <w:uiPriority w:val="34"/>
    <w:qFormat/>
    <w:rsid w:val="001248EC"/>
    <w:pPr>
      <w:ind w:left="720"/>
      <w:contextualSpacing/>
    </w:pPr>
  </w:style>
  <w:style w:type="character" w:styleId="IntenseEmphasis">
    <w:name w:val="Intense Emphasis"/>
    <w:basedOn w:val="DefaultParagraphFont"/>
    <w:uiPriority w:val="21"/>
    <w:qFormat/>
    <w:rsid w:val="001248EC"/>
    <w:rPr>
      <w:i/>
      <w:iCs/>
      <w:color w:val="2E74B5" w:themeColor="accent1" w:themeShade="BF"/>
    </w:rPr>
  </w:style>
  <w:style w:type="paragraph" w:styleId="IntenseQuote">
    <w:name w:val="Intense Quote"/>
    <w:basedOn w:val="Normal"/>
    <w:next w:val="Normal"/>
    <w:link w:val="IntenseQuoteChar"/>
    <w:uiPriority w:val="30"/>
    <w:qFormat/>
    <w:rsid w:val="001248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248EC"/>
    <w:rPr>
      <w:i/>
      <w:iCs/>
      <w:color w:val="2E74B5" w:themeColor="accent1" w:themeShade="BF"/>
    </w:rPr>
  </w:style>
  <w:style w:type="character" w:styleId="IntenseReference">
    <w:name w:val="Intense Reference"/>
    <w:basedOn w:val="DefaultParagraphFont"/>
    <w:uiPriority w:val="32"/>
    <w:qFormat/>
    <w:rsid w:val="001248EC"/>
    <w:rPr>
      <w:b/>
      <w:bCs/>
      <w:smallCaps/>
      <w:color w:val="2E74B5" w:themeColor="accent1" w:themeShade="BF"/>
      <w:spacing w:val="5"/>
    </w:rPr>
  </w:style>
  <w:style w:type="character" w:styleId="Hyperlink">
    <w:name w:val="Hyperlink"/>
    <w:basedOn w:val="DefaultParagraphFont"/>
    <w:uiPriority w:val="99"/>
    <w:unhideWhenUsed/>
    <w:rsid w:val="00DB68E0"/>
    <w:rPr>
      <w:color w:val="0563C1" w:themeColor="hyperlink"/>
      <w:u w:val="single"/>
    </w:rPr>
  </w:style>
  <w:style w:type="table" w:styleId="TableGrid">
    <w:name w:val="Table Grid"/>
    <w:basedOn w:val="TableNormal"/>
    <w:rsid w:val="00DB68E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ft.nhs.uk/intranet/teams-support-me/governance-and-risk-management/policy-management/trus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2662</Characters>
  <Application>Microsoft Office Word</Application>
  <DocSecurity>0</DocSecurity>
  <Lines>22</Lines>
  <Paragraphs>6</Paragraphs>
  <ScaleCrop>false</ScaleCrop>
  <Company>East London NHS Foundation Trust</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3</cp:revision>
  <dcterms:created xsi:type="dcterms:W3CDTF">2026-01-05T14:22:00Z</dcterms:created>
  <dcterms:modified xsi:type="dcterms:W3CDTF">2026-01-05T14:23:00Z</dcterms:modified>
</cp:coreProperties>
</file>