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447D4" w14:textId="77777777" w:rsidR="00663A76" w:rsidRDefault="00663A76" w:rsidP="00663A76">
      <w:pPr>
        <w:jc w:val="right"/>
      </w:pPr>
    </w:p>
    <w:p w14:paraId="4DB43BB3" w14:textId="4323D560" w:rsidR="00663A76" w:rsidRDefault="0018301F" w:rsidP="00CD05FF">
      <w:pPr>
        <w:jc w:val="right"/>
      </w:pPr>
      <w:r>
        <w:rPr>
          <w:noProof/>
        </w:rPr>
        <w:drawing>
          <wp:inline distT="0" distB="0" distL="0" distR="0" wp14:anchorId="1151A39D" wp14:editId="6D50784B">
            <wp:extent cx="1640205" cy="932815"/>
            <wp:effectExtent l="0" t="0" r="0" b="635"/>
            <wp:docPr id="128414940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0205" cy="932815"/>
                    </a:xfrm>
                    <a:prstGeom prst="rect">
                      <a:avLst/>
                    </a:prstGeom>
                    <a:noFill/>
                  </pic:spPr>
                </pic:pic>
              </a:graphicData>
            </a:graphic>
          </wp:inline>
        </w:drawing>
      </w:r>
    </w:p>
    <w:p w14:paraId="166317E6" w14:textId="77777777" w:rsidR="00663A76" w:rsidRDefault="00663A76"/>
    <w:p w14:paraId="1B869948" w14:textId="77777777" w:rsidR="00663A76" w:rsidRDefault="00663A76"/>
    <w:p w14:paraId="15B310D6" w14:textId="77777777" w:rsidR="00663A76" w:rsidRPr="0018301F" w:rsidRDefault="00663A76" w:rsidP="007D2F7E">
      <w:pPr>
        <w:jc w:val="center"/>
        <w:rPr>
          <w:rFonts w:cs="Arial"/>
          <w:bCs/>
          <w:sz w:val="40"/>
          <w:szCs w:val="40"/>
        </w:rPr>
      </w:pPr>
      <w:r w:rsidRPr="0018301F">
        <w:rPr>
          <w:rFonts w:cs="Arial"/>
          <w:bCs/>
          <w:sz w:val="40"/>
          <w:szCs w:val="40"/>
        </w:rPr>
        <w:t xml:space="preserve">Surge Management Plan </w:t>
      </w:r>
    </w:p>
    <w:p w14:paraId="1199A5A1" w14:textId="77777777" w:rsidR="00663A76" w:rsidRDefault="00663A76"/>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18301F" w:rsidRPr="00016A22" w14:paraId="7804A3A8" w14:textId="77777777" w:rsidTr="002B585E">
        <w:tc>
          <w:tcPr>
            <w:tcW w:w="4513" w:type="dxa"/>
          </w:tcPr>
          <w:p w14:paraId="44FB08D0" w14:textId="47CBC47D" w:rsidR="0018301F" w:rsidRPr="00016A22" w:rsidRDefault="0018301F" w:rsidP="002B585E">
            <w:pPr>
              <w:spacing w:before="40" w:after="40" w:line="240" w:lineRule="auto"/>
              <w:jc w:val="both"/>
              <w:rPr>
                <w:rFonts w:eastAsia="Times New Roman" w:cs="Times New Roman"/>
                <w:szCs w:val="24"/>
                <w:lang w:eastAsia="en-GB"/>
              </w:rPr>
            </w:pPr>
            <w:r w:rsidRPr="00016A22">
              <w:rPr>
                <w:rFonts w:eastAsia="Times New Roman" w:cs="Times New Roman"/>
                <w:szCs w:val="24"/>
                <w:lang w:eastAsia="en-GB"/>
              </w:rPr>
              <w:t>Version number:</w:t>
            </w:r>
          </w:p>
        </w:tc>
        <w:tc>
          <w:tcPr>
            <w:tcW w:w="4487" w:type="dxa"/>
          </w:tcPr>
          <w:p w14:paraId="6D8DE7DB" w14:textId="0B8ED143" w:rsidR="0018301F" w:rsidRPr="00016A22" w:rsidRDefault="0018301F" w:rsidP="002B585E">
            <w:pPr>
              <w:spacing w:before="40" w:after="40" w:line="240" w:lineRule="auto"/>
              <w:jc w:val="both"/>
              <w:rPr>
                <w:rFonts w:eastAsia="Times New Roman" w:cs="Times New Roman"/>
                <w:szCs w:val="24"/>
                <w:lang w:eastAsia="en-GB"/>
              </w:rPr>
            </w:pPr>
            <w:r>
              <w:rPr>
                <w:rFonts w:eastAsia="Times New Roman" w:cs="Times New Roman"/>
                <w:szCs w:val="24"/>
                <w:lang w:eastAsia="en-GB"/>
              </w:rPr>
              <w:t>4</w:t>
            </w:r>
            <w:r w:rsidRPr="00016A22">
              <w:rPr>
                <w:rFonts w:eastAsia="Times New Roman" w:cs="Times New Roman"/>
                <w:szCs w:val="24"/>
                <w:lang w:eastAsia="en-GB"/>
              </w:rPr>
              <w:t>.0</w:t>
            </w:r>
          </w:p>
        </w:tc>
      </w:tr>
      <w:tr w:rsidR="0018301F" w:rsidRPr="00016A22" w14:paraId="499C2F5A" w14:textId="77777777" w:rsidTr="002B585E">
        <w:tc>
          <w:tcPr>
            <w:tcW w:w="4513" w:type="dxa"/>
          </w:tcPr>
          <w:p w14:paraId="650761D5" w14:textId="77777777" w:rsidR="0018301F" w:rsidRPr="00016A22" w:rsidRDefault="0018301F" w:rsidP="002B585E">
            <w:pPr>
              <w:spacing w:before="40" w:after="40" w:line="240" w:lineRule="auto"/>
              <w:jc w:val="both"/>
              <w:rPr>
                <w:rFonts w:eastAsia="Times New Roman" w:cs="Times New Roman"/>
                <w:szCs w:val="24"/>
                <w:lang w:eastAsia="en-GB"/>
              </w:rPr>
            </w:pPr>
            <w:r w:rsidRPr="00016A22">
              <w:rPr>
                <w:rFonts w:eastAsia="Times New Roman" w:cs="Times New Roman"/>
                <w:szCs w:val="24"/>
                <w:lang w:eastAsia="en-GB"/>
              </w:rPr>
              <w:t xml:space="preserve">Consultation Groups </w:t>
            </w:r>
          </w:p>
        </w:tc>
        <w:tc>
          <w:tcPr>
            <w:tcW w:w="4487" w:type="dxa"/>
          </w:tcPr>
          <w:p w14:paraId="674127AE" w14:textId="77777777" w:rsidR="0018301F" w:rsidRPr="00016A22" w:rsidRDefault="0018301F" w:rsidP="002B585E">
            <w:pPr>
              <w:spacing w:before="40" w:after="40" w:line="240" w:lineRule="auto"/>
              <w:rPr>
                <w:rFonts w:eastAsia="Times New Roman" w:cs="Times New Roman"/>
                <w:szCs w:val="24"/>
                <w:lang w:eastAsia="en-GB"/>
              </w:rPr>
            </w:pPr>
            <w:r w:rsidRPr="00016A22">
              <w:rPr>
                <w:rFonts w:eastAsia="Times New Roman" w:cs="Times New Roman"/>
                <w:szCs w:val="24"/>
                <w:lang w:eastAsia="en-GB"/>
              </w:rPr>
              <w:t>ELFT Service Directors, NHS England (London) EPRR Team, Local Authorities for Hackney, Tower Hamlets and Newham, ICBs</w:t>
            </w:r>
          </w:p>
        </w:tc>
      </w:tr>
      <w:tr w:rsidR="0018301F" w:rsidRPr="00016A22" w14:paraId="29704AEB" w14:textId="77777777" w:rsidTr="002B585E">
        <w:tc>
          <w:tcPr>
            <w:tcW w:w="4513" w:type="dxa"/>
          </w:tcPr>
          <w:p w14:paraId="07D1742E" w14:textId="77777777" w:rsidR="0018301F" w:rsidRPr="00016A22" w:rsidRDefault="0018301F" w:rsidP="002B585E">
            <w:pPr>
              <w:spacing w:before="40" w:after="40" w:line="240" w:lineRule="auto"/>
              <w:jc w:val="both"/>
              <w:rPr>
                <w:rFonts w:eastAsia="Times New Roman" w:cs="Times New Roman"/>
                <w:szCs w:val="24"/>
                <w:lang w:eastAsia="en-GB"/>
              </w:rPr>
            </w:pPr>
            <w:r w:rsidRPr="00016A22">
              <w:rPr>
                <w:rFonts w:eastAsia="Times New Roman" w:cs="Times New Roman"/>
                <w:szCs w:val="24"/>
                <w:lang w:eastAsia="en-GB"/>
              </w:rPr>
              <w:t>Approved by (Sponsor Group)</w:t>
            </w:r>
          </w:p>
        </w:tc>
        <w:tc>
          <w:tcPr>
            <w:tcW w:w="4487" w:type="dxa"/>
          </w:tcPr>
          <w:p w14:paraId="0962AC15" w14:textId="45A7951E" w:rsidR="0018301F" w:rsidRPr="00016A22" w:rsidRDefault="0018301F" w:rsidP="002B585E">
            <w:pPr>
              <w:spacing w:before="40" w:after="40" w:line="240" w:lineRule="auto"/>
              <w:jc w:val="both"/>
              <w:rPr>
                <w:rFonts w:eastAsia="Times New Roman" w:cs="Times New Roman"/>
                <w:szCs w:val="24"/>
                <w:lang w:eastAsia="en-GB"/>
              </w:rPr>
            </w:pPr>
            <w:r w:rsidRPr="00016A22">
              <w:rPr>
                <w:rFonts w:eastAsia="Times New Roman" w:cs="Times New Roman"/>
                <w:szCs w:val="24"/>
                <w:lang w:eastAsia="en-GB"/>
              </w:rPr>
              <w:t>AEO</w:t>
            </w:r>
          </w:p>
        </w:tc>
      </w:tr>
      <w:tr w:rsidR="0018301F" w:rsidRPr="00016A22" w14:paraId="3BC5F2BC" w14:textId="77777777" w:rsidTr="002B585E">
        <w:tc>
          <w:tcPr>
            <w:tcW w:w="4513" w:type="dxa"/>
          </w:tcPr>
          <w:p w14:paraId="7403EA0E" w14:textId="3D5605B7" w:rsidR="0018301F" w:rsidRPr="00016A22" w:rsidRDefault="0018301F" w:rsidP="002B585E">
            <w:pPr>
              <w:spacing w:before="40" w:after="40" w:line="240" w:lineRule="auto"/>
              <w:jc w:val="both"/>
              <w:rPr>
                <w:rFonts w:eastAsia="Times New Roman" w:cs="Times New Roman"/>
                <w:szCs w:val="24"/>
                <w:lang w:eastAsia="en-GB"/>
              </w:rPr>
            </w:pPr>
            <w:r>
              <w:rPr>
                <w:rFonts w:eastAsia="Times New Roman" w:cs="Times New Roman"/>
                <w:szCs w:val="24"/>
                <w:lang w:eastAsia="en-GB"/>
              </w:rPr>
              <w:t>Date approved</w:t>
            </w:r>
          </w:p>
        </w:tc>
        <w:tc>
          <w:tcPr>
            <w:tcW w:w="4487" w:type="dxa"/>
          </w:tcPr>
          <w:p w14:paraId="55370BA1" w14:textId="1BC47E37" w:rsidR="0018301F" w:rsidRPr="00016A22" w:rsidRDefault="001560D4" w:rsidP="002B585E">
            <w:pPr>
              <w:spacing w:before="40" w:after="40" w:line="240" w:lineRule="auto"/>
              <w:jc w:val="both"/>
              <w:rPr>
                <w:rFonts w:eastAsia="Times New Roman" w:cs="Times New Roman"/>
                <w:szCs w:val="24"/>
                <w:lang w:eastAsia="en-GB"/>
              </w:rPr>
            </w:pPr>
            <w:r>
              <w:rPr>
                <w:rFonts w:eastAsia="Times New Roman" w:cs="Times New Roman"/>
                <w:szCs w:val="24"/>
                <w:lang w:eastAsia="en-GB"/>
              </w:rPr>
              <w:t>23</w:t>
            </w:r>
            <w:r>
              <w:t xml:space="preserve"> </w:t>
            </w:r>
            <w:r w:rsidRPr="001560D4">
              <w:rPr>
                <w:rFonts w:eastAsia="Times New Roman" w:cs="Times New Roman"/>
                <w:szCs w:val="24"/>
                <w:lang w:eastAsia="en-GB"/>
              </w:rPr>
              <w:t>February 2026</w:t>
            </w:r>
          </w:p>
        </w:tc>
      </w:tr>
      <w:tr w:rsidR="0018301F" w:rsidRPr="00016A22" w14:paraId="1092618E" w14:textId="77777777" w:rsidTr="002B585E">
        <w:tc>
          <w:tcPr>
            <w:tcW w:w="4513" w:type="dxa"/>
          </w:tcPr>
          <w:p w14:paraId="53F6D011" w14:textId="77777777" w:rsidR="0018301F" w:rsidRPr="00016A22" w:rsidRDefault="0018301F" w:rsidP="002B585E">
            <w:pPr>
              <w:spacing w:before="40" w:after="40" w:line="240" w:lineRule="auto"/>
              <w:jc w:val="both"/>
              <w:rPr>
                <w:rFonts w:eastAsia="Times New Roman" w:cs="Times New Roman"/>
                <w:szCs w:val="24"/>
                <w:lang w:eastAsia="en-GB"/>
              </w:rPr>
            </w:pPr>
            <w:r w:rsidRPr="00016A22">
              <w:rPr>
                <w:rFonts w:eastAsia="Times New Roman" w:cs="Times New Roman"/>
                <w:szCs w:val="24"/>
                <w:lang w:eastAsia="en-GB"/>
              </w:rPr>
              <w:t>Ratified by:</w:t>
            </w:r>
          </w:p>
        </w:tc>
        <w:tc>
          <w:tcPr>
            <w:tcW w:w="4487" w:type="dxa"/>
          </w:tcPr>
          <w:p w14:paraId="3E990CF1" w14:textId="103E28CA" w:rsidR="0018301F" w:rsidRPr="00016A22" w:rsidRDefault="0018301F" w:rsidP="002B585E">
            <w:pPr>
              <w:spacing w:before="40" w:after="40" w:line="240" w:lineRule="auto"/>
              <w:jc w:val="both"/>
              <w:rPr>
                <w:rFonts w:eastAsia="Times New Roman" w:cs="Times New Roman"/>
                <w:szCs w:val="24"/>
                <w:lang w:eastAsia="en-GB"/>
              </w:rPr>
            </w:pPr>
            <w:r w:rsidRPr="00016A22">
              <w:rPr>
                <w:rFonts w:eastAsia="Times New Roman" w:cs="Times New Roman"/>
                <w:szCs w:val="24"/>
                <w:lang w:eastAsia="en-GB"/>
              </w:rPr>
              <w:t>Quality Committee</w:t>
            </w:r>
          </w:p>
        </w:tc>
      </w:tr>
      <w:tr w:rsidR="0018301F" w:rsidRPr="00016A22" w14:paraId="54F232E0" w14:textId="77777777" w:rsidTr="002B585E">
        <w:tc>
          <w:tcPr>
            <w:tcW w:w="4513" w:type="dxa"/>
          </w:tcPr>
          <w:p w14:paraId="5AB53C8E" w14:textId="77777777" w:rsidR="0018301F" w:rsidRPr="00016A22" w:rsidRDefault="0018301F" w:rsidP="002B585E">
            <w:pPr>
              <w:spacing w:before="40" w:after="40" w:line="240" w:lineRule="auto"/>
              <w:jc w:val="both"/>
              <w:rPr>
                <w:rFonts w:eastAsia="Times New Roman" w:cs="Times New Roman"/>
                <w:szCs w:val="24"/>
                <w:lang w:eastAsia="en-GB"/>
              </w:rPr>
            </w:pPr>
            <w:r w:rsidRPr="00016A22">
              <w:rPr>
                <w:rFonts w:eastAsia="Times New Roman" w:cs="Times New Roman"/>
                <w:szCs w:val="24"/>
                <w:lang w:eastAsia="en-GB"/>
              </w:rPr>
              <w:t>Date ratified:</w:t>
            </w:r>
          </w:p>
        </w:tc>
        <w:tc>
          <w:tcPr>
            <w:tcW w:w="4487" w:type="dxa"/>
          </w:tcPr>
          <w:p w14:paraId="75E107B9" w14:textId="2A3B55F5" w:rsidR="0018301F" w:rsidRPr="00016A22" w:rsidRDefault="0018301F" w:rsidP="002B585E">
            <w:pPr>
              <w:spacing w:before="40" w:after="40" w:line="240" w:lineRule="auto"/>
              <w:jc w:val="both"/>
              <w:rPr>
                <w:rFonts w:eastAsia="Times New Roman" w:cs="Times New Roman"/>
                <w:szCs w:val="24"/>
                <w:lang w:eastAsia="en-GB"/>
              </w:rPr>
            </w:pPr>
            <w:r>
              <w:rPr>
                <w:rFonts w:eastAsia="Times New Roman" w:cs="Times New Roman"/>
                <w:szCs w:val="24"/>
                <w:lang w:eastAsia="en-GB"/>
              </w:rPr>
              <w:t>25</w:t>
            </w:r>
            <w:r w:rsidRPr="00016A22">
              <w:rPr>
                <w:rFonts w:eastAsia="Times New Roman" w:cs="Times New Roman"/>
                <w:szCs w:val="24"/>
                <w:lang w:eastAsia="en-GB"/>
              </w:rPr>
              <w:t xml:space="preserve"> February 202</w:t>
            </w:r>
            <w:r>
              <w:rPr>
                <w:rFonts w:eastAsia="Times New Roman" w:cs="Times New Roman"/>
                <w:szCs w:val="24"/>
                <w:lang w:eastAsia="en-GB"/>
              </w:rPr>
              <w:t>6</w:t>
            </w:r>
          </w:p>
        </w:tc>
      </w:tr>
      <w:tr w:rsidR="0018301F" w:rsidRPr="00016A22" w14:paraId="7D6AB417" w14:textId="77777777" w:rsidTr="002B585E">
        <w:tc>
          <w:tcPr>
            <w:tcW w:w="4513" w:type="dxa"/>
          </w:tcPr>
          <w:p w14:paraId="6A96A027" w14:textId="77777777" w:rsidR="0018301F" w:rsidRPr="00016A22" w:rsidRDefault="0018301F" w:rsidP="002B585E">
            <w:pPr>
              <w:spacing w:before="40" w:after="40" w:line="240" w:lineRule="auto"/>
              <w:jc w:val="both"/>
              <w:rPr>
                <w:rFonts w:eastAsia="Times New Roman" w:cs="Times New Roman"/>
                <w:szCs w:val="24"/>
                <w:lang w:eastAsia="en-GB"/>
              </w:rPr>
            </w:pPr>
            <w:r w:rsidRPr="00016A22">
              <w:rPr>
                <w:rFonts w:eastAsia="Times New Roman" w:cs="Times New Roman"/>
                <w:szCs w:val="24"/>
                <w:lang w:eastAsia="en-GB"/>
              </w:rPr>
              <w:t>Name of originator/author:</w:t>
            </w:r>
          </w:p>
        </w:tc>
        <w:tc>
          <w:tcPr>
            <w:tcW w:w="4487" w:type="dxa"/>
          </w:tcPr>
          <w:p w14:paraId="2F8ADDC6" w14:textId="77777777" w:rsidR="0018301F" w:rsidRPr="00016A22" w:rsidRDefault="0018301F" w:rsidP="002B585E">
            <w:pPr>
              <w:spacing w:before="40" w:after="40" w:line="240" w:lineRule="auto"/>
              <w:rPr>
                <w:rFonts w:eastAsia="Times New Roman" w:cs="Times New Roman"/>
                <w:szCs w:val="24"/>
                <w:lang w:eastAsia="en-GB"/>
              </w:rPr>
            </w:pPr>
            <w:r w:rsidRPr="00016A22">
              <w:rPr>
                <w:rFonts w:eastAsia="Times New Roman" w:cs="Times New Roman"/>
                <w:szCs w:val="24"/>
                <w:lang w:eastAsia="en-GB"/>
              </w:rPr>
              <w:t>Emergency Planning Manager</w:t>
            </w:r>
          </w:p>
        </w:tc>
      </w:tr>
      <w:tr w:rsidR="0018301F" w:rsidRPr="00016A22" w14:paraId="4D126501" w14:textId="77777777" w:rsidTr="002B585E">
        <w:tc>
          <w:tcPr>
            <w:tcW w:w="4513" w:type="dxa"/>
          </w:tcPr>
          <w:p w14:paraId="018BDB48" w14:textId="332D190E" w:rsidR="0018301F" w:rsidRPr="00016A22" w:rsidRDefault="0018301F" w:rsidP="002B585E">
            <w:pPr>
              <w:spacing w:before="40" w:after="40" w:line="240" w:lineRule="auto"/>
              <w:jc w:val="both"/>
              <w:rPr>
                <w:rFonts w:eastAsia="Times New Roman" w:cs="Times New Roman"/>
                <w:szCs w:val="24"/>
                <w:lang w:eastAsia="en-GB"/>
              </w:rPr>
            </w:pPr>
            <w:r w:rsidRPr="00016A22">
              <w:rPr>
                <w:rFonts w:eastAsia="Times New Roman" w:cs="Times New Roman"/>
                <w:szCs w:val="24"/>
                <w:lang w:eastAsia="en-GB"/>
              </w:rPr>
              <w:t>Executive Director lead:</w:t>
            </w:r>
          </w:p>
        </w:tc>
        <w:tc>
          <w:tcPr>
            <w:tcW w:w="4487" w:type="dxa"/>
          </w:tcPr>
          <w:p w14:paraId="6D68159F" w14:textId="77777777" w:rsidR="0018301F" w:rsidRPr="00016A22" w:rsidRDefault="0018301F" w:rsidP="002B585E">
            <w:pPr>
              <w:spacing w:before="40" w:after="40" w:line="240" w:lineRule="auto"/>
              <w:jc w:val="both"/>
              <w:rPr>
                <w:rFonts w:eastAsia="Times New Roman" w:cs="Times New Roman"/>
                <w:szCs w:val="24"/>
                <w:lang w:eastAsia="en-GB"/>
              </w:rPr>
            </w:pPr>
            <w:r w:rsidRPr="004D4A7C">
              <w:rPr>
                <w:rFonts w:eastAsia="Times New Roman" w:cs="Times New Roman"/>
                <w:szCs w:val="24"/>
                <w:lang w:eastAsia="en-GB"/>
              </w:rPr>
              <w:t>Chief Operating Officer</w:t>
            </w:r>
          </w:p>
        </w:tc>
      </w:tr>
      <w:tr w:rsidR="0018301F" w:rsidRPr="00016A22" w14:paraId="565C7465" w14:textId="77777777" w:rsidTr="002B585E">
        <w:tc>
          <w:tcPr>
            <w:tcW w:w="4513" w:type="dxa"/>
          </w:tcPr>
          <w:p w14:paraId="55B9C07D" w14:textId="47FAA5AF" w:rsidR="0018301F" w:rsidRPr="00016A22" w:rsidRDefault="0018301F" w:rsidP="002B585E">
            <w:pPr>
              <w:spacing w:before="40" w:after="40" w:line="240" w:lineRule="auto"/>
              <w:jc w:val="both"/>
              <w:rPr>
                <w:rFonts w:eastAsia="Times New Roman" w:cs="Times New Roman"/>
                <w:szCs w:val="24"/>
                <w:lang w:eastAsia="en-GB"/>
              </w:rPr>
            </w:pPr>
            <w:r w:rsidRPr="00016A22">
              <w:rPr>
                <w:rFonts w:eastAsia="Times New Roman" w:cs="Times New Roman"/>
                <w:szCs w:val="24"/>
                <w:lang w:eastAsia="en-GB"/>
              </w:rPr>
              <w:t>Implementation Date:</w:t>
            </w:r>
          </w:p>
        </w:tc>
        <w:tc>
          <w:tcPr>
            <w:tcW w:w="4487" w:type="dxa"/>
          </w:tcPr>
          <w:p w14:paraId="521A4F2E" w14:textId="354A86A8" w:rsidR="0018301F" w:rsidRPr="00016A22" w:rsidRDefault="0018301F" w:rsidP="002B585E">
            <w:pPr>
              <w:spacing w:before="40" w:after="40" w:line="240" w:lineRule="auto"/>
              <w:jc w:val="both"/>
              <w:rPr>
                <w:rFonts w:eastAsia="Times New Roman" w:cs="Times New Roman"/>
                <w:szCs w:val="24"/>
                <w:lang w:eastAsia="en-GB"/>
              </w:rPr>
            </w:pPr>
            <w:r w:rsidRPr="00016A22">
              <w:rPr>
                <w:rFonts w:eastAsia="Times New Roman" w:cs="Times New Roman"/>
                <w:szCs w:val="24"/>
                <w:lang w:eastAsia="en-GB"/>
              </w:rPr>
              <w:t>February 202</w:t>
            </w:r>
            <w:r>
              <w:rPr>
                <w:rFonts w:eastAsia="Times New Roman" w:cs="Times New Roman"/>
                <w:szCs w:val="24"/>
                <w:lang w:eastAsia="en-GB"/>
              </w:rPr>
              <w:t>6</w:t>
            </w:r>
          </w:p>
        </w:tc>
      </w:tr>
      <w:tr w:rsidR="0018301F" w:rsidRPr="00016A22" w14:paraId="6F3C830E" w14:textId="77777777" w:rsidTr="002B585E">
        <w:tc>
          <w:tcPr>
            <w:tcW w:w="4513" w:type="dxa"/>
          </w:tcPr>
          <w:p w14:paraId="33EA3AFB" w14:textId="77777777" w:rsidR="0018301F" w:rsidRPr="00016A22" w:rsidRDefault="0018301F" w:rsidP="002B585E">
            <w:pPr>
              <w:spacing w:before="40" w:after="40" w:line="240" w:lineRule="auto"/>
              <w:jc w:val="both"/>
              <w:rPr>
                <w:rFonts w:eastAsia="Times New Roman" w:cs="Times New Roman"/>
                <w:szCs w:val="24"/>
                <w:lang w:eastAsia="en-GB"/>
              </w:rPr>
            </w:pPr>
            <w:r w:rsidRPr="00016A22">
              <w:rPr>
                <w:rFonts w:eastAsia="Times New Roman" w:cs="Times New Roman"/>
                <w:szCs w:val="24"/>
                <w:lang w:eastAsia="en-GB"/>
              </w:rPr>
              <w:t xml:space="preserve">Last Review Date </w:t>
            </w:r>
          </w:p>
        </w:tc>
        <w:tc>
          <w:tcPr>
            <w:tcW w:w="4487" w:type="dxa"/>
          </w:tcPr>
          <w:p w14:paraId="3BE5856D" w14:textId="7048A3BA" w:rsidR="0018301F" w:rsidRPr="00016A22" w:rsidRDefault="0018301F" w:rsidP="002B585E">
            <w:pPr>
              <w:spacing w:before="40" w:after="40" w:line="240" w:lineRule="auto"/>
              <w:jc w:val="both"/>
              <w:rPr>
                <w:rFonts w:eastAsia="Times New Roman" w:cs="Times New Roman"/>
                <w:szCs w:val="24"/>
                <w:lang w:eastAsia="en-GB"/>
              </w:rPr>
            </w:pPr>
            <w:r w:rsidRPr="00016A22">
              <w:rPr>
                <w:rFonts w:eastAsia="Times New Roman" w:cs="Times New Roman"/>
                <w:szCs w:val="24"/>
                <w:lang w:eastAsia="en-GB"/>
              </w:rPr>
              <w:t>February 202</w:t>
            </w:r>
            <w:r>
              <w:rPr>
                <w:rFonts w:eastAsia="Times New Roman" w:cs="Times New Roman"/>
                <w:szCs w:val="24"/>
                <w:lang w:eastAsia="en-GB"/>
              </w:rPr>
              <w:t>6</w:t>
            </w:r>
          </w:p>
        </w:tc>
      </w:tr>
      <w:tr w:rsidR="0018301F" w:rsidRPr="00016A22" w14:paraId="567514D4" w14:textId="77777777" w:rsidTr="002B585E">
        <w:tc>
          <w:tcPr>
            <w:tcW w:w="4513" w:type="dxa"/>
          </w:tcPr>
          <w:p w14:paraId="7F7CB5D4" w14:textId="77777777" w:rsidR="0018301F" w:rsidRPr="00016A22" w:rsidRDefault="0018301F" w:rsidP="002B585E">
            <w:pPr>
              <w:spacing w:before="40" w:after="40" w:line="240" w:lineRule="auto"/>
              <w:jc w:val="both"/>
              <w:rPr>
                <w:rFonts w:eastAsia="Times New Roman" w:cs="Times New Roman"/>
                <w:szCs w:val="24"/>
                <w:lang w:eastAsia="en-GB"/>
              </w:rPr>
            </w:pPr>
            <w:r w:rsidRPr="00016A22">
              <w:rPr>
                <w:rFonts w:eastAsia="Times New Roman" w:cs="Times New Roman"/>
                <w:szCs w:val="24"/>
                <w:lang w:eastAsia="en-GB"/>
              </w:rPr>
              <w:t>Next Review date:</w:t>
            </w:r>
          </w:p>
        </w:tc>
        <w:tc>
          <w:tcPr>
            <w:tcW w:w="4487" w:type="dxa"/>
          </w:tcPr>
          <w:p w14:paraId="6E588F0F" w14:textId="710F1527" w:rsidR="0018301F" w:rsidRPr="00016A22" w:rsidRDefault="0018301F" w:rsidP="002B585E">
            <w:pPr>
              <w:spacing w:before="40" w:after="40" w:line="240" w:lineRule="auto"/>
              <w:jc w:val="both"/>
              <w:rPr>
                <w:rFonts w:eastAsia="Times New Roman" w:cs="Times New Roman"/>
                <w:szCs w:val="24"/>
                <w:lang w:eastAsia="en-GB"/>
              </w:rPr>
            </w:pPr>
            <w:r w:rsidRPr="00016A22">
              <w:rPr>
                <w:rFonts w:eastAsia="Times New Roman" w:cs="Times New Roman"/>
                <w:szCs w:val="24"/>
                <w:lang w:eastAsia="en-GB"/>
              </w:rPr>
              <w:t>February 202</w:t>
            </w:r>
            <w:r>
              <w:rPr>
                <w:rFonts w:eastAsia="Times New Roman" w:cs="Times New Roman"/>
                <w:szCs w:val="24"/>
                <w:lang w:eastAsia="en-GB"/>
              </w:rPr>
              <w:t>8</w:t>
            </w:r>
          </w:p>
        </w:tc>
      </w:tr>
    </w:tbl>
    <w:p w14:paraId="4E73DAB1" w14:textId="77777777" w:rsidR="005E03BA" w:rsidRDefault="005E03BA"/>
    <w:p w14:paraId="4D99A3E6" w14:textId="77777777" w:rsidR="005E03BA" w:rsidRDefault="005E03BA"/>
    <w:p w14:paraId="1A31821A" w14:textId="77777777" w:rsidR="005E03BA" w:rsidRDefault="005E03BA"/>
    <w:p w14:paraId="7858E739" w14:textId="77777777" w:rsidR="005E03BA" w:rsidRDefault="005E03BA"/>
    <w:p w14:paraId="05AB765D" w14:textId="77777777" w:rsidR="005E03BA" w:rsidRDefault="005E03BA"/>
    <w:p w14:paraId="1DE87C9E" w14:textId="77777777" w:rsidR="005E03BA" w:rsidRDefault="005E03BA"/>
    <w:p w14:paraId="7B018107" w14:textId="77777777" w:rsidR="005E03BA" w:rsidRDefault="005E03BA"/>
    <w:p w14:paraId="03BFDC43" w14:textId="77777777" w:rsidR="005E03BA" w:rsidRDefault="005E03BA"/>
    <w:p w14:paraId="7271AD69" w14:textId="77777777" w:rsidR="005E03BA" w:rsidRDefault="005E03BA"/>
    <w:p w14:paraId="0E168265" w14:textId="77777777" w:rsidR="005E03BA" w:rsidRDefault="005E03BA"/>
    <w:p w14:paraId="109509E0" w14:textId="77777777" w:rsidR="005E03BA" w:rsidRDefault="005E03BA"/>
    <w:p w14:paraId="5D06A63E" w14:textId="77777777" w:rsidR="0018301F" w:rsidRPr="0018301F" w:rsidRDefault="0018301F" w:rsidP="0018301F"/>
    <w:tbl>
      <w:tblPr>
        <w:tblStyle w:val="TableGrid"/>
        <w:tblW w:w="0" w:type="auto"/>
        <w:tblLook w:val="04A0" w:firstRow="1" w:lastRow="0" w:firstColumn="1" w:lastColumn="0" w:noHBand="0" w:noVBand="1"/>
      </w:tblPr>
      <w:tblGrid>
        <w:gridCol w:w="4621"/>
        <w:gridCol w:w="4621"/>
      </w:tblGrid>
      <w:tr w:rsidR="0018301F" w:rsidRPr="0018301F" w14:paraId="4D8723BF" w14:textId="77777777" w:rsidTr="002B585E">
        <w:tc>
          <w:tcPr>
            <w:tcW w:w="4621" w:type="dxa"/>
          </w:tcPr>
          <w:p w14:paraId="63248398" w14:textId="77777777" w:rsidR="0018301F" w:rsidRPr="0018301F" w:rsidRDefault="0018301F" w:rsidP="0018301F">
            <w:pPr>
              <w:spacing w:after="200" w:line="276" w:lineRule="auto"/>
            </w:pPr>
            <w:r w:rsidRPr="0018301F">
              <w:t xml:space="preserve">Services </w:t>
            </w:r>
          </w:p>
        </w:tc>
        <w:tc>
          <w:tcPr>
            <w:tcW w:w="4621" w:type="dxa"/>
          </w:tcPr>
          <w:p w14:paraId="0AD94DB7" w14:textId="77777777" w:rsidR="0018301F" w:rsidRPr="0018301F" w:rsidRDefault="0018301F" w:rsidP="0018301F">
            <w:pPr>
              <w:spacing w:after="200" w:line="276" w:lineRule="auto"/>
            </w:pPr>
            <w:r w:rsidRPr="0018301F">
              <w:t xml:space="preserve">Applicable </w:t>
            </w:r>
          </w:p>
        </w:tc>
      </w:tr>
      <w:tr w:rsidR="0018301F" w:rsidRPr="0018301F" w14:paraId="4E2C3D95" w14:textId="77777777" w:rsidTr="002B585E">
        <w:tc>
          <w:tcPr>
            <w:tcW w:w="4621" w:type="dxa"/>
          </w:tcPr>
          <w:p w14:paraId="54732E0D" w14:textId="77777777" w:rsidR="0018301F" w:rsidRPr="0018301F" w:rsidRDefault="0018301F" w:rsidP="0018301F">
            <w:pPr>
              <w:spacing w:after="200" w:line="276" w:lineRule="auto"/>
            </w:pPr>
            <w:r w:rsidRPr="0018301F">
              <w:t>Trust wide</w:t>
            </w:r>
          </w:p>
        </w:tc>
        <w:tc>
          <w:tcPr>
            <w:tcW w:w="4621" w:type="dxa"/>
          </w:tcPr>
          <w:p w14:paraId="61BA967E" w14:textId="77777777" w:rsidR="0018301F" w:rsidRPr="0018301F" w:rsidRDefault="0018301F" w:rsidP="0018301F">
            <w:pPr>
              <w:spacing w:after="200" w:line="276" w:lineRule="auto"/>
            </w:pPr>
            <w:r w:rsidRPr="0018301F">
              <w:t>X</w:t>
            </w:r>
          </w:p>
        </w:tc>
      </w:tr>
      <w:tr w:rsidR="0018301F" w:rsidRPr="0018301F" w14:paraId="71409E69" w14:textId="77777777" w:rsidTr="002B585E">
        <w:tc>
          <w:tcPr>
            <w:tcW w:w="4621" w:type="dxa"/>
          </w:tcPr>
          <w:p w14:paraId="124366DB" w14:textId="77777777" w:rsidR="0018301F" w:rsidRPr="0018301F" w:rsidRDefault="0018301F" w:rsidP="0018301F">
            <w:pPr>
              <w:spacing w:after="200" w:line="276" w:lineRule="auto"/>
            </w:pPr>
            <w:r w:rsidRPr="0018301F">
              <w:t xml:space="preserve">Mental Health and LD </w:t>
            </w:r>
          </w:p>
        </w:tc>
        <w:tc>
          <w:tcPr>
            <w:tcW w:w="4621" w:type="dxa"/>
          </w:tcPr>
          <w:p w14:paraId="3ECD9E59" w14:textId="77777777" w:rsidR="0018301F" w:rsidRPr="0018301F" w:rsidRDefault="0018301F" w:rsidP="0018301F">
            <w:pPr>
              <w:spacing w:after="200" w:line="276" w:lineRule="auto"/>
            </w:pPr>
          </w:p>
        </w:tc>
      </w:tr>
      <w:tr w:rsidR="0018301F" w:rsidRPr="0018301F" w14:paraId="42D100C4" w14:textId="77777777" w:rsidTr="002B585E">
        <w:tc>
          <w:tcPr>
            <w:tcW w:w="4621" w:type="dxa"/>
          </w:tcPr>
          <w:p w14:paraId="570A196E" w14:textId="77777777" w:rsidR="0018301F" w:rsidRPr="0018301F" w:rsidRDefault="0018301F" w:rsidP="0018301F">
            <w:pPr>
              <w:spacing w:after="200" w:line="276" w:lineRule="auto"/>
            </w:pPr>
            <w:r w:rsidRPr="0018301F">
              <w:t xml:space="preserve">Community Health Services </w:t>
            </w:r>
          </w:p>
        </w:tc>
        <w:tc>
          <w:tcPr>
            <w:tcW w:w="4621" w:type="dxa"/>
          </w:tcPr>
          <w:p w14:paraId="397E7165" w14:textId="77777777" w:rsidR="0018301F" w:rsidRPr="0018301F" w:rsidRDefault="0018301F" w:rsidP="0018301F">
            <w:pPr>
              <w:spacing w:after="200" w:line="276" w:lineRule="auto"/>
            </w:pPr>
          </w:p>
        </w:tc>
      </w:tr>
    </w:tbl>
    <w:p w14:paraId="40A89E28" w14:textId="77777777" w:rsidR="005E03BA" w:rsidRDefault="005E03BA"/>
    <w:p w14:paraId="1FC83ED2" w14:textId="77777777" w:rsidR="005E03BA" w:rsidRDefault="005E03BA"/>
    <w:p w14:paraId="601ED368" w14:textId="77777777" w:rsidR="005E03BA" w:rsidRDefault="005E03BA"/>
    <w:p w14:paraId="19A123CF" w14:textId="77777777" w:rsidR="005E03BA" w:rsidRDefault="005E03BA"/>
    <w:p w14:paraId="55E78CAC" w14:textId="77777777" w:rsidR="005E03BA" w:rsidRDefault="005E03BA"/>
    <w:p w14:paraId="2A9119DA" w14:textId="3B79E53F" w:rsidR="00756EA0" w:rsidRPr="0018301F" w:rsidRDefault="00756EA0" w:rsidP="0018301F">
      <w:pPr>
        <w:tabs>
          <w:tab w:val="left" w:pos="2595"/>
        </w:tabs>
      </w:pPr>
    </w:p>
    <w:p w14:paraId="1B9985F5" w14:textId="77777777" w:rsidR="00AE359F" w:rsidRPr="0018301F" w:rsidRDefault="00AE359F" w:rsidP="00AE359F">
      <w:pPr>
        <w:jc w:val="center"/>
        <w:rPr>
          <w:bCs/>
          <w:sz w:val="24"/>
          <w:szCs w:val="24"/>
        </w:rPr>
      </w:pPr>
      <w:r w:rsidRPr="0018301F">
        <w:rPr>
          <w:bCs/>
          <w:sz w:val="24"/>
          <w:szCs w:val="24"/>
        </w:rPr>
        <w:t>Version control summary</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843"/>
        <w:gridCol w:w="1701"/>
        <w:gridCol w:w="4536"/>
      </w:tblGrid>
      <w:tr w:rsidR="005E03BA" w:rsidRPr="00A226D2" w14:paraId="56048A4D" w14:textId="77777777" w:rsidTr="00756EA0">
        <w:tc>
          <w:tcPr>
            <w:tcW w:w="1134" w:type="dxa"/>
            <w:vAlign w:val="center"/>
          </w:tcPr>
          <w:p w14:paraId="6BB4BF99" w14:textId="77777777" w:rsidR="005E03BA" w:rsidRPr="00A226D2" w:rsidRDefault="005E03BA" w:rsidP="00756EA0">
            <w:pPr>
              <w:pStyle w:val="Header"/>
              <w:jc w:val="center"/>
              <w:rPr>
                <w:rFonts w:cs="Arial"/>
                <w:b/>
              </w:rPr>
            </w:pPr>
            <w:r>
              <w:rPr>
                <w:rFonts w:cs="Arial"/>
                <w:b/>
              </w:rPr>
              <w:t>Version No</w:t>
            </w:r>
          </w:p>
        </w:tc>
        <w:tc>
          <w:tcPr>
            <w:tcW w:w="1843" w:type="dxa"/>
            <w:vAlign w:val="center"/>
          </w:tcPr>
          <w:p w14:paraId="1027483F" w14:textId="77777777" w:rsidR="005E03BA" w:rsidRPr="00A226D2" w:rsidRDefault="005E03BA" w:rsidP="00756EA0">
            <w:pPr>
              <w:spacing w:after="0" w:line="240" w:lineRule="auto"/>
              <w:jc w:val="center"/>
              <w:rPr>
                <w:rFonts w:cs="Arial"/>
                <w:b/>
              </w:rPr>
            </w:pPr>
            <w:r>
              <w:rPr>
                <w:rFonts w:cs="Arial"/>
                <w:b/>
              </w:rPr>
              <w:t>Date</w:t>
            </w:r>
          </w:p>
        </w:tc>
        <w:tc>
          <w:tcPr>
            <w:tcW w:w="1701" w:type="dxa"/>
            <w:vAlign w:val="center"/>
          </w:tcPr>
          <w:p w14:paraId="4E0B4F82" w14:textId="77777777" w:rsidR="005E03BA" w:rsidRPr="00A226D2" w:rsidRDefault="005E03BA" w:rsidP="00756EA0">
            <w:pPr>
              <w:spacing w:after="0" w:line="240" w:lineRule="auto"/>
              <w:jc w:val="center"/>
              <w:rPr>
                <w:rFonts w:cs="Arial"/>
                <w:b/>
              </w:rPr>
            </w:pPr>
            <w:r>
              <w:rPr>
                <w:rFonts w:cs="Arial"/>
                <w:b/>
              </w:rPr>
              <w:t>Author</w:t>
            </w:r>
          </w:p>
        </w:tc>
        <w:tc>
          <w:tcPr>
            <w:tcW w:w="4536" w:type="dxa"/>
            <w:vAlign w:val="center"/>
          </w:tcPr>
          <w:p w14:paraId="22F61807" w14:textId="77777777" w:rsidR="005E03BA" w:rsidRPr="00A226D2" w:rsidRDefault="005E03BA" w:rsidP="00756EA0">
            <w:pPr>
              <w:spacing w:after="0" w:line="240" w:lineRule="auto"/>
              <w:jc w:val="center"/>
              <w:rPr>
                <w:rFonts w:cs="Arial"/>
                <w:b/>
              </w:rPr>
            </w:pPr>
            <w:r>
              <w:rPr>
                <w:rFonts w:cs="Arial"/>
                <w:b/>
              </w:rPr>
              <w:t>Reason</w:t>
            </w:r>
          </w:p>
        </w:tc>
      </w:tr>
      <w:tr w:rsidR="005E03BA" w:rsidRPr="00A226D2" w14:paraId="218082CF" w14:textId="77777777" w:rsidTr="00756EA0">
        <w:tc>
          <w:tcPr>
            <w:tcW w:w="1134" w:type="dxa"/>
            <w:vAlign w:val="center"/>
          </w:tcPr>
          <w:p w14:paraId="073A89F0" w14:textId="77777777" w:rsidR="005E03BA" w:rsidRDefault="005E03BA" w:rsidP="00756EA0">
            <w:pPr>
              <w:spacing w:after="0" w:line="240" w:lineRule="auto"/>
              <w:rPr>
                <w:rFonts w:cs="Arial"/>
              </w:rPr>
            </w:pPr>
            <w:r>
              <w:rPr>
                <w:rFonts w:cs="Arial"/>
              </w:rPr>
              <w:t>v1.0</w:t>
            </w:r>
          </w:p>
        </w:tc>
        <w:tc>
          <w:tcPr>
            <w:tcW w:w="1843" w:type="dxa"/>
            <w:vAlign w:val="center"/>
          </w:tcPr>
          <w:p w14:paraId="6BCA671E" w14:textId="77777777" w:rsidR="005E03BA" w:rsidRDefault="005E03BA" w:rsidP="00756EA0">
            <w:pPr>
              <w:spacing w:after="0" w:line="240" w:lineRule="auto"/>
              <w:rPr>
                <w:rFonts w:cs="Arial"/>
              </w:rPr>
            </w:pPr>
            <w:r>
              <w:rPr>
                <w:rFonts w:cs="Arial"/>
              </w:rPr>
              <w:t>September 2014</w:t>
            </w:r>
          </w:p>
        </w:tc>
        <w:tc>
          <w:tcPr>
            <w:tcW w:w="1701" w:type="dxa"/>
            <w:vAlign w:val="center"/>
          </w:tcPr>
          <w:p w14:paraId="4EE2ED2C" w14:textId="77777777" w:rsidR="005E03BA" w:rsidRDefault="005E03BA" w:rsidP="00756EA0">
            <w:pPr>
              <w:spacing w:after="0" w:line="240" w:lineRule="auto"/>
              <w:rPr>
                <w:rFonts w:cs="Arial"/>
              </w:rPr>
            </w:pPr>
            <w:r>
              <w:rPr>
                <w:rFonts w:cs="Arial"/>
              </w:rPr>
              <w:t xml:space="preserve">Petra </w:t>
            </w:r>
            <w:proofErr w:type="spellStart"/>
            <w:r>
              <w:rPr>
                <w:rFonts w:cs="Arial"/>
              </w:rPr>
              <w:t>Nittel</w:t>
            </w:r>
            <w:proofErr w:type="spellEnd"/>
          </w:p>
        </w:tc>
        <w:tc>
          <w:tcPr>
            <w:tcW w:w="4536" w:type="dxa"/>
          </w:tcPr>
          <w:p w14:paraId="72B193D0" w14:textId="77777777" w:rsidR="005E03BA" w:rsidRDefault="005E03BA" w:rsidP="00597888">
            <w:pPr>
              <w:spacing w:after="0" w:line="240" w:lineRule="auto"/>
              <w:rPr>
                <w:rFonts w:cs="Arial"/>
              </w:rPr>
            </w:pPr>
            <w:r>
              <w:rPr>
                <w:rFonts w:cs="Arial"/>
              </w:rPr>
              <w:t>New document to comply with EPRR core standards requirements</w:t>
            </w:r>
            <w:r w:rsidR="00597888">
              <w:rPr>
                <w:rFonts w:cs="Arial"/>
              </w:rPr>
              <w:t xml:space="preserve"> and to reflect the arrangements set out in ‘NHS England (London) Pressure Surge Arrangements v2</w:t>
            </w:r>
            <w:r w:rsidR="00747E5E">
              <w:rPr>
                <w:rFonts w:cs="Arial"/>
              </w:rPr>
              <w:t>, November 2013</w:t>
            </w:r>
            <w:r w:rsidR="00597888">
              <w:rPr>
                <w:rFonts w:cs="Arial"/>
              </w:rPr>
              <w:t>’ and the Trust’s corresponding processes and arrangements.</w:t>
            </w:r>
          </w:p>
        </w:tc>
      </w:tr>
      <w:tr w:rsidR="005E03BA" w:rsidRPr="00A226D2" w14:paraId="228FC820" w14:textId="77777777" w:rsidTr="00756EA0">
        <w:tc>
          <w:tcPr>
            <w:tcW w:w="1134" w:type="dxa"/>
            <w:vAlign w:val="center"/>
          </w:tcPr>
          <w:p w14:paraId="5A26F692" w14:textId="77777777" w:rsidR="005E03BA" w:rsidRPr="00A226D2" w:rsidRDefault="00B9742D" w:rsidP="00756EA0">
            <w:pPr>
              <w:spacing w:after="0" w:line="240" w:lineRule="auto"/>
              <w:rPr>
                <w:rFonts w:cs="Arial"/>
              </w:rPr>
            </w:pPr>
            <w:r>
              <w:rPr>
                <w:rFonts w:cs="Arial"/>
              </w:rPr>
              <w:t>V1.1</w:t>
            </w:r>
          </w:p>
        </w:tc>
        <w:tc>
          <w:tcPr>
            <w:tcW w:w="1843" w:type="dxa"/>
            <w:vAlign w:val="center"/>
          </w:tcPr>
          <w:p w14:paraId="23CE21CC" w14:textId="77777777" w:rsidR="005E03BA" w:rsidRPr="00A226D2" w:rsidRDefault="00B9742D" w:rsidP="00756EA0">
            <w:pPr>
              <w:spacing w:after="0" w:line="240" w:lineRule="auto"/>
              <w:rPr>
                <w:rFonts w:cs="Arial"/>
              </w:rPr>
            </w:pPr>
            <w:r>
              <w:rPr>
                <w:rFonts w:cs="Arial"/>
              </w:rPr>
              <w:t>September 2016</w:t>
            </w:r>
          </w:p>
        </w:tc>
        <w:tc>
          <w:tcPr>
            <w:tcW w:w="1701" w:type="dxa"/>
            <w:vAlign w:val="center"/>
          </w:tcPr>
          <w:p w14:paraId="35F35205" w14:textId="77777777" w:rsidR="005E03BA" w:rsidRDefault="00B9742D" w:rsidP="00756EA0">
            <w:pPr>
              <w:spacing w:after="0" w:line="240" w:lineRule="auto"/>
              <w:rPr>
                <w:rFonts w:cs="Arial"/>
              </w:rPr>
            </w:pPr>
            <w:r>
              <w:rPr>
                <w:rFonts w:cs="Arial"/>
              </w:rPr>
              <w:t>Richard Harwin</w:t>
            </w:r>
          </w:p>
        </w:tc>
        <w:tc>
          <w:tcPr>
            <w:tcW w:w="4536" w:type="dxa"/>
          </w:tcPr>
          <w:p w14:paraId="529E6B86" w14:textId="77777777" w:rsidR="005E03BA" w:rsidRPr="00A226D2" w:rsidRDefault="00B9742D" w:rsidP="003824AA">
            <w:pPr>
              <w:spacing w:after="0" w:line="240" w:lineRule="auto"/>
              <w:rPr>
                <w:rFonts w:cs="Arial"/>
              </w:rPr>
            </w:pPr>
            <w:r>
              <w:rPr>
                <w:rFonts w:cs="Arial"/>
              </w:rPr>
              <w:t>Revi</w:t>
            </w:r>
            <w:r w:rsidR="00B006A1">
              <w:rPr>
                <w:rFonts w:cs="Arial"/>
              </w:rPr>
              <w:t>ew</w:t>
            </w:r>
            <w:r w:rsidR="00626274">
              <w:rPr>
                <w:rFonts w:cs="Arial"/>
              </w:rPr>
              <w:t xml:space="preserve"> due</w:t>
            </w:r>
            <w:r w:rsidR="00B006A1">
              <w:rPr>
                <w:rFonts w:cs="Arial"/>
              </w:rPr>
              <w:t xml:space="preserve"> and update of ELFT community bed capacity. Removal of Urgent Care Centre</w:t>
            </w:r>
            <w:r w:rsidR="00626274">
              <w:rPr>
                <w:rFonts w:cs="Arial"/>
              </w:rPr>
              <w:t>.</w:t>
            </w:r>
          </w:p>
        </w:tc>
      </w:tr>
      <w:tr w:rsidR="009C60B1" w:rsidRPr="00A226D2" w14:paraId="11C75005" w14:textId="77777777" w:rsidTr="00756EA0">
        <w:tc>
          <w:tcPr>
            <w:tcW w:w="1134" w:type="dxa"/>
            <w:vAlign w:val="center"/>
          </w:tcPr>
          <w:p w14:paraId="00FD424E" w14:textId="77777777" w:rsidR="009C60B1" w:rsidRDefault="009C60B1" w:rsidP="00756EA0">
            <w:pPr>
              <w:spacing w:after="0" w:line="240" w:lineRule="auto"/>
              <w:rPr>
                <w:rFonts w:cs="Arial"/>
              </w:rPr>
            </w:pPr>
            <w:r>
              <w:rPr>
                <w:rFonts w:cs="Arial"/>
              </w:rPr>
              <w:t>V1.2</w:t>
            </w:r>
          </w:p>
        </w:tc>
        <w:tc>
          <w:tcPr>
            <w:tcW w:w="1843" w:type="dxa"/>
            <w:vAlign w:val="center"/>
          </w:tcPr>
          <w:p w14:paraId="0EE5532D" w14:textId="77777777" w:rsidR="009C60B1" w:rsidRDefault="009C60B1" w:rsidP="00756EA0">
            <w:pPr>
              <w:spacing w:after="0" w:line="240" w:lineRule="auto"/>
              <w:rPr>
                <w:rFonts w:cs="Arial"/>
              </w:rPr>
            </w:pPr>
            <w:r>
              <w:rPr>
                <w:rFonts w:cs="Arial"/>
              </w:rPr>
              <w:t>August 2017</w:t>
            </w:r>
          </w:p>
        </w:tc>
        <w:tc>
          <w:tcPr>
            <w:tcW w:w="1701" w:type="dxa"/>
            <w:vAlign w:val="center"/>
          </w:tcPr>
          <w:p w14:paraId="0EB4989A" w14:textId="77777777" w:rsidR="009C60B1" w:rsidRDefault="009C60B1" w:rsidP="00756EA0">
            <w:pPr>
              <w:spacing w:after="0" w:line="240" w:lineRule="auto"/>
              <w:rPr>
                <w:rFonts w:cs="Arial"/>
              </w:rPr>
            </w:pPr>
            <w:r>
              <w:rPr>
                <w:rFonts w:cs="Arial"/>
              </w:rPr>
              <w:t xml:space="preserve">John Griffin </w:t>
            </w:r>
          </w:p>
        </w:tc>
        <w:tc>
          <w:tcPr>
            <w:tcW w:w="4536" w:type="dxa"/>
          </w:tcPr>
          <w:p w14:paraId="414F1437" w14:textId="77777777" w:rsidR="009C60B1" w:rsidRDefault="009C60B1" w:rsidP="003824AA">
            <w:pPr>
              <w:spacing w:after="0" w:line="240" w:lineRule="auto"/>
              <w:rPr>
                <w:rFonts w:cs="Arial"/>
              </w:rPr>
            </w:pPr>
            <w:r>
              <w:rPr>
                <w:rFonts w:cs="Arial"/>
              </w:rPr>
              <w:t xml:space="preserve">Review undertaken </w:t>
            </w:r>
          </w:p>
        </w:tc>
      </w:tr>
      <w:tr w:rsidR="00311BA7" w:rsidRPr="00A226D2" w14:paraId="66DB990B" w14:textId="77777777" w:rsidTr="00756EA0">
        <w:tc>
          <w:tcPr>
            <w:tcW w:w="1134" w:type="dxa"/>
            <w:vAlign w:val="center"/>
          </w:tcPr>
          <w:p w14:paraId="26559D4B" w14:textId="77777777" w:rsidR="00311BA7" w:rsidRDefault="00311BA7" w:rsidP="00756EA0">
            <w:pPr>
              <w:spacing w:after="0" w:line="240" w:lineRule="auto"/>
              <w:rPr>
                <w:rFonts w:cs="Arial"/>
              </w:rPr>
            </w:pPr>
            <w:r>
              <w:rPr>
                <w:rFonts w:cs="Arial"/>
              </w:rPr>
              <w:t>V.1.3</w:t>
            </w:r>
          </w:p>
        </w:tc>
        <w:tc>
          <w:tcPr>
            <w:tcW w:w="1843" w:type="dxa"/>
            <w:vAlign w:val="center"/>
          </w:tcPr>
          <w:p w14:paraId="3D80190B" w14:textId="77777777" w:rsidR="00311BA7" w:rsidRDefault="00311BA7" w:rsidP="00756EA0">
            <w:pPr>
              <w:spacing w:after="0" w:line="240" w:lineRule="auto"/>
              <w:rPr>
                <w:rFonts w:cs="Arial"/>
              </w:rPr>
            </w:pPr>
            <w:r>
              <w:rPr>
                <w:rFonts w:cs="Arial"/>
              </w:rPr>
              <w:t>September 2017</w:t>
            </w:r>
          </w:p>
        </w:tc>
        <w:tc>
          <w:tcPr>
            <w:tcW w:w="1701" w:type="dxa"/>
            <w:vAlign w:val="center"/>
          </w:tcPr>
          <w:p w14:paraId="764D89D1" w14:textId="77777777" w:rsidR="00311BA7" w:rsidRDefault="00311BA7" w:rsidP="00756EA0">
            <w:pPr>
              <w:spacing w:after="0" w:line="240" w:lineRule="auto"/>
              <w:rPr>
                <w:rFonts w:cs="Arial"/>
              </w:rPr>
            </w:pPr>
            <w:r>
              <w:rPr>
                <w:rFonts w:cs="Arial"/>
              </w:rPr>
              <w:t>Martin Westwood / Ola Hill</w:t>
            </w:r>
          </w:p>
        </w:tc>
        <w:tc>
          <w:tcPr>
            <w:tcW w:w="4536" w:type="dxa"/>
          </w:tcPr>
          <w:p w14:paraId="17AD1A6D" w14:textId="77777777" w:rsidR="00311BA7" w:rsidRDefault="005B7AB6" w:rsidP="003824AA">
            <w:pPr>
              <w:spacing w:after="0" w:line="240" w:lineRule="auto"/>
              <w:rPr>
                <w:rFonts w:cs="Arial"/>
              </w:rPr>
            </w:pPr>
            <w:r>
              <w:rPr>
                <w:rFonts w:cs="Arial"/>
              </w:rPr>
              <w:t>Review undertaken to add references to Beds and Luton</w:t>
            </w:r>
            <w:r w:rsidR="00552C47">
              <w:rPr>
                <w:rFonts w:cs="Arial"/>
              </w:rPr>
              <w:t xml:space="preserve"> Bed Escalation Policy</w:t>
            </w:r>
          </w:p>
        </w:tc>
      </w:tr>
      <w:tr w:rsidR="00756EA0" w:rsidRPr="00A226D2" w14:paraId="5EA1642B" w14:textId="77777777" w:rsidTr="00756EA0">
        <w:tc>
          <w:tcPr>
            <w:tcW w:w="1134" w:type="dxa"/>
            <w:vAlign w:val="center"/>
          </w:tcPr>
          <w:p w14:paraId="118B25D9" w14:textId="77777777" w:rsidR="00756EA0" w:rsidRDefault="00756EA0" w:rsidP="00756EA0">
            <w:pPr>
              <w:spacing w:after="0" w:line="240" w:lineRule="auto"/>
              <w:rPr>
                <w:rFonts w:cs="Arial"/>
              </w:rPr>
            </w:pPr>
            <w:r>
              <w:rPr>
                <w:rFonts w:cs="Arial"/>
              </w:rPr>
              <w:t>1.31</w:t>
            </w:r>
          </w:p>
        </w:tc>
        <w:tc>
          <w:tcPr>
            <w:tcW w:w="1843" w:type="dxa"/>
            <w:vAlign w:val="center"/>
          </w:tcPr>
          <w:p w14:paraId="2237AA0F" w14:textId="77777777" w:rsidR="00756EA0" w:rsidRDefault="00756EA0" w:rsidP="00756EA0">
            <w:pPr>
              <w:spacing w:after="0" w:line="240" w:lineRule="auto"/>
              <w:rPr>
                <w:rFonts w:cs="Arial"/>
              </w:rPr>
            </w:pPr>
            <w:r>
              <w:rPr>
                <w:rFonts w:cs="Arial"/>
              </w:rPr>
              <w:t>September 2018</w:t>
            </w:r>
          </w:p>
        </w:tc>
        <w:tc>
          <w:tcPr>
            <w:tcW w:w="1701" w:type="dxa"/>
            <w:vAlign w:val="center"/>
          </w:tcPr>
          <w:p w14:paraId="4C83CC14" w14:textId="77777777" w:rsidR="00756EA0" w:rsidRDefault="00756EA0" w:rsidP="00756EA0">
            <w:pPr>
              <w:spacing w:after="0" w:line="240" w:lineRule="auto"/>
              <w:rPr>
                <w:rFonts w:cs="Arial"/>
              </w:rPr>
            </w:pPr>
            <w:r>
              <w:rPr>
                <w:rFonts w:cs="Arial"/>
              </w:rPr>
              <w:t xml:space="preserve">John Griffin </w:t>
            </w:r>
          </w:p>
        </w:tc>
        <w:tc>
          <w:tcPr>
            <w:tcW w:w="4536" w:type="dxa"/>
          </w:tcPr>
          <w:p w14:paraId="7738F1CE" w14:textId="77777777" w:rsidR="00756EA0" w:rsidRDefault="00756EA0" w:rsidP="00756EA0">
            <w:pPr>
              <w:spacing w:after="0" w:line="240" w:lineRule="auto"/>
              <w:rPr>
                <w:rFonts w:cs="Arial"/>
              </w:rPr>
            </w:pPr>
            <w:r>
              <w:rPr>
                <w:rFonts w:cs="Arial"/>
              </w:rPr>
              <w:t xml:space="preserve">Review </w:t>
            </w:r>
            <w:proofErr w:type="gramStart"/>
            <w:r>
              <w:rPr>
                <w:rFonts w:cs="Arial"/>
              </w:rPr>
              <w:t>undertaken  minor</w:t>
            </w:r>
            <w:proofErr w:type="gramEnd"/>
            <w:r>
              <w:rPr>
                <w:rFonts w:cs="Arial"/>
              </w:rPr>
              <w:t xml:space="preserve"> updates and layout changes</w:t>
            </w:r>
          </w:p>
        </w:tc>
      </w:tr>
      <w:tr w:rsidR="002B6CA2" w:rsidRPr="00A226D2" w14:paraId="34CD639B" w14:textId="77777777" w:rsidTr="00756EA0">
        <w:tc>
          <w:tcPr>
            <w:tcW w:w="1134" w:type="dxa"/>
            <w:vAlign w:val="center"/>
          </w:tcPr>
          <w:p w14:paraId="708CBB08" w14:textId="77777777" w:rsidR="002B6CA2" w:rsidRDefault="002B6CA2" w:rsidP="00756EA0">
            <w:pPr>
              <w:spacing w:after="0" w:line="240" w:lineRule="auto"/>
              <w:rPr>
                <w:rFonts w:cs="Arial"/>
              </w:rPr>
            </w:pPr>
            <w:r>
              <w:rPr>
                <w:rFonts w:cs="Arial"/>
              </w:rPr>
              <w:t>1.32</w:t>
            </w:r>
          </w:p>
        </w:tc>
        <w:tc>
          <w:tcPr>
            <w:tcW w:w="1843" w:type="dxa"/>
            <w:vAlign w:val="center"/>
          </w:tcPr>
          <w:p w14:paraId="61F013F2" w14:textId="77777777" w:rsidR="002B6CA2" w:rsidRDefault="002B6CA2" w:rsidP="00756EA0">
            <w:pPr>
              <w:spacing w:after="0" w:line="240" w:lineRule="auto"/>
              <w:rPr>
                <w:rFonts w:cs="Arial"/>
              </w:rPr>
            </w:pPr>
            <w:r>
              <w:rPr>
                <w:rFonts w:cs="Arial"/>
              </w:rPr>
              <w:t>September 2018</w:t>
            </w:r>
          </w:p>
        </w:tc>
        <w:tc>
          <w:tcPr>
            <w:tcW w:w="1701" w:type="dxa"/>
            <w:vAlign w:val="center"/>
          </w:tcPr>
          <w:p w14:paraId="523A166F" w14:textId="77777777" w:rsidR="002B6CA2" w:rsidRDefault="002B6CA2" w:rsidP="00756EA0">
            <w:pPr>
              <w:spacing w:after="0" w:line="240" w:lineRule="auto"/>
              <w:rPr>
                <w:rFonts w:cs="Arial"/>
              </w:rPr>
            </w:pPr>
            <w:r>
              <w:rPr>
                <w:rFonts w:cs="Arial"/>
              </w:rPr>
              <w:t>Ola Hill</w:t>
            </w:r>
          </w:p>
        </w:tc>
        <w:tc>
          <w:tcPr>
            <w:tcW w:w="4536" w:type="dxa"/>
          </w:tcPr>
          <w:p w14:paraId="197B9344" w14:textId="77777777" w:rsidR="002B6CA2" w:rsidRDefault="002B6CA2" w:rsidP="00756EA0">
            <w:pPr>
              <w:spacing w:after="0" w:line="240" w:lineRule="auto"/>
              <w:rPr>
                <w:rFonts w:cs="Arial"/>
              </w:rPr>
            </w:pPr>
            <w:r>
              <w:rPr>
                <w:rFonts w:cs="Arial"/>
              </w:rPr>
              <w:t>Add</w:t>
            </w:r>
            <w:r w:rsidR="001760A4">
              <w:rPr>
                <w:rFonts w:cs="Arial"/>
              </w:rPr>
              <w:t>ition of Bedfordshire &amp; Luton OPEL system and surge management</w:t>
            </w:r>
          </w:p>
        </w:tc>
      </w:tr>
      <w:tr w:rsidR="00134F1B" w:rsidRPr="00A226D2" w14:paraId="14477218" w14:textId="77777777" w:rsidTr="00134F1B">
        <w:trPr>
          <w:trHeight w:val="532"/>
        </w:trPr>
        <w:tc>
          <w:tcPr>
            <w:tcW w:w="1134" w:type="dxa"/>
            <w:vAlign w:val="center"/>
          </w:tcPr>
          <w:p w14:paraId="46730B39" w14:textId="77777777" w:rsidR="00134F1B" w:rsidRDefault="00134F1B" w:rsidP="00756EA0">
            <w:pPr>
              <w:spacing w:after="0" w:line="240" w:lineRule="auto"/>
              <w:rPr>
                <w:rFonts w:cs="Arial"/>
              </w:rPr>
            </w:pPr>
            <w:r>
              <w:rPr>
                <w:rFonts w:cs="Arial"/>
              </w:rPr>
              <w:t>2.0</w:t>
            </w:r>
          </w:p>
        </w:tc>
        <w:tc>
          <w:tcPr>
            <w:tcW w:w="1843" w:type="dxa"/>
            <w:vAlign w:val="center"/>
          </w:tcPr>
          <w:p w14:paraId="46826259" w14:textId="77777777" w:rsidR="00134F1B" w:rsidRDefault="00134F1B" w:rsidP="00756EA0">
            <w:pPr>
              <w:spacing w:after="0" w:line="240" w:lineRule="auto"/>
              <w:rPr>
                <w:rFonts w:cs="Arial"/>
              </w:rPr>
            </w:pPr>
            <w:r>
              <w:rPr>
                <w:rFonts w:cs="Arial"/>
              </w:rPr>
              <w:t>July 2019</w:t>
            </w:r>
          </w:p>
        </w:tc>
        <w:tc>
          <w:tcPr>
            <w:tcW w:w="1701" w:type="dxa"/>
            <w:vAlign w:val="center"/>
          </w:tcPr>
          <w:p w14:paraId="1303C59A" w14:textId="77777777" w:rsidR="00134F1B" w:rsidRDefault="00134F1B" w:rsidP="00756EA0">
            <w:pPr>
              <w:spacing w:after="0" w:line="240" w:lineRule="auto"/>
              <w:rPr>
                <w:rFonts w:cs="Arial"/>
              </w:rPr>
            </w:pPr>
            <w:r>
              <w:rPr>
                <w:rFonts w:cs="Arial"/>
              </w:rPr>
              <w:t>Richard Harwin</w:t>
            </w:r>
          </w:p>
          <w:p w14:paraId="12C0738C" w14:textId="77777777" w:rsidR="00134F1B" w:rsidRDefault="00134F1B" w:rsidP="00756EA0">
            <w:pPr>
              <w:spacing w:after="0" w:line="240" w:lineRule="auto"/>
              <w:rPr>
                <w:rFonts w:cs="Arial"/>
              </w:rPr>
            </w:pPr>
            <w:r>
              <w:rPr>
                <w:rFonts w:cs="Arial"/>
              </w:rPr>
              <w:t>Ola Hill</w:t>
            </w:r>
          </w:p>
        </w:tc>
        <w:tc>
          <w:tcPr>
            <w:tcW w:w="4536" w:type="dxa"/>
          </w:tcPr>
          <w:p w14:paraId="7C1D8A16" w14:textId="77777777" w:rsidR="00134F1B" w:rsidRDefault="009F579B" w:rsidP="00756EA0">
            <w:pPr>
              <w:spacing w:after="0" w:line="240" w:lineRule="auto"/>
              <w:rPr>
                <w:rFonts w:cs="Arial"/>
              </w:rPr>
            </w:pPr>
            <w:r>
              <w:rPr>
                <w:rFonts w:cs="Arial"/>
              </w:rPr>
              <w:t>Review undertaken and u</w:t>
            </w:r>
            <w:r w:rsidR="00134F1B">
              <w:rPr>
                <w:rFonts w:cs="Arial"/>
              </w:rPr>
              <w:t>pdate of community health services and inclusion in table (pg.6)</w:t>
            </w:r>
          </w:p>
        </w:tc>
      </w:tr>
      <w:tr w:rsidR="00B84B33" w:rsidRPr="00A226D2" w14:paraId="6E7CA9EB" w14:textId="77777777" w:rsidTr="00134F1B">
        <w:trPr>
          <w:trHeight w:val="532"/>
        </w:trPr>
        <w:tc>
          <w:tcPr>
            <w:tcW w:w="1134" w:type="dxa"/>
            <w:vAlign w:val="center"/>
          </w:tcPr>
          <w:p w14:paraId="49DA502E" w14:textId="5F76A208" w:rsidR="00B84B33" w:rsidRDefault="00B84B33" w:rsidP="00756EA0">
            <w:pPr>
              <w:spacing w:after="0" w:line="240" w:lineRule="auto"/>
              <w:rPr>
                <w:rFonts w:cs="Arial"/>
              </w:rPr>
            </w:pPr>
            <w:r>
              <w:rPr>
                <w:rFonts w:cs="Arial"/>
              </w:rPr>
              <w:t>3.0</w:t>
            </w:r>
          </w:p>
        </w:tc>
        <w:tc>
          <w:tcPr>
            <w:tcW w:w="1843" w:type="dxa"/>
            <w:vAlign w:val="center"/>
          </w:tcPr>
          <w:p w14:paraId="5742CDA6" w14:textId="0066FA92" w:rsidR="00B84B33" w:rsidRDefault="00B84B33" w:rsidP="00756EA0">
            <w:pPr>
              <w:spacing w:after="0" w:line="240" w:lineRule="auto"/>
              <w:rPr>
                <w:rFonts w:cs="Arial"/>
              </w:rPr>
            </w:pPr>
            <w:r>
              <w:rPr>
                <w:rFonts w:cs="Arial"/>
              </w:rPr>
              <w:t>February 2023</w:t>
            </w:r>
          </w:p>
        </w:tc>
        <w:tc>
          <w:tcPr>
            <w:tcW w:w="1701" w:type="dxa"/>
            <w:vAlign w:val="center"/>
          </w:tcPr>
          <w:p w14:paraId="38D84A72" w14:textId="11C8DF65" w:rsidR="00B84B33" w:rsidRDefault="00B84B33" w:rsidP="00756EA0">
            <w:pPr>
              <w:spacing w:after="0" w:line="240" w:lineRule="auto"/>
              <w:rPr>
                <w:rFonts w:cs="Arial"/>
              </w:rPr>
            </w:pPr>
            <w:r>
              <w:rPr>
                <w:rFonts w:cs="Arial"/>
              </w:rPr>
              <w:t>Richard Harwin</w:t>
            </w:r>
          </w:p>
        </w:tc>
        <w:tc>
          <w:tcPr>
            <w:tcW w:w="4536" w:type="dxa"/>
          </w:tcPr>
          <w:p w14:paraId="5CACDBE4" w14:textId="1206CB23" w:rsidR="00B84B33" w:rsidRDefault="00B84B33" w:rsidP="00756EA0">
            <w:pPr>
              <w:spacing w:after="0" w:line="240" w:lineRule="auto"/>
              <w:rPr>
                <w:rFonts w:cs="Arial"/>
              </w:rPr>
            </w:pPr>
            <w:r>
              <w:rPr>
                <w:rFonts w:cs="Arial"/>
              </w:rPr>
              <w:t>Review and inclusion of ICBs</w:t>
            </w:r>
          </w:p>
        </w:tc>
      </w:tr>
      <w:tr w:rsidR="003101FF" w:rsidRPr="00A226D2" w14:paraId="257EED43" w14:textId="77777777" w:rsidTr="00134F1B">
        <w:trPr>
          <w:trHeight w:val="532"/>
        </w:trPr>
        <w:tc>
          <w:tcPr>
            <w:tcW w:w="1134" w:type="dxa"/>
            <w:vAlign w:val="center"/>
          </w:tcPr>
          <w:p w14:paraId="5F0E0ABB" w14:textId="5BF975DA" w:rsidR="003101FF" w:rsidRDefault="003101FF" w:rsidP="00756EA0">
            <w:pPr>
              <w:spacing w:after="0" w:line="240" w:lineRule="auto"/>
              <w:rPr>
                <w:rFonts w:cs="Arial"/>
              </w:rPr>
            </w:pPr>
            <w:r>
              <w:rPr>
                <w:rFonts w:cs="Arial"/>
              </w:rPr>
              <w:t>4.0</w:t>
            </w:r>
          </w:p>
        </w:tc>
        <w:tc>
          <w:tcPr>
            <w:tcW w:w="1843" w:type="dxa"/>
            <w:vAlign w:val="center"/>
          </w:tcPr>
          <w:p w14:paraId="38BE9CAC" w14:textId="3CD70423" w:rsidR="003101FF" w:rsidRDefault="003101FF" w:rsidP="00756EA0">
            <w:pPr>
              <w:spacing w:after="0" w:line="240" w:lineRule="auto"/>
              <w:rPr>
                <w:rFonts w:cs="Arial"/>
              </w:rPr>
            </w:pPr>
            <w:r>
              <w:rPr>
                <w:rFonts w:cs="Arial"/>
              </w:rPr>
              <w:t>February 202</w:t>
            </w:r>
            <w:r w:rsidR="0018301F">
              <w:rPr>
                <w:rFonts w:cs="Arial"/>
              </w:rPr>
              <w:t>6</w:t>
            </w:r>
          </w:p>
        </w:tc>
        <w:tc>
          <w:tcPr>
            <w:tcW w:w="1701" w:type="dxa"/>
            <w:vAlign w:val="center"/>
          </w:tcPr>
          <w:p w14:paraId="038D4C2D" w14:textId="04BC8D92" w:rsidR="003101FF" w:rsidRDefault="003101FF" w:rsidP="00756EA0">
            <w:pPr>
              <w:spacing w:after="0" w:line="240" w:lineRule="auto"/>
              <w:rPr>
                <w:rFonts w:cs="Arial"/>
              </w:rPr>
            </w:pPr>
            <w:r>
              <w:rPr>
                <w:rFonts w:cs="Arial"/>
              </w:rPr>
              <w:t xml:space="preserve">Jess </w:t>
            </w:r>
            <w:proofErr w:type="spellStart"/>
            <w:r>
              <w:rPr>
                <w:rFonts w:cs="Arial"/>
              </w:rPr>
              <w:t>Rizwani</w:t>
            </w:r>
            <w:proofErr w:type="spellEnd"/>
          </w:p>
        </w:tc>
        <w:tc>
          <w:tcPr>
            <w:tcW w:w="4536" w:type="dxa"/>
          </w:tcPr>
          <w:p w14:paraId="5EB01E15" w14:textId="4CE9E7E8" w:rsidR="003101FF" w:rsidRDefault="003101FF" w:rsidP="00756EA0">
            <w:pPr>
              <w:spacing w:after="0" w:line="240" w:lineRule="auto"/>
              <w:rPr>
                <w:rFonts w:cs="Arial"/>
              </w:rPr>
            </w:pPr>
            <w:r>
              <w:rPr>
                <w:rFonts w:cs="Arial"/>
              </w:rPr>
              <w:t>Review</w:t>
            </w:r>
            <w:r w:rsidR="005E0DF2">
              <w:rPr>
                <w:rFonts w:cs="Arial"/>
              </w:rPr>
              <w:t xml:space="preserve"> and inclusion of MOU arrangements and Exercises and testing</w:t>
            </w:r>
          </w:p>
        </w:tc>
      </w:tr>
    </w:tbl>
    <w:p w14:paraId="13F0BF30" w14:textId="77777777" w:rsidR="00663A76" w:rsidRDefault="00663A76"/>
    <w:p w14:paraId="15E35E52" w14:textId="77777777" w:rsidR="00AE359F" w:rsidRDefault="00AE359F">
      <w:r>
        <w:br w:type="page"/>
      </w:r>
    </w:p>
    <w:p w14:paraId="4EA62703" w14:textId="77777777" w:rsidR="00663A76" w:rsidRDefault="00FE286F">
      <w:r>
        <w:lastRenderedPageBreak/>
        <w:t>Table of Contents</w:t>
      </w:r>
    </w:p>
    <w:p w14:paraId="573372E8" w14:textId="77777777" w:rsidR="00FE286F" w:rsidRDefault="00FE286F"/>
    <w:tbl>
      <w:tblPr>
        <w:tblStyle w:val="TableGrid"/>
        <w:tblW w:w="0" w:type="auto"/>
        <w:tblBorders>
          <w:top w:val="none" w:sz="0" w:space="0" w:color="auto"/>
          <w:left w:val="none" w:sz="0" w:space="0" w:color="auto"/>
          <w:right w:val="none" w:sz="0" w:space="0" w:color="auto"/>
          <w:insideH w:val="dotted" w:sz="4" w:space="0" w:color="auto"/>
          <w:insideV w:val="none" w:sz="0" w:space="0" w:color="auto"/>
        </w:tblBorders>
        <w:tblLook w:val="04A0" w:firstRow="1" w:lastRow="0" w:firstColumn="1" w:lastColumn="0" w:noHBand="0" w:noVBand="1"/>
      </w:tblPr>
      <w:tblGrid>
        <w:gridCol w:w="1134"/>
        <w:gridCol w:w="6796"/>
        <w:gridCol w:w="1312"/>
      </w:tblGrid>
      <w:tr w:rsidR="00FE286F" w14:paraId="3FA21564" w14:textId="77777777" w:rsidTr="00747E5E">
        <w:tc>
          <w:tcPr>
            <w:tcW w:w="1134" w:type="dxa"/>
          </w:tcPr>
          <w:p w14:paraId="6BCC1FCC" w14:textId="77777777" w:rsidR="00FE286F" w:rsidRDefault="00FE286F" w:rsidP="00E90B87">
            <w:r>
              <w:t>1</w:t>
            </w:r>
          </w:p>
        </w:tc>
        <w:tc>
          <w:tcPr>
            <w:tcW w:w="6796" w:type="dxa"/>
          </w:tcPr>
          <w:p w14:paraId="10ECB612" w14:textId="77777777" w:rsidR="00FE286F" w:rsidRDefault="00FE286F" w:rsidP="00E90B87">
            <w:r>
              <w:t>Introduction</w:t>
            </w:r>
          </w:p>
          <w:p w14:paraId="641185D0" w14:textId="77777777" w:rsidR="00E90B87" w:rsidRDefault="00E90B87" w:rsidP="00E90B87"/>
        </w:tc>
        <w:tc>
          <w:tcPr>
            <w:tcW w:w="1312" w:type="dxa"/>
          </w:tcPr>
          <w:p w14:paraId="0F475C06" w14:textId="77777777" w:rsidR="00FE286F" w:rsidRDefault="00FE286F" w:rsidP="00E90B87">
            <w:r>
              <w:t>4</w:t>
            </w:r>
          </w:p>
        </w:tc>
      </w:tr>
      <w:tr w:rsidR="00FE286F" w14:paraId="269573E4" w14:textId="77777777" w:rsidTr="00747E5E">
        <w:tc>
          <w:tcPr>
            <w:tcW w:w="1134" w:type="dxa"/>
          </w:tcPr>
          <w:p w14:paraId="481B748B" w14:textId="77777777" w:rsidR="00FE286F" w:rsidRDefault="00FE286F" w:rsidP="00E90B87">
            <w:r>
              <w:t>2</w:t>
            </w:r>
          </w:p>
        </w:tc>
        <w:tc>
          <w:tcPr>
            <w:tcW w:w="6796" w:type="dxa"/>
          </w:tcPr>
          <w:p w14:paraId="6052E2D1" w14:textId="77777777" w:rsidR="00FE286F" w:rsidRDefault="00FE286F" w:rsidP="00E90B87">
            <w:r>
              <w:t>Objective of Pressure Surge Planning and Management</w:t>
            </w:r>
          </w:p>
          <w:p w14:paraId="66D46276" w14:textId="77777777" w:rsidR="00E90B87" w:rsidRDefault="00E90B87" w:rsidP="00E90B87"/>
        </w:tc>
        <w:tc>
          <w:tcPr>
            <w:tcW w:w="1312" w:type="dxa"/>
          </w:tcPr>
          <w:p w14:paraId="7CD23057" w14:textId="77777777" w:rsidR="00FE286F" w:rsidRDefault="00FE286F" w:rsidP="00E90B87">
            <w:r>
              <w:t>4</w:t>
            </w:r>
          </w:p>
        </w:tc>
      </w:tr>
      <w:tr w:rsidR="00FE286F" w14:paraId="5D551808" w14:textId="77777777" w:rsidTr="00747E5E">
        <w:tc>
          <w:tcPr>
            <w:tcW w:w="1134" w:type="dxa"/>
          </w:tcPr>
          <w:p w14:paraId="4E8BB616" w14:textId="77777777" w:rsidR="00FE286F" w:rsidRDefault="00FE286F" w:rsidP="00E90B87">
            <w:r>
              <w:t>3</w:t>
            </w:r>
          </w:p>
        </w:tc>
        <w:tc>
          <w:tcPr>
            <w:tcW w:w="6796" w:type="dxa"/>
          </w:tcPr>
          <w:p w14:paraId="60D55609" w14:textId="77777777" w:rsidR="00FE286F" w:rsidRDefault="00FE286F" w:rsidP="00E90B87">
            <w:r>
              <w:t>Trigger Points</w:t>
            </w:r>
          </w:p>
          <w:p w14:paraId="7352949F" w14:textId="77777777" w:rsidR="00E90B87" w:rsidRDefault="00E90B87" w:rsidP="00E90B87"/>
        </w:tc>
        <w:tc>
          <w:tcPr>
            <w:tcW w:w="1312" w:type="dxa"/>
          </w:tcPr>
          <w:p w14:paraId="421C938B" w14:textId="77777777" w:rsidR="00FE286F" w:rsidRDefault="007F34E4" w:rsidP="00E90B87">
            <w:r>
              <w:t>4</w:t>
            </w:r>
          </w:p>
        </w:tc>
      </w:tr>
      <w:tr w:rsidR="00FE286F" w14:paraId="45A14641" w14:textId="77777777" w:rsidTr="00747E5E">
        <w:tc>
          <w:tcPr>
            <w:tcW w:w="1134" w:type="dxa"/>
          </w:tcPr>
          <w:p w14:paraId="2487D143" w14:textId="77777777" w:rsidR="00FE286F" w:rsidRDefault="00FE286F" w:rsidP="00E90B87">
            <w:r>
              <w:t>4</w:t>
            </w:r>
          </w:p>
        </w:tc>
        <w:tc>
          <w:tcPr>
            <w:tcW w:w="6796" w:type="dxa"/>
          </w:tcPr>
          <w:p w14:paraId="0973AF77" w14:textId="77777777" w:rsidR="00FE286F" w:rsidRDefault="00FE286F" w:rsidP="00E90B87">
            <w:r>
              <w:t>Community Health Services – Service Information and Capacity</w:t>
            </w:r>
          </w:p>
          <w:p w14:paraId="361F1D95" w14:textId="77777777" w:rsidR="00E90B87" w:rsidRDefault="00E90B87" w:rsidP="00E90B87"/>
        </w:tc>
        <w:tc>
          <w:tcPr>
            <w:tcW w:w="1312" w:type="dxa"/>
          </w:tcPr>
          <w:p w14:paraId="62BE9D31" w14:textId="77777777" w:rsidR="00FE286F" w:rsidRDefault="007F34E4" w:rsidP="00E90B87">
            <w:r>
              <w:t>5</w:t>
            </w:r>
          </w:p>
        </w:tc>
      </w:tr>
      <w:tr w:rsidR="00FE286F" w14:paraId="10123156" w14:textId="77777777" w:rsidTr="00747E5E">
        <w:tc>
          <w:tcPr>
            <w:tcW w:w="1134" w:type="dxa"/>
          </w:tcPr>
          <w:p w14:paraId="57110334" w14:textId="77777777" w:rsidR="00FE286F" w:rsidRDefault="00FE286F" w:rsidP="00E90B87">
            <w:r>
              <w:t>5</w:t>
            </w:r>
          </w:p>
        </w:tc>
        <w:tc>
          <w:tcPr>
            <w:tcW w:w="6796" w:type="dxa"/>
          </w:tcPr>
          <w:p w14:paraId="42B4C8B1" w14:textId="77777777" w:rsidR="00FE286F" w:rsidRDefault="00FE286F" w:rsidP="00E90B87">
            <w:r>
              <w:t>Mental Health Services</w:t>
            </w:r>
          </w:p>
          <w:p w14:paraId="2C84103C" w14:textId="77777777" w:rsidR="00E90B87" w:rsidRDefault="00E90B87" w:rsidP="00E90B87"/>
        </w:tc>
        <w:tc>
          <w:tcPr>
            <w:tcW w:w="1312" w:type="dxa"/>
          </w:tcPr>
          <w:p w14:paraId="616F90C8" w14:textId="77777777" w:rsidR="00FE286F" w:rsidRDefault="009F579B" w:rsidP="00E90B87">
            <w:r>
              <w:t>8</w:t>
            </w:r>
          </w:p>
        </w:tc>
      </w:tr>
      <w:tr w:rsidR="00FE286F" w14:paraId="3FE4E80E" w14:textId="77777777" w:rsidTr="00747E5E">
        <w:tc>
          <w:tcPr>
            <w:tcW w:w="1134" w:type="dxa"/>
          </w:tcPr>
          <w:p w14:paraId="24FB5A34" w14:textId="77777777" w:rsidR="00FE286F" w:rsidRDefault="00FE286F" w:rsidP="00E90B87">
            <w:r>
              <w:t>6</w:t>
            </w:r>
          </w:p>
        </w:tc>
        <w:tc>
          <w:tcPr>
            <w:tcW w:w="6796" w:type="dxa"/>
          </w:tcPr>
          <w:p w14:paraId="59C04BF0" w14:textId="77777777" w:rsidR="00FE286F" w:rsidRDefault="00FE286F" w:rsidP="00E90B87">
            <w:r>
              <w:t>Managing Surge</w:t>
            </w:r>
          </w:p>
          <w:p w14:paraId="412E283B" w14:textId="77777777" w:rsidR="00E90B87" w:rsidRDefault="00E90B87" w:rsidP="00E90B87"/>
        </w:tc>
        <w:tc>
          <w:tcPr>
            <w:tcW w:w="1312" w:type="dxa"/>
          </w:tcPr>
          <w:p w14:paraId="22CA2472" w14:textId="77777777" w:rsidR="00FE286F" w:rsidRDefault="009F579B" w:rsidP="00E90B87">
            <w:r>
              <w:t>9</w:t>
            </w:r>
          </w:p>
        </w:tc>
      </w:tr>
      <w:tr w:rsidR="00FE286F" w14:paraId="2929BAD2" w14:textId="77777777" w:rsidTr="00747E5E">
        <w:tc>
          <w:tcPr>
            <w:tcW w:w="1134" w:type="dxa"/>
          </w:tcPr>
          <w:p w14:paraId="4BA7353B" w14:textId="77777777" w:rsidR="00FE286F" w:rsidRDefault="00FE286F" w:rsidP="00E90B87">
            <w:r>
              <w:t>6.1</w:t>
            </w:r>
          </w:p>
        </w:tc>
        <w:tc>
          <w:tcPr>
            <w:tcW w:w="6796" w:type="dxa"/>
          </w:tcPr>
          <w:p w14:paraId="68B1F199" w14:textId="77777777" w:rsidR="00FE286F" w:rsidRDefault="00FE286F" w:rsidP="00E90B87">
            <w:r>
              <w:t>Pressure Surge Arrangements – CCG Responsibilities</w:t>
            </w:r>
          </w:p>
        </w:tc>
        <w:tc>
          <w:tcPr>
            <w:tcW w:w="1312" w:type="dxa"/>
          </w:tcPr>
          <w:p w14:paraId="0D8E5A45" w14:textId="77777777" w:rsidR="00FE286F" w:rsidRDefault="009F579B" w:rsidP="00E90B87">
            <w:r>
              <w:t>9</w:t>
            </w:r>
          </w:p>
        </w:tc>
      </w:tr>
      <w:tr w:rsidR="00FE286F" w14:paraId="4CAFCFC4" w14:textId="77777777" w:rsidTr="00747E5E">
        <w:tc>
          <w:tcPr>
            <w:tcW w:w="1134" w:type="dxa"/>
          </w:tcPr>
          <w:p w14:paraId="40F0D525" w14:textId="77777777" w:rsidR="00FE286F" w:rsidRDefault="00FE286F" w:rsidP="00E90B87">
            <w:r>
              <w:t>6.2</w:t>
            </w:r>
          </w:p>
        </w:tc>
        <w:tc>
          <w:tcPr>
            <w:tcW w:w="6796" w:type="dxa"/>
          </w:tcPr>
          <w:p w14:paraId="722DB186" w14:textId="77777777" w:rsidR="00FE286F" w:rsidRDefault="00FE286F" w:rsidP="00E90B87">
            <w:r>
              <w:t>NHS England (London) Pressure Surge Management Arrangements</w:t>
            </w:r>
          </w:p>
        </w:tc>
        <w:tc>
          <w:tcPr>
            <w:tcW w:w="1312" w:type="dxa"/>
          </w:tcPr>
          <w:p w14:paraId="5E004DA6" w14:textId="77777777" w:rsidR="00FE286F" w:rsidRDefault="009F579B" w:rsidP="00E90B87">
            <w:r>
              <w:t>10</w:t>
            </w:r>
          </w:p>
        </w:tc>
      </w:tr>
      <w:tr w:rsidR="00FE286F" w14:paraId="3FFAD1DD" w14:textId="77777777" w:rsidTr="00747E5E">
        <w:tc>
          <w:tcPr>
            <w:tcW w:w="1134" w:type="dxa"/>
          </w:tcPr>
          <w:p w14:paraId="0FC272B7" w14:textId="77777777" w:rsidR="00FE286F" w:rsidRDefault="00FE286F" w:rsidP="00E90B87">
            <w:r>
              <w:t>6.2.1</w:t>
            </w:r>
          </w:p>
        </w:tc>
        <w:tc>
          <w:tcPr>
            <w:tcW w:w="6796" w:type="dxa"/>
          </w:tcPr>
          <w:p w14:paraId="31B78829" w14:textId="77777777" w:rsidR="00FE286F" w:rsidRDefault="00FE286F" w:rsidP="00E90B87">
            <w:r>
              <w:t>Clinical Management System</w:t>
            </w:r>
          </w:p>
        </w:tc>
        <w:tc>
          <w:tcPr>
            <w:tcW w:w="1312" w:type="dxa"/>
          </w:tcPr>
          <w:p w14:paraId="68EF50C7" w14:textId="77777777" w:rsidR="00FE286F" w:rsidRDefault="009F579B" w:rsidP="00E90B87">
            <w:r>
              <w:t>10</w:t>
            </w:r>
          </w:p>
        </w:tc>
      </w:tr>
      <w:tr w:rsidR="00FE286F" w14:paraId="052D8D78" w14:textId="77777777" w:rsidTr="00747E5E">
        <w:tc>
          <w:tcPr>
            <w:tcW w:w="1134" w:type="dxa"/>
          </w:tcPr>
          <w:p w14:paraId="1451D086" w14:textId="77777777" w:rsidR="00FE286F" w:rsidRDefault="00FE286F" w:rsidP="00E90B87">
            <w:r>
              <w:t>6.2.2</w:t>
            </w:r>
          </w:p>
        </w:tc>
        <w:tc>
          <w:tcPr>
            <w:tcW w:w="6796" w:type="dxa"/>
          </w:tcPr>
          <w:p w14:paraId="21B951DD" w14:textId="77777777" w:rsidR="00FE286F" w:rsidRDefault="00FE286F" w:rsidP="00E90B87">
            <w:r>
              <w:t>Escalation</w:t>
            </w:r>
          </w:p>
        </w:tc>
        <w:tc>
          <w:tcPr>
            <w:tcW w:w="1312" w:type="dxa"/>
          </w:tcPr>
          <w:p w14:paraId="5D865311" w14:textId="77777777" w:rsidR="00FE286F" w:rsidRDefault="00A32981" w:rsidP="00E90B87">
            <w:r>
              <w:t>10</w:t>
            </w:r>
          </w:p>
        </w:tc>
      </w:tr>
      <w:tr w:rsidR="00FE286F" w14:paraId="5886172D" w14:textId="77777777" w:rsidTr="00747E5E">
        <w:tc>
          <w:tcPr>
            <w:tcW w:w="1134" w:type="dxa"/>
          </w:tcPr>
          <w:p w14:paraId="3F98E359" w14:textId="77777777" w:rsidR="00FE286F" w:rsidRDefault="00FE286F" w:rsidP="00E90B87">
            <w:r>
              <w:t>6.3</w:t>
            </w:r>
          </w:p>
        </w:tc>
        <w:tc>
          <w:tcPr>
            <w:tcW w:w="6796" w:type="dxa"/>
          </w:tcPr>
          <w:p w14:paraId="6756B45B" w14:textId="77777777" w:rsidR="00FE286F" w:rsidRDefault="009F579B" w:rsidP="00E90B87">
            <w:r>
              <w:t>Surge Management Arrangements</w:t>
            </w:r>
          </w:p>
        </w:tc>
        <w:tc>
          <w:tcPr>
            <w:tcW w:w="1312" w:type="dxa"/>
          </w:tcPr>
          <w:p w14:paraId="0451FDE6" w14:textId="77777777" w:rsidR="00FE286F" w:rsidRDefault="009F579B" w:rsidP="00E90B87">
            <w:r>
              <w:t>11</w:t>
            </w:r>
          </w:p>
        </w:tc>
      </w:tr>
      <w:tr w:rsidR="00FE286F" w14:paraId="333D36BA" w14:textId="77777777" w:rsidTr="00747E5E">
        <w:tc>
          <w:tcPr>
            <w:tcW w:w="1134" w:type="dxa"/>
          </w:tcPr>
          <w:p w14:paraId="2B340326" w14:textId="77777777" w:rsidR="00FE286F" w:rsidRDefault="00E90B87" w:rsidP="00E90B87">
            <w:r>
              <w:t>6.4</w:t>
            </w:r>
          </w:p>
        </w:tc>
        <w:tc>
          <w:tcPr>
            <w:tcW w:w="6796" w:type="dxa"/>
          </w:tcPr>
          <w:p w14:paraId="05698E91" w14:textId="77777777" w:rsidR="00FE286F" w:rsidRDefault="00E90B87" w:rsidP="00E90B87">
            <w:r>
              <w:t>Recovery Management</w:t>
            </w:r>
          </w:p>
        </w:tc>
        <w:tc>
          <w:tcPr>
            <w:tcW w:w="1312" w:type="dxa"/>
          </w:tcPr>
          <w:p w14:paraId="3D8F0846" w14:textId="77777777" w:rsidR="00FE286F" w:rsidRDefault="009F579B" w:rsidP="00E90B87">
            <w:r>
              <w:t>12</w:t>
            </w:r>
          </w:p>
        </w:tc>
      </w:tr>
      <w:tr w:rsidR="00E90B87" w14:paraId="0FE2688D" w14:textId="77777777" w:rsidTr="00747E5E">
        <w:tc>
          <w:tcPr>
            <w:tcW w:w="1134" w:type="dxa"/>
          </w:tcPr>
          <w:p w14:paraId="4E695A7B" w14:textId="77777777" w:rsidR="00E90B87" w:rsidRDefault="00E90B87" w:rsidP="00E90B87">
            <w:r>
              <w:t>6.5</w:t>
            </w:r>
          </w:p>
        </w:tc>
        <w:tc>
          <w:tcPr>
            <w:tcW w:w="6796" w:type="dxa"/>
          </w:tcPr>
          <w:p w14:paraId="3AC10384" w14:textId="77777777" w:rsidR="00E90B87" w:rsidRDefault="00E90B87" w:rsidP="00E90B87">
            <w:r>
              <w:t>Performance</w:t>
            </w:r>
          </w:p>
          <w:p w14:paraId="19B0A8D6" w14:textId="77777777" w:rsidR="00E90B87" w:rsidRDefault="00E90B87" w:rsidP="00E90B87"/>
        </w:tc>
        <w:tc>
          <w:tcPr>
            <w:tcW w:w="1312" w:type="dxa"/>
          </w:tcPr>
          <w:p w14:paraId="2949D0F7" w14:textId="77777777" w:rsidR="00E90B87" w:rsidRDefault="009F579B" w:rsidP="00E90B87">
            <w:r>
              <w:t>12</w:t>
            </w:r>
          </w:p>
        </w:tc>
      </w:tr>
      <w:tr w:rsidR="005E0DF2" w14:paraId="45BE9F0B" w14:textId="77777777" w:rsidTr="00747E5E">
        <w:tc>
          <w:tcPr>
            <w:tcW w:w="1134" w:type="dxa"/>
          </w:tcPr>
          <w:p w14:paraId="7474E28A" w14:textId="3F8FF6D2" w:rsidR="005E0DF2" w:rsidRDefault="005E0DF2" w:rsidP="00E90B87">
            <w:r>
              <w:t xml:space="preserve">6.6             </w:t>
            </w:r>
          </w:p>
        </w:tc>
        <w:tc>
          <w:tcPr>
            <w:tcW w:w="6796" w:type="dxa"/>
          </w:tcPr>
          <w:p w14:paraId="4323BA19" w14:textId="27A8B436" w:rsidR="005E0DF2" w:rsidRDefault="005E0DF2" w:rsidP="00E90B87">
            <w:r>
              <w:t>Exercise &amp; Training</w:t>
            </w:r>
          </w:p>
        </w:tc>
        <w:tc>
          <w:tcPr>
            <w:tcW w:w="1312" w:type="dxa"/>
          </w:tcPr>
          <w:p w14:paraId="4CA7358F" w14:textId="77777777" w:rsidR="005E0DF2" w:rsidRDefault="005E0DF2" w:rsidP="00E90B87"/>
        </w:tc>
      </w:tr>
      <w:tr w:rsidR="00E90B87" w14:paraId="4F77EE38" w14:textId="77777777" w:rsidTr="00747E5E">
        <w:tc>
          <w:tcPr>
            <w:tcW w:w="1134" w:type="dxa"/>
          </w:tcPr>
          <w:p w14:paraId="7BD1B45F" w14:textId="0254FA91" w:rsidR="00E90B87" w:rsidRDefault="00E90B87" w:rsidP="00E90B87"/>
        </w:tc>
        <w:tc>
          <w:tcPr>
            <w:tcW w:w="6796" w:type="dxa"/>
          </w:tcPr>
          <w:p w14:paraId="3701A7D5" w14:textId="77777777" w:rsidR="00E90B87" w:rsidRDefault="00E90B87" w:rsidP="00E90B87">
            <w:r>
              <w:t>Trust Management of a Significant Surge Incident</w:t>
            </w:r>
          </w:p>
          <w:p w14:paraId="55907204" w14:textId="77777777" w:rsidR="00E90B87" w:rsidRDefault="00E90B87" w:rsidP="00E90B87"/>
        </w:tc>
        <w:tc>
          <w:tcPr>
            <w:tcW w:w="1312" w:type="dxa"/>
          </w:tcPr>
          <w:p w14:paraId="2172E2EA" w14:textId="77777777" w:rsidR="00E90B87" w:rsidRDefault="009F579B" w:rsidP="00E90B87">
            <w:r>
              <w:t>13</w:t>
            </w:r>
          </w:p>
        </w:tc>
      </w:tr>
      <w:tr w:rsidR="00E90B87" w14:paraId="5925816C" w14:textId="77777777" w:rsidTr="00747E5E">
        <w:tc>
          <w:tcPr>
            <w:tcW w:w="1134" w:type="dxa"/>
          </w:tcPr>
          <w:p w14:paraId="46FAB18F" w14:textId="77777777" w:rsidR="00E90B87" w:rsidRDefault="00E90B87" w:rsidP="00E90B87">
            <w:r>
              <w:t>7.1</w:t>
            </w:r>
          </w:p>
        </w:tc>
        <w:tc>
          <w:tcPr>
            <w:tcW w:w="6796" w:type="dxa"/>
          </w:tcPr>
          <w:p w14:paraId="1A7AA546" w14:textId="77777777" w:rsidR="00E90B87" w:rsidRDefault="00E90B87" w:rsidP="00E90B87">
            <w:r>
              <w:t>Declaration of Major Incident</w:t>
            </w:r>
          </w:p>
        </w:tc>
        <w:tc>
          <w:tcPr>
            <w:tcW w:w="1312" w:type="dxa"/>
          </w:tcPr>
          <w:p w14:paraId="6E233E9A" w14:textId="77777777" w:rsidR="00E90B87" w:rsidRDefault="00023BBD" w:rsidP="00E90B87">
            <w:r>
              <w:t>13</w:t>
            </w:r>
          </w:p>
        </w:tc>
      </w:tr>
      <w:tr w:rsidR="00E90B87" w14:paraId="68C32227" w14:textId="77777777" w:rsidTr="00747E5E">
        <w:tc>
          <w:tcPr>
            <w:tcW w:w="1134" w:type="dxa"/>
          </w:tcPr>
          <w:p w14:paraId="0EE2E03B" w14:textId="77777777" w:rsidR="00E90B87" w:rsidRDefault="00E90B87" w:rsidP="00E90B87">
            <w:r>
              <w:t>7.2</w:t>
            </w:r>
          </w:p>
        </w:tc>
        <w:tc>
          <w:tcPr>
            <w:tcW w:w="6796" w:type="dxa"/>
          </w:tcPr>
          <w:p w14:paraId="30C102AA" w14:textId="77777777" w:rsidR="00E90B87" w:rsidRDefault="00E90B87" w:rsidP="00E90B87">
            <w:r>
              <w:t>Local Management</w:t>
            </w:r>
          </w:p>
        </w:tc>
        <w:tc>
          <w:tcPr>
            <w:tcW w:w="1312" w:type="dxa"/>
          </w:tcPr>
          <w:p w14:paraId="778FF551" w14:textId="77777777" w:rsidR="00E90B87" w:rsidRDefault="00023BBD" w:rsidP="00E90B87">
            <w:r>
              <w:t>13</w:t>
            </w:r>
          </w:p>
        </w:tc>
      </w:tr>
      <w:tr w:rsidR="00E90B87" w14:paraId="53DEDA71" w14:textId="77777777" w:rsidTr="00747E5E">
        <w:tc>
          <w:tcPr>
            <w:tcW w:w="1134" w:type="dxa"/>
          </w:tcPr>
          <w:p w14:paraId="21022A94" w14:textId="77777777" w:rsidR="00E90B87" w:rsidRDefault="00E90B87" w:rsidP="00E90B87">
            <w:r>
              <w:t>7.3</w:t>
            </w:r>
          </w:p>
        </w:tc>
        <w:tc>
          <w:tcPr>
            <w:tcW w:w="6796" w:type="dxa"/>
          </w:tcPr>
          <w:p w14:paraId="6B2845A2" w14:textId="77777777" w:rsidR="00E90B87" w:rsidRDefault="00E90B87" w:rsidP="00E90B87">
            <w:r>
              <w:t>Casualties with Burns and Trauma</w:t>
            </w:r>
          </w:p>
        </w:tc>
        <w:tc>
          <w:tcPr>
            <w:tcW w:w="1312" w:type="dxa"/>
          </w:tcPr>
          <w:p w14:paraId="030437D7" w14:textId="77777777" w:rsidR="00E90B87" w:rsidRDefault="00023BBD" w:rsidP="00E90B87">
            <w:r>
              <w:t>13</w:t>
            </w:r>
          </w:p>
        </w:tc>
      </w:tr>
      <w:tr w:rsidR="00E90B87" w14:paraId="69DD33FF" w14:textId="77777777" w:rsidTr="00747E5E">
        <w:tc>
          <w:tcPr>
            <w:tcW w:w="1134" w:type="dxa"/>
          </w:tcPr>
          <w:p w14:paraId="276F08C1" w14:textId="77777777" w:rsidR="00E90B87" w:rsidRDefault="00E90B87" w:rsidP="00E90B87">
            <w:r>
              <w:t>7.4</w:t>
            </w:r>
          </w:p>
        </w:tc>
        <w:tc>
          <w:tcPr>
            <w:tcW w:w="6796" w:type="dxa"/>
          </w:tcPr>
          <w:p w14:paraId="69AFAD93" w14:textId="77777777" w:rsidR="00E90B87" w:rsidRDefault="00E90B87" w:rsidP="00E90B87">
            <w:r>
              <w:t>Communication with Affected Individuals</w:t>
            </w:r>
          </w:p>
        </w:tc>
        <w:tc>
          <w:tcPr>
            <w:tcW w:w="1312" w:type="dxa"/>
          </w:tcPr>
          <w:p w14:paraId="13A2DBF6" w14:textId="77777777" w:rsidR="00E90B87" w:rsidRDefault="00023BBD" w:rsidP="00E90B87">
            <w:r>
              <w:t>13</w:t>
            </w:r>
          </w:p>
        </w:tc>
      </w:tr>
      <w:tr w:rsidR="00E90B87" w14:paraId="23AD844E" w14:textId="77777777" w:rsidTr="00747E5E">
        <w:tc>
          <w:tcPr>
            <w:tcW w:w="1134" w:type="dxa"/>
          </w:tcPr>
          <w:p w14:paraId="6620B05A" w14:textId="77777777" w:rsidR="00E90B87" w:rsidRDefault="00E90B87" w:rsidP="00E90B87">
            <w:r>
              <w:t>7.5</w:t>
            </w:r>
          </w:p>
        </w:tc>
        <w:tc>
          <w:tcPr>
            <w:tcW w:w="6796" w:type="dxa"/>
          </w:tcPr>
          <w:p w14:paraId="0F1A4A0F" w14:textId="77777777" w:rsidR="00E90B87" w:rsidRDefault="00E90B87" w:rsidP="00E90B87">
            <w:r>
              <w:t>Requirements of Individual Faith Groups</w:t>
            </w:r>
          </w:p>
        </w:tc>
        <w:tc>
          <w:tcPr>
            <w:tcW w:w="1312" w:type="dxa"/>
          </w:tcPr>
          <w:p w14:paraId="7E97E15C" w14:textId="77777777" w:rsidR="00E90B87" w:rsidRDefault="00023BBD" w:rsidP="00E90B87">
            <w:r>
              <w:t>14</w:t>
            </w:r>
          </w:p>
        </w:tc>
      </w:tr>
      <w:tr w:rsidR="00E90B87" w14:paraId="68AF82E2" w14:textId="77777777" w:rsidTr="00747E5E">
        <w:tc>
          <w:tcPr>
            <w:tcW w:w="1134" w:type="dxa"/>
          </w:tcPr>
          <w:p w14:paraId="52B95DCE" w14:textId="77777777" w:rsidR="00E90B87" w:rsidRDefault="00E90B87" w:rsidP="00E90B87">
            <w:r>
              <w:t>7.6</w:t>
            </w:r>
          </w:p>
        </w:tc>
        <w:tc>
          <w:tcPr>
            <w:tcW w:w="6796" w:type="dxa"/>
          </w:tcPr>
          <w:p w14:paraId="2C508DE4" w14:textId="77777777" w:rsidR="00E90B87" w:rsidRDefault="00E90B87" w:rsidP="00E90B87">
            <w:r>
              <w:t>Psychological Support</w:t>
            </w:r>
          </w:p>
        </w:tc>
        <w:tc>
          <w:tcPr>
            <w:tcW w:w="1312" w:type="dxa"/>
          </w:tcPr>
          <w:p w14:paraId="29602671" w14:textId="77777777" w:rsidR="00E90B87" w:rsidRDefault="00023BBD" w:rsidP="00E90B87">
            <w:r>
              <w:t>14</w:t>
            </w:r>
          </w:p>
        </w:tc>
      </w:tr>
      <w:tr w:rsidR="00E90B87" w14:paraId="2B0A4E11" w14:textId="77777777" w:rsidTr="005E0DF2">
        <w:trPr>
          <w:trHeight w:val="416"/>
        </w:trPr>
        <w:tc>
          <w:tcPr>
            <w:tcW w:w="1134" w:type="dxa"/>
          </w:tcPr>
          <w:p w14:paraId="32D1805C" w14:textId="77777777" w:rsidR="00E90B87" w:rsidRDefault="00E90B87" w:rsidP="00E90B87">
            <w:r>
              <w:t>7.7</w:t>
            </w:r>
          </w:p>
          <w:p w14:paraId="303CFD08" w14:textId="0CD8DDBF" w:rsidR="005E0DF2" w:rsidRDefault="005E0DF2" w:rsidP="00E90B87">
            <w:r>
              <w:t xml:space="preserve">         </w:t>
            </w:r>
          </w:p>
        </w:tc>
        <w:tc>
          <w:tcPr>
            <w:tcW w:w="6796" w:type="dxa"/>
          </w:tcPr>
          <w:p w14:paraId="2EC3E915" w14:textId="77777777" w:rsidR="00E90B87" w:rsidRDefault="00E90B87" w:rsidP="00E90B87">
            <w:r>
              <w:t>Forensic Services</w:t>
            </w:r>
          </w:p>
          <w:p w14:paraId="2CD1A7EB" w14:textId="77777777" w:rsidR="00E90B87" w:rsidRDefault="00E90B87" w:rsidP="00E90B87"/>
        </w:tc>
        <w:tc>
          <w:tcPr>
            <w:tcW w:w="1312" w:type="dxa"/>
          </w:tcPr>
          <w:p w14:paraId="02239B52" w14:textId="77777777" w:rsidR="00E90B87" w:rsidRDefault="00023BBD" w:rsidP="00E90B87">
            <w:r>
              <w:t>14</w:t>
            </w:r>
          </w:p>
        </w:tc>
      </w:tr>
      <w:tr w:rsidR="005E0DF2" w14:paraId="3130C675" w14:textId="77777777" w:rsidTr="005E0DF2">
        <w:trPr>
          <w:trHeight w:val="416"/>
        </w:trPr>
        <w:tc>
          <w:tcPr>
            <w:tcW w:w="1134" w:type="dxa"/>
          </w:tcPr>
          <w:p w14:paraId="59AA7E0F" w14:textId="06523A2D" w:rsidR="005E0DF2" w:rsidRDefault="005E0DF2" w:rsidP="00E90B87">
            <w:r>
              <w:t>7.8</w:t>
            </w:r>
          </w:p>
        </w:tc>
        <w:tc>
          <w:tcPr>
            <w:tcW w:w="6796" w:type="dxa"/>
          </w:tcPr>
          <w:p w14:paraId="7CB2F265" w14:textId="7434DBAE" w:rsidR="005E0DF2" w:rsidRDefault="005E0DF2" w:rsidP="00E90B87">
            <w:r>
              <w:t>MOU Arrangements</w:t>
            </w:r>
          </w:p>
        </w:tc>
        <w:tc>
          <w:tcPr>
            <w:tcW w:w="1312" w:type="dxa"/>
          </w:tcPr>
          <w:p w14:paraId="7809F60A" w14:textId="77777777" w:rsidR="005E0DF2" w:rsidRDefault="005E0DF2" w:rsidP="00E90B87"/>
        </w:tc>
      </w:tr>
      <w:tr w:rsidR="00E90B87" w14:paraId="1E38F3F7" w14:textId="77777777" w:rsidTr="00747E5E">
        <w:tc>
          <w:tcPr>
            <w:tcW w:w="1134" w:type="dxa"/>
          </w:tcPr>
          <w:p w14:paraId="45619B46" w14:textId="77777777" w:rsidR="00E90B87" w:rsidRDefault="00E90B87" w:rsidP="00E90B87">
            <w:r>
              <w:t>8</w:t>
            </w:r>
          </w:p>
        </w:tc>
        <w:tc>
          <w:tcPr>
            <w:tcW w:w="6796" w:type="dxa"/>
          </w:tcPr>
          <w:p w14:paraId="4C8EA6A5" w14:textId="77777777" w:rsidR="00E90B87" w:rsidRDefault="00E90B87" w:rsidP="00E90B87">
            <w:r>
              <w:t>Communication</w:t>
            </w:r>
          </w:p>
          <w:p w14:paraId="179BD618" w14:textId="77777777" w:rsidR="00E90B87" w:rsidRDefault="00E90B87" w:rsidP="00E90B87"/>
        </w:tc>
        <w:tc>
          <w:tcPr>
            <w:tcW w:w="1312" w:type="dxa"/>
          </w:tcPr>
          <w:p w14:paraId="50711B81" w14:textId="77777777" w:rsidR="00E90B87" w:rsidRDefault="00023BBD" w:rsidP="00E90B87">
            <w:r>
              <w:t>14</w:t>
            </w:r>
          </w:p>
        </w:tc>
      </w:tr>
      <w:tr w:rsidR="00B67641" w14:paraId="4DC17CD5" w14:textId="77777777" w:rsidTr="00747E5E">
        <w:tc>
          <w:tcPr>
            <w:tcW w:w="1134" w:type="dxa"/>
          </w:tcPr>
          <w:p w14:paraId="09F404E1" w14:textId="77777777" w:rsidR="00B67641" w:rsidRDefault="00B67641" w:rsidP="00B67641">
            <w:r>
              <w:t>Appendix A</w:t>
            </w:r>
          </w:p>
        </w:tc>
        <w:tc>
          <w:tcPr>
            <w:tcW w:w="6796" w:type="dxa"/>
          </w:tcPr>
          <w:p w14:paraId="716BDD6A" w14:textId="7A26BEE1" w:rsidR="00B67641" w:rsidRDefault="00B67641" w:rsidP="00B67641">
            <w:r>
              <w:t>Bedfordshire and Luton OPEL Triggers and Actions</w:t>
            </w:r>
          </w:p>
        </w:tc>
        <w:tc>
          <w:tcPr>
            <w:tcW w:w="1312" w:type="dxa"/>
          </w:tcPr>
          <w:p w14:paraId="521A15C1" w14:textId="77777777" w:rsidR="00B67641" w:rsidRDefault="00B67641" w:rsidP="00B67641">
            <w:r>
              <w:t>15</w:t>
            </w:r>
          </w:p>
        </w:tc>
      </w:tr>
    </w:tbl>
    <w:p w14:paraId="5438F1F3" w14:textId="77777777" w:rsidR="007D2F7E" w:rsidRDefault="007D2F7E" w:rsidP="00275E52"/>
    <w:p w14:paraId="27A6DB15" w14:textId="77777777" w:rsidR="00275E52" w:rsidRDefault="00275E52" w:rsidP="00275E52">
      <w:pPr>
        <w:pStyle w:val="TOC2"/>
        <w:rPr>
          <w:rFonts w:cs="Arial"/>
        </w:rPr>
      </w:pPr>
    </w:p>
    <w:p w14:paraId="472F8C5F" w14:textId="77777777" w:rsidR="00747E5E" w:rsidRDefault="00747E5E" w:rsidP="00747E5E">
      <w:pPr>
        <w:rPr>
          <w:lang w:eastAsia="en-GB"/>
        </w:rPr>
      </w:pPr>
    </w:p>
    <w:p w14:paraId="0628E6E4" w14:textId="77777777" w:rsidR="004119AD" w:rsidRDefault="004119AD" w:rsidP="00747E5E">
      <w:pPr>
        <w:rPr>
          <w:lang w:eastAsia="en-GB"/>
        </w:rPr>
      </w:pPr>
    </w:p>
    <w:p w14:paraId="6A2E6C27" w14:textId="77777777" w:rsidR="006B5F21" w:rsidRDefault="006B5F21">
      <w:pPr>
        <w:rPr>
          <w:lang w:eastAsia="en-GB"/>
        </w:rPr>
      </w:pPr>
      <w:r>
        <w:rPr>
          <w:lang w:eastAsia="en-GB"/>
        </w:rPr>
        <w:br w:type="page"/>
      </w:r>
    </w:p>
    <w:p w14:paraId="11F7FE45" w14:textId="77777777" w:rsidR="004119AD" w:rsidRDefault="000077EF" w:rsidP="000077EF">
      <w:pPr>
        <w:tabs>
          <w:tab w:val="left" w:pos="2430"/>
        </w:tabs>
        <w:rPr>
          <w:lang w:eastAsia="en-GB"/>
        </w:rPr>
      </w:pPr>
      <w:r>
        <w:rPr>
          <w:lang w:eastAsia="en-GB"/>
        </w:rPr>
        <w:lastRenderedPageBreak/>
        <w:tab/>
      </w:r>
    </w:p>
    <w:p w14:paraId="71E25855" w14:textId="77777777" w:rsidR="007F34E4" w:rsidRDefault="007F34E4" w:rsidP="00747E5E">
      <w:pPr>
        <w:rPr>
          <w:lang w:eastAsia="en-GB"/>
        </w:rPr>
      </w:pPr>
    </w:p>
    <w:p w14:paraId="1363A8B9" w14:textId="77777777" w:rsidR="00663A76" w:rsidRDefault="00663A76" w:rsidP="00597888">
      <w:pPr>
        <w:pStyle w:val="Heading1"/>
        <w:numPr>
          <w:ilvl w:val="0"/>
          <w:numId w:val="50"/>
        </w:numPr>
      </w:pPr>
      <w:bookmarkStart w:id="0" w:name="_Toc397599182"/>
      <w:r w:rsidRPr="00D97064">
        <w:t>Introduction</w:t>
      </w:r>
      <w:bookmarkEnd w:id="0"/>
    </w:p>
    <w:p w14:paraId="714C6DC9" w14:textId="77777777" w:rsidR="00597888" w:rsidRPr="00597888" w:rsidRDefault="00597888" w:rsidP="00597888"/>
    <w:p w14:paraId="1C1CBB26" w14:textId="77777777" w:rsidR="00663A76" w:rsidRDefault="00663A76" w:rsidP="00E90B87">
      <w:pPr>
        <w:spacing w:line="240" w:lineRule="auto"/>
        <w:rPr>
          <w:rFonts w:cs="Arial"/>
        </w:rPr>
      </w:pPr>
      <w:r w:rsidRPr="00663A76">
        <w:rPr>
          <w:rFonts w:cs="Arial"/>
        </w:rPr>
        <w:t>Th</w:t>
      </w:r>
      <w:r w:rsidR="00D628E0">
        <w:rPr>
          <w:rFonts w:cs="Arial"/>
        </w:rPr>
        <w:t xml:space="preserve">e Surge Management Plan </w:t>
      </w:r>
      <w:r w:rsidRPr="00663A76">
        <w:rPr>
          <w:rFonts w:cs="Arial"/>
        </w:rPr>
        <w:t xml:space="preserve">is an operational document </w:t>
      </w:r>
      <w:r w:rsidR="00D628E0">
        <w:rPr>
          <w:rFonts w:cs="Arial"/>
        </w:rPr>
        <w:t xml:space="preserve">that has been developed </w:t>
      </w:r>
      <w:r w:rsidR="00E90B87">
        <w:rPr>
          <w:rFonts w:cs="Arial"/>
        </w:rPr>
        <w:t xml:space="preserve">to </w:t>
      </w:r>
      <w:r w:rsidR="00D628E0">
        <w:rPr>
          <w:rFonts w:cs="Arial"/>
        </w:rPr>
        <w:t>e</w:t>
      </w:r>
      <w:r w:rsidR="00D628E0" w:rsidRPr="007F39B0">
        <w:rPr>
          <w:rFonts w:cs="Arial"/>
        </w:rPr>
        <w:t xml:space="preserve">nsure that </w:t>
      </w:r>
      <w:r w:rsidR="00D628E0">
        <w:rPr>
          <w:rFonts w:cs="Arial"/>
        </w:rPr>
        <w:t>E</w:t>
      </w:r>
      <w:r w:rsidR="007C548C">
        <w:rPr>
          <w:rFonts w:cs="Arial"/>
        </w:rPr>
        <w:t xml:space="preserve">ast </w:t>
      </w:r>
      <w:r w:rsidR="00D628E0">
        <w:rPr>
          <w:rFonts w:cs="Arial"/>
        </w:rPr>
        <w:t>L</w:t>
      </w:r>
      <w:r w:rsidR="007C548C">
        <w:rPr>
          <w:rFonts w:cs="Arial"/>
        </w:rPr>
        <w:t xml:space="preserve">ondon NHS </w:t>
      </w:r>
      <w:r w:rsidR="00D628E0">
        <w:rPr>
          <w:rFonts w:cs="Arial"/>
        </w:rPr>
        <w:t>F</w:t>
      </w:r>
      <w:r w:rsidR="007C548C">
        <w:rPr>
          <w:rFonts w:cs="Arial"/>
        </w:rPr>
        <w:t xml:space="preserve">oundation </w:t>
      </w:r>
      <w:r w:rsidR="00D628E0">
        <w:rPr>
          <w:rFonts w:cs="Arial"/>
        </w:rPr>
        <w:t>T</w:t>
      </w:r>
      <w:r w:rsidR="007C548C">
        <w:rPr>
          <w:rFonts w:cs="Arial"/>
        </w:rPr>
        <w:t>rust (ELFT)</w:t>
      </w:r>
      <w:r w:rsidR="00D628E0">
        <w:rPr>
          <w:rFonts w:cs="Arial"/>
        </w:rPr>
        <w:t xml:space="preserve"> is </w:t>
      </w:r>
      <w:r w:rsidR="00D628E0" w:rsidRPr="007F39B0">
        <w:rPr>
          <w:rFonts w:cs="Arial"/>
        </w:rPr>
        <w:t xml:space="preserve">prepared and </w:t>
      </w:r>
      <w:r w:rsidR="00D628E0">
        <w:rPr>
          <w:rFonts w:cs="Arial"/>
        </w:rPr>
        <w:t>is able to provide a c</w:t>
      </w:r>
      <w:r w:rsidR="00D628E0" w:rsidRPr="007F39B0">
        <w:rPr>
          <w:rFonts w:cs="Arial"/>
        </w:rPr>
        <w:t>oordinated respon</w:t>
      </w:r>
      <w:r w:rsidR="00D628E0">
        <w:rPr>
          <w:rFonts w:cs="Arial"/>
        </w:rPr>
        <w:t>se</w:t>
      </w:r>
      <w:r w:rsidR="00D628E0" w:rsidRPr="007F39B0">
        <w:rPr>
          <w:rFonts w:cs="Arial"/>
        </w:rPr>
        <w:t xml:space="preserve"> to increased </w:t>
      </w:r>
      <w:r w:rsidR="005A3D42">
        <w:rPr>
          <w:rFonts w:cs="Arial"/>
        </w:rPr>
        <w:t>demand or decreased capacity.</w:t>
      </w:r>
    </w:p>
    <w:p w14:paraId="15444F7D" w14:textId="77777777" w:rsidR="00CE563B" w:rsidRPr="0009427F" w:rsidRDefault="00CE563B" w:rsidP="00E90B87">
      <w:pPr>
        <w:spacing w:after="120"/>
        <w:jc w:val="both"/>
        <w:rPr>
          <w:highlight w:val="yellow"/>
        </w:rPr>
      </w:pPr>
      <w:r>
        <w:rPr>
          <w:rFonts w:cs="Arial"/>
        </w:rPr>
        <w:t xml:space="preserve">This plan is not a stand-alone document and should be used in conjunction with the following </w:t>
      </w:r>
      <w:proofErr w:type="gramStart"/>
      <w:r>
        <w:rPr>
          <w:rFonts w:cs="Arial"/>
        </w:rPr>
        <w:t>plans;</w:t>
      </w:r>
      <w:proofErr w:type="gramEnd"/>
    </w:p>
    <w:p w14:paraId="78AA281A" w14:textId="77777777" w:rsidR="00CE563B" w:rsidRDefault="00CE563B" w:rsidP="00CE563B">
      <w:pPr>
        <w:pStyle w:val="ListParagraph"/>
        <w:numPr>
          <w:ilvl w:val="0"/>
          <w:numId w:val="40"/>
        </w:numPr>
        <w:spacing w:after="0"/>
        <w:rPr>
          <w:color w:val="auto"/>
          <w:sz w:val="22"/>
          <w:szCs w:val="22"/>
        </w:rPr>
      </w:pPr>
      <w:r w:rsidRPr="00CE563B">
        <w:rPr>
          <w:color w:val="auto"/>
          <w:sz w:val="22"/>
          <w:szCs w:val="22"/>
        </w:rPr>
        <w:t xml:space="preserve">The </w:t>
      </w:r>
      <w:r w:rsidR="0009427F">
        <w:rPr>
          <w:color w:val="auto"/>
          <w:sz w:val="22"/>
          <w:szCs w:val="22"/>
        </w:rPr>
        <w:t>Incident Response Plan</w:t>
      </w:r>
    </w:p>
    <w:p w14:paraId="32D16867" w14:textId="77777777" w:rsidR="005E03BA" w:rsidRPr="00CE563B" w:rsidRDefault="005E03BA" w:rsidP="00CE563B">
      <w:pPr>
        <w:pStyle w:val="ListParagraph"/>
        <w:numPr>
          <w:ilvl w:val="0"/>
          <w:numId w:val="40"/>
        </w:numPr>
        <w:spacing w:after="0"/>
        <w:rPr>
          <w:color w:val="auto"/>
          <w:sz w:val="22"/>
          <w:szCs w:val="22"/>
        </w:rPr>
      </w:pPr>
      <w:r>
        <w:rPr>
          <w:color w:val="auto"/>
          <w:sz w:val="22"/>
          <w:szCs w:val="22"/>
        </w:rPr>
        <w:t>Trust Business Continuity Plan</w:t>
      </w:r>
    </w:p>
    <w:p w14:paraId="269F141B" w14:textId="77777777" w:rsidR="00CE563B" w:rsidRPr="00CE563B" w:rsidRDefault="00CE563B" w:rsidP="00CE563B">
      <w:pPr>
        <w:pStyle w:val="ListParagraph"/>
        <w:numPr>
          <w:ilvl w:val="0"/>
          <w:numId w:val="40"/>
        </w:numPr>
        <w:spacing w:after="0"/>
        <w:rPr>
          <w:color w:val="auto"/>
          <w:sz w:val="22"/>
          <w:szCs w:val="22"/>
        </w:rPr>
      </w:pPr>
      <w:r w:rsidRPr="00CE563B">
        <w:rPr>
          <w:color w:val="auto"/>
          <w:sz w:val="22"/>
          <w:szCs w:val="22"/>
        </w:rPr>
        <w:t xml:space="preserve">Pandemic </w:t>
      </w:r>
      <w:r w:rsidR="00F56EE5">
        <w:rPr>
          <w:color w:val="auto"/>
          <w:sz w:val="22"/>
          <w:szCs w:val="22"/>
        </w:rPr>
        <w:t>I</w:t>
      </w:r>
      <w:r w:rsidRPr="00CE563B">
        <w:rPr>
          <w:color w:val="auto"/>
          <w:sz w:val="22"/>
          <w:szCs w:val="22"/>
        </w:rPr>
        <w:t>nfluenza Plan</w:t>
      </w:r>
    </w:p>
    <w:p w14:paraId="3FD31DBC" w14:textId="77777777" w:rsidR="00CE563B" w:rsidRPr="00CE563B" w:rsidRDefault="005E03BA" w:rsidP="00CE563B">
      <w:pPr>
        <w:pStyle w:val="ListParagraph"/>
        <w:numPr>
          <w:ilvl w:val="0"/>
          <w:numId w:val="40"/>
        </w:numPr>
        <w:spacing w:after="0"/>
        <w:rPr>
          <w:color w:val="auto"/>
          <w:sz w:val="22"/>
          <w:szCs w:val="22"/>
        </w:rPr>
      </w:pPr>
      <w:r>
        <w:rPr>
          <w:color w:val="auto"/>
          <w:sz w:val="22"/>
          <w:szCs w:val="22"/>
        </w:rPr>
        <w:t xml:space="preserve">Severe </w:t>
      </w:r>
      <w:r w:rsidR="00CE563B" w:rsidRPr="00CE563B">
        <w:rPr>
          <w:color w:val="auto"/>
          <w:sz w:val="22"/>
          <w:szCs w:val="22"/>
        </w:rPr>
        <w:t>Weather Plan</w:t>
      </w:r>
      <w:r w:rsidR="0009427F">
        <w:rPr>
          <w:color w:val="auto"/>
          <w:sz w:val="22"/>
          <w:szCs w:val="22"/>
        </w:rPr>
        <w:t xml:space="preserve"> </w:t>
      </w:r>
    </w:p>
    <w:p w14:paraId="21288B8B" w14:textId="77777777" w:rsidR="00CE563B" w:rsidRDefault="00CE563B" w:rsidP="00CE563B">
      <w:pPr>
        <w:pStyle w:val="ListParagraph"/>
        <w:numPr>
          <w:ilvl w:val="0"/>
          <w:numId w:val="40"/>
        </w:numPr>
        <w:spacing w:after="0"/>
        <w:rPr>
          <w:color w:val="auto"/>
          <w:sz w:val="22"/>
          <w:szCs w:val="22"/>
        </w:rPr>
      </w:pPr>
      <w:r w:rsidRPr="00CE563B">
        <w:rPr>
          <w:color w:val="auto"/>
          <w:sz w:val="22"/>
          <w:szCs w:val="22"/>
        </w:rPr>
        <w:t>Heatwave Plan</w:t>
      </w:r>
    </w:p>
    <w:p w14:paraId="2B7E0999" w14:textId="77777777" w:rsidR="005E03BA" w:rsidRDefault="005E03BA" w:rsidP="00CE563B">
      <w:pPr>
        <w:pStyle w:val="ListParagraph"/>
        <w:numPr>
          <w:ilvl w:val="0"/>
          <w:numId w:val="40"/>
        </w:numPr>
        <w:spacing w:after="0"/>
        <w:rPr>
          <w:color w:val="auto"/>
          <w:sz w:val="22"/>
          <w:szCs w:val="22"/>
        </w:rPr>
      </w:pPr>
      <w:r>
        <w:rPr>
          <w:color w:val="auto"/>
          <w:sz w:val="22"/>
          <w:szCs w:val="22"/>
        </w:rPr>
        <w:t>Flooding Plan</w:t>
      </w:r>
    </w:p>
    <w:p w14:paraId="1D42EB9B" w14:textId="77777777" w:rsidR="007B6354" w:rsidRPr="00CE563B" w:rsidRDefault="005E03BA" w:rsidP="00CE563B">
      <w:pPr>
        <w:pStyle w:val="ListParagraph"/>
        <w:numPr>
          <w:ilvl w:val="0"/>
          <w:numId w:val="40"/>
        </w:numPr>
        <w:spacing w:after="0"/>
        <w:rPr>
          <w:color w:val="auto"/>
          <w:sz w:val="22"/>
          <w:szCs w:val="22"/>
        </w:rPr>
      </w:pPr>
      <w:r>
        <w:rPr>
          <w:color w:val="auto"/>
          <w:sz w:val="22"/>
          <w:szCs w:val="22"/>
        </w:rPr>
        <w:t>Fuel Shortages Plan</w:t>
      </w:r>
    </w:p>
    <w:p w14:paraId="03BFDD90" w14:textId="77777777" w:rsidR="007B6354" w:rsidRPr="007B6354" w:rsidRDefault="007B6354" w:rsidP="007B6354">
      <w:pPr>
        <w:pStyle w:val="Heading1"/>
        <w:spacing w:after="0"/>
        <w:rPr>
          <w:sz w:val="22"/>
        </w:rPr>
      </w:pPr>
      <w:bookmarkStart w:id="1" w:name="_Toc397599183"/>
    </w:p>
    <w:p w14:paraId="72A3A0E5" w14:textId="77777777" w:rsidR="00663A76" w:rsidRDefault="009078E0" w:rsidP="00CE563B">
      <w:pPr>
        <w:pStyle w:val="Heading1"/>
      </w:pPr>
      <w:r>
        <w:t xml:space="preserve">2. </w:t>
      </w:r>
      <w:r w:rsidR="003118BB">
        <w:t>Objective of Pressure Surge Planning and Management</w:t>
      </w:r>
      <w:bookmarkEnd w:id="1"/>
    </w:p>
    <w:p w14:paraId="0A606B41" w14:textId="77777777" w:rsidR="00040D1A" w:rsidRDefault="0009427F" w:rsidP="00E90B87">
      <w:pPr>
        <w:autoSpaceDE w:val="0"/>
        <w:autoSpaceDN w:val="0"/>
        <w:adjustRightInd w:val="0"/>
        <w:spacing w:after="0" w:line="240" w:lineRule="auto"/>
        <w:rPr>
          <w:rFonts w:cs="Arial"/>
          <w:sz w:val="23"/>
          <w:szCs w:val="23"/>
        </w:rPr>
      </w:pPr>
      <w:r>
        <w:t>T</w:t>
      </w:r>
      <w:r w:rsidR="00040D1A">
        <w:t xml:space="preserve">his plan </w:t>
      </w:r>
      <w:r>
        <w:t xml:space="preserve">will support ELFT mental health and community health services during a surge. A surge within this plan is defined </w:t>
      </w:r>
      <w:r w:rsidR="00040D1A">
        <w:t xml:space="preserve">as </w:t>
      </w:r>
      <w:r w:rsidR="005272CE">
        <w:rPr>
          <w:rFonts w:cs="Arial"/>
          <w:sz w:val="23"/>
          <w:szCs w:val="23"/>
        </w:rPr>
        <w:t>the requirements</w:t>
      </w:r>
      <w:r w:rsidR="003118BB">
        <w:rPr>
          <w:rFonts w:cs="Arial"/>
          <w:sz w:val="23"/>
          <w:szCs w:val="23"/>
        </w:rPr>
        <w:t xml:space="preserve"> </w:t>
      </w:r>
      <w:r w:rsidR="005272CE">
        <w:rPr>
          <w:rFonts w:cs="Arial"/>
          <w:sz w:val="23"/>
          <w:szCs w:val="23"/>
        </w:rPr>
        <w:t xml:space="preserve">of </w:t>
      </w:r>
      <w:r w:rsidR="003118BB">
        <w:rPr>
          <w:rFonts w:cs="Arial"/>
          <w:sz w:val="23"/>
          <w:szCs w:val="23"/>
        </w:rPr>
        <w:t>one or more</w:t>
      </w:r>
      <w:r w:rsidR="005272CE">
        <w:rPr>
          <w:rFonts w:cs="Arial"/>
          <w:sz w:val="23"/>
          <w:szCs w:val="23"/>
        </w:rPr>
        <w:t xml:space="preserve"> service</w:t>
      </w:r>
      <w:r w:rsidR="003118BB">
        <w:rPr>
          <w:rFonts w:cs="Arial"/>
          <w:sz w:val="23"/>
          <w:szCs w:val="23"/>
        </w:rPr>
        <w:t>s</w:t>
      </w:r>
      <w:r w:rsidR="005272CE">
        <w:rPr>
          <w:rFonts w:cs="Arial"/>
          <w:sz w:val="23"/>
          <w:szCs w:val="23"/>
        </w:rPr>
        <w:t xml:space="preserve"> extending beyond their capability during normal business. A surge in one service may not be experienced by other services but may indicate a surge</w:t>
      </w:r>
      <w:r w:rsidR="007C548C">
        <w:rPr>
          <w:rFonts w:cs="Arial"/>
          <w:sz w:val="23"/>
          <w:szCs w:val="23"/>
        </w:rPr>
        <w:t xml:space="preserve"> </w:t>
      </w:r>
      <w:r w:rsidR="005272CE">
        <w:rPr>
          <w:rFonts w:cs="Arial"/>
          <w:sz w:val="23"/>
          <w:szCs w:val="23"/>
        </w:rPr>
        <w:t>that impacts on the whole health economy</w:t>
      </w:r>
      <w:r w:rsidR="007C548C">
        <w:rPr>
          <w:rFonts w:cs="Arial"/>
          <w:sz w:val="23"/>
          <w:szCs w:val="23"/>
        </w:rPr>
        <w:t>.</w:t>
      </w:r>
    </w:p>
    <w:p w14:paraId="2FFF4C0B" w14:textId="77777777" w:rsidR="007C548C" w:rsidRPr="00040D1A" w:rsidRDefault="007C548C" w:rsidP="007C548C">
      <w:pPr>
        <w:autoSpaceDE w:val="0"/>
        <w:autoSpaceDN w:val="0"/>
        <w:adjustRightInd w:val="0"/>
        <w:spacing w:after="0" w:line="240" w:lineRule="auto"/>
      </w:pPr>
    </w:p>
    <w:p w14:paraId="70151B02" w14:textId="77777777" w:rsidR="007C548C" w:rsidRDefault="00D628E0" w:rsidP="00597888">
      <w:pPr>
        <w:spacing w:after="0" w:line="240" w:lineRule="auto"/>
        <w:ind w:firstLine="720"/>
        <w:rPr>
          <w:rFonts w:cs="Arial"/>
        </w:rPr>
      </w:pPr>
      <w:r w:rsidRPr="00D628E0">
        <w:rPr>
          <w:rFonts w:cs="Arial"/>
        </w:rPr>
        <w:t xml:space="preserve">The </w:t>
      </w:r>
      <w:r w:rsidR="003118BB">
        <w:rPr>
          <w:rFonts w:cs="Arial"/>
        </w:rPr>
        <w:t>objective</w:t>
      </w:r>
      <w:r w:rsidRPr="00D628E0">
        <w:rPr>
          <w:rFonts w:cs="Arial"/>
        </w:rPr>
        <w:t xml:space="preserve"> of this Plan is to allow </w:t>
      </w:r>
      <w:r w:rsidR="003118BB">
        <w:rPr>
          <w:rFonts w:cs="Arial"/>
        </w:rPr>
        <w:t>the Trust</w:t>
      </w:r>
      <w:r w:rsidRPr="00D628E0">
        <w:rPr>
          <w:rFonts w:cs="Arial"/>
        </w:rPr>
        <w:t xml:space="preserve"> to</w:t>
      </w:r>
    </w:p>
    <w:p w14:paraId="74BA13D5" w14:textId="77777777" w:rsidR="00597888" w:rsidRPr="00D628E0" w:rsidRDefault="00597888" w:rsidP="00597888">
      <w:pPr>
        <w:spacing w:after="0" w:line="240" w:lineRule="auto"/>
        <w:ind w:firstLine="720"/>
        <w:rPr>
          <w:rFonts w:cs="Arial"/>
        </w:rPr>
      </w:pPr>
    </w:p>
    <w:p w14:paraId="2197D92D" w14:textId="77777777" w:rsidR="003118BB" w:rsidRDefault="003118BB" w:rsidP="00040D1A">
      <w:pPr>
        <w:pStyle w:val="ListParagraph"/>
        <w:numPr>
          <w:ilvl w:val="0"/>
          <w:numId w:val="7"/>
        </w:numPr>
        <w:rPr>
          <w:color w:val="auto"/>
          <w:sz w:val="22"/>
          <w:szCs w:val="22"/>
        </w:rPr>
      </w:pPr>
      <w:r>
        <w:rPr>
          <w:color w:val="auto"/>
          <w:sz w:val="22"/>
          <w:szCs w:val="22"/>
        </w:rPr>
        <w:t>Identify potential risks to the continued delivery of safe health services during periods of increased seasonal pressure</w:t>
      </w:r>
    </w:p>
    <w:p w14:paraId="5973647E" w14:textId="77777777" w:rsidR="003118BB" w:rsidRDefault="003118BB" w:rsidP="00040D1A">
      <w:pPr>
        <w:pStyle w:val="ListParagraph"/>
        <w:numPr>
          <w:ilvl w:val="0"/>
          <w:numId w:val="7"/>
        </w:numPr>
        <w:rPr>
          <w:color w:val="auto"/>
          <w:sz w:val="22"/>
          <w:szCs w:val="22"/>
        </w:rPr>
      </w:pPr>
      <w:r>
        <w:rPr>
          <w:color w:val="auto"/>
          <w:sz w:val="22"/>
          <w:szCs w:val="22"/>
        </w:rPr>
        <w:t>Mitigate identified risks as far as practically possible through the planning, documenting, monitoring and exercising of appropriate actions and escalation processes.</w:t>
      </w:r>
    </w:p>
    <w:p w14:paraId="3AE32B1D" w14:textId="77777777" w:rsidR="00040D1A" w:rsidRPr="00040D1A" w:rsidRDefault="00D628E0" w:rsidP="00040D1A">
      <w:pPr>
        <w:pStyle w:val="ListParagraph"/>
        <w:numPr>
          <w:ilvl w:val="0"/>
          <w:numId w:val="7"/>
        </w:numPr>
        <w:rPr>
          <w:color w:val="auto"/>
          <w:sz w:val="22"/>
          <w:szCs w:val="22"/>
        </w:rPr>
      </w:pPr>
      <w:r w:rsidRPr="00040D1A">
        <w:rPr>
          <w:color w:val="auto"/>
          <w:sz w:val="22"/>
          <w:szCs w:val="22"/>
        </w:rPr>
        <w:t xml:space="preserve">Create additional capacity </w:t>
      </w:r>
      <w:r w:rsidR="00040D1A" w:rsidRPr="00040D1A">
        <w:rPr>
          <w:color w:val="auto"/>
          <w:sz w:val="22"/>
          <w:szCs w:val="22"/>
        </w:rPr>
        <w:t>for surge in demand created by seasonal pressures</w:t>
      </w:r>
    </w:p>
    <w:p w14:paraId="37F9BC3F" w14:textId="77777777" w:rsidR="00040D1A" w:rsidRPr="00040D1A" w:rsidRDefault="00040D1A" w:rsidP="00040D1A">
      <w:pPr>
        <w:pStyle w:val="ListParagraph"/>
        <w:numPr>
          <w:ilvl w:val="0"/>
          <w:numId w:val="7"/>
        </w:numPr>
        <w:rPr>
          <w:color w:val="auto"/>
          <w:sz w:val="22"/>
          <w:szCs w:val="22"/>
        </w:rPr>
      </w:pPr>
      <w:r w:rsidRPr="00040D1A">
        <w:rPr>
          <w:color w:val="auto"/>
          <w:sz w:val="22"/>
          <w:szCs w:val="22"/>
        </w:rPr>
        <w:t>Create emergency capacity for surge in demand caused by major incidents</w:t>
      </w:r>
    </w:p>
    <w:p w14:paraId="02B78605" w14:textId="77777777" w:rsidR="00040D1A" w:rsidRPr="00040D1A" w:rsidRDefault="00040D1A" w:rsidP="00040D1A">
      <w:pPr>
        <w:pStyle w:val="ListParagraph"/>
        <w:numPr>
          <w:ilvl w:val="0"/>
          <w:numId w:val="7"/>
        </w:numPr>
        <w:rPr>
          <w:color w:val="auto"/>
          <w:sz w:val="22"/>
          <w:szCs w:val="22"/>
        </w:rPr>
      </w:pPr>
      <w:r w:rsidRPr="00040D1A">
        <w:rPr>
          <w:color w:val="auto"/>
          <w:sz w:val="22"/>
          <w:szCs w:val="22"/>
        </w:rPr>
        <w:t>Support acute providers to manage patient flow away from the admissions pathway during these events</w:t>
      </w:r>
    </w:p>
    <w:p w14:paraId="559D2C15" w14:textId="77777777" w:rsidR="00040D1A" w:rsidRPr="00040D1A" w:rsidRDefault="00040D1A" w:rsidP="00040D1A">
      <w:pPr>
        <w:pStyle w:val="ListParagraph"/>
        <w:numPr>
          <w:ilvl w:val="0"/>
          <w:numId w:val="7"/>
        </w:numPr>
        <w:rPr>
          <w:color w:val="auto"/>
          <w:sz w:val="22"/>
          <w:szCs w:val="22"/>
        </w:rPr>
      </w:pPr>
      <w:r w:rsidRPr="00040D1A">
        <w:rPr>
          <w:color w:val="auto"/>
          <w:sz w:val="22"/>
          <w:szCs w:val="22"/>
        </w:rPr>
        <w:t>Define triggers for activation of surge management activity</w:t>
      </w:r>
    </w:p>
    <w:p w14:paraId="09B0F94D" w14:textId="77777777" w:rsidR="00E97108" w:rsidRPr="00E97108" w:rsidRDefault="00040D1A" w:rsidP="005E03BA">
      <w:pPr>
        <w:pStyle w:val="ListParagraph"/>
        <w:numPr>
          <w:ilvl w:val="0"/>
          <w:numId w:val="7"/>
        </w:numPr>
        <w:rPr>
          <w:color w:val="auto"/>
          <w:sz w:val="22"/>
          <w:szCs w:val="22"/>
        </w:rPr>
      </w:pPr>
      <w:r w:rsidRPr="00040D1A">
        <w:rPr>
          <w:color w:val="auto"/>
          <w:sz w:val="22"/>
          <w:szCs w:val="22"/>
        </w:rPr>
        <w:t>Take any other action necessary in relation to a surge event</w:t>
      </w:r>
    </w:p>
    <w:p w14:paraId="6558B704" w14:textId="77777777" w:rsidR="00B006A1" w:rsidRDefault="00B006A1" w:rsidP="00D97064">
      <w:pPr>
        <w:pStyle w:val="Heading1"/>
        <w:rPr>
          <w:rFonts w:cstheme="minorBidi"/>
          <w:b w:val="0"/>
          <w:sz w:val="22"/>
          <w:szCs w:val="22"/>
        </w:rPr>
      </w:pPr>
      <w:bookmarkStart w:id="2" w:name="_Toc397599184"/>
    </w:p>
    <w:p w14:paraId="17720F90" w14:textId="77777777" w:rsidR="00040D1A" w:rsidRDefault="009078E0" w:rsidP="00D97064">
      <w:pPr>
        <w:pStyle w:val="Heading1"/>
      </w:pPr>
      <w:r>
        <w:t xml:space="preserve">3. </w:t>
      </w:r>
      <w:r w:rsidR="007C548C">
        <w:t>Trigger Points</w:t>
      </w:r>
      <w:bookmarkEnd w:id="2"/>
    </w:p>
    <w:p w14:paraId="0DCBCB80" w14:textId="77777777" w:rsidR="00040D1A" w:rsidRDefault="00040D1A" w:rsidP="00040D1A">
      <w:r>
        <w:t>NHS England</w:t>
      </w:r>
      <w:r w:rsidR="005272CE">
        <w:t xml:space="preserve"> </w:t>
      </w:r>
      <w:r w:rsidR="003118BB">
        <w:t>(London)</w:t>
      </w:r>
      <w:r w:rsidR="00601067">
        <w:rPr>
          <w:rStyle w:val="FootnoteReference"/>
        </w:rPr>
        <w:footnoteReference w:id="1"/>
      </w:r>
      <w:r w:rsidR="003118BB">
        <w:t xml:space="preserve"> </w:t>
      </w:r>
      <w:r w:rsidR="006634B9">
        <w:t>has</w:t>
      </w:r>
      <w:r w:rsidR="005272CE">
        <w:t xml:space="preserve"> identified the following major triggers </w:t>
      </w:r>
      <w:proofErr w:type="gramStart"/>
      <w:r w:rsidR="005272CE">
        <w:t>points</w:t>
      </w:r>
      <w:r w:rsidR="006D7260">
        <w:t>;</w:t>
      </w:r>
      <w:proofErr w:type="gramEnd"/>
      <w:r w:rsidR="005272CE">
        <w:t xml:space="preserve"> </w:t>
      </w:r>
    </w:p>
    <w:p w14:paraId="5E4AAC37" w14:textId="77777777" w:rsidR="00040D1A" w:rsidRPr="007C548C" w:rsidRDefault="00040D1A" w:rsidP="000F5971">
      <w:pPr>
        <w:pStyle w:val="Default"/>
        <w:ind w:firstLine="720"/>
        <w:rPr>
          <w:sz w:val="22"/>
          <w:szCs w:val="22"/>
        </w:rPr>
      </w:pPr>
      <w:r w:rsidRPr="007C548C">
        <w:rPr>
          <w:b/>
          <w:bCs/>
          <w:sz w:val="22"/>
          <w:szCs w:val="22"/>
        </w:rPr>
        <w:t xml:space="preserve">Increased Demand </w:t>
      </w:r>
    </w:p>
    <w:p w14:paraId="71BD9517" w14:textId="77777777" w:rsidR="00040D1A" w:rsidRDefault="005A3D42" w:rsidP="007C548C">
      <w:pPr>
        <w:pStyle w:val="Default"/>
        <w:numPr>
          <w:ilvl w:val="0"/>
          <w:numId w:val="8"/>
        </w:numPr>
        <w:spacing w:after="31"/>
        <w:rPr>
          <w:sz w:val="22"/>
          <w:szCs w:val="22"/>
        </w:rPr>
      </w:pPr>
      <w:r>
        <w:rPr>
          <w:sz w:val="22"/>
          <w:szCs w:val="22"/>
        </w:rPr>
        <w:t xml:space="preserve">Weather </w:t>
      </w:r>
      <w:r w:rsidR="00040D1A">
        <w:rPr>
          <w:sz w:val="22"/>
          <w:szCs w:val="22"/>
        </w:rPr>
        <w:t xml:space="preserve">– After a drop in temperature (to daytime maximum of four to five degrees and </w:t>
      </w:r>
      <w:proofErr w:type="gramStart"/>
      <w:r w:rsidR="00040D1A">
        <w:rPr>
          <w:sz w:val="22"/>
          <w:szCs w:val="22"/>
        </w:rPr>
        <w:t>night time</w:t>
      </w:r>
      <w:proofErr w:type="gramEnd"/>
      <w:r w:rsidR="00040D1A">
        <w:rPr>
          <w:sz w:val="22"/>
          <w:szCs w:val="22"/>
        </w:rPr>
        <w:t xml:space="preserve"> temperatures be</w:t>
      </w:r>
      <w:r w:rsidR="000077EF">
        <w:rPr>
          <w:sz w:val="22"/>
          <w:szCs w:val="22"/>
        </w:rPr>
        <w:t xml:space="preserve">low freezing over a </w:t>
      </w:r>
      <w:proofErr w:type="gramStart"/>
      <w:r w:rsidR="000077EF">
        <w:rPr>
          <w:sz w:val="22"/>
          <w:szCs w:val="22"/>
        </w:rPr>
        <w:t xml:space="preserve">two to four </w:t>
      </w:r>
      <w:r w:rsidR="00040D1A">
        <w:rPr>
          <w:sz w:val="22"/>
          <w:szCs w:val="22"/>
        </w:rPr>
        <w:t>day</w:t>
      </w:r>
      <w:proofErr w:type="gramEnd"/>
      <w:r w:rsidR="00040D1A">
        <w:rPr>
          <w:sz w:val="22"/>
          <w:szCs w:val="22"/>
        </w:rPr>
        <w:t xml:space="preserve"> period) there is a known rise in attendances</w:t>
      </w:r>
      <w:r>
        <w:rPr>
          <w:sz w:val="22"/>
          <w:szCs w:val="22"/>
        </w:rPr>
        <w:t xml:space="preserve"> at Emergency Departments</w:t>
      </w:r>
      <w:r w:rsidR="00040D1A">
        <w:rPr>
          <w:sz w:val="22"/>
          <w:szCs w:val="22"/>
        </w:rPr>
        <w:t xml:space="preserve">. This occurs three to five days later for cardiovascular conditions and 10 to 12 days later for respiratory illnesses. </w:t>
      </w:r>
    </w:p>
    <w:p w14:paraId="110D8EC4" w14:textId="77777777" w:rsidR="005A3D42" w:rsidRDefault="005A3D42" w:rsidP="005A3D42">
      <w:pPr>
        <w:pStyle w:val="Default"/>
        <w:spacing w:after="31"/>
        <w:ind w:left="720"/>
        <w:rPr>
          <w:sz w:val="22"/>
          <w:szCs w:val="22"/>
        </w:rPr>
      </w:pPr>
    </w:p>
    <w:p w14:paraId="502AAEF9" w14:textId="77777777" w:rsidR="00040D1A" w:rsidRDefault="00040D1A" w:rsidP="007C548C">
      <w:pPr>
        <w:pStyle w:val="Default"/>
        <w:numPr>
          <w:ilvl w:val="0"/>
          <w:numId w:val="8"/>
        </w:numPr>
        <w:spacing w:after="31"/>
        <w:rPr>
          <w:sz w:val="22"/>
          <w:szCs w:val="22"/>
        </w:rPr>
      </w:pPr>
      <w:r>
        <w:rPr>
          <w:sz w:val="22"/>
          <w:szCs w:val="22"/>
        </w:rPr>
        <w:lastRenderedPageBreak/>
        <w:t xml:space="preserve">LAS activity – Overall call volume above 3000 calls </w:t>
      </w:r>
      <w:r w:rsidR="00FF42AA">
        <w:rPr>
          <w:sz w:val="22"/>
          <w:szCs w:val="22"/>
        </w:rPr>
        <w:t>per day and CAT A calls above 13</w:t>
      </w:r>
      <w:r>
        <w:rPr>
          <w:sz w:val="22"/>
          <w:szCs w:val="22"/>
        </w:rPr>
        <w:t xml:space="preserve">00 calls per day (if continues for 2 consecutive days, will indicate </w:t>
      </w:r>
      <w:r w:rsidR="00DF6420">
        <w:rPr>
          <w:sz w:val="22"/>
          <w:szCs w:val="22"/>
        </w:rPr>
        <w:t>Emergency D</w:t>
      </w:r>
      <w:r>
        <w:rPr>
          <w:sz w:val="22"/>
          <w:szCs w:val="22"/>
        </w:rPr>
        <w:t>epartmen</w:t>
      </w:r>
      <w:r w:rsidR="00597888">
        <w:rPr>
          <w:sz w:val="22"/>
          <w:szCs w:val="22"/>
        </w:rPr>
        <w:t>ts coming under pressure</w:t>
      </w:r>
      <w:r>
        <w:rPr>
          <w:sz w:val="22"/>
          <w:szCs w:val="22"/>
        </w:rPr>
        <w:t>)</w:t>
      </w:r>
      <w:r w:rsidR="00597888">
        <w:rPr>
          <w:sz w:val="22"/>
          <w:szCs w:val="22"/>
        </w:rPr>
        <w:t>.</w:t>
      </w:r>
      <w:r>
        <w:rPr>
          <w:sz w:val="22"/>
          <w:szCs w:val="22"/>
        </w:rPr>
        <w:t xml:space="preserve"> </w:t>
      </w:r>
    </w:p>
    <w:p w14:paraId="10876206" w14:textId="77777777" w:rsidR="00DF6420" w:rsidRDefault="00DF6420" w:rsidP="00DF6420">
      <w:pPr>
        <w:pStyle w:val="Default"/>
        <w:spacing w:after="31"/>
        <w:ind w:left="720"/>
        <w:rPr>
          <w:sz w:val="22"/>
          <w:szCs w:val="22"/>
        </w:rPr>
      </w:pPr>
    </w:p>
    <w:p w14:paraId="34C8324F" w14:textId="77777777" w:rsidR="00040D1A" w:rsidRDefault="00040D1A" w:rsidP="007C548C">
      <w:pPr>
        <w:pStyle w:val="Default"/>
        <w:numPr>
          <w:ilvl w:val="0"/>
          <w:numId w:val="8"/>
        </w:numPr>
        <w:spacing w:after="31"/>
        <w:rPr>
          <w:sz w:val="22"/>
          <w:szCs w:val="22"/>
        </w:rPr>
      </w:pPr>
      <w:r>
        <w:rPr>
          <w:sz w:val="22"/>
          <w:szCs w:val="22"/>
        </w:rPr>
        <w:t xml:space="preserve">Patient attendances or admissions through </w:t>
      </w:r>
      <w:r w:rsidR="00DF6420">
        <w:rPr>
          <w:sz w:val="22"/>
          <w:szCs w:val="22"/>
        </w:rPr>
        <w:t>ED</w:t>
      </w:r>
      <w:r>
        <w:rPr>
          <w:sz w:val="22"/>
          <w:szCs w:val="22"/>
        </w:rPr>
        <w:t xml:space="preserve"> reach higher than the daily expected norm under seasonal conditions (will be trust specific, baseline and tolerances will be expected to be specified in local pressure surge plans). </w:t>
      </w:r>
    </w:p>
    <w:p w14:paraId="7F3EC807" w14:textId="77777777" w:rsidR="00DF6420" w:rsidRDefault="00DF6420" w:rsidP="00DF6420">
      <w:pPr>
        <w:pStyle w:val="Default"/>
        <w:spacing w:after="31"/>
        <w:ind w:left="720"/>
        <w:rPr>
          <w:sz w:val="22"/>
          <w:szCs w:val="22"/>
        </w:rPr>
      </w:pPr>
    </w:p>
    <w:p w14:paraId="268CB1C0" w14:textId="77777777" w:rsidR="00040D1A" w:rsidRDefault="00040D1A" w:rsidP="007C548C">
      <w:pPr>
        <w:pStyle w:val="Default"/>
        <w:numPr>
          <w:ilvl w:val="0"/>
          <w:numId w:val="8"/>
        </w:numPr>
        <w:rPr>
          <w:sz w:val="22"/>
          <w:szCs w:val="22"/>
        </w:rPr>
      </w:pPr>
      <w:r>
        <w:rPr>
          <w:sz w:val="22"/>
          <w:szCs w:val="22"/>
        </w:rPr>
        <w:t>Community / primary care services</w:t>
      </w:r>
      <w:r w:rsidR="00FF42AA">
        <w:rPr>
          <w:sz w:val="22"/>
          <w:szCs w:val="22"/>
        </w:rPr>
        <w:t xml:space="preserve"> and 111</w:t>
      </w:r>
      <w:r>
        <w:rPr>
          <w:sz w:val="22"/>
          <w:szCs w:val="22"/>
        </w:rPr>
        <w:t xml:space="preserve">. Demand for these services reach higher than the expected norm under seasonal conditions – to be locally defined and monitored. </w:t>
      </w:r>
      <w:r w:rsidR="00FF42AA">
        <w:rPr>
          <w:sz w:val="22"/>
          <w:szCs w:val="22"/>
        </w:rPr>
        <w:t>Information from NHS 111 could be used as a proxy measure of increased pressure.</w:t>
      </w:r>
    </w:p>
    <w:p w14:paraId="7E8BDA4E" w14:textId="77777777" w:rsidR="003E012D" w:rsidRDefault="003E012D" w:rsidP="000F5971">
      <w:pPr>
        <w:pStyle w:val="Default"/>
        <w:ind w:firstLine="720"/>
        <w:rPr>
          <w:b/>
          <w:bCs/>
          <w:sz w:val="22"/>
          <w:szCs w:val="22"/>
        </w:rPr>
      </w:pPr>
    </w:p>
    <w:p w14:paraId="5642CE15" w14:textId="77777777" w:rsidR="003E012D" w:rsidRDefault="003E012D" w:rsidP="000F5971">
      <w:pPr>
        <w:pStyle w:val="Default"/>
        <w:ind w:firstLine="720"/>
        <w:rPr>
          <w:b/>
          <w:bCs/>
          <w:sz w:val="22"/>
          <w:szCs w:val="22"/>
        </w:rPr>
      </w:pPr>
    </w:p>
    <w:p w14:paraId="5BE8DD42" w14:textId="77777777" w:rsidR="00040D1A" w:rsidRPr="007C548C" w:rsidRDefault="00040D1A" w:rsidP="000F5971">
      <w:pPr>
        <w:pStyle w:val="Default"/>
        <w:ind w:firstLine="720"/>
        <w:rPr>
          <w:sz w:val="22"/>
          <w:szCs w:val="22"/>
        </w:rPr>
      </w:pPr>
      <w:r w:rsidRPr="007C548C">
        <w:rPr>
          <w:b/>
          <w:bCs/>
          <w:sz w:val="22"/>
          <w:szCs w:val="22"/>
        </w:rPr>
        <w:t xml:space="preserve">Decreased Supply </w:t>
      </w:r>
    </w:p>
    <w:p w14:paraId="0F7D20D2" w14:textId="164877C2" w:rsidR="00040D1A" w:rsidRDefault="00040D1A" w:rsidP="007C548C">
      <w:pPr>
        <w:pStyle w:val="Default"/>
        <w:numPr>
          <w:ilvl w:val="0"/>
          <w:numId w:val="9"/>
        </w:numPr>
        <w:rPr>
          <w:sz w:val="22"/>
          <w:szCs w:val="22"/>
        </w:rPr>
      </w:pPr>
      <w:r>
        <w:rPr>
          <w:sz w:val="22"/>
          <w:szCs w:val="22"/>
        </w:rPr>
        <w:t>Bed Capacity: (individual Trusts approaching or reach levels of bed availability outside of the planned for norms under seasonal conditions – baselines set in pressu</w:t>
      </w:r>
      <w:r w:rsidR="00F45FE6">
        <w:rPr>
          <w:sz w:val="22"/>
          <w:szCs w:val="22"/>
        </w:rPr>
        <w:t>re surge plans and agreed by ICBs</w:t>
      </w:r>
      <w:r>
        <w:rPr>
          <w:sz w:val="22"/>
          <w:szCs w:val="22"/>
        </w:rPr>
        <w:t xml:space="preserve">/CSUs). </w:t>
      </w:r>
    </w:p>
    <w:p w14:paraId="4E60C4B9" w14:textId="77777777" w:rsidR="00040D1A" w:rsidRDefault="00040D1A" w:rsidP="007C548C">
      <w:pPr>
        <w:pStyle w:val="Default"/>
        <w:numPr>
          <w:ilvl w:val="0"/>
          <w:numId w:val="10"/>
        </w:numPr>
        <w:spacing w:after="14"/>
        <w:rPr>
          <w:sz w:val="22"/>
          <w:szCs w:val="22"/>
        </w:rPr>
      </w:pPr>
      <w:r>
        <w:rPr>
          <w:sz w:val="22"/>
          <w:szCs w:val="22"/>
        </w:rPr>
        <w:t xml:space="preserve">Critical Care beds (including PICU). </w:t>
      </w:r>
    </w:p>
    <w:p w14:paraId="7167BC07" w14:textId="77777777" w:rsidR="00040D1A" w:rsidRDefault="00040D1A" w:rsidP="007C548C">
      <w:pPr>
        <w:pStyle w:val="Default"/>
        <w:numPr>
          <w:ilvl w:val="0"/>
          <w:numId w:val="10"/>
        </w:numPr>
        <w:rPr>
          <w:sz w:val="22"/>
          <w:szCs w:val="22"/>
        </w:rPr>
      </w:pPr>
      <w:r>
        <w:rPr>
          <w:sz w:val="22"/>
          <w:szCs w:val="22"/>
        </w:rPr>
        <w:t xml:space="preserve">General beds (including paediatric). </w:t>
      </w:r>
    </w:p>
    <w:p w14:paraId="33A55C0B" w14:textId="77777777" w:rsidR="00DF6420" w:rsidRDefault="00DF6420" w:rsidP="00DF6420">
      <w:pPr>
        <w:pStyle w:val="Default"/>
        <w:ind w:left="1080"/>
        <w:rPr>
          <w:sz w:val="22"/>
          <w:szCs w:val="22"/>
        </w:rPr>
      </w:pPr>
    </w:p>
    <w:p w14:paraId="69C8E371" w14:textId="77777777" w:rsidR="00FF42AA" w:rsidRDefault="00FF42AA" w:rsidP="007C548C">
      <w:pPr>
        <w:pStyle w:val="Default"/>
        <w:numPr>
          <w:ilvl w:val="0"/>
          <w:numId w:val="9"/>
        </w:numPr>
        <w:spacing w:after="14"/>
        <w:rPr>
          <w:sz w:val="22"/>
          <w:szCs w:val="22"/>
        </w:rPr>
      </w:pPr>
      <w:proofErr w:type="gramStart"/>
      <w:r>
        <w:rPr>
          <w:sz w:val="22"/>
          <w:szCs w:val="22"/>
        </w:rPr>
        <w:t>Discharges;</w:t>
      </w:r>
      <w:proofErr w:type="gramEnd"/>
    </w:p>
    <w:p w14:paraId="5ACA50E6" w14:textId="77777777" w:rsidR="00040D1A" w:rsidRDefault="00040D1A" w:rsidP="00FF42AA">
      <w:pPr>
        <w:pStyle w:val="Default"/>
        <w:numPr>
          <w:ilvl w:val="0"/>
          <w:numId w:val="41"/>
        </w:numPr>
        <w:spacing w:after="14"/>
        <w:rPr>
          <w:sz w:val="22"/>
          <w:szCs w:val="22"/>
        </w:rPr>
      </w:pPr>
      <w:r>
        <w:rPr>
          <w:sz w:val="22"/>
          <w:szCs w:val="22"/>
        </w:rPr>
        <w:t>D</w:t>
      </w:r>
      <w:r w:rsidR="003E012D">
        <w:rPr>
          <w:sz w:val="22"/>
          <w:szCs w:val="22"/>
        </w:rPr>
        <w:t xml:space="preserve">elayed </w:t>
      </w:r>
      <w:r>
        <w:rPr>
          <w:sz w:val="22"/>
          <w:szCs w:val="22"/>
        </w:rPr>
        <w:t>T</w:t>
      </w:r>
      <w:r w:rsidR="003E012D">
        <w:rPr>
          <w:sz w:val="22"/>
          <w:szCs w:val="22"/>
        </w:rPr>
        <w:t xml:space="preserve">ransfer of </w:t>
      </w:r>
      <w:r>
        <w:rPr>
          <w:sz w:val="22"/>
          <w:szCs w:val="22"/>
        </w:rPr>
        <w:t>C</w:t>
      </w:r>
      <w:r w:rsidR="003E012D">
        <w:rPr>
          <w:sz w:val="22"/>
          <w:szCs w:val="22"/>
        </w:rPr>
        <w:t>are patients</w:t>
      </w:r>
      <w:r>
        <w:rPr>
          <w:sz w:val="22"/>
          <w:szCs w:val="22"/>
        </w:rPr>
        <w:t xml:space="preserve"> reach greater than the locally agreed % level. </w:t>
      </w:r>
    </w:p>
    <w:p w14:paraId="1E8E6225" w14:textId="77777777" w:rsidR="00040D1A" w:rsidRDefault="00040D1A" w:rsidP="007C548C">
      <w:pPr>
        <w:pStyle w:val="Default"/>
        <w:numPr>
          <w:ilvl w:val="0"/>
          <w:numId w:val="11"/>
        </w:numPr>
        <w:rPr>
          <w:sz w:val="22"/>
          <w:szCs w:val="22"/>
        </w:rPr>
      </w:pPr>
      <w:r>
        <w:rPr>
          <w:sz w:val="22"/>
          <w:szCs w:val="22"/>
        </w:rPr>
        <w:t xml:space="preserve">Overall predicted / confirmed discharge volumes are below the known threshold for daily discharges required to meet seasonal bed requirements. </w:t>
      </w:r>
    </w:p>
    <w:p w14:paraId="5757F012" w14:textId="77777777" w:rsidR="00DF6420" w:rsidRDefault="00DF6420" w:rsidP="00DF6420">
      <w:pPr>
        <w:pStyle w:val="Default"/>
        <w:ind w:left="1080"/>
        <w:rPr>
          <w:sz w:val="22"/>
          <w:szCs w:val="22"/>
        </w:rPr>
      </w:pPr>
    </w:p>
    <w:p w14:paraId="63A1B914" w14:textId="77777777" w:rsidR="00040D1A" w:rsidRDefault="00040D1A" w:rsidP="00FF42AA">
      <w:pPr>
        <w:pStyle w:val="Default"/>
        <w:numPr>
          <w:ilvl w:val="0"/>
          <w:numId w:val="9"/>
        </w:numPr>
        <w:rPr>
          <w:sz w:val="22"/>
          <w:szCs w:val="22"/>
        </w:rPr>
      </w:pPr>
      <w:r>
        <w:rPr>
          <w:sz w:val="22"/>
          <w:szCs w:val="22"/>
        </w:rPr>
        <w:t>H</w:t>
      </w:r>
      <w:r w:rsidR="003E012D">
        <w:rPr>
          <w:sz w:val="22"/>
          <w:szCs w:val="22"/>
        </w:rPr>
        <w:t xml:space="preserve">ealth </w:t>
      </w:r>
      <w:r>
        <w:rPr>
          <w:sz w:val="22"/>
          <w:szCs w:val="22"/>
        </w:rPr>
        <w:t>C</w:t>
      </w:r>
      <w:r w:rsidR="003E012D">
        <w:rPr>
          <w:sz w:val="22"/>
          <w:szCs w:val="22"/>
        </w:rPr>
        <w:t xml:space="preserve">are </w:t>
      </w:r>
      <w:r>
        <w:rPr>
          <w:sz w:val="22"/>
          <w:szCs w:val="22"/>
        </w:rPr>
        <w:t>A</w:t>
      </w:r>
      <w:r w:rsidR="003E012D">
        <w:rPr>
          <w:sz w:val="22"/>
          <w:szCs w:val="22"/>
        </w:rPr>
        <w:t xml:space="preserve">cquired </w:t>
      </w:r>
      <w:r>
        <w:rPr>
          <w:sz w:val="22"/>
          <w:szCs w:val="22"/>
        </w:rPr>
        <w:t>I</w:t>
      </w:r>
      <w:r w:rsidR="003E012D">
        <w:rPr>
          <w:sz w:val="22"/>
          <w:szCs w:val="22"/>
        </w:rPr>
        <w:t>nfections</w:t>
      </w:r>
      <w:r>
        <w:rPr>
          <w:sz w:val="22"/>
          <w:szCs w:val="22"/>
        </w:rPr>
        <w:t xml:space="preserve"> – beds/ward closures due to </w:t>
      </w:r>
      <w:r w:rsidR="005E03BA">
        <w:rPr>
          <w:sz w:val="22"/>
          <w:szCs w:val="22"/>
        </w:rPr>
        <w:t xml:space="preserve">Noro virus </w:t>
      </w:r>
      <w:proofErr w:type="gramStart"/>
      <w:r>
        <w:rPr>
          <w:sz w:val="22"/>
          <w:szCs w:val="22"/>
        </w:rPr>
        <w:t>etc., and</w:t>
      </w:r>
      <w:proofErr w:type="gramEnd"/>
      <w:r>
        <w:rPr>
          <w:sz w:val="22"/>
          <w:szCs w:val="22"/>
        </w:rPr>
        <w:t xml:space="preserve"> increasing </w:t>
      </w:r>
      <w:r w:rsidR="00FF42AA">
        <w:rPr>
          <w:sz w:val="22"/>
          <w:szCs w:val="22"/>
        </w:rPr>
        <w:t>community prevalence.</w:t>
      </w:r>
      <w:r>
        <w:rPr>
          <w:sz w:val="22"/>
          <w:szCs w:val="22"/>
        </w:rPr>
        <w:t xml:space="preserve"> </w:t>
      </w:r>
    </w:p>
    <w:p w14:paraId="4E462C9A" w14:textId="77777777" w:rsidR="00B115D5" w:rsidRDefault="00B115D5" w:rsidP="00040D1A">
      <w:pPr>
        <w:pStyle w:val="Default"/>
        <w:rPr>
          <w:b/>
          <w:bCs/>
          <w:sz w:val="22"/>
          <w:szCs w:val="22"/>
        </w:rPr>
      </w:pPr>
    </w:p>
    <w:p w14:paraId="7529DED8" w14:textId="77777777" w:rsidR="00040D1A" w:rsidRPr="007C548C" w:rsidRDefault="00040D1A" w:rsidP="000F5971">
      <w:pPr>
        <w:pStyle w:val="Default"/>
        <w:ind w:firstLine="720"/>
        <w:rPr>
          <w:sz w:val="22"/>
          <w:szCs w:val="22"/>
        </w:rPr>
      </w:pPr>
      <w:r w:rsidRPr="007C548C">
        <w:rPr>
          <w:b/>
          <w:bCs/>
          <w:sz w:val="22"/>
          <w:szCs w:val="22"/>
        </w:rPr>
        <w:t xml:space="preserve">Waiting times </w:t>
      </w:r>
    </w:p>
    <w:p w14:paraId="6256E892" w14:textId="77777777" w:rsidR="00040D1A" w:rsidRDefault="000077EF" w:rsidP="007C548C">
      <w:pPr>
        <w:pStyle w:val="Default"/>
        <w:numPr>
          <w:ilvl w:val="0"/>
          <w:numId w:val="9"/>
        </w:numPr>
        <w:spacing w:after="31"/>
        <w:rPr>
          <w:sz w:val="22"/>
          <w:szCs w:val="22"/>
        </w:rPr>
      </w:pPr>
      <w:r>
        <w:rPr>
          <w:sz w:val="22"/>
          <w:szCs w:val="22"/>
        </w:rPr>
        <w:t xml:space="preserve">Performance against </w:t>
      </w:r>
      <w:proofErr w:type="gramStart"/>
      <w:r>
        <w:rPr>
          <w:sz w:val="22"/>
          <w:szCs w:val="22"/>
        </w:rPr>
        <w:t xml:space="preserve">four </w:t>
      </w:r>
      <w:r w:rsidR="00040D1A">
        <w:rPr>
          <w:sz w:val="22"/>
          <w:szCs w:val="22"/>
        </w:rPr>
        <w:t>hour</w:t>
      </w:r>
      <w:proofErr w:type="gramEnd"/>
      <w:r w:rsidR="00040D1A">
        <w:rPr>
          <w:sz w:val="22"/>
          <w:szCs w:val="22"/>
        </w:rPr>
        <w:t xml:space="preserve"> operational standard falls below 95% for more than two - three days. </w:t>
      </w:r>
    </w:p>
    <w:p w14:paraId="3B251CA7" w14:textId="77777777" w:rsidR="00040D1A" w:rsidRDefault="00040D1A" w:rsidP="007C548C">
      <w:pPr>
        <w:pStyle w:val="Default"/>
        <w:numPr>
          <w:ilvl w:val="0"/>
          <w:numId w:val="9"/>
        </w:numPr>
        <w:rPr>
          <w:sz w:val="22"/>
          <w:szCs w:val="22"/>
        </w:rPr>
      </w:pPr>
      <w:r>
        <w:rPr>
          <w:sz w:val="22"/>
          <w:szCs w:val="22"/>
        </w:rPr>
        <w:t xml:space="preserve">Significant risk of patients waiting more than 12 hours in the department for admission. </w:t>
      </w:r>
    </w:p>
    <w:p w14:paraId="19C916ED" w14:textId="77777777" w:rsidR="00040D1A" w:rsidRDefault="00040D1A" w:rsidP="00040D1A">
      <w:pPr>
        <w:pStyle w:val="Default"/>
        <w:rPr>
          <w:sz w:val="22"/>
          <w:szCs w:val="22"/>
        </w:rPr>
      </w:pPr>
    </w:p>
    <w:p w14:paraId="528136EC" w14:textId="77777777" w:rsidR="00040D1A" w:rsidRPr="007C548C" w:rsidRDefault="00040D1A" w:rsidP="000F5971">
      <w:pPr>
        <w:pStyle w:val="Default"/>
        <w:ind w:firstLine="720"/>
        <w:rPr>
          <w:sz w:val="22"/>
          <w:szCs w:val="22"/>
        </w:rPr>
      </w:pPr>
      <w:r w:rsidRPr="007C548C">
        <w:rPr>
          <w:b/>
          <w:bCs/>
          <w:sz w:val="22"/>
          <w:szCs w:val="22"/>
        </w:rPr>
        <w:t xml:space="preserve">Staffing </w:t>
      </w:r>
    </w:p>
    <w:p w14:paraId="4224D7BF" w14:textId="77777777" w:rsidR="004119AD" w:rsidRDefault="00040D1A" w:rsidP="004119AD">
      <w:pPr>
        <w:pStyle w:val="Default"/>
        <w:numPr>
          <w:ilvl w:val="0"/>
          <w:numId w:val="12"/>
        </w:numPr>
        <w:rPr>
          <w:sz w:val="22"/>
          <w:szCs w:val="22"/>
        </w:rPr>
      </w:pPr>
      <w:r>
        <w:rPr>
          <w:sz w:val="22"/>
          <w:szCs w:val="22"/>
        </w:rPr>
        <w:t>Staff – actual or predicted staff sickness, absenteeism or vacancy levels reach a point at which provision of safe, effective care for patients is likely to be compromised. (Baseline to be specified by trusts in local plans</w:t>
      </w:r>
      <w:r w:rsidR="002609E3">
        <w:rPr>
          <w:sz w:val="22"/>
          <w:szCs w:val="22"/>
        </w:rPr>
        <w:t xml:space="preserve"> and </w:t>
      </w:r>
      <w:r>
        <w:rPr>
          <w:sz w:val="22"/>
          <w:szCs w:val="22"/>
        </w:rPr>
        <w:t xml:space="preserve">will need to be monitored by internal trust processes). </w:t>
      </w:r>
    </w:p>
    <w:p w14:paraId="1A759654" w14:textId="77777777" w:rsidR="008F7D83" w:rsidRDefault="008F7D83" w:rsidP="008F7D83">
      <w:pPr>
        <w:pStyle w:val="Default"/>
        <w:rPr>
          <w:sz w:val="22"/>
          <w:szCs w:val="22"/>
        </w:rPr>
      </w:pPr>
    </w:p>
    <w:p w14:paraId="2C14C31F" w14:textId="77777777" w:rsidR="008F7D83" w:rsidRDefault="008F7D83" w:rsidP="008F7D83">
      <w:pPr>
        <w:pStyle w:val="Default"/>
        <w:rPr>
          <w:sz w:val="22"/>
          <w:szCs w:val="22"/>
        </w:rPr>
      </w:pPr>
    </w:p>
    <w:p w14:paraId="338E555A" w14:textId="77777777" w:rsidR="008F7D83" w:rsidRDefault="008F7D83" w:rsidP="008F7D83">
      <w:pPr>
        <w:pStyle w:val="Default"/>
        <w:rPr>
          <w:sz w:val="22"/>
          <w:szCs w:val="22"/>
        </w:rPr>
      </w:pPr>
    </w:p>
    <w:p w14:paraId="766D3668" w14:textId="77777777" w:rsidR="008F7D83" w:rsidRDefault="008F7D83" w:rsidP="008F7D83">
      <w:pPr>
        <w:pStyle w:val="Default"/>
        <w:rPr>
          <w:sz w:val="22"/>
          <w:szCs w:val="22"/>
        </w:rPr>
      </w:pPr>
    </w:p>
    <w:p w14:paraId="56CD3661" w14:textId="77777777" w:rsidR="008F7D83" w:rsidRDefault="008F7D83" w:rsidP="008F7D83">
      <w:pPr>
        <w:pStyle w:val="Default"/>
        <w:rPr>
          <w:sz w:val="22"/>
          <w:szCs w:val="22"/>
        </w:rPr>
      </w:pPr>
    </w:p>
    <w:p w14:paraId="19AC1828" w14:textId="77777777" w:rsidR="008F7D83" w:rsidRDefault="008F7D83" w:rsidP="008F7D83">
      <w:pPr>
        <w:pStyle w:val="Default"/>
        <w:rPr>
          <w:sz w:val="22"/>
          <w:szCs w:val="22"/>
        </w:rPr>
      </w:pPr>
    </w:p>
    <w:p w14:paraId="7A27861A" w14:textId="77777777" w:rsidR="008F7D83" w:rsidRDefault="008F7D83" w:rsidP="008F7D83">
      <w:pPr>
        <w:pStyle w:val="Default"/>
        <w:rPr>
          <w:sz w:val="22"/>
          <w:szCs w:val="22"/>
        </w:rPr>
      </w:pPr>
    </w:p>
    <w:p w14:paraId="59508FE6" w14:textId="77777777" w:rsidR="008F7D83" w:rsidRDefault="008F7D83" w:rsidP="008F7D83">
      <w:pPr>
        <w:pStyle w:val="Default"/>
        <w:rPr>
          <w:sz w:val="22"/>
          <w:szCs w:val="22"/>
        </w:rPr>
      </w:pPr>
    </w:p>
    <w:p w14:paraId="02AD5F86" w14:textId="77777777" w:rsidR="008F7D83" w:rsidRDefault="008F7D83" w:rsidP="008F7D83">
      <w:pPr>
        <w:pStyle w:val="Default"/>
        <w:rPr>
          <w:sz w:val="22"/>
          <w:szCs w:val="22"/>
        </w:rPr>
      </w:pPr>
    </w:p>
    <w:p w14:paraId="5036398C" w14:textId="77777777" w:rsidR="008F7D83" w:rsidRDefault="008F7D83" w:rsidP="008F7D83">
      <w:pPr>
        <w:pStyle w:val="Default"/>
        <w:rPr>
          <w:sz w:val="22"/>
          <w:szCs w:val="22"/>
        </w:rPr>
      </w:pPr>
    </w:p>
    <w:p w14:paraId="4B4A8D99" w14:textId="77777777" w:rsidR="008F7D83" w:rsidRDefault="008F7D83" w:rsidP="008F7D83">
      <w:pPr>
        <w:pStyle w:val="Default"/>
        <w:rPr>
          <w:sz w:val="22"/>
          <w:szCs w:val="22"/>
        </w:rPr>
      </w:pPr>
    </w:p>
    <w:p w14:paraId="0626F9FB" w14:textId="77777777" w:rsidR="008F7D83" w:rsidRDefault="008F7D83" w:rsidP="008F7D83">
      <w:pPr>
        <w:pStyle w:val="Default"/>
        <w:rPr>
          <w:sz w:val="22"/>
          <w:szCs w:val="22"/>
        </w:rPr>
      </w:pPr>
    </w:p>
    <w:p w14:paraId="2050CC08" w14:textId="77777777" w:rsidR="008F7D83" w:rsidRDefault="008F7D83" w:rsidP="008F7D83">
      <w:pPr>
        <w:pStyle w:val="Default"/>
        <w:rPr>
          <w:sz w:val="22"/>
          <w:szCs w:val="22"/>
        </w:rPr>
      </w:pPr>
    </w:p>
    <w:p w14:paraId="56B00B13" w14:textId="77777777" w:rsidR="008F7D83" w:rsidRDefault="008F7D83" w:rsidP="008F7D83">
      <w:pPr>
        <w:pStyle w:val="Default"/>
        <w:rPr>
          <w:sz w:val="22"/>
          <w:szCs w:val="22"/>
        </w:rPr>
      </w:pPr>
    </w:p>
    <w:p w14:paraId="3AA5AC46" w14:textId="77777777" w:rsidR="008F7D83" w:rsidRDefault="008F7D83" w:rsidP="008F7D83">
      <w:pPr>
        <w:pStyle w:val="Default"/>
        <w:rPr>
          <w:sz w:val="22"/>
          <w:szCs w:val="22"/>
        </w:rPr>
      </w:pPr>
    </w:p>
    <w:p w14:paraId="00CEC124" w14:textId="77777777" w:rsidR="008F7D83" w:rsidRDefault="008F7D83" w:rsidP="008F7D83">
      <w:pPr>
        <w:pStyle w:val="Default"/>
        <w:rPr>
          <w:sz w:val="22"/>
          <w:szCs w:val="22"/>
        </w:rPr>
      </w:pPr>
    </w:p>
    <w:p w14:paraId="16D42F0A" w14:textId="77777777" w:rsidR="008F7D83" w:rsidRDefault="008F7D83" w:rsidP="008F7D83">
      <w:pPr>
        <w:pStyle w:val="Default"/>
        <w:rPr>
          <w:sz w:val="22"/>
          <w:szCs w:val="22"/>
        </w:rPr>
      </w:pPr>
    </w:p>
    <w:p w14:paraId="651D4582" w14:textId="77777777" w:rsidR="008F7D83" w:rsidRDefault="008F7D83" w:rsidP="008F7D83">
      <w:pPr>
        <w:pStyle w:val="Default"/>
        <w:rPr>
          <w:sz w:val="22"/>
          <w:szCs w:val="22"/>
        </w:rPr>
      </w:pPr>
    </w:p>
    <w:p w14:paraId="2F007E62" w14:textId="77777777" w:rsidR="008F7D83" w:rsidRDefault="008F7D83" w:rsidP="008F7D83">
      <w:pPr>
        <w:pStyle w:val="Default"/>
        <w:rPr>
          <w:sz w:val="22"/>
          <w:szCs w:val="22"/>
        </w:rPr>
      </w:pPr>
    </w:p>
    <w:p w14:paraId="40FD31D8" w14:textId="77777777" w:rsidR="008F7D83" w:rsidRPr="00E97108" w:rsidRDefault="008F7D83" w:rsidP="008F7D83">
      <w:pPr>
        <w:pStyle w:val="Default"/>
        <w:rPr>
          <w:sz w:val="22"/>
          <w:szCs w:val="22"/>
        </w:rPr>
      </w:pPr>
    </w:p>
    <w:p w14:paraId="4C6E06CE" w14:textId="77777777" w:rsidR="004119AD" w:rsidRPr="004119AD" w:rsidRDefault="00756EA0" w:rsidP="004119AD">
      <w:r>
        <w:rPr>
          <w:noProof/>
          <w:lang w:eastAsia="en-GB"/>
        </w:rPr>
        <mc:AlternateContent>
          <mc:Choice Requires="wps">
            <w:drawing>
              <wp:anchor distT="0" distB="0" distL="114300" distR="114300" simplePos="0" relativeHeight="251658240" behindDoc="0" locked="0" layoutInCell="1" allowOverlap="1" wp14:anchorId="1C389D23" wp14:editId="42F102FC">
                <wp:simplePos x="0" y="0"/>
                <wp:positionH relativeFrom="column">
                  <wp:align>center</wp:align>
                </wp:positionH>
                <wp:positionV relativeFrom="paragraph">
                  <wp:posOffset>0</wp:posOffset>
                </wp:positionV>
                <wp:extent cx="6693535" cy="601980"/>
                <wp:effectExtent l="0" t="0" r="0" b="762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3535" cy="601980"/>
                        </a:xfrm>
                        <a:prstGeom prst="rect">
                          <a:avLst/>
                        </a:prstGeom>
                        <a:solidFill>
                          <a:srgbClr val="FFFFFF"/>
                        </a:solidFill>
                        <a:ln w="9525">
                          <a:noFill/>
                          <a:miter lim="800000"/>
                          <a:headEnd/>
                          <a:tailEnd/>
                        </a:ln>
                      </wps:spPr>
                      <wps:txbx>
                        <w:txbxContent>
                          <w:p w14:paraId="2DA41E00" w14:textId="77777777" w:rsidR="00404B16" w:rsidRDefault="00404B1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389D23" id="_x0000_t202" coordsize="21600,21600" o:spt="202" path="m,l,21600r21600,l21600,xe">
                <v:stroke joinstyle="miter"/>
                <v:path gradientshapeok="t" o:connecttype="rect"/>
              </v:shapetype>
              <v:shape id="Text Box 2" o:spid="_x0000_s1026" type="#_x0000_t202" style="position:absolute;margin-left:0;margin-top:0;width:527.05pt;height:47.4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" stroked="f">
                <v:textbox>
                  <w:txbxContent>
                    <w:p w14:paraId="2DA41E00" w14:textId="77777777" w:rsidR="00404B16" w:rsidRDefault="00404B16"/>
                  </w:txbxContent>
                </v:textbox>
              </v:shape>
            </w:pict>
          </mc:Fallback>
        </mc:AlternateContent>
      </w:r>
    </w:p>
    <w:p w14:paraId="3407F6C9" w14:textId="77777777" w:rsidR="00DF6420" w:rsidRDefault="009078E0" w:rsidP="00D97064">
      <w:pPr>
        <w:pStyle w:val="Heading1"/>
      </w:pPr>
      <w:bookmarkStart w:id="3" w:name="_Toc397599185"/>
      <w:r w:rsidRPr="009078E0">
        <w:lastRenderedPageBreak/>
        <w:t xml:space="preserve">4. </w:t>
      </w:r>
      <w:r w:rsidR="009450AB">
        <w:t xml:space="preserve">Community Health Services - </w:t>
      </w:r>
      <w:r w:rsidR="00DF6420">
        <w:t>Service Information and Capacity</w:t>
      </w:r>
      <w:bookmarkEnd w:id="3"/>
    </w:p>
    <w:p w14:paraId="309350B7" w14:textId="77777777" w:rsidR="00553145" w:rsidRDefault="00553145" w:rsidP="00D00680">
      <w:pPr>
        <w:pStyle w:val="Heading2"/>
        <w:spacing w:line="240" w:lineRule="auto"/>
        <w:rPr>
          <w:b w:val="0"/>
        </w:rPr>
      </w:pPr>
      <w:bookmarkStart w:id="4" w:name="_Toc397599186"/>
    </w:p>
    <w:tbl>
      <w:tblPr>
        <w:tblStyle w:val="TableGrid"/>
        <w:tblW w:w="0" w:type="auto"/>
        <w:tblLook w:val="04A0" w:firstRow="1" w:lastRow="0" w:firstColumn="1" w:lastColumn="0" w:noHBand="0" w:noVBand="1"/>
      </w:tblPr>
      <w:tblGrid>
        <w:gridCol w:w="2606"/>
        <w:gridCol w:w="2613"/>
        <w:gridCol w:w="2620"/>
        <w:gridCol w:w="2617"/>
      </w:tblGrid>
      <w:tr w:rsidR="008F7D83" w14:paraId="3E538059" w14:textId="77777777" w:rsidTr="008F7D83">
        <w:tc>
          <w:tcPr>
            <w:tcW w:w="2670" w:type="dxa"/>
          </w:tcPr>
          <w:p w14:paraId="1E8C5233" w14:textId="77777777" w:rsidR="008F7D83" w:rsidRDefault="008F7D83" w:rsidP="00D00680">
            <w:pPr>
              <w:pStyle w:val="Heading2"/>
              <w:spacing w:line="240" w:lineRule="auto"/>
              <w:rPr>
                <w:b w:val="0"/>
              </w:rPr>
            </w:pPr>
          </w:p>
        </w:tc>
        <w:tc>
          <w:tcPr>
            <w:tcW w:w="2670" w:type="dxa"/>
          </w:tcPr>
          <w:p w14:paraId="083A4094" w14:textId="77777777" w:rsidR="008F7D83" w:rsidRDefault="008F7D83" w:rsidP="00D00680">
            <w:pPr>
              <w:pStyle w:val="Heading2"/>
              <w:spacing w:line="240" w:lineRule="auto"/>
              <w:rPr>
                <w:b w:val="0"/>
              </w:rPr>
            </w:pPr>
            <w:r>
              <w:rPr>
                <w:b w:val="0"/>
              </w:rPr>
              <w:t>CHN</w:t>
            </w:r>
          </w:p>
        </w:tc>
        <w:tc>
          <w:tcPr>
            <w:tcW w:w="2671" w:type="dxa"/>
          </w:tcPr>
          <w:p w14:paraId="3DCC1D45" w14:textId="77777777" w:rsidR="008F7D83" w:rsidRDefault="008F7D83" w:rsidP="00D00680">
            <w:pPr>
              <w:pStyle w:val="Heading2"/>
              <w:spacing w:line="240" w:lineRule="auto"/>
              <w:rPr>
                <w:b w:val="0"/>
              </w:rPr>
            </w:pPr>
            <w:r>
              <w:rPr>
                <w:b w:val="0"/>
              </w:rPr>
              <w:t>THCHS</w:t>
            </w:r>
          </w:p>
        </w:tc>
        <w:tc>
          <w:tcPr>
            <w:tcW w:w="2671" w:type="dxa"/>
          </w:tcPr>
          <w:p w14:paraId="5A8BC00C" w14:textId="77777777" w:rsidR="008F7D83" w:rsidRDefault="008F7D83" w:rsidP="00D00680">
            <w:pPr>
              <w:pStyle w:val="Heading2"/>
              <w:spacing w:line="240" w:lineRule="auto"/>
              <w:rPr>
                <w:b w:val="0"/>
              </w:rPr>
            </w:pPr>
            <w:r>
              <w:rPr>
                <w:b w:val="0"/>
              </w:rPr>
              <w:t>BCHS</w:t>
            </w:r>
          </w:p>
        </w:tc>
      </w:tr>
      <w:tr w:rsidR="008F7D83" w14:paraId="7B10D305" w14:textId="77777777" w:rsidTr="008F7D83">
        <w:trPr>
          <w:trHeight w:val="2474"/>
        </w:trPr>
        <w:tc>
          <w:tcPr>
            <w:tcW w:w="2670" w:type="dxa"/>
          </w:tcPr>
          <w:p w14:paraId="246FB711" w14:textId="77777777" w:rsidR="008F7D83" w:rsidRDefault="008F7D83" w:rsidP="00D00680">
            <w:pPr>
              <w:pStyle w:val="Heading2"/>
              <w:spacing w:line="240" w:lineRule="auto"/>
              <w:rPr>
                <w:b w:val="0"/>
              </w:rPr>
            </w:pPr>
            <w:r>
              <w:rPr>
                <w:b w:val="0"/>
              </w:rPr>
              <w:t>Community beds</w:t>
            </w:r>
          </w:p>
        </w:tc>
        <w:tc>
          <w:tcPr>
            <w:tcW w:w="2670" w:type="dxa"/>
          </w:tcPr>
          <w:p w14:paraId="6CCECDC1" w14:textId="77777777" w:rsidR="008F7D83" w:rsidRDefault="008F7D83" w:rsidP="008F7D83">
            <w:pPr>
              <w:pStyle w:val="Heading2"/>
              <w:spacing w:line="240" w:lineRule="auto"/>
              <w:rPr>
                <w:b w:val="0"/>
              </w:rPr>
            </w:pPr>
            <w:r w:rsidRPr="008F7D83">
              <w:rPr>
                <w:b w:val="0"/>
              </w:rPr>
              <w:t>East Ham Care Centre</w:t>
            </w:r>
            <w:r w:rsidR="000077EF">
              <w:rPr>
                <w:b w:val="0"/>
              </w:rPr>
              <w:t xml:space="preserve"> have 27</w:t>
            </w:r>
            <w:r w:rsidR="002756CF">
              <w:rPr>
                <w:b w:val="0"/>
              </w:rPr>
              <w:t xml:space="preserve"> beds</w:t>
            </w:r>
            <w:r w:rsidR="0002746A">
              <w:rPr>
                <w:b w:val="0"/>
              </w:rPr>
              <w:t>.</w:t>
            </w:r>
          </w:p>
        </w:tc>
        <w:tc>
          <w:tcPr>
            <w:tcW w:w="2671" w:type="dxa"/>
          </w:tcPr>
          <w:p w14:paraId="54B8695C" w14:textId="77777777" w:rsidR="008F7D83" w:rsidRDefault="008F7D83" w:rsidP="00D00680">
            <w:pPr>
              <w:pStyle w:val="Heading2"/>
              <w:spacing w:line="240" w:lineRule="auto"/>
              <w:rPr>
                <w:b w:val="0"/>
              </w:rPr>
            </w:pPr>
            <w:r w:rsidRPr="008F7D83">
              <w:rPr>
                <w:b w:val="0"/>
              </w:rPr>
              <w:t>None, this is via the Intermediate Care Service</w:t>
            </w:r>
            <w:r w:rsidR="002756CF">
              <w:rPr>
                <w:b w:val="0"/>
              </w:rPr>
              <w:t>.</w:t>
            </w:r>
          </w:p>
        </w:tc>
        <w:tc>
          <w:tcPr>
            <w:tcW w:w="2671" w:type="dxa"/>
          </w:tcPr>
          <w:p w14:paraId="41AEDF30" w14:textId="77777777" w:rsidR="000077EF" w:rsidRPr="000077EF" w:rsidRDefault="000077EF" w:rsidP="000077EF">
            <w:pPr>
              <w:pStyle w:val="Heading2"/>
              <w:spacing w:line="240" w:lineRule="auto"/>
              <w:rPr>
                <w:b w:val="0"/>
              </w:rPr>
            </w:pPr>
            <w:r w:rsidRPr="000077EF">
              <w:rPr>
                <w:b w:val="0"/>
              </w:rPr>
              <w:t>BCHS have 43 beds across the county. Accessed via Community bed management system</w:t>
            </w:r>
            <w:r w:rsidR="0002746A">
              <w:rPr>
                <w:b w:val="0"/>
              </w:rPr>
              <w:t>.</w:t>
            </w:r>
          </w:p>
          <w:p w14:paraId="6CB51C70" w14:textId="77777777" w:rsidR="008F7D83" w:rsidRDefault="008F7D83" w:rsidP="00D00680">
            <w:pPr>
              <w:pStyle w:val="Heading2"/>
              <w:spacing w:line="240" w:lineRule="auto"/>
              <w:rPr>
                <w:b w:val="0"/>
              </w:rPr>
            </w:pPr>
          </w:p>
        </w:tc>
      </w:tr>
      <w:tr w:rsidR="008F7D83" w14:paraId="4C42E1AF" w14:textId="77777777" w:rsidTr="008F7D83">
        <w:trPr>
          <w:trHeight w:val="1546"/>
        </w:trPr>
        <w:tc>
          <w:tcPr>
            <w:tcW w:w="2670" w:type="dxa"/>
          </w:tcPr>
          <w:p w14:paraId="4F7C5B08" w14:textId="77777777" w:rsidR="008F7D83" w:rsidRDefault="008F7D83" w:rsidP="00D00680">
            <w:pPr>
              <w:pStyle w:val="Heading2"/>
              <w:spacing w:line="240" w:lineRule="auto"/>
              <w:rPr>
                <w:b w:val="0"/>
              </w:rPr>
            </w:pPr>
            <w:r>
              <w:rPr>
                <w:b w:val="0"/>
              </w:rPr>
              <w:t>Rapid Response</w:t>
            </w:r>
          </w:p>
        </w:tc>
        <w:tc>
          <w:tcPr>
            <w:tcW w:w="2670" w:type="dxa"/>
          </w:tcPr>
          <w:p w14:paraId="70BD1141" w14:textId="77777777" w:rsidR="008F7D83" w:rsidRDefault="002756CF" w:rsidP="00D00680">
            <w:pPr>
              <w:pStyle w:val="Heading2"/>
              <w:spacing w:line="240" w:lineRule="auto"/>
              <w:rPr>
                <w:b w:val="0"/>
              </w:rPr>
            </w:pPr>
            <w:r w:rsidRPr="002756CF">
              <w:rPr>
                <w:b w:val="0"/>
              </w:rPr>
              <w:t>The Rapid Response Team manages approximatel</w:t>
            </w:r>
            <w:r w:rsidR="000077EF">
              <w:rPr>
                <w:b w:val="0"/>
              </w:rPr>
              <w:t xml:space="preserve">y 15 patients at any one time </w:t>
            </w:r>
            <w:r w:rsidRPr="002756CF">
              <w:rPr>
                <w:b w:val="0"/>
              </w:rPr>
              <w:t>with additional resourcing the service</w:t>
            </w:r>
            <w:r w:rsidR="000077EF">
              <w:rPr>
                <w:b w:val="0"/>
              </w:rPr>
              <w:t xml:space="preserve"> could manage up to 20 patients. P</w:t>
            </w:r>
            <w:r w:rsidRPr="002756CF">
              <w:rPr>
                <w:b w:val="0"/>
              </w:rPr>
              <w:t xml:space="preserve">atients may be admitted to the Cazaubon Unit at East Ham Care Centre as part of step-up. Admission is governed by the Protocol for Admission on Cazaubon Unit, using the EHCC admission checklist (shown on the Intranet). Patients may be referred to the Telehealth Team for continued monitoring as part of the </w:t>
            </w:r>
            <w:proofErr w:type="gramStart"/>
            <w:r w:rsidRPr="002756CF">
              <w:rPr>
                <w:b w:val="0"/>
              </w:rPr>
              <w:t>step down</w:t>
            </w:r>
            <w:proofErr w:type="gramEnd"/>
            <w:r w:rsidRPr="002756CF">
              <w:rPr>
                <w:b w:val="0"/>
              </w:rPr>
              <w:t xml:space="preserve"> process</w:t>
            </w:r>
            <w:r w:rsidR="000077EF">
              <w:rPr>
                <w:b w:val="0"/>
              </w:rPr>
              <w:t>.</w:t>
            </w:r>
          </w:p>
        </w:tc>
        <w:tc>
          <w:tcPr>
            <w:tcW w:w="2671" w:type="dxa"/>
          </w:tcPr>
          <w:p w14:paraId="204BD22B" w14:textId="77777777" w:rsidR="008F7D83" w:rsidRDefault="00C62859" w:rsidP="00C62859">
            <w:pPr>
              <w:pStyle w:val="Heading2"/>
              <w:spacing w:line="240" w:lineRule="auto"/>
              <w:rPr>
                <w:b w:val="0"/>
              </w:rPr>
            </w:pPr>
            <w:r>
              <w:rPr>
                <w:b w:val="0"/>
              </w:rPr>
              <w:t>Rapid Response Team with nurses</w:t>
            </w:r>
            <w:r w:rsidR="000077EF">
              <w:rPr>
                <w:b w:val="0"/>
              </w:rPr>
              <w:t xml:space="preserve"> and therapists who provide a </w:t>
            </w:r>
            <w:proofErr w:type="gramStart"/>
            <w:r w:rsidR="000077EF">
              <w:rPr>
                <w:b w:val="0"/>
              </w:rPr>
              <w:t xml:space="preserve">2 </w:t>
            </w:r>
            <w:r>
              <w:rPr>
                <w:b w:val="0"/>
              </w:rPr>
              <w:t>hour</w:t>
            </w:r>
            <w:proofErr w:type="gramEnd"/>
            <w:r>
              <w:rPr>
                <w:b w:val="0"/>
              </w:rPr>
              <w:t xml:space="preserve"> response within the community. The team works </w:t>
            </w:r>
            <w:r w:rsidRPr="00C62859">
              <w:rPr>
                <w:b w:val="0"/>
              </w:rPr>
              <w:t>closely with P</w:t>
            </w:r>
            <w:r>
              <w:rPr>
                <w:b w:val="0"/>
              </w:rPr>
              <w:t xml:space="preserve">hysician Response Unit (PRU) </w:t>
            </w:r>
            <w:r w:rsidRPr="00C62859">
              <w:rPr>
                <w:b w:val="0"/>
              </w:rPr>
              <w:t>to prevent unnecessary admission to hospital/ED attendance.</w:t>
            </w:r>
            <w:r>
              <w:rPr>
                <w:b w:val="0"/>
              </w:rPr>
              <w:t xml:space="preserve"> Direct referrals accepted from LAS/PRU/Care Homes, all other referrals via SPA. Patients who remain at high risk of hospital admission are referred on to the Intermediate Care Team</w:t>
            </w:r>
            <w:r w:rsidR="0002746A">
              <w:rPr>
                <w:b w:val="0"/>
              </w:rPr>
              <w:t>.</w:t>
            </w:r>
          </w:p>
        </w:tc>
        <w:tc>
          <w:tcPr>
            <w:tcW w:w="2671" w:type="dxa"/>
          </w:tcPr>
          <w:p w14:paraId="17CA704C" w14:textId="77777777" w:rsidR="008F7D83" w:rsidRDefault="000077EF" w:rsidP="00D00680">
            <w:pPr>
              <w:pStyle w:val="Heading2"/>
              <w:spacing w:line="240" w:lineRule="auto"/>
              <w:rPr>
                <w:b w:val="0"/>
              </w:rPr>
            </w:pPr>
            <w:r w:rsidRPr="000077EF">
              <w:rPr>
                <w:b w:val="0"/>
              </w:rPr>
              <w:t>The Rapid Intervention Team is comprised of nurses and APs with access to Therapists. The role of the team is to support up to 35 patients to remain at home who would otherwise be admitted. The team co</w:t>
            </w:r>
            <w:r w:rsidR="0002746A">
              <w:rPr>
                <w:b w:val="0"/>
              </w:rPr>
              <w:t>ntact the patient within 20 minutes</w:t>
            </w:r>
            <w:r w:rsidRPr="000077EF">
              <w:rPr>
                <w:b w:val="0"/>
              </w:rPr>
              <w:t xml:space="preserve"> and then visit within 2 hours. A full holistic assessment is </w:t>
            </w:r>
            <w:proofErr w:type="gramStart"/>
            <w:r w:rsidRPr="000077EF">
              <w:rPr>
                <w:b w:val="0"/>
              </w:rPr>
              <w:t>undertaken</w:t>
            </w:r>
            <w:proofErr w:type="gramEnd"/>
            <w:r w:rsidRPr="000077EF">
              <w:rPr>
                <w:b w:val="0"/>
              </w:rPr>
              <w:t xml:space="preserve"> and the patient remains on the caseload for up to 72 hours. If they require on going care they will either be referred to Intermediate care or community nursing or to the local authority for a package of care</w:t>
            </w:r>
            <w:r w:rsidR="0002746A">
              <w:rPr>
                <w:b w:val="0"/>
              </w:rPr>
              <w:t>.</w:t>
            </w:r>
          </w:p>
        </w:tc>
      </w:tr>
      <w:tr w:rsidR="008F7D83" w14:paraId="044ED04E" w14:textId="77777777" w:rsidTr="008F7D83">
        <w:trPr>
          <w:trHeight w:val="2418"/>
        </w:trPr>
        <w:tc>
          <w:tcPr>
            <w:tcW w:w="2670" w:type="dxa"/>
          </w:tcPr>
          <w:p w14:paraId="3CD8DAC1" w14:textId="77777777" w:rsidR="008F7D83" w:rsidRDefault="008F7D83" w:rsidP="00D00680">
            <w:pPr>
              <w:pStyle w:val="Heading2"/>
              <w:spacing w:line="240" w:lineRule="auto"/>
              <w:rPr>
                <w:b w:val="0"/>
              </w:rPr>
            </w:pPr>
            <w:r>
              <w:rPr>
                <w:b w:val="0"/>
              </w:rPr>
              <w:t>Accelerated Discharge Plan</w:t>
            </w:r>
          </w:p>
        </w:tc>
        <w:tc>
          <w:tcPr>
            <w:tcW w:w="2670" w:type="dxa"/>
          </w:tcPr>
          <w:p w14:paraId="664CF255" w14:textId="77777777" w:rsidR="002756CF" w:rsidRDefault="002756CF" w:rsidP="002756CF">
            <w:pPr>
              <w:rPr>
                <w:rFonts w:cs="Arial"/>
              </w:rPr>
            </w:pPr>
            <w:r>
              <w:t>The ELFT, NUH and LBN Newham Accelerated Discharge Policy describes the arrangements in place to facilitate discharge processes</w:t>
            </w:r>
            <w:r>
              <w:rPr>
                <w:rFonts w:cs="Arial"/>
              </w:rPr>
              <w:t xml:space="preserve"> during a surge. This can be found on the Intranet in the Community Health Newham section. This plan applies to East Ham Care Centre, Extended Primary Care Teams and the Community Children’s Nursing Team.</w:t>
            </w:r>
          </w:p>
          <w:p w14:paraId="30F98703" w14:textId="77777777" w:rsidR="008F7D83" w:rsidRDefault="008F7D83" w:rsidP="00D00680">
            <w:pPr>
              <w:pStyle w:val="Heading2"/>
              <w:spacing w:line="240" w:lineRule="auto"/>
              <w:rPr>
                <w:b w:val="0"/>
              </w:rPr>
            </w:pPr>
          </w:p>
        </w:tc>
        <w:tc>
          <w:tcPr>
            <w:tcW w:w="2671" w:type="dxa"/>
          </w:tcPr>
          <w:p w14:paraId="6FBD59A6" w14:textId="77777777" w:rsidR="008F7D83" w:rsidRDefault="00EE457A" w:rsidP="00D00680">
            <w:pPr>
              <w:pStyle w:val="Heading2"/>
              <w:spacing w:line="240" w:lineRule="auto"/>
              <w:rPr>
                <w:b w:val="0"/>
              </w:rPr>
            </w:pPr>
            <w:r>
              <w:rPr>
                <w:b w:val="0"/>
              </w:rPr>
              <w:t>For Tower Hamlets this is captured in a borough wide plan that shows trigger levels by providers and how support will be provided.</w:t>
            </w:r>
          </w:p>
        </w:tc>
        <w:tc>
          <w:tcPr>
            <w:tcW w:w="2671" w:type="dxa"/>
          </w:tcPr>
          <w:p w14:paraId="4E253428" w14:textId="77777777" w:rsidR="008F7D83" w:rsidRDefault="000077EF" w:rsidP="00D00680">
            <w:pPr>
              <w:pStyle w:val="Heading2"/>
              <w:spacing w:line="240" w:lineRule="auto"/>
              <w:rPr>
                <w:b w:val="0"/>
              </w:rPr>
            </w:pPr>
            <w:r w:rsidRPr="000077EF">
              <w:rPr>
                <w:b w:val="0"/>
              </w:rPr>
              <w:t>The Rapid Intervention Team is comprised of nurses and APs with access to Therapists. The role of the team is to support up to 35 patients to remain at home who would otherwise be admitted. The team contact the patient within 20 min</w:t>
            </w:r>
            <w:r w:rsidR="0002746A">
              <w:rPr>
                <w:b w:val="0"/>
              </w:rPr>
              <w:t>ute</w:t>
            </w:r>
            <w:r w:rsidRPr="000077EF">
              <w:rPr>
                <w:b w:val="0"/>
              </w:rPr>
              <w:t xml:space="preserve">s and then visit within 2 hours. A full holistic assessment is </w:t>
            </w:r>
            <w:proofErr w:type="gramStart"/>
            <w:r w:rsidRPr="000077EF">
              <w:rPr>
                <w:b w:val="0"/>
              </w:rPr>
              <w:t>undertaken</w:t>
            </w:r>
            <w:proofErr w:type="gramEnd"/>
            <w:r w:rsidRPr="000077EF">
              <w:rPr>
                <w:b w:val="0"/>
              </w:rPr>
              <w:t xml:space="preserve"> and the patient remains on the caseload for up to 72 hours. If they require on going care they will either be referred to</w:t>
            </w:r>
            <w:r w:rsidRPr="000077EF">
              <w:rPr>
                <w:rFonts w:eastAsiaTheme="minorHAnsi" w:cstheme="minorBidi"/>
                <w:b w:val="0"/>
              </w:rPr>
              <w:t xml:space="preserve"> </w:t>
            </w:r>
            <w:r w:rsidRPr="000077EF">
              <w:rPr>
                <w:b w:val="0"/>
              </w:rPr>
              <w:t xml:space="preserve">Intermediate care or </w:t>
            </w:r>
            <w:r w:rsidRPr="000077EF">
              <w:rPr>
                <w:b w:val="0"/>
              </w:rPr>
              <w:lastRenderedPageBreak/>
              <w:t>community nursing or to the local authority for a package of care</w:t>
            </w:r>
          </w:p>
        </w:tc>
      </w:tr>
      <w:tr w:rsidR="008F7D83" w14:paraId="5A7F366F" w14:textId="77777777" w:rsidTr="008F7D83">
        <w:trPr>
          <w:trHeight w:val="2241"/>
        </w:trPr>
        <w:tc>
          <w:tcPr>
            <w:tcW w:w="2670" w:type="dxa"/>
          </w:tcPr>
          <w:p w14:paraId="5E99F7C8" w14:textId="77777777" w:rsidR="008F7D83" w:rsidRDefault="008F7D83" w:rsidP="00D00680">
            <w:pPr>
              <w:pStyle w:val="Heading2"/>
              <w:spacing w:line="240" w:lineRule="auto"/>
              <w:rPr>
                <w:b w:val="0"/>
              </w:rPr>
            </w:pPr>
            <w:r>
              <w:rPr>
                <w:b w:val="0"/>
              </w:rPr>
              <w:lastRenderedPageBreak/>
              <w:t>Extended Primary Care Teams</w:t>
            </w:r>
          </w:p>
        </w:tc>
        <w:tc>
          <w:tcPr>
            <w:tcW w:w="2670" w:type="dxa"/>
          </w:tcPr>
          <w:p w14:paraId="53C39D61" w14:textId="77777777" w:rsidR="002756CF" w:rsidRPr="00332857" w:rsidRDefault="002756CF" w:rsidP="002756CF">
            <w:pPr>
              <w:autoSpaceDE w:val="0"/>
              <w:autoSpaceDN w:val="0"/>
              <w:adjustRightInd w:val="0"/>
              <w:rPr>
                <w:rFonts w:cs="Arial"/>
                <w:lang w:val="en"/>
              </w:rPr>
            </w:pPr>
            <w:r w:rsidRPr="00332857">
              <w:rPr>
                <w:rFonts w:cs="Arial"/>
                <w:lang w:val="en"/>
              </w:rPr>
              <w:t xml:space="preserve">There are four </w:t>
            </w:r>
            <w:r w:rsidR="0002746A">
              <w:rPr>
                <w:rFonts w:cs="Arial"/>
                <w:lang w:val="en"/>
              </w:rPr>
              <w:t xml:space="preserve">locality based multi-disciplinary teams </w:t>
            </w:r>
            <w:r w:rsidRPr="00332857">
              <w:rPr>
                <w:rFonts w:cs="Arial"/>
                <w:lang w:val="en"/>
              </w:rPr>
              <w:t>within </w:t>
            </w:r>
            <w:proofErr w:type="gramStart"/>
            <w:r>
              <w:rPr>
                <w:rFonts w:cs="Arial"/>
                <w:lang w:val="en"/>
              </w:rPr>
              <w:t xml:space="preserve">the </w:t>
            </w:r>
            <w:r w:rsidRPr="00332857">
              <w:rPr>
                <w:rFonts w:cs="Arial"/>
                <w:lang w:val="en"/>
              </w:rPr>
              <w:t xml:space="preserve"> Extended</w:t>
            </w:r>
            <w:proofErr w:type="gramEnd"/>
            <w:r w:rsidRPr="00332857">
              <w:rPr>
                <w:rFonts w:cs="Arial"/>
                <w:lang w:val="en"/>
              </w:rPr>
              <w:t xml:space="preserve"> Primary Care teams working in alignment w</w:t>
            </w:r>
            <w:r w:rsidR="0002746A">
              <w:rPr>
                <w:rFonts w:cs="Arial"/>
                <w:lang w:val="en"/>
              </w:rPr>
              <w:t xml:space="preserve">ith GP practices across Newham. </w:t>
            </w:r>
            <w:r w:rsidRPr="00332857">
              <w:rPr>
                <w:rFonts w:cs="Arial"/>
                <w:lang w:val="en"/>
              </w:rPr>
              <w:t>The teams include communit</w:t>
            </w:r>
            <w:r w:rsidR="00134F1B">
              <w:rPr>
                <w:rFonts w:cs="Arial"/>
                <w:lang w:val="en"/>
              </w:rPr>
              <w:t>y nu</w:t>
            </w:r>
            <w:r w:rsidR="0002746A">
              <w:rPr>
                <w:rFonts w:cs="Arial"/>
                <w:lang w:val="en"/>
              </w:rPr>
              <w:t xml:space="preserve">rsing and </w:t>
            </w:r>
            <w:r w:rsidR="00134F1B">
              <w:rPr>
                <w:rFonts w:cs="Arial"/>
                <w:lang w:val="en"/>
              </w:rPr>
              <w:t>specialist therapies.</w:t>
            </w:r>
            <w:r w:rsidR="0002746A">
              <w:rPr>
                <w:rFonts w:cs="Arial"/>
                <w:lang w:val="en"/>
              </w:rPr>
              <w:t xml:space="preserve"> </w:t>
            </w:r>
            <w:r w:rsidRPr="00332857">
              <w:rPr>
                <w:rFonts w:cs="Arial"/>
                <w:lang w:val="en"/>
              </w:rPr>
              <w:t>The service targets patients who are at risk of hospital admis</w:t>
            </w:r>
            <w:r w:rsidR="0002746A">
              <w:rPr>
                <w:rFonts w:cs="Arial"/>
                <w:lang w:val="en"/>
              </w:rPr>
              <w:t>sion, those who can be offered s</w:t>
            </w:r>
            <w:r w:rsidRPr="00332857">
              <w:rPr>
                <w:rFonts w:cs="Arial"/>
                <w:lang w:val="en"/>
              </w:rPr>
              <w:t>upport</w:t>
            </w:r>
            <w:r>
              <w:rPr>
                <w:rFonts w:cs="Arial"/>
                <w:lang w:val="en"/>
              </w:rPr>
              <w:t>ed</w:t>
            </w:r>
            <w:r w:rsidR="0002746A">
              <w:rPr>
                <w:rFonts w:cs="Arial"/>
                <w:lang w:val="en"/>
              </w:rPr>
              <w:t xml:space="preserve"> d</w:t>
            </w:r>
            <w:r w:rsidRPr="00332857">
              <w:rPr>
                <w:rFonts w:cs="Arial"/>
                <w:lang w:val="en"/>
              </w:rPr>
              <w:t xml:space="preserve">ischarge from hospital and rehabilitation at home, and to people at the end of their lives. Extended Primary Care Services incorporate a variety of professional disciplines. Staff will treat and support </w:t>
            </w:r>
            <w:r>
              <w:rPr>
                <w:rFonts w:cs="Arial"/>
                <w:lang w:val="en"/>
              </w:rPr>
              <w:t xml:space="preserve">housebound </w:t>
            </w:r>
            <w:r w:rsidRPr="00332857">
              <w:rPr>
                <w:rFonts w:cs="Arial"/>
                <w:lang w:val="en"/>
              </w:rPr>
              <w:t xml:space="preserve">people in their own homes  </w:t>
            </w:r>
          </w:p>
          <w:p w14:paraId="12797765" w14:textId="77777777" w:rsidR="008F7D83" w:rsidRDefault="008F7D83" w:rsidP="00D00680">
            <w:pPr>
              <w:pStyle w:val="Heading2"/>
              <w:spacing w:line="240" w:lineRule="auto"/>
              <w:rPr>
                <w:b w:val="0"/>
              </w:rPr>
            </w:pPr>
          </w:p>
        </w:tc>
        <w:tc>
          <w:tcPr>
            <w:tcW w:w="2671" w:type="dxa"/>
          </w:tcPr>
          <w:p w14:paraId="58E61968" w14:textId="77777777" w:rsidR="006A2B1B" w:rsidRPr="002F5851" w:rsidRDefault="006A2B1B" w:rsidP="006A2B1B">
            <w:pPr>
              <w:pStyle w:val="Heading2"/>
              <w:spacing w:line="240" w:lineRule="auto"/>
              <w:rPr>
                <w:b w:val="0"/>
              </w:rPr>
            </w:pPr>
            <w:r w:rsidRPr="002F5851">
              <w:rPr>
                <w:b w:val="0"/>
                <w:lang w:val="en"/>
              </w:rPr>
              <w:t>Staff will treat and support housebound people in their own homes</w:t>
            </w:r>
            <w:r w:rsidR="002F5851">
              <w:rPr>
                <w:b w:val="0"/>
                <w:lang w:val="en"/>
              </w:rPr>
              <w:t>.</w:t>
            </w:r>
            <w:r w:rsidRPr="002F5851">
              <w:rPr>
                <w:b w:val="0"/>
                <w:lang w:val="en"/>
              </w:rPr>
              <w:t> </w:t>
            </w:r>
          </w:p>
          <w:p w14:paraId="0E69A212" w14:textId="77777777" w:rsidR="008F7D83" w:rsidRDefault="006A2B1B" w:rsidP="006A2B1B">
            <w:pPr>
              <w:pStyle w:val="Heading2"/>
              <w:spacing w:line="240" w:lineRule="auto"/>
              <w:rPr>
                <w:b w:val="0"/>
                <w:lang w:val="en"/>
              </w:rPr>
            </w:pPr>
            <w:r>
              <w:rPr>
                <w:b w:val="0"/>
              </w:rPr>
              <w:t>This service consists of a Triage and First Assessment team of nurses working in conjunction with</w:t>
            </w:r>
            <w:r w:rsidR="0002746A">
              <w:rPr>
                <w:b w:val="0"/>
                <w:lang w:val="en"/>
              </w:rPr>
              <w:t xml:space="preserve"> four </w:t>
            </w:r>
            <w:r w:rsidRPr="006A2B1B">
              <w:rPr>
                <w:b w:val="0"/>
                <w:lang w:val="en"/>
              </w:rPr>
              <w:t xml:space="preserve">locality </w:t>
            </w:r>
            <w:r w:rsidR="0002746A">
              <w:rPr>
                <w:b w:val="0"/>
                <w:lang w:val="en"/>
              </w:rPr>
              <w:t>based multi-</w:t>
            </w:r>
            <w:r>
              <w:rPr>
                <w:b w:val="0"/>
                <w:lang w:val="en"/>
              </w:rPr>
              <w:t>disciplinary teams (Extended Primary Care T</w:t>
            </w:r>
            <w:r w:rsidRPr="006A2B1B">
              <w:rPr>
                <w:b w:val="0"/>
                <w:lang w:val="en"/>
              </w:rPr>
              <w:t>eams</w:t>
            </w:r>
            <w:r>
              <w:rPr>
                <w:b w:val="0"/>
                <w:lang w:val="en"/>
              </w:rPr>
              <w:t>)</w:t>
            </w:r>
            <w:r w:rsidRPr="006A2B1B">
              <w:rPr>
                <w:b w:val="0"/>
                <w:lang w:val="en"/>
              </w:rPr>
              <w:t xml:space="preserve"> working in alignment with GP practices across</w:t>
            </w:r>
            <w:r w:rsidR="0002746A">
              <w:rPr>
                <w:b w:val="0"/>
                <w:lang w:val="en"/>
              </w:rPr>
              <w:t xml:space="preserve"> Tower Hamlets. </w:t>
            </w:r>
            <w:r>
              <w:rPr>
                <w:b w:val="0"/>
                <w:lang w:val="en"/>
              </w:rPr>
              <w:t>The teams consist of Physiotherapy, Occupational Therapy, Care Navigators and Nurses. These teams work in conjunction with home care, social services and famil</w:t>
            </w:r>
            <w:r w:rsidR="0002746A">
              <w:rPr>
                <w:b w:val="0"/>
                <w:lang w:val="en"/>
              </w:rPr>
              <w:t>y members. The services provide</w:t>
            </w:r>
            <w:r>
              <w:rPr>
                <w:b w:val="0"/>
                <w:lang w:val="en"/>
              </w:rPr>
              <w:t xml:space="preserve"> long term condition </w:t>
            </w:r>
            <w:r w:rsidR="0002746A">
              <w:rPr>
                <w:b w:val="0"/>
                <w:lang w:val="en"/>
              </w:rPr>
              <w:t xml:space="preserve">management to </w:t>
            </w:r>
            <w:proofErr w:type="spellStart"/>
            <w:r w:rsidR="0002746A">
              <w:rPr>
                <w:b w:val="0"/>
                <w:lang w:val="en"/>
              </w:rPr>
              <w:t>optimise</w:t>
            </w:r>
            <w:proofErr w:type="spellEnd"/>
            <w:r w:rsidR="0002746A">
              <w:rPr>
                <w:b w:val="0"/>
                <w:lang w:val="en"/>
              </w:rPr>
              <w:t xml:space="preserve"> a person’s </w:t>
            </w:r>
            <w:r>
              <w:rPr>
                <w:b w:val="0"/>
                <w:lang w:val="en"/>
              </w:rPr>
              <w:t>abilit</w:t>
            </w:r>
            <w:r w:rsidR="0002746A">
              <w:rPr>
                <w:b w:val="0"/>
                <w:lang w:val="en"/>
              </w:rPr>
              <w:t>y to live independently at home,</w:t>
            </w:r>
            <w:r>
              <w:rPr>
                <w:b w:val="0"/>
                <w:lang w:val="en"/>
              </w:rPr>
              <w:t xml:space="preserve"> </w:t>
            </w:r>
          </w:p>
          <w:p w14:paraId="057B469D" w14:textId="77777777" w:rsidR="006A2B1B" w:rsidRDefault="0002746A" w:rsidP="006A2B1B">
            <w:pPr>
              <w:rPr>
                <w:lang w:val="en"/>
              </w:rPr>
            </w:pPr>
            <w:r>
              <w:rPr>
                <w:lang w:val="en"/>
              </w:rPr>
              <w:t>r</w:t>
            </w:r>
            <w:r w:rsidR="006A2B1B">
              <w:rPr>
                <w:lang w:val="en"/>
              </w:rPr>
              <w:t>ehabilitation at home</w:t>
            </w:r>
            <w:r>
              <w:rPr>
                <w:lang w:val="en"/>
              </w:rPr>
              <w:t xml:space="preserve"> to prevent hospital admission and end of l</w:t>
            </w:r>
            <w:r w:rsidR="006A2B1B">
              <w:rPr>
                <w:lang w:val="en"/>
              </w:rPr>
              <w:t>i</w:t>
            </w:r>
            <w:r>
              <w:rPr>
                <w:lang w:val="en"/>
              </w:rPr>
              <w:t>fe support care.</w:t>
            </w:r>
          </w:p>
          <w:p w14:paraId="65509FBE" w14:textId="77777777" w:rsidR="006A2B1B" w:rsidRPr="006A2B1B" w:rsidRDefault="006A2B1B" w:rsidP="006A2B1B">
            <w:pPr>
              <w:rPr>
                <w:lang w:val="en"/>
              </w:rPr>
            </w:pPr>
          </w:p>
        </w:tc>
        <w:tc>
          <w:tcPr>
            <w:tcW w:w="2671" w:type="dxa"/>
          </w:tcPr>
          <w:p w14:paraId="610D2A64" w14:textId="77777777" w:rsidR="000077EF" w:rsidRPr="000077EF" w:rsidRDefault="000077EF" w:rsidP="000077EF">
            <w:pPr>
              <w:pStyle w:val="Heading2"/>
              <w:spacing w:line="240" w:lineRule="auto"/>
              <w:rPr>
                <w:b w:val="0"/>
              </w:rPr>
            </w:pPr>
            <w:r w:rsidRPr="000077EF">
              <w:rPr>
                <w:b w:val="0"/>
              </w:rPr>
              <w:t>BCHS are undergoing transformation into Primary Care at home teams which geographically mirror the primary care networks across the county. All referrals are made via the Single point of Access (SPOA) The multi-disciplinary team will consist of planned and unplanned care and access to specialist nurses and Therapy. There is close working alignment with the Local authority and mental health and MDT meetings chaired by Local GPs are well established.</w:t>
            </w:r>
          </w:p>
          <w:p w14:paraId="51202D85" w14:textId="77777777" w:rsidR="008F7D83" w:rsidRDefault="000077EF" w:rsidP="000077EF">
            <w:pPr>
              <w:pStyle w:val="Heading2"/>
              <w:spacing w:line="240" w:lineRule="auto"/>
              <w:rPr>
                <w:b w:val="0"/>
              </w:rPr>
            </w:pPr>
            <w:r w:rsidRPr="000077EF">
              <w:rPr>
                <w:b w:val="0"/>
              </w:rPr>
              <w:t>PCH teams support house bound patients to remain in their own homes by providing nursing care including end of life care and rehabilitation</w:t>
            </w:r>
          </w:p>
        </w:tc>
      </w:tr>
      <w:tr w:rsidR="008F7D83" w14:paraId="04094078" w14:textId="77777777" w:rsidTr="008F7D83">
        <w:trPr>
          <w:trHeight w:val="2259"/>
        </w:trPr>
        <w:tc>
          <w:tcPr>
            <w:tcW w:w="2670" w:type="dxa"/>
          </w:tcPr>
          <w:p w14:paraId="5D582879" w14:textId="77777777" w:rsidR="008F7D83" w:rsidRPr="00A035B6" w:rsidRDefault="008F7D83" w:rsidP="00D00680">
            <w:pPr>
              <w:pStyle w:val="Heading2"/>
              <w:spacing w:line="240" w:lineRule="auto"/>
              <w:rPr>
                <w:b w:val="0"/>
                <w:highlight w:val="yellow"/>
              </w:rPr>
            </w:pPr>
            <w:r w:rsidRPr="00134F1B">
              <w:rPr>
                <w:b w:val="0"/>
              </w:rPr>
              <w:t>Hospital In-reach</w:t>
            </w:r>
          </w:p>
        </w:tc>
        <w:tc>
          <w:tcPr>
            <w:tcW w:w="2670" w:type="dxa"/>
          </w:tcPr>
          <w:p w14:paraId="1A15963B" w14:textId="77777777" w:rsidR="008F7D83" w:rsidRPr="00A035B6" w:rsidRDefault="008F7D83" w:rsidP="00D00680">
            <w:pPr>
              <w:pStyle w:val="Heading2"/>
              <w:spacing w:line="240" w:lineRule="auto"/>
              <w:rPr>
                <w:b w:val="0"/>
                <w:highlight w:val="yellow"/>
              </w:rPr>
            </w:pPr>
          </w:p>
        </w:tc>
        <w:tc>
          <w:tcPr>
            <w:tcW w:w="2671" w:type="dxa"/>
          </w:tcPr>
          <w:p w14:paraId="49311AF8" w14:textId="77777777" w:rsidR="008F7D83" w:rsidRPr="00A035B6" w:rsidRDefault="002756CF" w:rsidP="00C62859">
            <w:pPr>
              <w:pStyle w:val="Heading2"/>
              <w:spacing w:line="240" w:lineRule="auto"/>
              <w:rPr>
                <w:b w:val="0"/>
                <w:highlight w:val="yellow"/>
              </w:rPr>
            </w:pPr>
            <w:r w:rsidRPr="00134F1B">
              <w:rPr>
                <w:b w:val="0"/>
              </w:rPr>
              <w:t>ELFT provide in-reach nurses to the Royal London Hospital, primarily to the older people wards on the 14th floor</w:t>
            </w:r>
            <w:r w:rsidR="00116EE3" w:rsidRPr="00134F1B">
              <w:rPr>
                <w:b w:val="0"/>
              </w:rPr>
              <w:t xml:space="preserve"> and the 11</w:t>
            </w:r>
            <w:r w:rsidR="00116EE3" w:rsidRPr="00134F1B">
              <w:rPr>
                <w:b w:val="0"/>
                <w:vertAlign w:val="superscript"/>
              </w:rPr>
              <w:t>th</w:t>
            </w:r>
            <w:r w:rsidR="00116EE3" w:rsidRPr="00134F1B">
              <w:rPr>
                <w:b w:val="0"/>
              </w:rPr>
              <w:t xml:space="preserve"> floor, which includes AAU</w:t>
            </w:r>
            <w:r w:rsidRPr="00134F1B">
              <w:rPr>
                <w:b w:val="0"/>
              </w:rPr>
              <w:t>.</w:t>
            </w:r>
            <w:r w:rsidR="00116EE3" w:rsidRPr="00134F1B">
              <w:rPr>
                <w:b w:val="0"/>
              </w:rPr>
              <w:t xml:space="preserve"> The nurses </w:t>
            </w:r>
            <w:r w:rsidR="00C62859" w:rsidRPr="00134F1B">
              <w:rPr>
                <w:b w:val="0"/>
              </w:rPr>
              <w:t xml:space="preserve">can </w:t>
            </w:r>
            <w:r w:rsidR="00116EE3" w:rsidRPr="00134F1B">
              <w:rPr>
                <w:b w:val="0"/>
              </w:rPr>
              <w:t xml:space="preserve">order equipment required for discharge, </w:t>
            </w:r>
            <w:r w:rsidR="00C62859" w:rsidRPr="00134F1B">
              <w:rPr>
                <w:b w:val="0"/>
              </w:rPr>
              <w:t xml:space="preserve">e.g. </w:t>
            </w:r>
            <w:r w:rsidR="00116EE3" w:rsidRPr="00134F1B">
              <w:rPr>
                <w:b w:val="0"/>
              </w:rPr>
              <w:t xml:space="preserve">hospital beds and pressure relieving equipment. They also provide advice to assist </w:t>
            </w:r>
            <w:r w:rsidR="00116EE3" w:rsidRPr="00134F1B">
              <w:rPr>
                <w:b w:val="0"/>
              </w:rPr>
              <w:lastRenderedPageBreak/>
              <w:t xml:space="preserve">with timely discharge and </w:t>
            </w:r>
            <w:proofErr w:type="gramStart"/>
            <w:r w:rsidR="00116EE3" w:rsidRPr="00134F1B">
              <w:rPr>
                <w:b w:val="0"/>
              </w:rPr>
              <w:t>sign post</w:t>
            </w:r>
            <w:proofErr w:type="gramEnd"/>
            <w:r w:rsidR="00116EE3" w:rsidRPr="00134F1B">
              <w:rPr>
                <w:b w:val="0"/>
              </w:rPr>
              <w:t xml:space="preserve"> to community health service such as Rapid Response, Intermediate Care (including discharge to assess)</w:t>
            </w:r>
            <w:r w:rsidR="00C62859" w:rsidRPr="00134F1B">
              <w:rPr>
                <w:b w:val="0"/>
              </w:rPr>
              <w:t xml:space="preserve"> and EPCTs</w:t>
            </w:r>
            <w:r w:rsidR="00116EE3" w:rsidRPr="00134F1B">
              <w:rPr>
                <w:b w:val="0"/>
              </w:rPr>
              <w:t>.</w:t>
            </w:r>
          </w:p>
        </w:tc>
        <w:tc>
          <w:tcPr>
            <w:tcW w:w="2671" w:type="dxa"/>
          </w:tcPr>
          <w:p w14:paraId="7BE46525" w14:textId="77777777" w:rsidR="008F7D83" w:rsidRDefault="000077EF" w:rsidP="00D00680">
            <w:pPr>
              <w:pStyle w:val="Heading2"/>
              <w:spacing w:line="240" w:lineRule="auto"/>
              <w:rPr>
                <w:b w:val="0"/>
              </w:rPr>
            </w:pPr>
            <w:r w:rsidRPr="000077EF">
              <w:rPr>
                <w:b w:val="0"/>
              </w:rPr>
              <w:lastRenderedPageBreak/>
              <w:t xml:space="preserve">BCHS provide discharge planning nurses and a clinical navigation nurse based at Bedford Hospital Trust. (BHT) In times of Surge (OPEL 3/4) Community matrons will in-reach </w:t>
            </w:r>
            <w:proofErr w:type="gramStart"/>
            <w:r w:rsidRPr="000077EF">
              <w:rPr>
                <w:b w:val="0"/>
              </w:rPr>
              <w:t>in to</w:t>
            </w:r>
            <w:proofErr w:type="gramEnd"/>
            <w:r w:rsidRPr="000077EF">
              <w:rPr>
                <w:b w:val="0"/>
              </w:rPr>
              <w:t xml:space="preserve"> BHT to identify and pull patients out to community services. Across the other local acute trusts there are aligned health</w:t>
            </w:r>
            <w:r w:rsidRPr="000077EF">
              <w:rPr>
                <w:rFonts w:eastAsiaTheme="minorHAnsi" w:cstheme="minorBidi"/>
                <w:b w:val="0"/>
              </w:rPr>
              <w:t xml:space="preserve"> </w:t>
            </w:r>
            <w:r w:rsidRPr="000077EF">
              <w:rPr>
                <w:b w:val="0"/>
              </w:rPr>
              <w:lastRenderedPageBreak/>
              <w:t>and social care services with an integrated triage to support patients who require rehabilitation in community. This reduces hand offs between providers and ensures patient flow is maintained</w:t>
            </w:r>
            <w:r w:rsidR="0002746A">
              <w:rPr>
                <w:b w:val="0"/>
              </w:rPr>
              <w:t>.</w:t>
            </w:r>
          </w:p>
        </w:tc>
      </w:tr>
      <w:tr w:rsidR="008F7D83" w14:paraId="55C61C81" w14:textId="77777777" w:rsidTr="008F7D83">
        <w:trPr>
          <w:trHeight w:val="1838"/>
        </w:trPr>
        <w:tc>
          <w:tcPr>
            <w:tcW w:w="2670" w:type="dxa"/>
          </w:tcPr>
          <w:p w14:paraId="71FAF12A" w14:textId="77777777" w:rsidR="008F7D83" w:rsidRDefault="008F7D83" w:rsidP="00D00680">
            <w:pPr>
              <w:pStyle w:val="Heading2"/>
              <w:spacing w:line="240" w:lineRule="auto"/>
              <w:rPr>
                <w:b w:val="0"/>
              </w:rPr>
            </w:pPr>
            <w:r>
              <w:rPr>
                <w:b w:val="0"/>
              </w:rPr>
              <w:lastRenderedPageBreak/>
              <w:t>Intermediate care Service</w:t>
            </w:r>
          </w:p>
        </w:tc>
        <w:tc>
          <w:tcPr>
            <w:tcW w:w="2670" w:type="dxa"/>
          </w:tcPr>
          <w:p w14:paraId="4302D397" w14:textId="77777777" w:rsidR="008F7D83" w:rsidRDefault="008F7D83" w:rsidP="00D00680">
            <w:pPr>
              <w:pStyle w:val="Heading2"/>
              <w:spacing w:line="240" w:lineRule="auto"/>
              <w:rPr>
                <w:b w:val="0"/>
              </w:rPr>
            </w:pPr>
          </w:p>
        </w:tc>
        <w:tc>
          <w:tcPr>
            <w:tcW w:w="2671" w:type="dxa"/>
          </w:tcPr>
          <w:p w14:paraId="5E7C2118" w14:textId="77777777" w:rsidR="008F7D83" w:rsidRDefault="00116EE3" w:rsidP="00116EE3">
            <w:pPr>
              <w:pStyle w:val="Heading2"/>
              <w:spacing w:line="240" w:lineRule="auto"/>
              <w:rPr>
                <w:b w:val="0"/>
              </w:rPr>
            </w:pPr>
            <w:r w:rsidRPr="00116EE3">
              <w:rPr>
                <w:b w:val="0"/>
              </w:rPr>
              <w:t xml:space="preserve">There are screeners for discharge to assess </w:t>
            </w:r>
            <w:r w:rsidR="00C62859">
              <w:rPr>
                <w:b w:val="0"/>
              </w:rPr>
              <w:t xml:space="preserve">and intermediate care </w:t>
            </w:r>
            <w:r w:rsidRPr="00116EE3">
              <w:rPr>
                <w:b w:val="0"/>
              </w:rPr>
              <w:t xml:space="preserve">on site at the RLH </w:t>
            </w:r>
            <w:r w:rsidR="00C62859">
              <w:rPr>
                <w:b w:val="0"/>
              </w:rPr>
              <w:t xml:space="preserve">(14F ward) </w:t>
            </w:r>
            <w:r w:rsidRPr="00116EE3">
              <w:rPr>
                <w:b w:val="0"/>
              </w:rPr>
              <w:t>to enable timely discharge through case finding and proactive management of referrals.</w:t>
            </w:r>
            <w:r w:rsidR="00C62859">
              <w:rPr>
                <w:b w:val="0"/>
              </w:rPr>
              <w:t xml:space="preserve"> The service accepts between 60-70 new patients per month and offers up to 6 weeks intensive rehabilitation with access to social workers.</w:t>
            </w:r>
          </w:p>
        </w:tc>
        <w:tc>
          <w:tcPr>
            <w:tcW w:w="2671" w:type="dxa"/>
          </w:tcPr>
          <w:p w14:paraId="5B0E7C5F" w14:textId="77777777" w:rsidR="008F7D83" w:rsidRDefault="000077EF" w:rsidP="00D00680">
            <w:pPr>
              <w:pStyle w:val="Heading2"/>
              <w:spacing w:line="240" w:lineRule="auto"/>
              <w:rPr>
                <w:b w:val="0"/>
              </w:rPr>
            </w:pPr>
            <w:r w:rsidRPr="000077EF">
              <w:rPr>
                <w:b w:val="0"/>
              </w:rPr>
              <w:t>BCHS provides IMC services for up to 6 weeks. The service is accessed by SPOA.</w:t>
            </w:r>
          </w:p>
        </w:tc>
      </w:tr>
    </w:tbl>
    <w:p w14:paraId="2C407275" w14:textId="77777777" w:rsidR="00553145" w:rsidRDefault="00553145" w:rsidP="00D00680">
      <w:pPr>
        <w:pStyle w:val="Heading2"/>
        <w:spacing w:line="240" w:lineRule="auto"/>
        <w:rPr>
          <w:b w:val="0"/>
        </w:rPr>
      </w:pPr>
    </w:p>
    <w:p w14:paraId="3F73B411" w14:textId="77777777" w:rsidR="008F7D83" w:rsidRDefault="008F7D83" w:rsidP="00553145">
      <w:pPr>
        <w:pStyle w:val="Heading2"/>
        <w:spacing w:line="240" w:lineRule="auto"/>
        <w:ind w:left="720" w:hanging="720"/>
      </w:pPr>
    </w:p>
    <w:p w14:paraId="54CFC78B" w14:textId="77777777" w:rsidR="008F7D83" w:rsidRDefault="008F7D83" w:rsidP="00553145">
      <w:pPr>
        <w:pStyle w:val="Heading2"/>
        <w:spacing w:line="240" w:lineRule="auto"/>
        <w:ind w:left="720" w:hanging="720"/>
      </w:pPr>
    </w:p>
    <w:bookmarkEnd w:id="4"/>
    <w:p w14:paraId="4226F165" w14:textId="77777777" w:rsidR="00597888" w:rsidRDefault="00443AC8" w:rsidP="002756CF">
      <w:pPr>
        <w:autoSpaceDE w:val="0"/>
        <w:autoSpaceDN w:val="0"/>
        <w:adjustRightInd w:val="0"/>
        <w:spacing w:after="0" w:line="240" w:lineRule="auto"/>
        <w:rPr>
          <w:b/>
        </w:rPr>
      </w:pPr>
      <w:r w:rsidRPr="00443AC8">
        <w:rPr>
          <w:b/>
        </w:rPr>
        <w:t>Community Children’s Nursing Team</w:t>
      </w:r>
    </w:p>
    <w:p w14:paraId="6B07779F" w14:textId="77777777" w:rsidR="0002746A" w:rsidRPr="002756CF" w:rsidRDefault="0002746A" w:rsidP="002756CF">
      <w:pPr>
        <w:autoSpaceDE w:val="0"/>
        <w:autoSpaceDN w:val="0"/>
        <w:adjustRightInd w:val="0"/>
        <w:spacing w:after="0" w:line="240" w:lineRule="auto"/>
        <w:rPr>
          <w:rFonts w:cs="Arial"/>
          <w:lang w:val="en"/>
        </w:rPr>
      </w:pPr>
    </w:p>
    <w:p w14:paraId="1884F6FD" w14:textId="77777777" w:rsidR="00D00680" w:rsidRPr="00B9742D" w:rsidRDefault="0002746A" w:rsidP="00B9742D">
      <w:pPr>
        <w:rPr>
          <w:rFonts w:cs="Arial"/>
          <w:color w:val="1D1D1D"/>
          <w:lang w:val="en"/>
        </w:rPr>
      </w:pPr>
      <w:r w:rsidRPr="0002746A">
        <w:rPr>
          <w:lang w:val="en"/>
        </w:rPr>
        <w:t xml:space="preserve">The Community Children's Nursing Service (CCNS) provides a range of services to support children who reside within the London Borough of Newham and who require nursing care, palliative care, technical support nursing or dietetic nutritional support within their home or other community setting. The CCNS is split into five teams covering different client groups: The Diana Team (palliative care); The Epilepsy Nursing Service; The Children’s Community Nursing Team (CCNT); </w:t>
      </w:r>
      <w:proofErr w:type="spellStart"/>
      <w:r w:rsidRPr="0002746A">
        <w:rPr>
          <w:lang w:val="en"/>
        </w:rPr>
        <w:t>Paediatric</w:t>
      </w:r>
      <w:proofErr w:type="spellEnd"/>
      <w:r w:rsidRPr="0002746A">
        <w:rPr>
          <w:lang w:val="en"/>
        </w:rPr>
        <w:t xml:space="preserve"> community dietetic team and Children’s Continuing care team. The service provides specialist </w:t>
      </w:r>
      <w:proofErr w:type="spellStart"/>
      <w:r w:rsidRPr="0002746A">
        <w:rPr>
          <w:lang w:val="en"/>
        </w:rPr>
        <w:t>paediatric</w:t>
      </w:r>
      <w:proofErr w:type="spellEnd"/>
      <w:r w:rsidRPr="0002746A">
        <w:rPr>
          <w:lang w:val="en"/>
        </w:rPr>
        <w:t xml:space="preserve"> care to children and young people from birth to 16 years (19yrs for young people with a palliative care diagnosis in coordination with the Diana team). The focus of this service is to </w:t>
      </w:r>
      <w:proofErr w:type="spellStart"/>
      <w:r w:rsidRPr="0002746A">
        <w:rPr>
          <w:lang w:val="en"/>
        </w:rPr>
        <w:t>minimise</w:t>
      </w:r>
      <w:proofErr w:type="spellEnd"/>
      <w:r w:rsidRPr="0002746A">
        <w:rPr>
          <w:lang w:val="en"/>
        </w:rPr>
        <w:t xml:space="preserve"> hospital attendance and to enable children and families to manage their health needs effectively and to access opportunities that </w:t>
      </w:r>
      <w:proofErr w:type="spellStart"/>
      <w:r w:rsidRPr="0002746A">
        <w:rPr>
          <w:lang w:val="en"/>
        </w:rPr>
        <w:t>maximise</w:t>
      </w:r>
      <w:proofErr w:type="spellEnd"/>
      <w:r w:rsidRPr="0002746A">
        <w:rPr>
          <w:lang w:val="en"/>
        </w:rPr>
        <w:t xml:space="preserve"> their potential. </w:t>
      </w:r>
      <w:r w:rsidR="00D00680">
        <w:t xml:space="preserve">   </w:t>
      </w:r>
    </w:p>
    <w:p w14:paraId="400414DD" w14:textId="77777777" w:rsidR="002756CF" w:rsidRDefault="002756CF" w:rsidP="00D97064">
      <w:pPr>
        <w:pStyle w:val="Heading2"/>
        <w:rPr>
          <w:rFonts w:eastAsiaTheme="minorHAnsi" w:cstheme="minorBidi"/>
          <w:b w:val="0"/>
        </w:rPr>
      </w:pPr>
      <w:bookmarkStart w:id="5" w:name="_Toc397599197"/>
    </w:p>
    <w:p w14:paraId="77A12AAA" w14:textId="77777777" w:rsidR="00A16DAC" w:rsidRPr="00443AC8" w:rsidRDefault="00D86FFF" w:rsidP="00D97064">
      <w:pPr>
        <w:pStyle w:val="Heading2"/>
        <w:rPr>
          <w:sz w:val="28"/>
          <w:szCs w:val="28"/>
        </w:rPr>
      </w:pPr>
      <w:r w:rsidRPr="00443AC8">
        <w:rPr>
          <w:sz w:val="28"/>
          <w:szCs w:val="28"/>
        </w:rPr>
        <w:t xml:space="preserve">5.      </w:t>
      </w:r>
      <w:r w:rsidR="00A16DAC" w:rsidRPr="00443AC8">
        <w:rPr>
          <w:sz w:val="28"/>
          <w:szCs w:val="28"/>
        </w:rPr>
        <w:t>Mental Health Services</w:t>
      </w:r>
      <w:bookmarkEnd w:id="5"/>
      <w:r w:rsidR="000D288B" w:rsidRPr="00443AC8">
        <w:rPr>
          <w:sz w:val="28"/>
          <w:szCs w:val="28"/>
        </w:rPr>
        <w:t xml:space="preserve"> </w:t>
      </w:r>
    </w:p>
    <w:p w14:paraId="7CEEA76D" w14:textId="77777777" w:rsidR="00E0035B" w:rsidRPr="00E0035B" w:rsidRDefault="00E0035B" w:rsidP="00332857">
      <w:pPr>
        <w:spacing w:before="100" w:beforeAutospacing="1" w:after="100" w:afterAutospacing="1" w:line="240" w:lineRule="auto"/>
        <w:rPr>
          <w:rFonts w:eastAsia="Times New Roman" w:cs="Arial"/>
          <w:lang w:eastAsia="en-GB"/>
        </w:rPr>
      </w:pPr>
      <w:r w:rsidRPr="00E0035B">
        <w:rPr>
          <w:rFonts w:eastAsia="Times New Roman" w:cs="Arial"/>
          <w:lang w:eastAsia="en-GB"/>
        </w:rPr>
        <w:t xml:space="preserve">The Trust provides a wide range of </w:t>
      </w:r>
      <w:r w:rsidR="00D86FFF">
        <w:rPr>
          <w:rFonts w:eastAsia="Times New Roman" w:cs="Arial"/>
          <w:lang w:eastAsia="en-GB"/>
        </w:rPr>
        <w:t xml:space="preserve">mental health </w:t>
      </w:r>
      <w:r w:rsidRPr="00E0035B">
        <w:rPr>
          <w:rFonts w:eastAsia="Times New Roman" w:cs="Arial"/>
          <w:lang w:eastAsia="en-GB"/>
        </w:rPr>
        <w:t>community and inpatient services to children, young people, adults of working age, older adults and forensic services to the City of London, Hackney, Newham Tower Hamlets</w:t>
      </w:r>
      <w:r w:rsidR="00940477">
        <w:rPr>
          <w:rFonts w:eastAsia="Times New Roman" w:cs="Arial"/>
          <w:lang w:eastAsia="en-GB"/>
        </w:rPr>
        <w:t>, Bedfordshire and Luton</w:t>
      </w:r>
      <w:r w:rsidRPr="00E0035B">
        <w:rPr>
          <w:rFonts w:eastAsia="Times New Roman" w:cs="Arial"/>
          <w:lang w:eastAsia="en-GB"/>
        </w:rPr>
        <w:t xml:space="preserve">. </w:t>
      </w:r>
    </w:p>
    <w:p w14:paraId="6A9A018C" w14:textId="77777777" w:rsidR="00E0035B" w:rsidRPr="00E0035B" w:rsidRDefault="00E0035B" w:rsidP="00332857">
      <w:pPr>
        <w:numPr>
          <w:ilvl w:val="0"/>
          <w:numId w:val="43"/>
        </w:numPr>
        <w:tabs>
          <w:tab w:val="clear" w:pos="720"/>
          <w:tab w:val="num" w:pos="567"/>
        </w:tabs>
        <w:spacing w:before="100" w:beforeAutospacing="1" w:after="100" w:afterAutospacing="1" w:line="240" w:lineRule="auto"/>
        <w:ind w:left="567" w:hanging="567"/>
        <w:rPr>
          <w:rFonts w:eastAsia="Times New Roman" w:cs="Arial"/>
          <w:lang w:eastAsia="en-GB"/>
        </w:rPr>
      </w:pPr>
      <w:r w:rsidRPr="00E0035B">
        <w:rPr>
          <w:rFonts w:eastAsia="Times New Roman" w:cs="Arial"/>
          <w:lang w:eastAsia="en-GB"/>
        </w:rPr>
        <w:t xml:space="preserve">Forensic services are also provided to Barking and Dagenham, Havering, Redbridge and Waltham Forest. </w:t>
      </w:r>
    </w:p>
    <w:p w14:paraId="313A48ED" w14:textId="77777777" w:rsidR="00E0035B" w:rsidRPr="00E0035B" w:rsidRDefault="00E0035B" w:rsidP="00332857">
      <w:pPr>
        <w:numPr>
          <w:ilvl w:val="0"/>
          <w:numId w:val="43"/>
        </w:numPr>
        <w:tabs>
          <w:tab w:val="clear" w:pos="720"/>
          <w:tab w:val="num" w:pos="567"/>
        </w:tabs>
        <w:spacing w:before="100" w:beforeAutospacing="1" w:after="100" w:afterAutospacing="1" w:line="240" w:lineRule="auto"/>
        <w:ind w:left="567" w:hanging="567"/>
        <w:rPr>
          <w:rFonts w:eastAsia="Times New Roman" w:cs="Arial"/>
          <w:lang w:eastAsia="en-GB"/>
        </w:rPr>
      </w:pPr>
      <w:r w:rsidRPr="00E0035B">
        <w:rPr>
          <w:rFonts w:eastAsia="Times New Roman" w:cs="Arial"/>
          <w:lang w:eastAsia="en-GB"/>
        </w:rPr>
        <w:t xml:space="preserve">The Trust provides some specialist mental health services to North London, Hertfordshire and Essex. </w:t>
      </w:r>
    </w:p>
    <w:p w14:paraId="240C899C" w14:textId="77777777" w:rsidR="00E0035B" w:rsidRPr="00E0035B" w:rsidRDefault="00E0035B" w:rsidP="00332857">
      <w:pPr>
        <w:numPr>
          <w:ilvl w:val="0"/>
          <w:numId w:val="43"/>
        </w:numPr>
        <w:tabs>
          <w:tab w:val="clear" w:pos="720"/>
          <w:tab w:val="num" w:pos="567"/>
        </w:tabs>
        <w:spacing w:before="100" w:beforeAutospacing="1" w:after="100" w:afterAutospacing="1" w:line="240" w:lineRule="auto"/>
        <w:ind w:left="567" w:hanging="567"/>
        <w:rPr>
          <w:rFonts w:eastAsia="Times New Roman" w:cs="Arial"/>
          <w:lang w:eastAsia="en-GB"/>
        </w:rPr>
      </w:pPr>
      <w:r w:rsidRPr="00E0035B">
        <w:rPr>
          <w:rFonts w:eastAsia="Times New Roman" w:cs="Arial"/>
          <w:lang w:eastAsia="en-GB"/>
        </w:rPr>
        <w:t xml:space="preserve">The specialist Forensic Personality Disorder service serves North London. </w:t>
      </w:r>
    </w:p>
    <w:p w14:paraId="1007F387" w14:textId="77777777" w:rsidR="00E0035B" w:rsidRDefault="00E0035B" w:rsidP="00332857">
      <w:pPr>
        <w:numPr>
          <w:ilvl w:val="0"/>
          <w:numId w:val="43"/>
        </w:numPr>
        <w:tabs>
          <w:tab w:val="clear" w:pos="720"/>
          <w:tab w:val="num" w:pos="567"/>
        </w:tabs>
        <w:spacing w:before="100" w:beforeAutospacing="1" w:after="100" w:afterAutospacing="1" w:line="240" w:lineRule="auto"/>
        <w:ind w:left="567" w:hanging="567"/>
        <w:rPr>
          <w:rFonts w:eastAsia="Times New Roman" w:cs="Arial"/>
          <w:lang w:eastAsia="en-GB"/>
        </w:rPr>
      </w:pPr>
      <w:r w:rsidRPr="00E0035B">
        <w:rPr>
          <w:rFonts w:eastAsia="Times New Roman" w:cs="Arial"/>
          <w:lang w:eastAsia="en-GB"/>
        </w:rPr>
        <w:t xml:space="preserve">The specialist Mother and Baby Psychiatric Unit </w:t>
      </w:r>
      <w:proofErr w:type="gramStart"/>
      <w:r w:rsidRPr="00E0035B">
        <w:rPr>
          <w:rFonts w:eastAsia="Times New Roman" w:cs="Arial"/>
          <w:lang w:eastAsia="en-GB"/>
        </w:rPr>
        <w:t>receives</w:t>
      </w:r>
      <w:proofErr w:type="gramEnd"/>
      <w:r w:rsidRPr="00E0035B">
        <w:rPr>
          <w:rFonts w:eastAsia="Times New Roman" w:cs="Arial"/>
          <w:lang w:eastAsia="en-GB"/>
        </w:rPr>
        <w:t xml:space="preserve"> referrals from London and the </w:t>
      </w:r>
      <w:proofErr w:type="gramStart"/>
      <w:r w:rsidRPr="00E0035B">
        <w:rPr>
          <w:rFonts w:eastAsia="Times New Roman" w:cs="Arial"/>
          <w:lang w:eastAsia="en-GB"/>
        </w:rPr>
        <w:t>South East</w:t>
      </w:r>
      <w:proofErr w:type="gramEnd"/>
      <w:r w:rsidRPr="00E0035B">
        <w:rPr>
          <w:rFonts w:eastAsia="Times New Roman" w:cs="Arial"/>
          <w:lang w:eastAsia="en-GB"/>
        </w:rPr>
        <w:t xml:space="preserve"> of England. </w:t>
      </w:r>
    </w:p>
    <w:p w14:paraId="197AB33A" w14:textId="77777777" w:rsidR="00583D4E" w:rsidRPr="00E0035B" w:rsidRDefault="00583D4E" w:rsidP="00332857">
      <w:pPr>
        <w:pStyle w:val="NormalWeb"/>
        <w:rPr>
          <w:rFonts w:ascii="Arial" w:hAnsi="Arial" w:cs="Arial"/>
          <w:sz w:val="22"/>
          <w:szCs w:val="22"/>
        </w:rPr>
      </w:pPr>
      <w:r w:rsidRPr="00E0035B">
        <w:rPr>
          <w:rFonts w:ascii="Arial" w:hAnsi="Arial" w:cs="Arial"/>
          <w:sz w:val="22"/>
          <w:szCs w:val="22"/>
        </w:rPr>
        <w:t>Services operate from </w:t>
      </w:r>
      <w:r w:rsidR="00940477">
        <w:rPr>
          <w:rFonts w:ascii="Arial" w:hAnsi="Arial" w:cs="Arial"/>
          <w:sz w:val="22"/>
          <w:szCs w:val="22"/>
        </w:rPr>
        <w:t>60</w:t>
      </w:r>
      <w:r w:rsidR="00940477" w:rsidRPr="00E0035B">
        <w:rPr>
          <w:rFonts w:ascii="Arial" w:hAnsi="Arial" w:cs="Arial"/>
          <w:sz w:val="22"/>
          <w:szCs w:val="22"/>
        </w:rPr>
        <w:t xml:space="preserve"> </w:t>
      </w:r>
      <w:r w:rsidRPr="00E0035B">
        <w:rPr>
          <w:rFonts w:ascii="Arial" w:hAnsi="Arial" w:cs="Arial"/>
          <w:sz w:val="22"/>
          <w:szCs w:val="22"/>
        </w:rPr>
        <w:t xml:space="preserve">community and inpatient sites and have </w:t>
      </w:r>
      <w:r w:rsidR="00BB0F0C">
        <w:rPr>
          <w:rFonts w:ascii="Arial" w:hAnsi="Arial" w:cs="Arial"/>
          <w:sz w:val="22"/>
          <w:szCs w:val="22"/>
        </w:rPr>
        <w:t>946</w:t>
      </w:r>
      <w:r w:rsidR="00BB0F0C" w:rsidRPr="00E0035B">
        <w:rPr>
          <w:rFonts w:ascii="Arial" w:hAnsi="Arial" w:cs="Arial"/>
          <w:sz w:val="22"/>
          <w:szCs w:val="22"/>
        </w:rPr>
        <w:t xml:space="preserve"> </w:t>
      </w:r>
      <w:r w:rsidRPr="00E0035B">
        <w:rPr>
          <w:rFonts w:ascii="Arial" w:hAnsi="Arial" w:cs="Arial"/>
          <w:sz w:val="22"/>
          <w:szCs w:val="22"/>
        </w:rPr>
        <w:t>general and specialist inpatient beds. </w:t>
      </w:r>
    </w:p>
    <w:p w14:paraId="133A70B8" w14:textId="77777777" w:rsidR="00E82AE8" w:rsidRPr="00E0035B" w:rsidRDefault="00583D4E" w:rsidP="00D86FFF">
      <w:pPr>
        <w:pStyle w:val="Heading4"/>
        <w:numPr>
          <w:ilvl w:val="0"/>
          <w:numId w:val="0"/>
        </w:numPr>
        <w:ind w:left="709" w:hanging="864"/>
        <w:rPr>
          <w:rFonts w:cs="Arial"/>
          <w:b w:val="0"/>
          <w:bCs/>
          <w:sz w:val="22"/>
          <w:szCs w:val="22"/>
        </w:rPr>
      </w:pPr>
      <w:r w:rsidRPr="00E0035B">
        <w:rPr>
          <w:rFonts w:cs="Arial"/>
          <w:b w:val="0"/>
          <w:sz w:val="22"/>
          <w:szCs w:val="22"/>
        </w:rPr>
        <w:lastRenderedPageBreak/>
        <w:t xml:space="preserve"> </w:t>
      </w:r>
      <w:r w:rsidR="00332857">
        <w:rPr>
          <w:rFonts w:cs="Arial"/>
          <w:b w:val="0"/>
          <w:sz w:val="22"/>
          <w:szCs w:val="22"/>
        </w:rPr>
        <w:t xml:space="preserve">   </w:t>
      </w:r>
      <w:r w:rsidR="00D86FFF">
        <w:rPr>
          <w:rFonts w:cs="Arial"/>
          <w:b w:val="0"/>
          <w:sz w:val="22"/>
          <w:szCs w:val="22"/>
        </w:rPr>
        <w:t xml:space="preserve"> </w:t>
      </w:r>
      <w:r w:rsidRPr="00E0035B">
        <w:rPr>
          <w:rFonts w:cs="Arial"/>
          <w:b w:val="0"/>
          <w:sz w:val="22"/>
          <w:szCs w:val="22"/>
        </w:rPr>
        <w:t>The Trust is linked with the University of Lo</w:t>
      </w:r>
      <w:r w:rsidR="00E82AE8" w:rsidRPr="00E0035B">
        <w:rPr>
          <w:rFonts w:cs="Arial"/>
          <w:b w:val="0"/>
          <w:sz w:val="22"/>
          <w:szCs w:val="22"/>
        </w:rPr>
        <w:t>ndon, City University</w:t>
      </w:r>
      <w:r w:rsidR="00BB0F0C">
        <w:rPr>
          <w:rFonts w:cs="Arial"/>
          <w:b w:val="0"/>
          <w:sz w:val="22"/>
          <w:szCs w:val="22"/>
        </w:rPr>
        <w:t>, University of Bedfordshire</w:t>
      </w:r>
      <w:r w:rsidR="00E82AE8" w:rsidRPr="00E0035B">
        <w:rPr>
          <w:rFonts w:cs="Arial"/>
          <w:b w:val="0"/>
          <w:sz w:val="22"/>
          <w:szCs w:val="22"/>
        </w:rPr>
        <w:t xml:space="preserve"> and South </w:t>
      </w:r>
      <w:r w:rsidRPr="00E0035B">
        <w:rPr>
          <w:rFonts w:cs="Arial"/>
          <w:b w:val="0"/>
          <w:sz w:val="22"/>
          <w:szCs w:val="22"/>
        </w:rPr>
        <w:t>Bank University</w:t>
      </w:r>
      <w:r w:rsidR="00E82AE8" w:rsidRPr="00E0035B">
        <w:rPr>
          <w:rFonts w:cs="Arial"/>
          <w:b w:val="0"/>
          <w:bCs/>
          <w:sz w:val="22"/>
          <w:szCs w:val="22"/>
        </w:rPr>
        <w:t xml:space="preserve"> </w:t>
      </w:r>
    </w:p>
    <w:p w14:paraId="4403029C" w14:textId="77777777" w:rsidR="00E82AE8" w:rsidRPr="00E0035B" w:rsidRDefault="00332857" w:rsidP="00D86FFF">
      <w:pPr>
        <w:pStyle w:val="Heading4"/>
        <w:numPr>
          <w:ilvl w:val="0"/>
          <w:numId w:val="0"/>
        </w:numPr>
        <w:ind w:left="709" w:hanging="864"/>
        <w:rPr>
          <w:rFonts w:cs="Arial"/>
          <w:b w:val="0"/>
          <w:bCs/>
          <w:sz w:val="22"/>
          <w:szCs w:val="22"/>
        </w:rPr>
      </w:pPr>
      <w:r>
        <w:rPr>
          <w:rFonts w:cs="Arial"/>
          <w:b w:val="0"/>
          <w:bCs/>
          <w:sz w:val="22"/>
          <w:szCs w:val="22"/>
        </w:rPr>
        <w:t xml:space="preserve">     </w:t>
      </w:r>
      <w:r w:rsidR="00E82AE8" w:rsidRPr="00E0035B">
        <w:rPr>
          <w:rFonts w:cs="Arial"/>
          <w:b w:val="0"/>
          <w:bCs/>
          <w:sz w:val="22"/>
          <w:szCs w:val="22"/>
        </w:rPr>
        <w:t>The inpatient areas</w:t>
      </w:r>
      <w:r w:rsidR="00D86FFF">
        <w:rPr>
          <w:rFonts w:cs="Arial"/>
          <w:b w:val="0"/>
          <w:bCs/>
          <w:sz w:val="22"/>
          <w:szCs w:val="22"/>
        </w:rPr>
        <w:t xml:space="preserve"> for mental health</w:t>
      </w:r>
      <w:r w:rsidR="00E82AE8" w:rsidRPr="00E0035B">
        <w:rPr>
          <w:rFonts w:cs="Arial"/>
          <w:b w:val="0"/>
          <w:bCs/>
          <w:sz w:val="22"/>
          <w:szCs w:val="22"/>
        </w:rPr>
        <w:t xml:space="preserve"> in each of our localities are:</w:t>
      </w:r>
    </w:p>
    <w:p w14:paraId="4287E440" w14:textId="77777777" w:rsidR="00BB0F0C" w:rsidRDefault="00C11977" w:rsidP="00C11977">
      <w:pPr>
        <w:pStyle w:val="ListParagraph"/>
        <w:spacing w:before="100" w:beforeAutospacing="1" w:after="100" w:afterAutospacing="1"/>
        <w:rPr>
          <w:bCs/>
          <w:color w:val="auto"/>
          <w:sz w:val="22"/>
          <w:szCs w:val="22"/>
          <w:lang w:eastAsia="en-GB"/>
        </w:rPr>
      </w:pPr>
      <w:r>
        <w:rPr>
          <w:bCs/>
          <w:color w:val="auto"/>
          <w:sz w:val="22"/>
          <w:szCs w:val="22"/>
          <w:lang w:eastAsia="en-GB"/>
        </w:rPr>
        <w:t>The Coppice</w:t>
      </w:r>
    </w:p>
    <w:p w14:paraId="75257C74" w14:textId="77777777" w:rsidR="00E82AE8" w:rsidRPr="00E0035B" w:rsidRDefault="00E82AE8" w:rsidP="00D86FFF">
      <w:pPr>
        <w:pStyle w:val="ListParagraph"/>
        <w:spacing w:before="100" w:beforeAutospacing="1" w:after="100" w:afterAutospacing="1"/>
        <w:rPr>
          <w:bCs/>
          <w:color w:val="auto"/>
          <w:sz w:val="22"/>
          <w:szCs w:val="22"/>
          <w:lang w:eastAsia="en-GB"/>
        </w:rPr>
      </w:pPr>
      <w:r w:rsidRPr="00E0035B">
        <w:rPr>
          <w:bCs/>
          <w:color w:val="auto"/>
          <w:sz w:val="22"/>
          <w:szCs w:val="22"/>
          <w:lang w:eastAsia="en-GB"/>
        </w:rPr>
        <w:t>City and Hackney Centre for Mental Health</w:t>
      </w:r>
    </w:p>
    <w:p w14:paraId="3A245E29" w14:textId="77777777" w:rsidR="00BB0F0C" w:rsidRDefault="00E82AE8" w:rsidP="00BB0F0C">
      <w:pPr>
        <w:pStyle w:val="ListParagraph"/>
        <w:spacing w:before="100" w:beforeAutospacing="1" w:after="100" w:afterAutospacing="1"/>
        <w:rPr>
          <w:bCs/>
          <w:color w:val="auto"/>
          <w:sz w:val="22"/>
          <w:szCs w:val="22"/>
          <w:lang w:eastAsia="en-GB"/>
        </w:rPr>
      </w:pPr>
      <w:r w:rsidRPr="00E0035B">
        <w:rPr>
          <w:bCs/>
          <w:color w:val="auto"/>
          <w:sz w:val="22"/>
          <w:szCs w:val="22"/>
          <w:lang w:eastAsia="en-GB"/>
        </w:rPr>
        <w:t xml:space="preserve">Coborn Centre for Adolescent Mental Health  </w:t>
      </w:r>
      <w:r w:rsidRPr="00E0035B">
        <w:rPr>
          <w:bCs/>
          <w:color w:val="auto"/>
          <w:sz w:val="22"/>
          <w:szCs w:val="22"/>
          <w:lang w:eastAsia="en-GB"/>
        </w:rPr>
        <w:br/>
        <w:t xml:space="preserve">John Howard Centre </w:t>
      </w:r>
      <w:r w:rsidRPr="00E0035B">
        <w:rPr>
          <w:bCs/>
          <w:color w:val="auto"/>
          <w:sz w:val="22"/>
          <w:szCs w:val="22"/>
          <w:lang w:eastAsia="en-GB"/>
        </w:rPr>
        <w:br/>
      </w:r>
      <w:r w:rsidR="00BB0F0C">
        <w:rPr>
          <w:bCs/>
          <w:color w:val="auto"/>
          <w:sz w:val="22"/>
          <w:szCs w:val="22"/>
          <w:lang w:eastAsia="en-GB"/>
        </w:rPr>
        <w:t>Luton and Central Bedfordshire Mental Health Unit</w:t>
      </w:r>
    </w:p>
    <w:p w14:paraId="203D13A7" w14:textId="77777777" w:rsidR="002C2833" w:rsidRDefault="00E82AE8" w:rsidP="002C2833">
      <w:pPr>
        <w:pStyle w:val="ListParagraph"/>
        <w:spacing w:before="100" w:beforeAutospacing="1" w:after="100" w:afterAutospacing="1"/>
        <w:rPr>
          <w:bCs/>
          <w:color w:val="auto"/>
          <w:sz w:val="22"/>
          <w:szCs w:val="22"/>
          <w:lang w:eastAsia="en-GB"/>
        </w:rPr>
      </w:pPr>
      <w:r w:rsidRPr="00E0035B">
        <w:rPr>
          <w:bCs/>
          <w:color w:val="auto"/>
          <w:sz w:val="22"/>
          <w:szCs w:val="22"/>
          <w:lang w:eastAsia="en-GB"/>
        </w:rPr>
        <w:t xml:space="preserve">Newham Centre for Mental Health </w:t>
      </w:r>
      <w:r w:rsidRPr="00E0035B">
        <w:rPr>
          <w:bCs/>
          <w:color w:val="auto"/>
          <w:sz w:val="22"/>
          <w:szCs w:val="22"/>
          <w:lang w:eastAsia="en-GB"/>
        </w:rPr>
        <w:br/>
      </w:r>
      <w:r w:rsidR="002C2833">
        <w:rPr>
          <w:bCs/>
          <w:color w:val="auto"/>
          <w:sz w:val="22"/>
          <w:szCs w:val="22"/>
          <w:lang w:eastAsia="en-GB"/>
        </w:rPr>
        <w:t>Oakley Court</w:t>
      </w:r>
    </w:p>
    <w:p w14:paraId="6227AF74" w14:textId="77777777" w:rsidR="002C2833" w:rsidRDefault="00E82AE8" w:rsidP="002C2833">
      <w:pPr>
        <w:pStyle w:val="ListParagraph"/>
        <w:spacing w:before="100" w:beforeAutospacing="1" w:after="100" w:afterAutospacing="1"/>
        <w:rPr>
          <w:bCs/>
          <w:color w:val="auto"/>
          <w:sz w:val="22"/>
          <w:szCs w:val="22"/>
          <w:lang w:eastAsia="en-GB"/>
        </w:rPr>
      </w:pPr>
      <w:r w:rsidRPr="00E0035B">
        <w:rPr>
          <w:bCs/>
          <w:color w:val="auto"/>
          <w:sz w:val="22"/>
          <w:szCs w:val="22"/>
          <w:lang w:eastAsia="en-GB"/>
        </w:rPr>
        <w:t>Tower Hamlets Centre for Mental Health</w:t>
      </w:r>
      <w:r w:rsidRPr="00E0035B">
        <w:rPr>
          <w:color w:val="auto"/>
          <w:sz w:val="22"/>
          <w:szCs w:val="22"/>
          <w:lang w:eastAsia="en-GB"/>
        </w:rPr>
        <w:t xml:space="preserve"> </w:t>
      </w:r>
      <w:r w:rsidRPr="00E0035B">
        <w:rPr>
          <w:color w:val="auto"/>
          <w:sz w:val="22"/>
          <w:szCs w:val="22"/>
          <w:lang w:eastAsia="en-GB"/>
        </w:rPr>
        <w:br/>
      </w:r>
      <w:r w:rsidR="002C2833">
        <w:rPr>
          <w:bCs/>
          <w:color w:val="auto"/>
          <w:sz w:val="22"/>
          <w:szCs w:val="22"/>
          <w:lang w:eastAsia="en-GB"/>
        </w:rPr>
        <w:t>Townsend Court</w:t>
      </w:r>
    </w:p>
    <w:p w14:paraId="2782E16A" w14:textId="77777777" w:rsidR="007F34E4" w:rsidRPr="00C11977" w:rsidRDefault="00C11977" w:rsidP="00C11977">
      <w:pPr>
        <w:pStyle w:val="ListParagraph"/>
        <w:spacing w:before="100" w:beforeAutospacing="1" w:after="100" w:afterAutospacing="1"/>
        <w:rPr>
          <w:bCs/>
          <w:color w:val="auto"/>
          <w:sz w:val="22"/>
          <w:szCs w:val="22"/>
          <w:lang w:eastAsia="en-GB"/>
        </w:rPr>
      </w:pPr>
      <w:bookmarkStart w:id="6" w:name="_Toc397599198"/>
      <w:r>
        <w:rPr>
          <w:bCs/>
          <w:color w:val="auto"/>
          <w:sz w:val="22"/>
          <w:szCs w:val="22"/>
          <w:lang w:eastAsia="en-GB"/>
        </w:rPr>
        <w:t>Wolfson House.</w:t>
      </w:r>
    </w:p>
    <w:p w14:paraId="630E650A" w14:textId="77777777" w:rsidR="002756CF" w:rsidRDefault="002756CF" w:rsidP="00D97064">
      <w:pPr>
        <w:pStyle w:val="Heading1"/>
      </w:pPr>
    </w:p>
    <w:p w14:paraId="3A47200D" w14:textId="77777777" w:rsidR="00920F5F" w:rsidRPr="00BB787B" w:rsidRDefault="00C12F51" w:rsidP="00D97064">
      <w:pPr>
        <w:pStyle w:val="Heading1"/>
      </w:pPr>
      <w:r>
        <w:t xml:space="preserve">6. </w:t>
      </w:r>
      <w:r w:rsidR="00382DD9" w:rsidRPr="00BB787B">
        <w:t>Managing Surge</w:t>
      </w:r>
      <w:bookmarkEnd w:id="6"/>
    </w:p>
    <w:p w14:paraId="55A57062" w14:textId="50287863" w:rsidR="00C00E57" w:rsidRDefault="004D0888" w:rsidP="00C00E57">
      <w:pPr>
        <w:pStyle w:val="Heading2"/>
      </w:pPr>
      <w:bookmarkStart w:id="7" w:name="_Toc397599199"/>
      <w:r>
        <w:t>6.1</w:t>
      </w:r>
      <w:r w:rsidR="00C00E57">
        <w:tab/>
      </w:r>
      <w:r w:rsidR="00E0035B">
        <w:t>Pressure Surge</w:t>
      </w:r>
      <w:r w:rsidR="00C00E57">
        <w:t xml:space="preserve"> Arrangements</w:t>
      </w:r>
      <w:r w:rsidR="00E0035B">
        <w:t xml:space="preserve"> </w:t>
      </w:r>
      <w:r w:rsidR="003A7187">
        <w:t>–</w:t>
      </w:r>
      <w:r w:rsidR="00691094">
        <w:t xml:space="preserve"> </w:t>
      </w:r>
      <w:r w:rsidR="00274DF9">
        <w:t>ICB</w:t>
      </w:r>
      <w:r w:rsidR="003A7187">
        <w:t xml:space="preserve"> </w:t>
      </w:r>
      <w:r w:rsidR="00691094">
        <w:t>Responsibilities</w:t>
      </w:r>
      <w:bookmarkEnd w:id="7"/>
    </w:p>
    <w:p w14:paraId="46D53B63" w14:textId="77777777" w:rsidR="00332857" w:rsidRDefault="00E90B87" w:rsidP="00C00E57">
      <w:pPr>
        <w:spacing w:line="240" w:lineRule="auto"/>
        <w:ind w:left="720" w:hanging="720"/>
      </w:pPr>
      <w:r>
        <w:t xml:space="preserve">            </w:t>
      </w:r>
      <w:r w:rsidR="00332857">
        <w:t>Responsibility of leading pressure surges locally</w:t>
      </w:r>
    </w:p>
    <w:p w14:paraId="7D54325B" w14:textId="4A7E43C2" w:rsidR="00BB787B" w:rsidRDefault="00332857" w:rsidP="00C00E57">
      <w:pPr>
        <w:spacing w:line="240" w:lineRule="auto"/>
        <w:ind w:left="720" w:hanging="720"/>
      </w:pPr>
      <w:r>
        <w:t xml:space="preserve">            </w:t>
      </w:r>
      <w:r w:rsidR="00BB787B">
        <w:t xml:space="preserve">It is the responsibility of </w:t>
      </w:r>
      <w:r w:rsidR="00495C47">
        <w:t>Integrated Care Boards</w:t>
      </w:r>
      <w:r w:rsidR="00BB787B">
        <w:t xml:space="preserve"> (</w:t>
      </w:r>
      <w:r w:rsidR="00495C47">
        <w:t>ICB</w:t>
      </w:r>
      <w:r w:rsidR="00BB787B">
        <w:t>) to manage and lead the response to pressure surges in their localities</w:t>
      </w:r>
      <w:r w:rsidR="00990D82">
        <w:rPr>
          <w:rStyle w:val="FootnoteReference"/>
        </w:rPr>
        <w:footnoteReference w:id="2"/>
      </w:r>
      <w:r w:rsidR="003A7187">
        <w:t>.</w:t>
      </w:r>
      <w:r w:rsidR="00BB787B">
        <w:t xml:space="preserve">  </w:t>
      </w:r>
      <w:r w:rsidR="00990D82">
        <w:t>T</w:t>
      </w:r>
      <w:r w:rsidR="00BB787B">
        <w:t xml:space="preserve">he </w:t>
      </w:r>
      <w:proofErr w:type="gramStart"/>
      <w:r w:rsidR="00495C47">
        <w:t>N</w:t>
      </w:r>
      <w:r w:rsidR="00BB787B">
        <w:t xml:space="preserve">orth </w:t>
      </w:r>
      <w:r w:rsidR="00495C47">
        <w:t>E</w:t>
      </w:r>
      <w:r w:rsidR="00BB787B">
        <w:t>ast</w:t>
      </w:r>
      <w:proofErr w:type="gramEnd"/>
      <w:r w:rsidR="00BB787B">
        <w:t xml:space="preserve"> London</w:t>
      </w:r>
      <w:r w:rsidR="00274DF9">
        <w:t xml:space="preserve"> (NEL)</w:t>
      </w:r>
      <w:r w:rsidR="00BB787B">
        <w:t xml:space="preserve"> </w:t>
      </w:r>
      <w:r w:rsidR="00495C47">
        <w:t>ICB</w:t>
      </w:r>
      <w:r w:rsidR="00BB787B">
        <w:t xml:space="preserve"> ha</w:t>
      </w:r>
      <w:r w:rsidR="00495C47">
        <w:t>s</w:t>
      </w:r>
      <w:r w:rsidR="00BB787B">
        <w:t xml:space="preserve"> commissioned the local commission support unit (CSU) to manage this on their behalf</w:t>
      </w:r>
      <w:r w:rsidR="00990D82">
        <w:t xml:space="preserve">. While the Trust has </w:t>
      </w:r>
      <w:proofErr w:type="gramStart"/>
      <w:r w:rsidR="00990D82">
        <w:t>t</w:t>
      </w:r>
      <w:r w:rsidR="00274DF9">
        <w:t>he majority of</w:t>
      </w:r>
      <w:proofErr w:type="gramEnd"/>
      <w:r w:rsidR="00274DF9">
        <w:t xml:space="preserve"> its business in </w:t>
      </w:r>
      <w:proofErr w:type="gramStart"/>
      <w:r w:rsidR="00274DF9">
        <w:t>North E</w:t>
      </w:r>
      <w:r w:rsidR="00990D82">
        <w:t>ast</w:t>
      </w:r>
      <w:proofErr w:type="gramEnd"/>
      <w:r w:rsidR="00990D82">
        <w:t xml:space="preserve"> London, there are also services provided in other boroughs</w:t>
      </w:r>
      <w:r w:rsidR="002C2833">
        <w:t>, as well as in Bedfordshire and Luton</w:t>
      </w:r>
      <w:r w:rsidR="00BB787B">
        <w:t xml:space="preserve">, see table 2 below for </w:t>
      </w:r>
      <w:r w:rsidR="005B6025">
        <w:t xml:space="preserve">management </w:t>
      </w:r>
      <w:r w:rsidR="00BB787B">
        <w:t>details.</w:t>
      </w:r>
    </w:p>
    <w:p w14:paraId="221CD4C2" w14:textId="77777777" w:rsidR="00BB787B" w:rsidRPr="00BB787B" w:rsidRDefault="00C00E57" w:rsidP="00BB787B">
      <w:pPr>
        <w:spacing w:after="0"/>
        <w:rPr>
          <w:b/>
          <w:sz w:val="20"/>
          <w:szCs w:val="20"/>
        </w:rPr>
      </w:pPr>
      <w:r>
        <w:rPr>
          <w:b/>
          <w:sz w:val="20"/>
          <w:szCs w:val="20"/>
        </w:rPr>
        <w:t xml:space="preserve">            </w:t>
      </w:r>
      <w:r w:rsidR="00BB787B" w:rsidRPr="00BB787B">
        <w:rPr>
          <w:b/>
          <w:sz w:val="20"/>
          <w:szCs w:val="20"/>
        </w:rPr>
        <w:t>Table 2</w:t>
      </w:r>
    </w:p>
    <w:tbl>
      <w:tblPr>
        <w:tblStyle w:val="TableGrid"/>
        <w:tblW w:w="0" w:type="auto"/>
        <w:tblInd w:w="817" w:type="dxa"/>
        <w:tblLayout w:type="fixed"/>
        <w:tblLook w:val="04A0" w:firstRow="1" w:lastRow="0" w:firstColumn="1" w:lastColumn="0" w:noHBand="0" w:noVBand="1"/>
      </w:tblPr>
      <w:tblGrid>
        <w:gridCol w:w="2693"/>
        <w:gridCol w:w="2127"/>
        <w:gridCol w:w="4252"/>
      </w:tblGrid>
      <w:tr w:rsidR="00382DD9" w14:paraId="3C6E4880" w14:textId="77777777" w:rsidTr="00756EA0">
        <w:trPr>
          <w:trHeight w:val="326"/>
        </w:trPr>
        <w:tc>
          <w:tcPr>
            <w:tcW w:w="2693" w:type="dxa"/>
          </w:tcPr>
          <w:p w14:paraId="471AC827" w14:textId="77777777" w:rsidR="00382DD9" w:rsidRPr="00BB787B" w:rsidRDefault="009339E6" w:rsidP="00040D1A">
            <w:pPr>
              <w:rPr>
                <w:b/>
              </w:rPr>
            </w:pPr>
            <w:r>
              <w:rPr>
                <w:b/>
              </w:rPr>
              <w:t>Service</w:t>
            </w:r>
          </w:p>
        </w:tc>
        <w:tc>
          <w:tcPr>
            <w:tcW w:w="2127" w:type="dxa"/>
          </w:tcPr>
          <w:p w14:paraId="697D6A6A" w14:textId="77777777" w:rsidR="00382DD9" w:rsidRPr="00BB787B" w:rsidRDefault="00382DD9" w:rsidP="00040D1A">
            <w:pPr>
              <w:rPr>
                <w:b/>
              </w:rPr>
            </w:pPr>
            <w:r w:rsidRPr="00BB787B">
              <w:rPr>
                <w:b/>
              </w:rPr>
              <w:t>Managed by</w:t>
            </w:r>
          </w:p>
        </w:tc>
        <w:tc>
          <w:tcPr>
            <w:tcW w:w="4252" w:type="dxa"/>
          </w:tcPr>
          <w:p w14:paraId="0B685414" w14:textId="77777777" w:rsidR="00382DD9" w:rsidRPr="00BB787B" w:rsidRDefault="00382DD9" w:rsidP="00040D1A">
            <w:pPr>
              <w:rPr>
                <w:b/>
              </w:rPr>
            </w:pPr>
            <w:r w:rsidRPr="00BB787B">
              <w:rPr>
                <w:b/>
              </w:rPr>
              <w:t>Contact details</w:t>
            </w:r>
          </w:p>
        </w:tc>
      </w:tr>
      <w:tr w:rsidR="009339E6" w14:paraId="709545E2" w14:textId="77777777" w:rsidTr="00756EA0">
        <w:tc>
          <w:tcPr>
            <w:tcW w:w="2693" w:type="dxa"/>
          </w:tcPr>
          <w:p w14:paraId="6DE02A0B" w14:textId="77777777" w:rsidR="009339E6" w:rsidRDefault="009339E6" w:rsidP="00382DD9">
            <w:r>
              <w:t xml:space="preserve">City &amp; Hackney </w:t>
            </w:r>
          </w:p>
          <w:p w14:paraId="4BB9D624" w14:textId="77777777" w:rsidR="009339E6" w:rsidRDefault="009339E6" w:rsidP="00382DD9">
            <w:r>
              <w:t xml:space="preserve">Mental Health </w:t>
            </w:r>
          </w:p>
          <w:p w14:paraId="3358FD85" w14:textId="77777777" w:rsidR="009339E6" w:rsidRDefault="009339E6" w:rsidP="00382DD9">
            <w:r>
              <w:t xml:space="preserve">Inpatient and community </w:t>
            </w:r>
          </w:p>
        </w:tc>
        <w:tc>
          <w:tcPr>
            <w:tcW w:w="2127" w:type="dxa"/>
            <w:vMerge w:val="restart"/>
          </w:tcPr>
          <w:p w14:paraId="78029401" w14:textId="77777777" w:rsidR="009339E6" w:rsidRDefault="009339E6" w:rsidP="00040D1A">
            <w:proofErr w:type="gramStart"/>
            <w:r>
              <w:t>North East</w:t>
            </w:r>
            <w:proofErr w:type="gramEnd"/>
            <w:r>
              <w:t xml:space="preserve"> London Commissioning Support Unit (NEL CSU)</w:t>
            </w:r>
          </w:p>
        </w:tc>
        <w:tc>
          <w:tcPr>
            <w:tcW w:w="4252" w:type="dxa"/>
            <w:vMerge w:val="restart"/>
          </w:tcPr>
          <w:p w14:paraId="15F4EF84" w14:textId="003A14D5" w:rsidR="009339E6" w:rsidRDefault="009339E6" w:rsidP="00040D1A">
            <w:r>
              <w:t>Contact 0844 822 2888 and quote call sign NELCSU</w:t>
            </w:r>
            <w:r w:rsidR="00B84B33">
              <w:t>2</w:t>
            </w:r>
          </w:p>
        </w:tc>
      </w:tr>
      <w:tr w:rsidR="009339E6" w14:paraId="12099676" w14:textId="77777777" w:rsidTr="00756EA0">
        <w:tc>
          <w:tcPr>
            <w:tcW w:w="2693" w:type="dxa"/>
          </w:tcPr>
          <w:p w14:paraId="29A6F261" w14:textId="77777777" w:rsidR="009339E6" w:rsidRDefault="009339E6" w:rsidP="009339E6">
            <w:r>
              <w:t>Tower Hamlets</w:t>
            </w:r>
          </w:p>
          <w:p w14:paraId="04AD2FB6" w14:textId="77777777" w:rsidR="009339E6" w:rsidRDefault="009339E6" w:rsidP="009339E6">
            <w:r>
              <w:t xml:space="preserve">Mental Health </w:t>
            </w:r>
          </w:p>
          <w:p w14:paraId="030BFCA3" w14:textId="77777777" w:rsidR="009339E6" w:rsidRDefault="009339E6" w:rsidP="00C824EA">
            <w:r>
              <w:t>Inpatient and community</w:t>
            </w:r>
          </w:p>
        </w:tc>
        <w:tc>
          <w:tcPr>
            <w:tcW w:w="2127" w:type="dxa"/>
            <w:vMerge/>
          </w:tcPr>
          <w:p w14:paraId="7DE7B06F" w14:textId="77777777" w:rsidR="009339E6" w:rsidRDefault="009339E6" w:rsidP="00040D1A"/>
        </w:tc>
        <w:tc>
          <w:tcPr>
            <w:tcW w:w="4252" w:type="dxa"/>
            <w:vMerge/>
          </w:tcPr>
          <w:p w14:paraId="3C688D82" w14:textId="77777777" w:rsidR="009339E6" w:rsidRDefault="009339E6" w:rsidP="00040D1A"/>
        </w:tc>
      </w:tr>
      <w:tr w:rsidR="009339E6" w14:paraId="4E3504F3" w14:textId="77777777" w:rsidTr="00756EA0">
        <w:tc>
          <w:tcPr>
            <w:tcW w:w="2693" w:type="dxa"/>
          </w:tcPr>
          <w:p w14:paraId="14DDE55E" w14:textId="77777777" w:rsidR="009339E6" w:rsidRDefault="009339E6" w:rsidP="009339E6">
            <w:r>
              <w:t>Newham</w:t>
            </w:r>
          </w:p>
          <w:p w14:paraId="1FB4F8FA" w14:textId="77777777" w:rsidR="009339E6" w:rsidRDefault="009339E6" w:rsidP="009339E6">
            <w:r>
              <w:t xml:space="preserve">Mental Health </w:t>
            </w:r>
          </w:p>
          <w:p w14:paraId="7CC060A3" w14:textId="77777777" w:rsidR="00C824EA" w:rsidRDefault="009339E6" w:rsidP="009339E6">
            <w:r>
              <w:t>Inpatient and community</w:t>
            </w:r>
          </w:p>
          <w:p w14:paraId="7B485AE7" w14:textId="77777777" w:rsidR="009339E6" w:rsidRDefault="009339E6" w:rsidP="00C824EA">
            <w:r>
              <w:t>Community Health Services</w:t>
            </w:r>
          </w:p>
        </w:tc>
        <w:tc>
          <w:tcPr>
            <w:tcW w:w="2127" w:type="dxa"/>
            <w:vMerge/>
          </w:tcPr>
          <w:p w14:paraId="21D43C57" w14:textId="77777777" w:rsidR="009339E6" w:rsidRDefault="009339E6" w:rsidP="00040D1A"/>
        </w:tc>
        <w:tc>
          <w:tcPr>
            <w:tcW w:w="4252" w:type="dxa"/>
            <w:vMerge/>
          </w:tcPr>
          <w:p w14:paraId="661BA926" w14:textId="77777777" w:rsidR="009339E6" w:rsidRDefault="009339E6" w:rsidP="00040D1A"/>
        </w:tc>
      </w:tr>
      <w:tr w:rsidR="009339E6" w14:paraId="525E4214" w14:textId="77777777" w:rsidTr="00756EA0">
        <w:tc>
          <w:tcPr>
            <w:tcW w:w="2693" w:type="dxa"/>
          </w:tcPr>
          <w:p w14:paraId="630BB890" w14:textId="77777777" w:rsidR="00C824EA" w:rsidRDefault="00C824EA" w:rsidP="00C824EA">
            <w:r>
              <w:t>Specialised Mental and Community Health</w:t>
            </w:r>
          </w:p>
          <w:p w14:paraId="53B467CB" w14:textId="77777777" w:rsidR="00C824EA" w:rsidRDefault="00C824EA" w:rsidP="00C824EA">
            <w:r>
              <w:t>(includes Forensic services, CAMHS tier 4, women &amp; baby units, health visiting, child immunisation, Diabetic Retinal Screening, etc.)</w:t>
            </w:r>
          </w:p>
        </w:tc>
        <w:tc>
          <w:tcPr>
            <w:tcW w:w="2127" w:type="dxa"/>
          </w:tcPr>
          <w:p w14:paraId="4AFEBDC6" w14:textId="77777777" w:rsidR="009339E6" w:rsidRDefault="00C824EA" w:rsidP="00040D1A">
            <w:r>
              <w:t>NHS England</w:t>
            </w:r>
          </w:p>
        </w:tc>
        <w:tc>
          <w:tcPr>
            <w:tcW w:w="4252" w:type="dxa"/>
          </w:tcPr>
          <w:p w14:paraId="29C32568" w14:textId="77777777" w:rsidR="00C824EA" w:rsidRDefault="00C824EA" w:rsidP="00C824EA">
            <w:r>
              <w:t xml:space="preserve">Mary O'Donnell, Senior Commissioning Manager </w:t>
            </w:r>
          </w:p>
          <w:p w14:paraId="3E7EBD68" w14:textId="77777777" w:rsidR="00C824EA" w:rsidRDefault="00C824EA" w:rsidP="00C824EA">
            <w:r>
              <w:t>NHS England Offender Personality Disorder Pathway</w:t>
            </w:r>
          </w:p>
          <w:p w14:paraId="1F350238" w14:textId="77777777" w:rsidR="00C824EA" w:rsidRDefault="00C824EA" w:rsidP="00C824EA">
            <w:r>
              <w:t>Tel 011 3807 0718</w:t>
            </w:r>
          </w:p>
          <w:p w14:paraId="4FA2E41A" w14:textId="77777777" w:rsidR="00C824EA" w:rsidRDefault="00C824EA" w:rsidP="00C824EA">
            <w:r>
              <w:t>Mobile 07900 713 009</w:t>
            </w:r>
          </w:p>
          <w:p w14:paraId="37159768" w14:textId="77777777" w:rsidR="009339E6" w:rsidRDefault="00C824EA" w:rsidP="00C824EA">
            <w:r>
              <w:t>maryo'donnell@nhs.net    </w:t>
            </w:r>
          </w:p>
        </w:tc>
      </w:tr>
      <w:tr w:rsidR="002C2833" w14:paraId="223AE611" w14:textId="77777777" w:rsidTr="00756EA0">
        <w:tc>
          <w:tcPr>
            <w:tcW w:w="2693" w:type="dxa"/>
          </w:tcPr>
          <w:p w14:paraId="7DB0DDDB" w14:textId="77777777" w:rsidR="002C2833" w:rsidRDefault="002C2833" w:rsidP="00382DD9">
            <w:r>
              <w:t>Bedfordshire and Luton</w:t>
            </w:r>
          </w:p>
          <w:p w14:paraId="053C0423" w14:textId="77777777" w:rsidR="002C2833" w:rsidRDefault="002C2833" w:rsidP="00382DD9">
            <w:r>
              <w:t>Mental Health Inpatient and Community</w:t>
            </w:r>
          </w:p>
        </w:tc>
        <w:tc>
          <w:tcPr>
            <w:tcW w:w="2127" w:type="dxa"/>
          </w:tcPr>
          <w:p w14:paraId="6A7763A4" w14:textId="69C8A980" w:rsidR="002C2833" w:rsidRDefault="00495C47" w:rsidP="00040D1A">
            <w:r>
              <w:t>BLMK ICB</w:t>
            </w:r>
          </w:p>
        </w:tc>
        <w:tc>
          <w:tcPr>
            <w:tcW w:w="4252" w:type="dxa"/>
          </w:tcPr>
          <w:p w14:paraId="162BC07E" w14:textId="77777777" w:rsidR="002C2833" w:rsidRPr="00495C47" w:rsidRDefault="00495C47" w:rsidP="00C824EA">
            <w:pPr>
              <w:pStyle w:val="b9b69ec8-713f-49e2-9e91-579222eacc78"/>
              <w:rPr>
                <w:rFonts w:ascii="Arial" w:hAnsi="Arial" w:cs="Arial"/>
                <w:sz w:val="22"/>
                <w:szCs w:val="22"/>
              </w:rPr>
            </w:pPr>
            <w:r w:rsidRPr="00495C47">
              <w:rPr>
                <w:rFonts w:ascii="Arial" w:hAnsi="Arial" w:cs="Arial"/>
                <w:sz w:val="22"/>
                <w:szCs w:val="22"/>
              </w:rPr>
              <w:t>BLMK Senior Manager On-Call</w:t>
            </w:r>
          </w:p>
          <w:p w14:paraId="01367BE0" w14:textId="796BAD0E" w:rsidR="00495C47" w:rsidRDefault="00495C47" w:rsidP="00C824EA">
            <w:pPr>
              <w:pStyle w:val="b9b69ec8-713f-49e2-9e91-579222eacc78"/>
              <w:rPr>
                <w:rFonts w:ascii="Arial" w:hAnsi="Arial" w:cs="Arial"/>
                <w:sz w:val="20"/>
                <w:szCs w:val="20"/>
              </w:rPr>
            </w:pPr>
            <w:r w:rsidRPr="00495C47">
              <w:rPr>
                <w:rFonts w:ascii="Arial" w:hAnsi="Arial" w:cs="Arial"/>
                <w:sz w:val="22"/>
                <w:szCs w:val="22"/>
              </w:rPr>
              <w:t>01603 481 270</w:t>
            </w:r>
          </w:p>
        </w:tc>
      </w:tr>
    </w:tbl>
    <w:p w14:paraId="4898DBAA" w14:textId="77777777" w:rsidR="00C00E57" w:rsidRDefault="00C00E57" w:rsidP="00D97064">
      <w:pPr>
        <w:pStyle w:val="Heading2"/>
      </w:pPr>
    </w:p>
    <w:p w14:paraId="2B2FE4A9" w14:textId="77777777" w:rsidR="00B85109" w:rsidRPr="007F34E4" w:rsidRDefault="00B85109" w:rsidP="007F34E4">
      <w:pPr>
        <w:pStyle w:val="BodyText"/>
        <w:numPr>
          <w:ilvl w:val="0"/>
          <w:numId w:val="0"/>
        </w:numPr>
        <w:spacing w:after="0"/>
        <w:jc w:val="both"/>
        <w:rPr>
          <w:sz w:val="22"/>
          <w:szCs w:val="22"/>
          <w:u w:val="single"/>
          <w:lang w:val="en-GB"/>
        </w:rPr>
      </w:pPr>
      <w:r w:rsidRPr="00B85109">
        <w:rPr>
          <w:noProof/>
          <w:sz w:val="22"/>
          <w:szCs w:val="22"/>
          <w:lang w:val="en-GB" w:eastAsia="en-GB"/>
        </w:rPr>
        <mc:AlternateContent>
          <mc:Choice Requires="wps">
            <w:drawing>
              <wp:anchor distT="0" distB="0" distL="114300" distR="114300" simplePos="0" relativeHeight="251659264" behindDoc="0" locked="0" layoutInCell="1" allowOverlap="1" wp14:anchorId="330C4B06" wp14:editId="79A6F7F9">
                <wp:simplePos x="0" y="0"/>
                <wp:positionH relativeFrom="column">
                  <wp:posOffset>-20320</wp:posOffset>
                </wp:positionH>
                <wp:positionV relativeFrom="paragraph">
                  <wp:posOffset>37465</wp:posOffset>
                </wp:positionV>
                <wp:extent cx="6370320" cy="1403985"/>
                <wp:effectExtent l="0" t="0" r="0" b="698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320" cy="1403985"/>
                        </a:xfrm>
                        <a:prstGeom prst="rect">
                          <a:avLst/>
                        </a:prstGeom>
                        <a:solidFill>
                          <a:srgbClr val="FFFFFF"/>
                        </a:solidFill>
                        <a:ln w="9525">
                          <a:noFill/>
                          <a:miter lim="800000"/>
                          <a:headEnd/>
                          <a:tailEnd/>
                        </a:ln>
                      </wps:spPr>
                      <wps:txbx>
                        <w:txbxContent>
                          <w:p w14:paraId="38D30F7E" w14:textId="77777777" w:rsidR="00404B16" w:rsidRDefault="00404B16" w:rsidP="00B8510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0C4B06" id="_x0000_s1027" type="#_x0000_t202" style="position:absolute;left:0;text-align:left;margin-left:-1.6pt;margin-top:2.95pt;width:501.6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" stroked="f">
                <v:textbox style="mso-fit-shape-to-text:t">
                  <w:txbxContent>
                    <w:p w14:paraId="38D30F7E" w14:textId="77777777" w:rsidR="00404B16" w:rsidRDefault="00404B16" w:rsidP="00B85109"/>
                  </w:txbxContent>
                </v:textbox>
              </v:shape>
            </w:pict>
          </mc:Fallback>
        </mc:AlternateContent>
      </w:r>
    </w:p>
    <w:p w14:paraId="6763E5BC" w14:textId="77777777" w:rsidR="00B85109" w:rsidRPr="00747E5E" w:rsidRDefault="00B85109" w:rsidP="00B85109">
      <w:pPr>
        <w:pStyle w:val="BodyText"/>
        <w:numPr>
          <w:ilvl w:val="0"/>
          <w:numId w:val="0"/>
        </w:numPr>
        <w:spacing w:after="0"/>
        <w:ind w:left="720" w:hanging="578"/>
        <w:jc w:val="both"/>
        <w:rPr>
          <w:sz w:val="22"/>
          <w:szCs w:val="22"/>
          <w:u w:val="single"/>
          <w:lang w:val="en-GB"/>
        </w:rPr>
      </w:pPr>
      <w:r w:rsidRPr="00747E5E">
        <w:rPr>
          <w:sz w:val="22"/>
          <w:szCs w:val="22"/>
          <w:u w:val="single"/>
          <w:lang w:val="en-GB"/>
        </w:rPr>
        <w:lastRenderedPageBreak/>
        <w:t>Teleconference Arrangements</w:t>
      </w:r>
    </w:p>
    <w:p w14:paraId="7E713BEE" w14:textId="77777777" w:rsidR="00B85109" w:rsidRDefault="00B85109" w:rsidP="003A7187">
      <w:pPr>
        <w:pStyle w:val="BodyText"/>
        <w:numPr>
          <w:ilvl w:val="0"/>
          <w:numId w:val="0"/>
        </w:numPr>
        <w:spacing w:after="0"/>
        <w:ind w:left="720" w:hanging="578"/>
        <w:jc w:val="both"/>
        <w:rPr>
          <w:sz w:val="22"/>
          <w:szCs w:val="22"/>
          <w:lang w:val="en-GB"/>
        </w:rPr>
      </w:pPr>
    </w:p>
    <w:p w14:paraId="5915031C" w14:textId="4A3CF6D0" w:rsidR="00C00E57" w:rsidRDefault="00332857" w:rsidP="003A7187">
      <w:pPr>
        <w:pStyle w:val="BodyText"/>
        <w:numPr>
          <w:ilvl w:val="0"/>
          <w:numId w:val="0"/>
        </w:numPr>
        <w:spacing w:after="0"/>
        <w:ind w:left="720" w:hanging="578"/>
        <w:jc w:val="both"/>
        <w:rPr>
          <w:rFonts w:ascii="Arial" w:hAnsi="Arial" w:cs="Arial"/>
          <w:sz w:val="22"/>
          <w:szCs w:val="22"/>
          <w:lang w:val="en-GB"/>
        </w:rPr>
      </w:pPr>
      <w:r>
        <w:rPr>
          <w:sz w:val="22"/>
          <w:szCs w:val="22"/>
          <w:lang w:val="en-GB"/>
        </w:rPr>
        <w:t xml:space="preserve"> </w:t>
      </w:r>
      <w:r w:rsidR="009F579B">
        <w:rPr>
          <w:sz w:val="22"/>
          <w:szCs w:val="22"/>
          <w:lang w:val="en-GB"/>
        </w:rPr>
        <w:tab/>
      </w:r>
      <w:r w:rsidR="003A7187">
        <w:rPr>
          <w:sz w:val="22"/>
          <w:szCs w:val="22"/>
          <w:lang w:val="en-GB"/>
        </w:rPr>
        <w:t>In the event of inte</w:t>
      </w:r>
      <w:r w:rsidR="009F579B">
        <w:rPr>
          <w:sz w:val="22"/>
          <w:szCs w:val="22"/>
          <w:lang w:val="en-GB"/>
        </w:rPr>
        <w:t xml:space="preserve">rnally created triggers, </w:t>
      </w:r>
      <w:proofErr w:type="spellStart"/>
      <w:r w:rsidR="003A7187">
        <w:rPr>
          <w:sz w:val="22"/>
          <w:szCs w:val="22"/>
          <w:lang w:val="en-GB"/>
        </w:rPr>
        <w:t>t</w:t>
      </w:r>
      <w:r w:rsidR="009F579B">
        <w:rPr>
          <w:rFonts w:ascii="Arial" w:hAnsi="Arial" w:cs="Arial"/>
          <w:sz w:val="22"/>
          <w:szCs w:val="22"/>
        </w:rPr>
        <w:t>he</w:t>
      </w:r>
      <w:proofErr w:type="spellEnd"/>
      <w:r w:rsidR="009F579B">
        <w:rPr>
          <w:rFonts w:ascii="Arial" w:hAnsi="Arial" w:cs="Arial"/>
          <w:sz w:val="22"/>
          <w:szCs w:val="22"/>
        </w:rPr>
        <w:t xml:space="preserve"> </w:t>
      </w:r>
      <w:r w:rsidR="00C00E57" w:rsidRPr="00C00E57">
        <w:rPr>
          <w:rFonts w:ascii="Arial" w:hAnsi="Arial" w:cs="Arial"/>
          <w:sz w:val="22"/>
          <w:szCs w:val="22"/>
        </w:rPr>
        <w:t xml:space="preserve">Trust will </w:t>
      </w:r>
      <w:r w:rsidR="003A7187">
        <w:rPr>
          <w:rFonts w:ascii="Arial" w:hAnsi="Arial" w:cs="Arial"/>
          <w:sz w:val="22"/>
          <w:szCs w:val="22"/>
          <w:lang w:val="en-GB"/>
        </w:rPr>
        <w:t xml:space="preserve">contact </w:t>
      </w:r>
      <w:r w:rsidR="00D86FFF">
        <w:rPr>
          <w:rFonts w:ascii="Arial" w:hAnsi="Arial" w:cs="Arial"/>
          <w:sz w:val="22"/>
          <w:szCs w:val="22"/>
          <w:lang w:val="en-GB"/>
        </w:rPr>
        <w:t xml:space="preserve">the relevant </w:t>
      </w:r>
      <w:r w:rsidR="00495C47">
        <w:rPr>
          <w:rFonts w:ascii="Arial" w:hAnsi="Arial" w:cs="Arial"/>
          <w:sz w:val="22"/>
          <w:szCs w:val="22"/>
          <w:lang w:val="en-GB"/>
        </w:rPr>
        <w:t>ICB</w:t>
      </w:r>
      <w:r w:rsidR="00D86FFF">
        <w:rPr>
          <w:rFonts w:ascii="Arial" w:hAnsi="Arial" w:cs="Arial"/>
          <w:sz w:val="22"/>
          <w:szCs w:val="22"/>
          <w:lang w:val="en-GB"/>
        </w:rPr>
        <w:t xml:space="preserve"> </w:t>
      </w:r>
      <w:r w:rsidR="00C00E57" w:rsidRPr="00C00E57">
        <w:rPr>
          <w:rFonts w:ascii="Arial" w:hAnsi="Arial" w:cs="Arial"/>
          <w:sz w:val="22"/>
          <w:szCs w:val="22"/>
          <w:lang w:val="en-GB"/>
        </w:rPr>
        <w:t>to request the establishment of extreme pressure teleconferences to ensure the wider impact of surge is managed across the sector. Teleconferences will be initiated when pressure is extended and beyond the capacity of the Trust to manage on its own. These teleconferences will be chaired by</w:t>
      </w:r>
      <w:r w:rsidR="00274DF9">
        <w:rPr>
          <w:rFonts w:ascii="Arial" w:hAnsi="Arial" w:cs="Arial"/>
          <w:sz w:val="22"/>
          <w:szCs w:val="22"/>
          <w:lang w:val="en-GB"/>
        </w:rPr>
        <w:t xml:space="preserve"> the</w:t>
      </w:r>
      <w:r w:rsidR="00C00E57" w:rsidRPr="00C00E57">
        <w:rPr>
          <w:rFonts w:ascii="Arial" w:hAnsi="Arial" w:cs="Arial"/>
          <w:sz w:val="22"/>
          <w:szCs w:val="22"/>
          <w:lang w:val="en-GB"/>
        </w:rPr>
        <w:t xml:space="preserve"> </w:t>
      </w:r>
      <w:r w:rsidR="00495C47">
        <w:rPr>
          <w:rFonts w:ascii="Arial" w:hAnsi="Arial" w:cs="Arial"/>
          <w:sz w:val="22"/>
          <w:szCs w:val="22"/>
          <w:lang w:val="en-GB"/>
        </w:rPr>
        <w:t>ICB</w:t>
      </w:r>
      <w:r w:rsidR="00C00E57">
        <w:rPr>
          <w:rFonts w:ascii="Arial" w:hAnsi="Arial" w:cs="Arial"/>
          <w:sz w:val="22"/>
          <w:szCs w:val="22"/>
          <w:lang w:val="en-GB"/>
        </w:rPr>
        <w:t xml:space="preserve"> </w:t>
      </w:r>
      <w:r w:rsidR="00990D82">
        <w:rPr>
          <w:rFonts w:ascii="Arial" w:hAnsi="Arial" w:cs="Arial"/>
          <w:sz w:val="22"/>
          <w:szCs w:val="22"/>
          <w:lang w:val="en-GB"/>
        </w:rPr>
        <w:t>a</w:t>
      </w:r>
      <w:r w:rsidR="00C00E57" w:rsidRPr="00C00E57">
        <w:rPr>
          <w:rFonts w:ascii="Arial" w:hAnsi="Arial" w:cs="Arial"/>
          <w:sz w:val="22"/>
          <w:szCs w:val="22"/>
          <w:lang w:val="en-GB"/>
        </w:rPr>
        <w:t xml:space="preserve">nd attended by the following </w:t>
      </w:r>
      <w:proofErr w:type="gramStart"/>
      <w:r w:rsidR="00C00E57">
        <w:rPr>
          <w:rFonts w:ascii="Arial" w:hAnsi="Arial" w:cs="Arial"/>
          <w:sz w:val="22"/>
          <w:szCs w:val="22"/>
          <w:lang w:val="en-GB"/>
        </w:rPr>
        <w:t>organisations;</w:t>
      </w:r>
      <w:proofErr w:type="gramEnd"/>
    </w:p>
    <w:p w14:paraId="16252782" w14:textId="77777777" w:rsidR="00C00E57" w:rsidRPr="00C00E57" w:rsidRDefault="00C00E57" w:rsidP="00C00E57">
      <w:pPr>
        <w:pStyle w:val="BodyText"/>
        <w:numPr>
          <w:ilvl w:val="0"/>
          <w:numId w:val="0"/>
        </w:numPr>
        <w:spacing w:after="0"/>
        <w:ind w:left="720"/>
        <w:jc w:val="both"/>
        <w:rPr>
          <w:rFonts w:ascii="Arial" w:hAnsi="Arial" w:cs="Arial"/>
          <w:sz w:val="22"/>
          <w:szCs w:val="22"/>
          <w:lang w:val="en-GB"/>
        </w:rPr>
      </w:pPr>
    </w:p>
    <w:p w14:paraId="2A697401" w14:textId="77777777" w:rsidR="00C00E57" w:rsidRDefault="00C00E57" w:rsidP="00C00E57">
      <w:pPr>
        <w:pStyle w:val="BodyTextBullets"/>
        <w:numPr>
          <w:ilvl w:val="0"/>
          <w:numId w:val="34"/>
        </w:numPr>
        <w:rPr>
          <w:sz w:val="22"/>
          <w:szCs w:val="22"/>
        </w:rPr>
      </w:pPr>
      <w:r>
        <w:rPr>
          <w:sz w:val="22"/>
          <w:szCs w:val="22"/>
        </w:rPr>
        <w:t>ELFT</w:t>
      </w:r>
    </w:p>
    <w:p w14:paraId="2A9412AC" w14:textId="77777777" w:rsidR="00C00E57" w:rsidRPr="00C00E57" w:rsidRDefault="00C00E57" w:rsidP="00C00E57">
      <w:pPr>
        <w:pStyle w:val="BodyTextBullets"/>
        <w:numPr>
          <w:ilvl w:val="0"/>
          <w:numId w:val="34"/>
        </w:numPr>
        <w:rPr>
          <w:sz w:val="22"/>
          <w:szCs w:val="22"/>
        </w:rPr>
      </w:pPr>
      <w:r w:rsidRPr="00C00E57">
        <w:rPr>
          <w:sz w:val="22"/>
          <w:szCs w:val="22"/>
        </w:rPr>
        <w:t>Social Services – all Boroughs</w:t>
      </w:r>
    </w:p>
    <w:p w14:paraId="0D9D0ED4" w14:textId="4031FDBE" w:rsidR="00C00E57" w:rsidRPr="00C00E57" w:rsidRDefault="00274DF9" w:rsidP="00C00E57">
      <w:pPr>
        <w:pStyle w:val="BodyTextBullets"/>
        <w:numPr>
          <w:ilvl w:val="0"/>
          <w:numId w:val="34"/>
        </w:numPr>
        <w:rPr>
          <w:sz w:val="22"/>
          <w:szCs w:val="22"/>
        </w:rPr>
      </w:pPr>
      <w:r>
        <w:rPr>
          <w:sz w:val="22"/>
          <w:szCs w:val="22"/>
        </w:rPr>
        <w:t>ICBs (Integrated Care Boards)</w:t>
      </w:r>
    </w:p>
    <w:p w14:paraId="5D4E9349" w14:textId="77777777" w:rsidR="00691094" w:rsidRPr="00747E5E" w:rsidRDefault="00C00E57" w:rsidP="00D97064">
      <w:pPr>
        <w:pStyle w:val="BodyTextBullets"/>
        <w:numPr>
          <w:ilvl w:val="0"/>
          <w:numId w:val="34"/>
        </w:numPr>
      </w:pPr>
      <w:r w:rsidRPr="00C00E57">
        <w:rPr>
          <w:sz w:val="22"/>
          <w:szCs w:val="22"/>
        </w:rPr>
        <w:t>L</w:t>
      </w:r>
      <w:r w:rsidR="00691094">
        <w:rPr>
          <w:sz w:val="22"/>
          <w:szCs w:val="22"/>
        </w:rPr>
        <w:t xml:space="preserve">ondon </w:t>
      </w:r>
      <w:r w:rsidRPr="00C00E57">
        <w:rPr>
          <w:sz w:val="22"/>
          <w:szCs w:val="22"/>
        </w:rPr>
        <w:t>A</w:t>
      </w:r>
      <w:r w:rsidR="00691094">
        <w:rPr>
          <w:sz w:val="22"/>
          <w:szCs w:val="22"/>
        </w:rPr>
        <w:t xml:space="preserve">mbulance </w:t>
      </w:r>
      <w:r w:rsidRPr="00C00E57">
        <w:rPr>
          <w:sz w:val="22"/>
          <w:szCs w:val="22"/>
        </w:rPr>
        <w:t>S</w:t>
      </w:r>
      <w:r w:rsidR="00691094">
        <w:rPr>
          <w:sz w:val="22"/>
          <w:szCs w:val="22"/>
        </w:rPr>
        <w:t>ervice (LAS)</w:t>
      </w:r>
      <w:r w:rsidR="002C2833">
        <w:rPr>
          <w:sz w:val="22"/>
          <w:szCs w:val="22"/>
        </w:rPr>
        <w:t xml:space="preserve"> or East of England Ambulance Service</w:t>
      </w:r>
      <w:r w:rsidR="003A7187">
        <w:rPr>
          <w:sz w:val="22"/>
          <w:szCs w:val="22"/>
        </w:rPr>
        <w:t xml:space="preserve"> – </w:t>
      </w:r>
      <w:r w:rsidR="002C2833">
        <w:rPr>
          <w:sz w:val="22"/>
          <w:szCs w:val="22"/>
        </w:rPr>
        <w:t xml:space="preserve">where </w:t>
      </w:r>
      <w:r w:rsidR="003A7187">
        <w:rPr>
          <w:sz w:val="22"/>
          <w:szCs w:val="22"/>
        </w:rPr>
        <w:t>appropriate</w:t>
      </w:r>
    </w:p>
    <w:p w14:paraId="2A75412C" w14:textId="77777777" w:rsidR="00747E5E" w:rsidRPr="00691094" w:rsidRDefault="00747E5E" w:rsidP="00747E5E">
      <w:pPr>
        <w:pStyle w:val="BodyTextBullets"/>
        <w:ind w:left="1080"/>
      </w:pPr>
    </w:p>
    <w:p w14:paraId="6F51ECCE" w14:textId="77777777" w:rsidR="00143732" w:rsidRDefault="00C00E57" w:rsidP="00691094">
      <w:pPr>
        <w:pStyle w:val="BodyTextBullets"/>
        <w:ind w:left="1080"/>
      </w:pPr>
      <w:r w:rsidRPr="00C00E57">
        <w:rPr>
          <w:sz w:val="22"/>
          <w:szCs w:val="22"/>
        </w:rPr>
        <w:t xml:space="preserve"> </w:t>
      </w:r>
    </w:p>
    <w:p w14:paraId="34F6810A" w14:textId="77777777" w:rsidR="005B6025" w:rsidRPr="000C545B" w:rsidRDefault="004D0888" w:rsidP="00D97064">
      <w:pPr>
        <w:pStyle w:val="Heading2"/>
      </w:pPr>
      <w:bookmarkStart w:id="8" w:name="_Toc397599200"/>
      <w:r>
        <w:t>6.2</w:t>
      </w:r>
      <w:r>
        <w:tab/>
      </w:r>
      <w:r w:rsidR="00691094">
        <w:t>NHS England (London) Pressure Surge Management Arrangements</w:t>
      </w:r>
      <w:bookmarkEnd w:id="8"/>
    </w:p>
    <w:p w14:paraId="6FC12D2E" w14:textId="77777777" w:rsidR="00150325" w:rsidRDefault="00654939" w:rsidP="00150325">
      <w:pPr>
        <w:ind w:left="720" w:hanging="720"/>
      </w:pPr>
      <w:r>
        <w:t>6.2.1</w:t>
      </w:r>
      <w:r>
        <w:tab/>
      </w:r>
      <w:r w:rsidR="00BB787B" w:rsidRPr="00BB787B">
        <w:t>C</w:t>
      </w:r>
      <w:r w:rsidR="006F361F">
        <w:t>linical</w:t>
      </w:r>
      <w:r w:rsidR="00BB787B" w:rsidRPr="00BB787B">
        <w:t xml:space="preserve"> Management System</w:t>
      </w:r>
    </w:p>
    <w:p w14:paraId="60EF21AA" w14:textId="77777777" w:rsidR="00BB787B" w:rsidRDefault="00150325" w:rsidP="00150325">
      <w:pPr>
        <w:ind w:left="720" w:hanging="720"/>
        <w:rPr>
          <w:rFonts w:cs="Arial"/>
        </w:rPr>
      </w:pPr>
      <w:r>
        <w:t xml:space="preserve">           </w:t>
      </w:r>
      <w:r w:rsidR="00BB787B" w:rsidRPr="00BB787B">
        <w:rPr>
          <w:rFonts w:cs="Arial"/>
        </w:rPr>
        <w:t>The C</w:t>
      </w:r>
      <w:r w:rsidR="006F361F">
        <w:rPr>
          <w:rFonts w:cs="Arial"/>
        </w:rPr>
        <w:t>linical</w:t>
      </w:r>
      <w:r w:rsidR="00BB787B" w:rsidRPr="00BB787B">
        <w:rPr>
          <w:rFonts w:cs="Arial"/>
        </w:rPr>
        <w:t xml:space="preserve"> Management System (CMS) is in use acr</w:t>
      </w:r>
      <w:r w:rsidR="003A7187">
        <w:rPr>
          <w:rFonts w:cs="Arial"/>
        </w:rPr>
        <w:t>oss London throughout the year.</w:t>
      </w:r>
      <w:r w:rsidR="00332857">
        <w:rPr>
          <w:rFonts w:cs="Arial"/>
        </w:rPr>
        <w:t xml:space="preserve"> The</w:t>
      </w:r>
      <w:r w:rsidR="00BB787B" w:rsidRPr="00BB787B">
        <w:rPr>
          <w:rFonts w:cs="Arial"/>
        </w:rPr>
        <w:t xml:space="preserve"> </w:t>
      </w:r>
      <w:r w:rsidR="00332857">
        <w:rPr>
          <w:rFonts w:cs="Arial"/>
        </w:rPr>
        <w:t xml:space="preserve">CMS </w:t>
      </w:r>
      <w:r w:rsidR="00BB787B" w:rsidRPr="00BB787B">
        <w:rPr>
          <w:rFonts w:cs="Arial"/>
        </w:rPr>
        <w:t xml:space="preserve">system is used to identify pressures across the </w:t>
      </w:r>
      <w:r w:rsidR="00BB787B" w:rsidRPr="00332857">
        <w:rPr>
          <w:rFonts w:cs="Arial"/>
          <w:u w:val="single"/>
        </w:rPr>
        <w:t>acute</w:t>
      </w:r>
      <w:r w:rsidR="00BB787B" w:rsidRPr="00BB787B">
        <w:rPr>
          <w:rFonts w:cs="Arial"/>
        </w:rPr>
        <w:t xml:space="preserve"> health services and intermediate care facilities in each </w:t>
      </w:r>
      <w:proofErr w:type="gramStart"/>
      <w:r w:rsidR="00BB787B" w:rsidRPr="00BB787B">
        <w:rPr>
          <w:rFonts w:cs="Arial"/>
        </w:rPr>
        <w:t>sector, and</w:t>
      </w:r>
      <w:proofErr w:type="gramEnd"/>
      <w:r w:rsidR="00BB787B" w:rsidRPr="00BB787B">
        <w:rPr>
          <w:rFonts w:cs="Arial"/>
        </w:rPr>
        <w:t xml:space="preserve"> should be used to trigger surge management activities externally to the Trust. Pressures felt in neighbouring facilities can be monitored on CMS and inform actions locally. </w:t>
      </w:r>
    </w:p>
    <w:p w14:paraId="50EB5C96" w14:textId="5675F943" w:rsidR="0009757B" w:rsidRDefault="0009757B" w:rsidP="004D0888">
      <w:pPr>
        <w:pStyle w:val="BodyText"/>
        <w:numPr>
          <w:ilvl w:val="0"/>
          <w:numId w:val="0"/>
        </w:numPr>
        <w:spacing w:after="0"/>
        <w:ind w:left="720"/>
        <w:jc w:val="both"/>
        <w:rPr>
          <w:rFonts w:ascii="Arial" w:hAnsi="Arial" w:cs="Arial"/>
          <w:sz w:val="22"/>
          <w:szCs w:val="22"/>
          <w:lang w:val="en-GB"/>
        </w:rPr>
      </w:pPr>
      <w:r>
        <w:rPr>
          <w:sz w:val="22"/>
          <w:szCs w:val="22"/>
        </w:rPr>
        <w:t xml:space="preserve">A </w:t>
      </w:r>
      <w:r w:rsidRPr="00332857">
        <w:rPr>
          <w:sz w:val="22"/>
          <w:szCs w:val="22"/>
          <w:u w:val="single"/>
        </w:rPr>
        <w:t>„community hospital</w:t>
      </w:r>
      <w:r>
        <w:rPr>
          <w:rFonts w:ascii="Cambria Math" w:hAnsi="Cambria Math" w:cs="Cambria Math"/>
          <w:sz w:val="22"/>
          <w:szCs w:val="22"/>
        </w:rPr>
        <w:t>‟</w:t>
      </w:r>
      <w:r>
        <w:rPr>
          <w:sz w:val="22"/>
          <w:szCs w:val="22"/>
        </w:rPr>
        <w:t xml:space="preserve"> module on CMS has been developed for London to facilitate the sharing of live community bed capacity data (such as step down beds/intermediate care) and aid in Acute Trust discharge decisions. </w:t>
      </w:r>
      <w:r w:rsidR="00495C47">
        <w:rPr>
          <w:sz w:val="22"/>
          <w:szCs w:val="22"/>
          <w:lang w:val="en-GB"/>
        </w:rPr>
        <w:t>ICB</w:t>
      </w:r>
      <w:r>
        <w:rPr>
          <w:sz w:val="22"/>
          <w:szCs w:val="22"/>
        </w:rPr>
        <w:t>s should ensure that this information is reviewed and remains up to date.</w:t>
      </w:r>
    </w:p>
    <w:p w14:paraId="704BBA8F" w14:textId="77777777" w:rsidR="00FD6F5E" w:rsidRPr="0009757B" w:rsidRDefault="00FD6F5E" w:rsidP="00BB787B">
      <w:pPr>
        <w:pStyle w:val="BodyText"/>
        <w:numPr>
          <w:ilvl w:val="0"/>
          <w:numId w:val="0"/>
        </w:numPr>
        <w:spacing w:after="0"/>
        <w:ind w:left="142"/>
        <w:jc w:val="both"/>
        <w:rPr>
          <w:rFonts w:ascii="Arial" w:hAnsi="Arial" w:cs="Arial"/>
          <w:sz w:val="22"/>
          <w:szCs w:val="22"/>
          <w:lang w:val="en-GB"/>
        </w:rPr>
      </w:pPr>
    </w:p>
    <w:p w14:paraId="2440F883" w14:textId="77777777" w:rsidR="00425DAB" w:rsidRDefault="00332857" w:rsidP="004D0888">
      <w:pPr>
        <w:pStyle w:val="BodyText"/>
        <w:numPr>
          <w:ilvl w:val="0"/>
          <w:numId w:val="0"/>
        </w:numPr>
        <w:spacing w:after="0"/>
        <w:ind w:left="142" w:firstLine="578"/>
        <w:jc w:val="both"/>
        <w:rPr>
          <w:rFonts w:ascii="Arial" w:hAnsi="Arial" w:cs="Arial"/>
          <w:sz w:val="22"/>
          <w:szCs w:val="22"/>
          <w:lang w:val="en-GB"/>
        </w:rPr>
      </w:pPr>
      <w:r>
        <w:rPr>
          <w:rFonts w:ascii="Arial" w:hAnsi="Arial" w:cs="Arial"/>
          <w:sz w:val="22"/>
          <w:szCs w:val="22"/>
          <w:lang w:val="en-GB"/>
        </w:rPr>
        <w:t xml:space="preserve">The Community Hospital </w:t>
      </w:r>
      <w:r w:rsidR="00BB787B" w:rsidRPr="00BB787B">
        <w:rPr>
          <w:rFonts w:ascii="Arial" w:hAnsi="Arial" w:cs="Arial"/>
          <w:sz w:val="22"/>
          <w:szCs w:val="22"/>
        </w:rPr>
        <w:t xml:space="preserve">CMS is updated on the following </w:t>
      </w:r>
      <w:proofErr w:type="gramStart"/>
      <w:r w:rsidR="00BB787B" w:rsidRPr="00BB787B">
        <w:rPr>
          <w:rFonts w:ascii="Arial" w:hAnsi="Arial" w:cs="Arial"/>
          <w:sz w:val="22"/>
          <w:szCs w:val="22"/>
        </w:rPr>
        <w:t>schedule</w:t>
      </w:r>
      <w:r w:rsidR="00425DAB">
        <w:rPr>
          <w:rFonts w:ascii="Arial" w:hAnsi="Arial" w:cs="Arial"/>
          <w:sz w:val="22"/>
          <w:szCs w:val="22"/>
          <w:lang w:val="en-GB"/>
        </w:rPr>
        <w:t>;</w:t>
      </w:r>
      <w:proofErr w:type="gramEnd"/>
    </w:p>
    <w:p w14:paraId="6B8A771B" w14:textId="77777777" w:rsidR="00BB787B" w:rsidRPr="00BB787B" w:rsidRDefault="00BB787B" w:rsidP="00BB787B">
      <w:pPr>
        <w:pStyle w:val="BodyText"/>
        <w:numPr>
          <w:ilvl w:val="0"/>
          <w:numId w:val="0"/>
        </w:numPr>
        <w:spacing w:after="0"/>
        <w:ind w:left="142"/>
        <w:jc w:val="both"/>
        <w:rPr>
          <w:rFonts w:ascii="Arial" w:hAnsi="Arial" w:cs="Arial"/>
          <w:sz w:val="22"/>
          <w:szCs w:val="22"/>
        </w:rPr>
      </w:pPr>
      <w:r w:rsidRPr="00BB787B">
        <w:rPr>
          <w:rFonts w:ascii="Arial" w:hAnsi="Arial" w:cs="Arial"/>
          <w:sz w:val="22"/>
          <w:szCs w:val="22"/>
        </w:rPr>
        <w:t xml:space="preserve"> </w:t>
      </w:r>
    </w:p>
    <w:p w14:paraId="3A082585" w14:textId="77777777" w:rsidR="006F361F" w:rsidRDefault="00332857" w:rsidP="005963CF">
      <w:pPr>
        <w:pStyle w:val="BodyTextBullets"/>
        <w:rPr>
          <w:sz w:val="22"/>
          <w:szCs w:val="22"/>
        </w:rPr>
      </w:pPr>
      <w:r>
        <w:rPr>
          <w:b/>
          <w:sz w:val="22"/>
          <w:szCs w:val="22"/>
        </w:rPr>
        <w:t xml:space="preserve">            </w:t>
      </w:r>
      <w:r w:rsidR="006F361F" w:rsidRPr="006F361F">
        <w:rPr>
          <w:b/>
          <w:sz w:val="22"/>
          <w:szCs w:val="22"/>
        </w:rPr>
        <w:t>East Ham Care Centre</w:t>
      </w:r>
      <w:r w:rsidR="006F361F">
        <w:rPr>
          <w:sz w:val="22"/>
          <w:szCs w:val="22"/>
        </w:rPr>
        <w:t xml:space="preserve"> – </w:t>
      </w:r>
      <w:r w:rsidR="002E7862">
        <w:rPr>
          <w:sz w:val="22"/>
          <w:szCs w:val="22"/>
        </w:rPr>
        <w:t>Once d</w:t>
      </w:r>
      <w:r w:rsidR="006F361F">
        <w:rPr>
          <w:sz w:val="22"/>
          <w:szCs w:val="22"/>
        </w:rPr>
        <w:t xml:space="preserve">aily by the Nurse in Charge. </w:t>
      </w:r>
    </w:p>
    <w:p w14:paraId="65942992" w14:textId="77777777" w:rsidR="006F361F" w:rsidRDefault="006F361F" w:rsidP="006F361F">
      <w:pPr>
        <w:pStyle w:val="BodyTextBullets"/>
        <w:ind w:left="1069"/>
        <w:rPr>
          <w:sz w:val="22"/>
          <w:szCs w:val="22"/>
        </w:rPr>
      </w:pPr>
    </w:p>
    <w:p w14:paraId="000BA01B" w14:textId="77777777" w:rsidR="00332857" w:rsidRDefault="00332857" w:rsidP="00332857">
      <w:pPr>
        <w:pStyle w:val="BodyTextBullets"/>
        <w:rPr>
          <w:sz w:val="22"/>
          <w:szCs w:val="22"/>
        </w:rPr>
      </w:pPr>
      <w:r>
        <w:rPr>
          <w:sz w:val="22"/>
          <w:szCs w:val="22"/>
        </w:rPr>
        <w:t xml:space="preserve">            </w:t>
      </w:r>
      <w:r w:rsidR="006F361F">
        <w:rPr>
          <w:sz w:val="22"/>
          <w:szCs w:val="22"/>
        </w:rPr>
        <w:t xml:space="preserve">During a period of surge across the local health economy, the NELCSU Surge Team </w:t>
      </w:r>
      <w:r>
        <w:rPr>
          <w:sz w:val="22"/>
          <w:szCs w:val="22"/>
        </w:rPr>
        <w:t xml:space="preserve">            </w:t>
      </w:r>
    </w:p>
    <w:p w14:paraId="5909EC05" w14:textId="77777777" w:rsidR="00332857" w:rsidRDefault="00332857" w:rsidP="00332857">
      <w:pPr>
        <w:pStyle w:val="BodyTextBullets"/>
        <w:rPr>
          <w:sz w:val="22"/>
          <w:szCs w:val="22"/>
        </w:rPr>
      </w:pPr>
      <w:r>
        <w:rPr>
          <w:sz w:val="22"/>
          <w:szCs w:val="22"/>
        </w:rPr>
        <w:t xml:space="preserve">            </w:t>
      </w:r>
      <w:r w:rsidR="006F361F">
        <w:rPr>
          <w:sz w:val="22"/>
          <w:szCs w:val="22"/>
        </w:rPr>
        <w:t>may be requesting twice daily updating of CMS. This will revert to daily</w:t>
      </w:r>
      <w:r w:rsidR="00C74E75">
        <w:rPr>
          <w:sz w:val="22"/>
          <w:szCs w:val="22"/>
        </w:rPr>
        <w:t xml:space="preserve"> once the </w:t>
      </w:r>
    </w:p>
    <w:p w14:paraId="6CB06F34" w14:textId="77777777" w:rsidR="00BB787B" w:rsidRDefault="00332857" w:rsidP="00332857">
      <w:pPr>
        <w:pStyle w:val="BodyTextBullets"/>
        <w:rPr>
          <w:sz w:val="22"/>
          <w:szCs w:val="22"/>
        </w:rPr>
      </w:pPr>
      <w:r>
        <w:rPr>
          <w:sz w:val="22"/>
          <w:szCs w:val="22"/>
        </w:rPr>
        <w:t xml:space="preserve">            </w:t>
      </w:r>
      <w:r w:rsidR="00C74E75">
        <w:rPr>
          <w:sz w:val="22"/>
          <w:szCs w:val="22"/>
        </w:rPr>
        <w:t>surge has ended.</w:t>
      </w:r>
    </w:p>
    <w:p w14:paraId="47A7213D" w14:textId="77777777" w:rsidR="009339E6" w:rsidRDefault="009339E6" w:rsidP="009339E6">
      <w:pPr>
        <w:pStyle w:val="BodyTextBullets"/>
        <w:rPr>
          <w:sz w:val="22"/>
          <w:szCs w:val="22"/>
        </w:rPr>
      </w:pPr>
    </w:p>
    <w:p w14:paraId="71B30B08" w14:textId="77777777" w:rsidR="006E625B" w:rsidRDefault="006E625B" w:rsidP="006E625B">
      <w:pPr>
        <w:spacing w:after="0"/>
      </w:pPr>
    </w:p>
    <w:p w14:paraId="7CBB24FE" w14:textId="77777777" w:rsidR="00BB787B" w:rsidRPr="00332857" w:rsidRDefault="00332857" w:rsidP="00040D1A">
      <w:r>
        <w:t xml:space="preserve">   </w:t>
      </w:r>
      <w:r w:rsidR="00654939">
        <w:t>6.2.2</w:t>
      </w:r>
      <w:r w:rsidR="00654939">
        <w:tab/>
      </w:r>
      <w:r w:rsidR="00BB787B" w:rsidRPr="00332857">
        <w:t>Escalation</w:t>
      </w:r>
    </w:p>
    <w:p w14:paraId="3287247A" w14:textId="77777777" w:rsidR="00BB787B" w:rsidRDefault="00BB787B" w:rsidP="00654939">
      <w:pPr>
        <w:pStyle w:val="Default"/>
        <w:ind w:firstLine="720"/>
        <w:rPr>
          <w:bCs/>
          <w:sz w:val="22"/>
          <w:szCs w:val="22"/>
          <w:u w:val="single"/>
        </w:rPr>
      </w:pPr>
      <w:r w:rsidRPr="00332857">
        <w:rPr>
          <w:bCs/>
          <w:sz w:val="22"/>
          <w:szCs w:val="22"/>
          <w:u w:val="single"/>
        </w:rPr>
        <w:t xml:space="preserve">In Hours </w:t>
      </w:r>
    </w:p>
    <w:p w14:paraId="058F2E12" w14:textId="77777777" w:rsidR="009F579B" w:rsidRPr="00332857" w:rsidRDefault="009F579B" w:rsidP="00654939">
      <w:pPr>
        <w:pStyle w:val="Default"/>
        <w:ind w:firstLine="720"/>
        <w:rPr>
          <w:sz w:val="22"/>
          <w:szCs w:val="22"/>
          <w:u w:val="single"/>
        </w:rPr>
      </w:pPr>
    </w:p>
    <w:p w14:paraId="60E72288" w14:textId="02F1E263" w:rsidR="00BB787B" w:rsidRDefault="00BB787B" w:rsidP="00654939">
      <w:pPr>
        <w:pStyle w:val="Default"/>
        <w:ind w:left="720"/>
        <w:rPr>
          <w:sz w:val="22"/>
          <w:szCs w:val="22"/>
        </w:rPr>
      </w:pPr>
      <w:r>
        <w:rPr>
          <w:sz w:val="22"/>
          <w:szCs w:val="22"/>
        </w:rPr>
        <w:t xml:space="preserve">The pressure present in </w:t>
      </w:r>
      <w:r w:rsidR="003A7187">
        <w:rPr>
          <w:sz w:val="22"/>
          <w:szCs w:val="22"/>
        </w:rPr>
        <w:t>local a</w:t>
      </w:r>
      <w:r>
        <w:rPr>
          <w:sz w:val="22"/>
          <w:szCs w:val="22"/>
        </w:rPr>
        <w:t xml:space="preserve">reas and across London as a whole, will be monitored by the Assurance Managers and Surge Capacity staff from the NHS </w:t>
      </w:r>
      <w:r w:rsidR="00425DAB">
        <w:rPr>
          <w:sz w:val="22"/>
          <w:szCs w:val="22"/>
        </w:rPr>
        <w:t xml:space="preserve">England </w:t>
      </w:r>
      <w:r>
        <w:rPr>
          <w:sz w:val="22"/>
          <w:szCs w:val="22"/>
        </w:rPr>
        <w:t>London Directorate of Op</w:t>
      </w:r>
      <w:r w:rsidR="003A7187">
        <w:rPr>
          <w:sz w:val="22"/>
          <w:szCs w:val="22"/>
        </w:rPr>
        <w:t>eration</w:t>
      </w:r>
      <w:r>
        <w:rPr>
          <w:sz w:val="22"/>
          <w:szCs w:val="22"/>
        </w:rPr>
        <w:t xml:space="preserve">s and Delivery. Information will be drawn from CMS and any ad hoc reports received from </w:t>
      </w:r>
      <w:r w:rsidR="00495C47">
        <w:rPr>
          <w:sz w:val="22"/>
          <w:szCs w:val="22"/>
        </w:rPr>
        <w:t>ICBs</w:t>
      </w:r>
      <w:r>
        <w:rPr>
          <w:sz w:val="22"/>
          <w:szCs w:val="22"/>
        </w:rPr>
        <w:t xml:space="preserve"> or LAS. The situation will be discussed with Heads of Assurance / Delivery Directors or the Director of Op</w:t>
      </w:r>
      <w:r w:rsidR="003A7187">
        <w:rPr>
          <w:sz w:val="22"/>
          <w:szCs w:val="22"/>
        </w:rPr>
        <w:t>eration</w:t>
      </w:r>
      <w:r>
        <w:rPr>
          <w:sz w:val="22"/>
          <w:szCs w:val="22"/>
        </w:rPr>
        <w:t xml:space="preserve">s and Delivery if required and actions taken to manage the situation. Further escalatory action will be taken if required, including the consideration of NHS </w:t>
      </w:r>
      <w:r w:rsidR="00C12F51">
        <w:rPr>
          <w:sz w:val="22"/>
          <w:szCs w:val="22"/>
        </w:rPr>
        <w:t>England</w:t>
      </w:r>
      <w:r>
        <w:rPr>
          <w:sz w:val="22"/>
          <w:szCs w:val="22"/>
        </w:rPr>
        <w:t xml:space="preserve"> London Coordination. </w:t>
      </w:r>
    </w:p>
    <w:p w14:paraId="1E24ABE0" w14:textId="77777777" w:rsidR="005D617E" w:rsidRDefault="005D617E" w:rsidP="00654939">
      <w:pPr>
        <w:pStyle w:val="Default"/>
        <w:ind w:firstLine="720"/>
        <w:rPr>
          <w:bCs/>
          <w:sz w:val="22"/>
          <w:szCs w:val="22"/>
          <w:u w:val="single"/>
        </w:rPr>
      </w:pPr>
    </w:p>
    <w:p w14:paraId="7FE27C80" w14:textId="77777777" w:rsidR="00756EA0" w:rsidRDefault="00756EA0" w:rsidP="00654939">
      <w:pPr>
        <w:pStyle w:val="Default"/>
        <w:ind w:firstLine="720"/>
        <w:rPr>
          <w:bCs/>
          <w:sz w:val="22"/>
          <w:szCs w:val="22"/>
          <w:u w:val="single"/>
        </w:rPr>
      </w:pPr>
    </w:p>
    <w:p w14:paraId="2ECF2952" w14:textId="77777777" w:rsidR="00BB787B" w:rsidRDefault="00BB787B" w:rsidP="007F34E4">
      <w:pPr>
        <w:pStyle w:val="Default"/>
        <w:ind w:firstLine="720"/>
        <w:rPr>
          <w:bCs/>
          <w:sz w:val="22"/>
          <w:szCs w:val="22"/>
          <w:u w:val="single"/>
        </w:rPr>
      </w:pPr>
      <w:r w:rsidRPr="00332857">
        <w:rPr>
          <w:bCs/>
          <w:sz w:val="22"/>
          <w:szCs w:val="22"/>
          <w:u w:val="single"/>
        </w:rPr>
        <w:t xml:space="preserve">Out of Hours </w:t>
      </w:r>
    </w:p>
    <w:p w14:paraId="5C70FB24" w14:textId="77777777" w:rsidR="00B85109" w:rsidRPr="00332857" w:rsidRDefault="00B85109" w:rsidP="00654939">
      <w:pPr>
        <w:pStyle w:val="Default"/>
        <w:ind w:firstLine="720"/>
        <w:rPr>
          <w:sz w:val="22"/>
          <w:szCs w:val="22"/>
          <w:u w:val="single"/>
        </w:rPr>
      </w:pPr>
    </w:p>
    <w:p w14:paraId="755F7170" w14:textId="09651ABC" w:rsidR="00BB787B" w:rsidRDefault="00BB787B" w:rsidP="00654939">
      <w:pPr>
        <w:spacing w:line="240" w:lineRule="auto"/>
        <w:ind w:left="720"/>
      </w:pPr>
      <w:r>
        <w:t xml:space="preserve">In general, pressure surges will present as a rising tide, and action will be initiated in hours to manage and control. If a situation occurs out of hours, including weekends, </w:t>
      </w:r>
      <w:r w:rsidR="0009757B">
        <w:t xml:space="preserve">NHS England London </w:t>
      </w:r>
      <w:r>
        <w:t xml:space="preserve">may be made aware via several different sources, including the LAS, or </w:t>
      </w:r>
      <w:r w:rsidR="00495C47">
        <w:t>ICB</w:t>
      </w:r>
      <w:r>
        <w:t xml:space="preserve"> Directors on call. This may lead to the convening of a conference call for on call Directors, to take stock of the situation and the actions in hand to manage.</w:t>
      </w:r>
    </w:p>
    <w:p w14:paraId="4A2ACA52" w14:textId="77777777" w:rsidR="002E7862" w:rsidRPr="002E7862" w:rsidRDefault="00654939" w:rsidP="00522623">
      <w:pPr>
        <w:pStyle w:val="Heading2"/>
      </w:pPr>
      <w:r>
        <w:tab/>
      </w:r>
    </w:p>
    <w:p w14:paraId="66A09297" w14:textId="77777777" w:rsidR="002C2833" w:rsidRDefault="00332857" w:rsidP="003F55AB">
      <w:pPr>
        <w:pStyle w:val="Heading2"/>
      </w:pPr>
      <w:bookmarkStart w:id="9" w:name="_Toc358978194"/>
      <w:bookmarkStart w:id="10" w:name="_Toc397599201"/>
      <w:r>
        <w:lastRenderedPageBreak/>
        <w:t>6.3</w:t>
      </w:r>
      <w:r w:rsidR="00E91A04" w:rsidRPr="003F55AB">
        <w:t xml:space="preserve">     </w:t>
      </w:r>
      <w:r w:rsidR="00E91A04" w:rsidRPr="003F55AB">
        <w:tab/>
      </w:r>
      <w:r w:rsidR="0016527C">
        <w:t>NHS England (Midlands and East) Surge Management Arrangements</w:t>
      </w:r>
    </w:p>
    <w:p w14:paraId="39248CCA" w14:textId="6C67FC91" w:rsidR="002C2833" w:rsidRDefault="0016527C" w:rsidP="0016527C">
      <w:pPr>
        <w:pStyle w:val="Heading2"/>
        <w:spacing w:line="276" w:lineRule="auto"/>
        <w:ind w:left="720" w:hanging="720"/>
        <w:rPr>
          <w:b w:val="0"/>
        </w:rPr>
      </w:pPr>
      <w:r>
        <w:rPr>
          <w:b w:val="0"/>
        </w:rPr>
        <w:t>6.3</w:t>
      </w:r>
      <w:r w:rsidR="00274DF9">
        <w:rPr>
          <w:b w:val="0"/>
        </w:rPr>
        <w:t>.</w:t>
      </w:r>
      <w:r>
        <w:rPr>
          <w:b w:val="0"/>
        </w:rPr>
        <w:t>1</w:t>
      </w:r>
      <w:r>
        <w:rPr>
          <w:b w:val="0"/>
        </w:rPr>
        <w:tab/>
        <w:t>The OPEL Escalation System is use</w:t>
      </w:r>
      <w:r w:rsidR="00274DF9">
        <w:rPr>
          <w:b w:val="0"/>
        </w:rPr>
        <w:t>d</w:t>
      </w:r>
      <w:r>
        <w:rPr>
          <w:b w:val="0"/>
        </w:rPr>
        <w:t xml:space="preserve"> across Bedfordshire &amp; Luton throughout the year. The system </w:t>
      </w:r>
      <w:r w:rsidRPr="0016527C">
        <w:rPr>
          <w:b w:val="0"/>
        </w:rPr>
        <w:t>provides a co-ordinated approach to the management of pressures across the whole health system, where local escalation triggers have already been applied and yet the pressure on capacity and the need to mitigate against the possibility of compromising patient care require additional support from other service providers</w:t>
      </w:r>
    </w:p>
    <w:p w14:paraId="4A39E45E" w14:textId="77777777" w:rsidR="0016527C" w:rsidRDefault="0016527C" w:rsidP="0016527C">
      <w:pPr>
        <w:spacing w:after="0"/>
      </w:pPr>
      <w:r>
        <w:tab/>
      </w:r>
    </w:p>
    <w:p w14:paraId="29FAD2D3" w14:textId="19C13266" w:rsidR="0016527C" w:rsidRDefault="00495C47" w:rsidP="0016527C">
      <w:pPr>
        <w:spacing w:after="0"/>
        <w:ind w:left="720"/>
      </w:pPr>
      <w:r>
        <w:t>BLMK ICB</w:t>
      </w:r>
      <w:r w:rsidR="0016527C">
        <w:t xml:space="preserve"> will be notified once daily by the EP Lead for Beds &amp; Luton or the Manager on-call using information from the daily DSN report. During a period of surge across the Bedfordshire and Luton system, the </w:t>
      </w:r>
      <w:r>
        <w:t>ICB</w:t>
      </w:r>
      <w:r w:rsidR="0016527C">
        <w:t xml:space="preserve"> may request further updates during the day, however this will revert to once daily, once the surge has ended.</w:t>
      </w:r>
    </w:p>
    <w:p w14:paraId="1676B8FA" w14:textId="77777777" w:rsidR="0016527C" w:rsidRPr="0016527C" w:rsidRDefault="0016527C" w:rsidP="0016527C">
      <w:pPr>
        <w:spacing w:after="0"/>
        <w:ind w:left="720"/>
      </w:pPr>
    </w:p>
    <w:p w14:paraId="63A31DDE" w14:textId="77777777" w:rsidR="0016527C" w:rsidRDefault="0016527C" w:rsidP="0016527C">
      <w:r>
        <w:t>6.3.2</w:t>
      </w:r>
      <w:r>
        <w:tab/>
        <w:t>Escalation</w:t>
      </w:r>
    </w:p>
    <w:p w14:paraId="03BDBFB1" w14:textId="0E91386A" w:rsidR="0016527C" w:rsidRDefault="0016527C" w:rsidP="0016527C">
      <w:pPr>
        <w:ind w:left="720"/>
      </w:pPr>
      <w:r>
        <w:t xml:space="preserve">The pressure across the Bedfordshire and Luton system will be monitored by Local A&amp;E Delivery Board. Discussions will be held with the </w:t>
      </w:r>
      <w:r w:rsidR="00495C47">
        <w:t>ICB</w:t>
      </w:r>
      <w:r>
        <w:t xml:space="preserve"> Senior Manager on Call and once </w:t>
      </w:r>
      <w:proofErr w:type="gramStart"/>
      <w:r>
        <w:t>it is clear that all</w:t>
      </w:r>
      <w:proofErr w:type="gramEnd"/>
      <w:r>
        <w:t xml:space="preserve"> mitigation actions to prevent escalation have been undertaken an escalation call with the most appropriate organisations will be convened.  It is expected that an escalation call will be prioritised by all organisations when arranged.  </w:t>
      </w:r>
    </w:p>
    <w:p w14:paraId="216FAE50" w14:textId="60E7F862" w:rsidR="0016527C" w:rsidRDefault="0016527C" w:rsidP="0016527C">
      <w:pPr>
        <w:ind w:left="720"/>
      </w:pPr>
      <w:r>
        <w:t xml:space="preserve">The escalation call will be chaired by the </w:t>
      </w:r>
      <w:r w:rsidR="00495C47">
        <w:t>ICB</w:t>
      </w:r>
      <w:r>
        <w:t xml:space="preserve"> and will address the issues being raised with mitigating actions, responsibilities and timelines being agreed.  The need for a follow up call will also be agreed.  The administration for these calls will be provided by the </w:t>
      </w:r>
      <w:r w:rsidR="00495C47">
        <w:t>ICB</w:t>
      </w:r>
      <w:r>
        <w:t>.</w:t>
      </w:r>
    </w:p>
    <w:p w14:paraId="547EF1B4" w14:textId="58B65D67" w:rsidR="0016527C" w:rsidRDefault="0016527C" w:rsidP="0016527C">
      <w:pPr>
        <w:ind w:left="720"/>
      </w:pPr>
      <w:r>
        <w:t xml:space="preserve">Should the system agree that an imminent move to OPEL 4 is likely or if OPEL </w:t>
      </w:r>
      <w:r w:rsidR="006B20E4">
        <w:t>4 is to be declared then the ICB</w:t>
      </w:r>
      <w:r>
        <w:t xml:space="preserve"> will inform the EPRR Lead and NHS England. </w:t>
      </w:r>
      <w:r w:rsidR="006B20E4">
        <w:t xml:space="preserve"> NHS England </w:t>
      </w:r>
      <w:r>
        <w:t>and regional teams will also use the framework to moderate and challenge in discussions with local systems.</w:t>
      </w:r>
    </w:p>
    <w:p w14:paraId="2775ABD3" w14:textId="46B0F39B" w:rsidR="009F579B" w:rsidRDefault="0016527C" w:rsidP="00495C47">
      <w:pPr>
        <w:ind w:left="720"/>
      </w:pPr>
      <w:r>
        <w:t xml:space="preserve">Contact with NHSE will be initiated and maintained by the executive / director on call for the </w:t>
      </w:r>
      <w:r w:rsidR="00495C47">
        <w:t>ICB</w:t>
      </w:r>
      <w:r>
        <w:t>.</w:t>
      </w:r>
    </w:p>
    <w:p w14:paraId="684D82BC" w14:textId="77777777" w:rsidR="0016527C" w:rsidRPr="00436C32" w:rsidRDefault="0016527C" w:rsidP="0016527C">
      <w:pPr>
        <w:ind w:left="709"/>
      </w:pPr>
      <w:r>
        <w:t>The agreed triggers required for all levels of system wide escalation are as follows:</w:t>
      </w:r>
    </w:p>
    <w:tbl>
      <w:tblPr>
        <w:tblW w:w="8788" w:type="dxa"/>
        <w:tblInd w:w="697" w:type="dxa"/>
        <w:tblLook w:val="04A0" w:firstRow="1" w:lastRow="0" w:firstColumn="1" w:lastColumn="0" w:noHBand="0" w:noVBand="1"/>
      </w:tblPr>
      <w:tblGrid>
        <w:gridCol w:w="2260"/>
        <w:gridCol w:w="6528"/>
      </w:tblGrid>
      <w:tr w:rsidR="0016527C" w:rsidRPr="00F45876" w14:paraId="3152D8E6" w14:textId="77777777" w:rsidTr="00E97108">
        <w:trPr>
          <w:trHeight w:val="315"/>
        </w:trPr>
        <w:tc>
          <w:tcPr>
            <w:tcW w:w="2260" w:type="dxa"/>
            <w:tcBorders>
              <w:top w:val="single" w:sz="8" w:space="0" w:color="auto"/>
              <w:left w:val="single" w:sz="8" w:space="0" w:color="auto"/>
              <w:bottom w:val="single" w:sz="8" w:space="0" w:color="auto"/>
              <w:right w:val="nil"/>
            </w:tcBorders>
            <w:shd w:val="clear" w:color="000000" w:fill="BDD7EE"/>
            <w:noWrap/>
            <w:vAlign w:val="center"/>
            <w:hideMark/>
          </w:tcPr>
          <w:p w14:paraId="009D5246" w14:textId="77777777" w:rsidR="0016527C" w:rsidRPr="00F45876" w:rsidRDefault="0016527C" w:rsidP="00E97108">
            <w:pPr>
              <w:spacing w:after="0" w:line="240" w:lineRule="auto"/>
              <w:rPr>
                <w:rFonts w:eastAsia="Times New Roman" w:cs="Arial"/>
                <w:b/>
                <w:bCs/>
                <w:color w:val="000000"/>
                <w:lang w:eastAsia="en-GB"/>
              </w:rPr>
            </w:pPr>
            <w:r w:rsidRPr="00F45876">
              <w:rPr>
                <w:rFonts w:eastAsia="Times New Roman" w:cs="Arial"/>
                <w:b/>
                <w:bCs/>
                <w:color w:val="000000"/>
                <w:lang w:eastAsia="en-GB"/>
              </w:rPr>
              <w:t>System OPEL level</w:t>
            </w:r>
          </w:p>
        </w:tc>
        <w:tc>
          <w:tcPr>
            <w:tcW w:w="6528" w:type="dxa"/>
            <w:tcBorders>
              <w:top w:val="single" w:sz="8" w:space="0" w:color="auto"/>
              <w:left w:val="single" w:sz="8" w:space="0" w:color="auto"/>
              <w:bottom w:val="single" w:sz="8" w:space="0" w:color="auto"/>
              <w:right w:val="single" w:sz="8" w:space="0" w:color="auto"/>
            </w:tcBorders>
            <w:shd w:val="clear" w:color="000000" w:fill="BDD7EE"/>
            <w:noWrap/>
            <w:vAlign w:val="center"/>
            <w:hideMark/>
          </w:tcPr>
          <w:p w14:paraId="2E69F117" w14:textId="77777777" w:rsidR="0016527C" w:rsidRPr="00F45876" w:rsidRDefault="0016527C" w:rsidP="00E97108">
            <w:pPr>
              <w:spacing w:after="0" w:line="240" w:lineRule="auto"/>
              <w:rPr>
                <w:rFonts w:eastAsia="Times New Roman" w:cs="Arial"/>
                <w:b/>
                <w:bCs/>
                <w:color w:val="000000"/>
                <w:lang w:eastAsia="en-GB"/>
              </w:rPr>
            </w:pPr>
            <w:r w:rsidRPr="00F45876">
              <w:rPr>
                <w:rFonts w:eastAsia="Times New Roman" w:cs="Arial"/>
                <w:b/>
                <w:bCs/>
                <w:color w:val="000000"/>
                <w:lang w:eastAsia="en-GB"/>
              </w:rPr>
              <w:t>Required provider triggers</w:t>
            </w:r>
          </w:p>
        </w:tc>
      </w:tr>
      <w:tr w:rsidR="0016527C" w:rsidRPr="00F45876" w14:paraId="74B7C704" w14:textId="77777777" w:rsidTr="00E97108">
        <w:trPr>
          <w:trHeight w:val="315"/>
        </w:trPr>
        <w:tc>
          <w:tcPr>
            <w:tcW w:w="2260" w:type="dxa"/>
            <w:tcBorders>
              <w:top w:val="nil"/>
              <w:left w:val="single" w:sz="8" w:space="0" w:color="auto"/>
              <w:bottom w:val="single" w:sz="8" w:space="0" w:color="auto"/>
              <w:right w:val="nil"/>
            </w:tcBorders>
            <w:shd w:val="clear" w:color="000000" w:fill="FFC000"/>
            <w:noWrap/>
            <w:vAlign w:val="center"/>
            <w:hideMark/>
          </w:tcPr>
          <w:p w14:paraId="5257B0DB" w14:textId="77777777" w:rsidR="0016527C" w:rsidRPr="00F45876" w:rsidRDefault="0016527C" w:rsidP="00E97108">
            <w:pPr>
              <w:spacing w:after="0" w:line="240" w:lineRule="auto"/>
              <w:jc w:val="center"/>
              <w:rPr>
                <w:rFonts w:eastAsia="Times New Roman" w:cs="Arial"/>
                <w:b/>
                <w:bCs/>
                <w:color w:val="000000"/>
                <w:lang w:eastAsia="en-GB"/>
              </w:rPr>
            </w:pPr>
            <w:r w:rsidRPr="00F45876">
              <w:rPr>
                <w:rFonts w:eastAsia="Times New Roman" w:cs="Arial"/>
                <w:b/>
                <w:bCs/>
                <w:color w:val="000000"/>
                <w:lang w:eastAsia="en-GB"/>
              </w:rPr>
              <w:t>OPEL 2</w:t>
            </w:r>
          </w:p>
        </w:tc>
        <w:tc>
          <w:tcPr>
            <w:tcW w:w="6528" w:type="dxa"/>
            <w:tcBorders>
              <w:top w:val="nil"/>
              <w:left w:val="single" w:sz="8" w:space="0" w:color="auto"/>
              <w:bottom w:val="single" w:sz="8" w:space="0" w:color="auto"/>
              <w:right w:val="single" w:sz="8" w:space="0" w:color="auto"/>
            </w:tcBorders>
            <w:noWrap/>
            <w:vAlign w:val="center"/>
            <w:hideMark/>
          </w:tcPr>
          <w:p w14:paraId="092893B9" w14:textId="77777777" w:rsidR="0016527C" w:rsidRPr="00F45876" w:rsidRDefault="0016527C" w:rsidP="00E97108">
            <w:pPr>
              <w:spacing w:after="0" w:line="240" w:lineRule="auto"/>
              <w:rPr>
                <w:rFonts w:eastAsia="Times New Roman" w:cs="Arial"/>
                <w:color w:val="000000"/>
                <w:lang w:eastAsia="en-GB"/>
              </w:rPr>
            </w:pPr>
            <w:r w:rsidRPr="00F45876">
              <w:rPr>
                <w:rFonts w:eastAsia="Times New Roman" w:cs="Arial"/>
                <w:color w:val="000000"/>
                <w:lang w:eastAsia="en-GB"/>
              </w:rPr>
              <w:t>All providers at OPEL 2</w:t>
            </w:r>
          </w:p>
        </w:tc>
      </w:tr>
      <w:tr w:rsidR="0016527C" w:rsidRPr="00F45876" w14:paraId="3B04039F" w14:textId="77777777" w:rsidTr="00E97108">
        <w:trPr>
          <w:trHeight w:val="315"/>
        </w:trPr>
        <w:tc>
          <w:tcPr>
            <w:tcW w:w="2260" w:type="dxa"/>
            <w:tcBorders>
              <w:top w:val="nil"/>
              <w:left w:val="single" w:sz="8" w:space="0" w:color="auto"/>
              <w:bottom w:val="single" w:sz="8" w:space="0" w:color="auto"/>
              <w:right w:val="nil"/>
            </w:tcBorders>
            <w:shd w:val="clear" w:color="000000" w:fill="FFC000"/>
            <w:noWrap/>
            <w:vAlign w:val="center"/>
            <w:hideMark/>
          </w:tcPr>
          <w:p w14:paraId="495AE81A" w14:textId="77777777" w:rsidR="0016527C" w:rsidRPr="00F45876" w:rsidRDefault="0016527C" w:rsidP="00E97108">
            <w:pPr>
              <w:spacing w:after="0" w:line="240" w:lineRule="auto"/>
              <w:jc w:val="center"/>
              <w:rPr>
                <w:rFonts w:eastAsia="Times New Roman" w:cs="Arial"/>
                <w:b/>
                <w:bCs/>
                <w:color w:val="000000"/>
                <w:lang w:eastAsia="en-GB"/>
              </w:rPr>
            </w:pPr>
            <w:r w:rsidRPr="00F45876">
              <w:rPr>
                <w:rFonts w:eastAsia="Times New Roman" w:cs="Arial"/>
                <w:b/>
                <w:bCs/>
                <w:color w:val="000000"/>
                <w:lang w:eastAsia="en-GB"/>
              </w:rPr>
              <w:t>OPEL 2</w:t>
            </w:r>
          </w:p>
        </w:tc>
        <w:tc>
          <w:tcPr>
            <w:tcW w:w="6528" w:type="dxa"/>
            <w:tcBorders>
              <w:top w:val="nil"/>
              <w:left w:val="single" w:sz="8" w:space="0" w:color="auto"/>
              <w:bottom w:val="single" w:sz="8" w:space="0" w:color="auto"/>
              <w:right w:val="single" w:sz="8" w:space="0" w:color="auto"/>
            </w:tcBorders>
            <w:noWrap/>
            <w:vAlign w:val="center"/>
            <w:hideMark/>
          </w:tcPr>
          <w:p w14:paraId="3F870CD4" w14:textId="77777777" w:rsidR="0016527C" w:rsidRPr="00F45876" w:rsidRDefault="0016527C" w:rsidP="00E97108">
            <w:pPr>
              <w:spacing w:after="0" w:line="240" w:lineRule="auto"/>
              <w:rPr>
                <w:rFonts w:eastAsia="Times New Roman" w:cs="Arial"/>
                <w:color w:val="000000"/>
                <w:lang w:eastAsia="en-GB"/>
              </w:rPr>
            </w:pPr>
            <w:r w:rsidRPr="00F45876">
              <w:rPr>
                <w:rFonts w:eastAsia="Times New Roman" w:cs="Arial"/>
                <w:color w:val="000000"/>
                <w:lang w:eastAsia="en-GB"/>
              </w:rPr>
              <w:t xml:space="preserve">Any one </w:t>
            </w:r>
            <w:proofErr w:type="gramStart"/>
            <w:r w:rsidRPr="00F45876">
              <w:rPr>
                <w:rFonts w:eastAsia="Times New Roman" w:cs="Arial"/>
                <w:color w:val="000000"/>
                <w:lang w:eastAsia="en-GB"/>
              </w:rPr>
              <w:t>provider  level</w:t>
            </w:r>
            <w:proofErr w:type="gramEnd"/>
            <w:r w:rsidRPr="00F45876">
              <w:rPr>
                <w:rFonts w:eastAsia="Times New Roman" w:cs="Arial"/>
                <w:color w:val="000000"/>
                <w:lang w:eastAsia="en-GB"/>
              </w:rPr>
              <w:t xml:space="preserve"> 3 + other providers level 2</w:t>
            </w:r>
          </w:p>
        </w:tc>
      </w:tr>
      <w:tr w:rsidR="0016527C" w:rsidRPr="00F45876" w14:paraId="219DE19A" w14:textId="77777777" w:rsidTr="00E97108">
        <w:trPr>
          <w:trHeight w:val="615"/>
        </w:trPr>
        <w:tc>
          <w:tcPr>
            <w:tcW w:w="2260" w:type="dxa"/>
            <w:tcBorders>
              <w:top w:val="nil"/>
              <w:left w:val="single" w:sz="8" w:space="0" w:color="auto"/>
              <w:bottom w:val="single" w:sz="8" w:space="0" w:color="auto"/>
              <w:right w:val="nil"/>
            </w:tcBorders>
            <w:shd w:val="clear" w:color="000000" w:fill="FFC000"/>
            <w:noWrap/>
            <w:vAlign w:val="center"/>
            <w:hideMark/>
          </w:tcPr>
          <w:p w14:paraId="240BC61A" w14:textId="77777777" w:rsidR="0016527C" w:rsidRPr="00F45876" w:rsidRDefault="0016527C" w:rsidP="00E97108">
            <w:pPr>
              <w:spacing w:after="0" w:line="240" w:lineRule="auto"/>
              <w:jc w:val="center"/>
              <w:rPr>
                <w:rFonts w:eastAsia="Times New Roman" w:cs="Arial"/>
                <w:b/>
                <w:bCs/>
                <w:color w:val="000000"/>
                <w:lang w:eastAsia="en-GB"/>
              </w:rPr>
            </w:pPr>
            <w:r w:rsidRPr="00F45876">
              <w:rPr>
                <w:rFonts w:eastAsia="Times New Roman" w:cs="Arial"/>
                <w:b/>
                <w:bCs/>
                <w:color w:val="000000"/>
                <w:lang w:eastAsia="en-GB"/>
              </w:rPr>
              <w:t>OPEL 2</w:t>
            </w:r>
          </w:p>
        </w:tc>
        <w:tc>
          <w:tcPr>
            <w:tcW w:w="6528" w:type="dxa"/>
            <w:tcBorders>
              <w:top w:val="nil"/>
              <w:left w:val="single" w:sz="8" w:space="0" w:color="auto"/>
              <w:bottom w:val="single" w:sz="8" w:space="0" w:color="auto"/>
              <w:right w:val="single" w:sz="8" w:space="0" w:color="auto"/>
            </w:tcBorders>
            <w:vAlign w:val="center"/>
            <w:hideMark/>
          </w:tcPr>
          <w:p w14:paraId="72BB9707" w14:textId="77777777" w:rsidR="0016527C" w:rsidRPr="00F45876" w:rsidRDefault="0016527C" w:rsidP="00E97108">
            <w:pPr>
              <w:spacing w:after="0" w:line="240" w:lineRule="auto"/>
              <w:rPr>
                <w:rFonts w:eastAsia="Times New Roman" w:cs="Arial"/>
                <w:color w:val="000000"/>
                <w:lang w:eastAsia="en-GB"/>
              </w:rPr>
            </w:pPr>
            <w:r w:rsidRPr="00F45876">
              <w:rPr>
                <w:rFonts w:eastAsia="Times New Roman" w:cs="Arial"/>
                <w:color w:val="000000"/>
                <w:lang w:eastAsia="en-GB"/>
              </w:rPr>
              <w:t>BHT</w:t>
            </w:r>
            <w:r>
              <w:rPr>
                <w:rFonts w:eastAsia="Times New Roman" w:cs="Arial"/>
                <w:color w:val="000000"/>
                <w:lang w:eastAsia="en-GB"/>
              </w:rPr>
              <w:t>/L&amp;D</w:t>
            </w:r>
            <w:r w:rsidRPr="00F45876">
              <w:rPr>
                <w:rFonts w:eastAsia="Times New Roman" w:cs="Arial"/>
                <w:color w:val="000000"/>
                <w:lang w:eastAsia="en-GB"/>
              </w:rPr>
              <w:t xml:space="preserve"> level 3 + any other provider at level 3 apart from </w:t>
            </w:r>
            <w:r>
              <w:rPr>
                <w:rFonts w:eastAsia="Times New Roman" w:cs="Arial"/>
                <w:color w:val="000000"/>
                <w:lang w:eastAsia="en-GB"/>
              </w:rPr>
              <w:t>EPUT/CCS</w:t>
            </w:r>
            <w:r w:rsidRPr="00F45876">
              <w:rPr>
                <w:rFonts w:eastAsia="Times New Roman" w:cs="Arial"/>
                <w:color w:val="000000"/>
                <w:lang w:eastAsia="en-GB"/>
              </w:rPr>
              <w:t xml:space="preserve"> or EEAST (who would be on level 1 or 2)</w:t>
            </w:r>
          </w:p>
        </w:tc>
      </w:tr>
      <w:tr w:rsidR="0016527C" w:rsidRPr="00F45876" w14:paraId="3191B398" w14:textId="77777777" w:rsidTr="00E97108">
        <w:trPr>
          <w:trHeight w:val="315"/>
        </w:trPr>
        <w:tc>
          <w:tcPr>
            <w:tcW w:w="2260" w:type="dxa"/>
            <w:tcBorders>
              <w:top w:val="nil"/>
              <w:left w:val="single" w:sz="8" w:space="0" w:color="auto"/>
              <w:bottom w:val="single" w:sz="8" w:space="0" w:color="auto"/>
              <w:right w:val="nil"/>
            </w:tcBorders>
            <w:shd w:val="clear" w:color="000000" w:fill="FF0000"/>
            <w:noWrap/>
            <w:vAlign w:val="center"/>
            <w:hideMark/>
          </w:tcPr>
          <w:p w14:paraId="40E4A6BD" w14:textId="77777777" w:rsidR="0016527C" w:rsidRPr="00F45876" w:rsidRDefault="0016527C" w:rsidP="00E97108">
            <w:pPr>
              <w:spacing w:after="0" w:line="240" w:lineRule="auto"/>
              <w:jc w:val="center"/>
              <w:rPr>
                <w:rFonts w:eastAsia="Times New Roman" w:cs="Arial"/>
                <w:b/>
                <w:bCs/>
                <w:color w:val="FFFFFF"/>
                <w:lang w:eastAsia="en-GB"/>
              </w:rPr>
            </w:pPr>
            <w:r w:rsidRPr="00F45876">
              <w:rPr>
                <w:rFonts w:eastAsia="Times New Roman" w:cs="Arial"/>
                <w:b/>
                <w:bCs/>
                <w:color w:val="FFFFFF"/>
                <w:lang w:eastAsia="en-GB"/>
              </w:rPr>
              <w:t>OPEL 3</w:t>
            </w:r>
          </w:p>
        </w:tc>
        <w:tc>
          <w:tcPr>
            <w:tcW w:w="6528" w:type="dxa"/>
            <w:tcBorders>
              <w:top w:val="nil"/>
              <w:left w:val="single" w:sz="8" w:space="0" w:color="auto"/>
              <w:bottom w:val="single" w:sz="8" w:space="0" w:color="auto"/>
              <w:right w:val="single" w:sz="8" w:space="0" w:color="auto"/>
            </w:tcBorders>
            <w:noWrap/>
            <w:vAlign w:val="center"/>
            <w:hideMark/>
          </w:tcPr>
          <w:p w14:paraId="1EDD79AD" w14:textId="77777777" w:rsidR="0016527C" w:rsidRPr="00F45876" w:rsidRDefault="0016527C" w:rsidP="00E97108">
            <w:pPr>
              <w:spacing w:after="0" w:line="240" w:lineRule="auto"/>
              <w:rPr>
                <w:rFonts w:eastAsia="Times New Roman" w:cs="Arial"/>
                <w:color w:val="000000"/>
                <w:lang w:eastAsia="en-GB"/>
              </w:rPr>
            </w:pPr>
            <w:r w:rsidRPr="00F45876">
              <w:rPr>
                <w:rFonts w:eastAsia="Times New Roman" w:cs="Arial"/>
                <w:color w:val="000000"/>
                <w:lang w:eastAsia="en-GB"/>
              </w:rPr>
              <w:t>BHT</w:t>
            </w:r>
            <w:r>
              <w:rPr>
                <w:rFonts w:eastAsia="Times New Roman" w:cs="Arial"/>
                <w:color w:val="000000"/>
                <w:lang w:eastAsia="en-GB"/>
              </w:rPr>
              <w:t>/L&amp;D</w:t>
            </w:r>
            <w:r w:rsidRPr="00F45876">
              <w:rPr>
                <w:rFonts w:eastAsia="Times New Roman" w:cs="Arial"/>
                <w:color w:val="000000"/>
                <w:lang w:eastAsia="en-GB"/>
              </w:rPr>
              <w:t xml:space="preserve"> level 3 + </w:t>
            </w:r>
            <w:r>
              <w:rPr>
                <w:rFonts w:eastAsia="Times New Roman" w:cs="Arial"/>
                <w:color w:val="000000"/>
                <w:lang w:eastAsia="en-GB"/>
              </w:rPr>
              <w:t>EPUT/CCS</w:t>
            </w:r>
            <w:r w:rsidRPr="00F45876">
              <w:rPr>
                <w:rFonts w:eastAsia="Times New Roman" w:cs="Arial"/>
                <w:color w:val="000000"/>
                <w:lang w:eastAsia="en-GB"/>
              </w:rPr>
              <w:t xml:space="preserve"> level 3 + other providers level 2</w:t>
            </w:r>
          </w:p>
        </w:tc>
      </w:tr>
      <w:tr w:rsidR="0016527C" w:rsidRPr="00F45876" w14:paraId="36859024" w14:textId="77777777" w:rsidTr="00E97108">
        <w:trPr>
          <w:trHeight w:val="315"/>
        </w:trPr>
        <w:tc>
          <w:tcPr>
            <w:tcW w:w="2260" w:type="dxa"/>
            <w:tcBorders>
              <w:top w:val="nil"/>
              <w:left w:val="single" w:sz="8" w:space="0" w:color="auto"/>
              <w:bottom w:val="single" w:sz="8" w:space="0" w:color="auto"/>
              <w:right w:val="nil"/>
            </w:tcBorders>
            <w:shd w:val="clear" w:color="000000" w:fill="FF0000"/>
            <w:noWrap/>
            <w:vAlign w:val="center"/>
          </w:tcPr>
          <w:p w14:paraId="3DA3AE94" w14:textId="77777777" w:rsidR="0016527C" w:rsidRPr="00F45876" w:rsidRDefault="0016527C" w:rsidP="00E97108">
            <w:pPr>
              <w:spacing w:after="0" w:line="240" w:lineRule="auto"/>
              <w:jc w:val="center"/>
              <w:rPr>
                <w:rFonts w:eastAsia="Times New Roman" w:cs="Arial"/>
                <w:b/>
                <w:bCs/>
                <w:color w:val="FFFFFF"/>
                <w:lang w:eastAsia="en-GB"/>
              </w:rPr>
            </w:pPr>
            <w:r>
              <w:rPr>
                <w:rFonts w:eastAsia="Times New Roman" w:cs="Arial"/>
                <w:b/>
                <w:bCs/>
                <w:color w:val="FFFFFF"/>
                <w:lang w:eastAsia="en-GB"/>
              </w:rPr>
              <w:t>OPEL 3</w:t>
            </w:r>
          </w:p>
        </w:tc>
        <w:tc>
          <w:tcPr>
            <w:tcW w:w="6528" w:type="dxa"/>
            <w:tcBorders>
              <w:top w:val="nil"/>
              <w:left w:val="single" w:sz="8" w:space="0" w:color="auto"/>
              <w:bottom w:val="single" w:sz="8" w:space="0" w:color="auto"/>
              <w:right w:val="single" w:sz="8" w:space="0" w:color="auto"/>
            </w:tcBorders>
            <w:noWrap/>
            <w:vAlign w:val="center"/>
          </w:tcPr>
          <w:p w14:paraId="4B6D2DDF" w14:textId="77777777" w:rsidR="0016527C" w:rsidRPr="00F45876" w:rsidRDefault="0016527C" w:rsidP="00E97108">
            <w:pPr>
              <w:spacing w:after="0" w:line="240" w:lineRule="auto"/>
              <w:rPr>
                <w:rFonts w:eastAsia="Times New Roman" w:cs="Arial"/>
                <w:color w:val="000000"/>
                <w:lang w:eastAsia="en-GB"/>
              </w:rPr>
            </w:pPr>
            <w:r>
              <w:rPr>
                <w:rFonts w:eastAsia="Times New Roman" w:cs="Arial"/>
                <w:color w:val="000000"/>
                <w:lang w:eastAsia="en-GB"/>
              </w:rPr>
              <w:t>EPUT/CCS Level 4 + BHT/L&amp;D Level 3</w:t>
            </w:r>
          </w:p>
        </w:tc>
      </w:tr>
      <w:tr w:rsidR="0016527C" w:rsidRPr="00F45876" w14:paraId="413C4BC1" w14:textId="77777777" w:rsidTr="00E97108">
        <w:trPr>
          <w:trHeight w:val="315"/>
        </w:trPr>
        <w:tc>
          <w:tcPr>
            <w:tcW w:w="2260" w:type="dxa"/>
            <w:tcBorders>
              <w:top w:val="nil"/>
              <w:left w:val="single" w:sz="8" w:space="0" w:color="auto"/>
              <w:bottom w:val="single" w:sz="8" w:space="0" w:color="auto"/>
              <w:right w:val="nil"/>
            </w:tcBorders>
            <w:shd w:val="clear" w:color="000000" w:fill="FF0000"/>
            <w:noWrap/>
            <w:vAlign w:val="center"/>
            <w:hideMark/>
          </w:tcPr>
          <w:p w14:paraId="3CF77D89" w14:textId="77777777" w:rsidR="0016527C" w:rsidRPr="00F45876" w:rsidRDefault="0016527C" w:rsidP="00E97108">
            <w:pPr>
              <w:spacing w:after="0" w:line="240" w:lineRule="auto"/>
              <w:jc w:val="center"/>
              <w:rPr>
                <w:rFonts w:eastAsia="Times New Roman" w:cs="Arial"/>
                <w:b/>
                <w:bCs/>
                <w:color w:val="FFFFFF"/>
                <w:lang w:eastAsia="en-GB"/>
              </w:rPr>
            </w:pPr>
            <w:r w:rsidRPr="00F45876">
              <w:rPr>
                <w:rFonts w:eastAsia="Times New Roman" w:cs="Arial"/>
                <w:b/>
                <w:bCs/>
                <w:color w:val="FFFFFF"/>
                <w:lang w:eastAsia="en-GB"/>
              </w:rPr>
              <w:t>OPEL 3</w:t>
            </w:r>
          </w:p>
        </w:tc>
        <w:tc>
          <w:tcPr>
            <w:tcW w:w="6528" w:type="dxa"/>
            <w:tcBorders>
              <w:top w:val="nil"/>
              <w:left w:val="single" w:sz="8" w:space="0" w:color="auto"/>
              <w:bottom w:val="single" w:sz="8" w:space="0" w:color="auto"/>
              <w:right w:val="single" w:sz="8" w:space="0" w:color="auto"/>
            </w:tcBorders>
            <w:noWrap/>
            <w:vAlign w:val="center"/>
            <w:hideMark/>
          </w:tcPr>
          <w:p w14:paraId="7D97BD0B" w14:textId="77777777" w:rsidR="0016527C" w:rsidRPr="00F45876" w:rsidRDefault="0016527C" w:rsidP="00E97108">
            <w:pPr>
              <w:spacing w:after="0" w:line="240" w:lineRule="auto"/>
              <w:rPr>
                <w:rFonts w:eastAsia="Times New Roman" w:cs="Arial"/>
                <w:color w:val="000000"/>
                <w:lang w:eastAsia="en-GB"/>
              </w:rPr>
            </w:pPr>
            <w:r w:rsidRPr="00F45876">
              <w:rPr>
                <w:rFonts w:eastAsia="Times New Roman" w:cs="Arial"/>
                <w:color w:val="000000"/>
                <w:lang w:eastAsia="en-GB"/>
              </w:rPr>
              <w:t>BHT</w:t>
            </w:r>
            <w:r>
              <w:rPr>
                <w:rFonts w:eastAsia="Times New Roman" w:cs="Arial"/>
                <w:color w:val="000000"/>
                <w:lang w:eastAsia="en-GB"/>
              </w:rPr>
              <w:t>/L&amp;D</w:t>
            </w:r>
            <w:r w:rsidRPr="00F45876">
              <w:rPr>
                <w:rFonts w:eastAsia="Times New Roman" w:cs="Arial"/>
                <w:color w:val="000000"/>
                <w:lang w:eastAsia="en-GB"/>
              </w:rPr>
              <w:t xml:space="preserve"> level 3 + EEAST level 3 (REAP 3) + other providers level 2</w:t>
            </w:r>
          </w:p>
        </w:tc>
      </w:tr>
      <w:tr w:rsidR="0016527C" w:rsidRPr="00F45876" w14:paraId="3BD3A029" w14:textId="77777777" w:rsidTr="00E97108">
        <w:trPr>
          <w:trHeight w:val="315"/>
        </w:trPr>
        <w:tc>
          <w:tcPr>
            <w:tcW w:w="2260" w:type="dxa"/>
            <w:tcBorders>
              <w:top w:val="nil"/>
              <w:left w:val="single" w:sz="8" w:space="0" w:color="auto"/>
              <w:bottom w:val="single" w:sz="8" w:space="0" w:color="auto"/>
              <w:right w:val="nil"/>
            </w:tcBorders>
            <w:shd w:val="clear" w:color="000000" w:fill="000000"/>
            <w:noWrap/>
            <w:vAlign w:val="center"/>
            <w:hideMark/>
          </w:tcPr>
          <w:p w14:paraId="4132EF39" w14:textId="77777777" w:rsidR="0016527C" w:rsidRPr="00F45876" w:rsidRDefault="0016527C" w:rsidP="00E97108">
            <w:pPr>
              <w:spacing w:after="0" w:line="240" w:lineRule="auto"/>
              <w:jc w:val="center"/>
              <w:rPr>
                <w:rFonts w:eastAsia="Times New Roman" w:cs="Arial"/>
                <w:b/>
                <w:bCs/>
                <w:color w:val="FFFFFF"/>
                <w:lang w:eastAsia="en-GB"/>
              </w:rPr>
            </w:pPr>
            <w:r w:rsidRPr="00F45876">
              <w:rPr>
                <w:rFonts w:eastAsia="Times New Roman" w:cs="Arial"/>
                <w:b/>
                <w:bCs/>
                <w:color w:val="FFFFFF"/>
                <w:lang w:eastAsia="en-GB"/>
              </w:rPr>
              <w:t>OPEL 4</w:t>
            </w:r>
          </w:p>
        </w:tc>
        <w:tc>
          <w:tcPr>
            <w:tcW w:w="6528" w:type="dxa"/>
            <w:tcBorders>
              <w:top w:val="nil"/>
              <w:left w:val="single" w:sz="8" w:space="0" w:color="auto"/>
              <w:bottom w:val="single" w:sz="8" w:space="0" w:color="auto"/>
              <w:right w:val="single" w:sz="8" w:space="0" w:color="auto"/>
            </w:tcBorders>
            <w:noWrap/>
            <w:vAlign w:val="center"/>
            <w:hideMark/>
          </w:tcPr>
          <w:p w14:paraId="5A103BD1" w14:textId="77777777" w:rsidR="0016527C" w:rsidRPr="00F45876" w:rsidRDefault="0016527C" w:rsidP="00E97108">
            <w:pPr>
              <w:spacing w:after="0" w:line="240" w:lineRule="auto"/>
              <w:rPr>
                <w:rFonts w:eastAsia="Times New Roman" w:cs="Arial"/>
                <w:color w:val="000000"/>
                <w:lang w:eastAsia="en-GB"/>
              </w:rPr>
            </w:pPr>
            <w:r w:rsidRPr="00F45876">
              <w:rPr>
                <w:rFonts w:eastAsia="Times New Roman" w:cs="Arial"/>
                <w:color w:val="000000"/>
                <w:lang w:eastAsia="en-GB"/>
              </w:rPr>
              <w:t>BHT</w:t>
            </w:r>
            <w:r>
              <w:rPr>
                <w:rFonts w:eastAsia="Times New Roman" w:cs="Arial"/>
                <w:color w:val="000000"/>
                <w:lang w:eastAsia="en-GB"/>
              </w:rPr>
              <w:t>/L&amp;D</w:t>
            </w:r>
            <w:r w:rsidRPr="00F45876">
              <w:rPr>
                <w:rFonts w:eastAsia="Times New Roman" w:cs="Arial"/>
                <w:color w:val="000000"/>
                <w:lang w:eastAsia="en-GB"/>
              </w:rPr>
              <w:t xml:space="preserve"> level 4 + </w:t>
            </w:r>
            <w:r>
              <w:rPr>
                <w:rFonts w:eastAsia="Times New Roman" w:cs="Arial"/>
                <w:color w:val="000000"/>
                <w:lang w:eastAsia="en-GB"/>
              </w:rPr>
              <w:t>EPUT/CCS</w:t>
            </w:r>
            <w:r w:rsidRPr="00F45876">
              <w:rPr>
                <w:rFonts w:eastAsia="Times New Roman" w:cs="Arial"/>
                <w:color w:val="000000"/>
                <w:lang w:eastAsia="en-GB"/>
              </w:rPr>
              <w:t xml:space="preserve"> level 4 (as a minimum)</w:t>
            </w:r>
          </w:p>
        </w:tc>
      </w:tr>
    </w:tbl>
    <w:p w14:paraId="42785F0E" w14:textId="77777777" w:rsidR="00495C47" w:rsidRDefault="00495C47" w:rsidP="003F55AB">
      <w:pPr>
        <w:pStyle w:val="Heading2"/>
      </w:pPr>
    </w:p>
    <w:p w14:paraId="184F49D7" w14:textId="77777777" w:rsidR="00495C47" w:rsidRDefault="00495C47" w:rsidP="003F55AB">
      <w:pPr>
        <w:pStyle w:val="Heading2"/>
      </w:pPr>
    </w:p>
    <w:p w14:paraId="7F3AF006" w14:textId="1EE37D6C" w:rsidR="00D562CC" w:rsidRPr="003F55AB" w:rsidRDefault="0016527C" w:rsidP="003F55AB">
      <w:pPr>
        <w:pStyle w:val="Heading2"/>
      </w:pPr>
      <w:r w:rsidRPr="005E0DF2">
        <w:rPr>
          <w:b w:val="0"/>
        </w:rPr>
        <w:t>6.4</w:t>
      </w:r>
      <w:r w:rsidRPr="005E0DF2">
        <w:rPr>
          <w:b w:val="0"/>
        </w:rPr>
        <w:tab/>
      </w:r>
      <w:r w:rsidR="00D562CC" w:rsidRPr="003F55AB">
        <w:t>Stand down procedure</w:t>
      </w:r>
      <w:bookmarkEnd w:id="9"/>
      <w:bookmarkEnd w:id="10"/>
    </w:p>
    <w:p w14:paraId="13171749" w14:textId="018D53E4" w:rsidR="00D562CC" w:rsidRDefault="00D562CC" w:rsidP="00E91A04">
      <w:pPr>
        <w:spacing w:after="0" w:line="240" w:lineRule="auto"/>
        <w:ind w:left="720"/>
      </w:pPr>
      <w:r w:rsidRPr="00726629">
        <w:t xml:space="preserve">The decision to stand-down from any of the alerting levels, or close additional capacity will be made by the </w:t>
      </w:r>
      <w:r w:rsidR="00332857">
        <w:t xml:space="preserve">Trust’s </w:t>
      </w:r>
      <w:r w:rsidR="00D00680">
        <w:t xml:space="preserve">Director of Operations and the </w:t>
      </w:r>
      <w:r w:rsidR="00CE2071" w:rsidRPr="00726629">
        <w:t xml:space="preserve">appropriate </w:t>
      </w:r>
      <w:r w:rsidR="001C6527">
        <w:t>Director</w:t>
      </w:r>
      <w:r w:rsidR="00D00680">
        <w:t>(s)</w:t>
      </w:r>
      <w:r w:rsidR="00CE2071" w:rsidRPr="00726629">
        <w:t xml:space="preserve"> </w:t>
      </w:r>
      <w:r w:rsidRPr="00726629">
        <w:t>based upon demands and expected pressures.</w:t>
      </w:r>
      <w:r w:rsidR="00332857">
        <w:t xml:space="preserve"> This will be discussed and agreed with the CSU</w:t>
      </w:r>
      <w:r w:rsidR="0016527C">
        <w:t xml:space="preserve"> or </w:t>
      </w:r>
      <w:r w:rsidR="00B25999">
        <w:t>ICBs</w:t>
      </w:r>
      <w:r w:rsidR="0016527C">
        <w:t>, as appropriate</w:t>
      </w:r>
      <w:r w:rsidR="00332857">
        <w:t xml:space="preserve">. </w:t>
      </w:r>
    </w:p>
    <w:p w14:paraId="77E4FDCB" w14:textId="77777777" w:rsidR="007F34E4" w:rsidRDefault="007F34E4" w:rsidP="007F34E4">
      <w:bookmarkStart w:id="11" w:name="_Toc358978195"/>
    </w:p>
    <w:p w14:paraId="400639D0" w14:textId="77777777" w:rsidR="001560D4" w:rsidRPr="007F34E4" w:rsidRDefault="001560D4" w:rsidP="007F34E4"/>
    <w:p w14:paraId="26E95061" w14:textId="77777777" w:rsidR="00D562CC" w:rsidRPr="00AF7B53" w:rsidRDefault="00332857" w:rsidP="00D97064">
      <w:pPr>
        <w:pStyle w:val="Heading2"/>
      </w:pPr>
      <w:bookmarkStart w:id="12" w:name="_Toc397599202"/>
      <w:r w:rsidRPr="005E0DF2">
        <w:rPr>
          <w:b w:val="0"/>
        </w:rPr>
        <w:lastRenderedPageBreak/>
        <w:t>6.</w:t>
      </w:r>
      <w:r w:rsidR="0016527C" w:rsidRPr="005E0DF2">
        <w:rPr>
          <w:b w:val="0"/>
        </w:rPr>
        <w:t>5</w:t>
      </w:r>
      <w:r w:rsidR="00654939" w:rsidRPr="00AF7B53">
        <w:tab/>
      </w:r>
      <w:r w:rsidR="00D562CC" w:rsidRPr="00AF7B53">
        <w:t>Recovery management</w:t>
      </w:r>
      <w:bookmarkEnd w:id="11"/>
      <w:bookmarkEnd w:id="12"/>
    </w:p>
    <w:p w14:paraId="5FBD67FC" w14:textId="7DD4DFEB" w:rsidR="004A709C" w:rsidRPr="004A709C" w:rsidRDefault="004A709C" w:rsidP="004A709C">
      <w:pPr>
        <w:spacing w:after="0" w:line="240" w:lineRule="auto"/>
        <w:ind w:left="720"/>
      </w:pPr>
      <w:r w:rsidRPr="004A709C">
        <w:t xml:space="preserve">After </w:t>
      </w:r>
      <w:r w:rsidR="00B40D96">
        <w:t xml:space="preserve">each </w:t>
      </w:r>
      <w:r>
        <w:t xml:space="preserve">surge </w:t>
      </w:r>
      <w:r w:rsidRPr="004A709C">
        <w:t xml:space="preserve">incident </w:t>
      </w:r>
      <w:r w:rsidR="00B40D96">
        <w:t xml:space="preserve">an assessment of why the surge occurred should be conducted to ensure that any learning from the incident can be shared and used to improve the response. </w:t>
      </w:r>
      <w:r w:rsidRPr="004A709C">
        <w:t xml:space="preserve">This assessment </w:t>
      </w:r>
      <w:r>
        <w:t xml:space="preserve">should </w:t>
      </w:r>
      <w:r w:rsidRPr="004A709C">
        <w:t>include:</w:t>
      </w:r>
    </w:p>
    <w:p w14:paraId="004B2B15" w14:textId="77777777" w:rsidR="004A709C" w:rsidRPr="004A709C" w:rsidRDefault="004A709C" w:rsidP="004A709C">
      <w:pPr>
        <w:pStyle w:val="MainBodyText"/>
        <w:tabs>
          <w:tab w:val="left" w:pos="8389"/>
        </w:tabs>
        <w:rPr>
          <w:sz w:val="22"/>
          <w:szCs w:val="22"/>
        </w:rPr>
      </w:pPr>
    </w:p>
    <w:p w14:paraId="5EC073C2" w14:textId="77777777" w:rsidR="00B40D96" w:rsidRDefault="00B40D96" w:rsidP="004A709C">
      <w:pPr>
        <w:pStyle w:val="BulletBodyText"/>
        <w:rPr>
          <w:sz w:val="22"/>
          <w:szCs w:val="22"/>
        </w:rPr>
      </w:pPr>
      <w:r>
        <w:rPr>
          <w:sz w:val="22"/>
          <w:szCs w:val="22"/>
        </w:rPr>
        <w:t xml:space="preserve">Effectiveness of the escalation process </w:t>
      </w:r>
    </w:p>
    <w:p w14:paraId="1825BCFC" w14:textId="77777777" w:rsidR="004A709C" w:rsidRPr="004A709C" w:rsidRDefault="004A709C" w:rsidP="004A709C">
      <w:pPr>
        <w:pStyle w:val="BulletBodyText"/>
        <w:rPr>
          <w:sz w:val="22"/>
          <w:szCs w:val="22"/>
        </w:rPr>
      </w:pPr>
      <w:r w:rsidRPr="004A709C">
        <w:rPr>
          <w:sz w:val="22"/>
          <w:szCs w:val="22"/>
        </w:rPr>
        <w:t xml:space="preserve">Effects on staffing </w:t>
      </w:r>
    </w:p>
    <w:p w14:paraId="7ACFD9CC" w14:textId="77777777" w:rsidR="004A709C" w:rsidRPr="004A709C" w:rsidRDefault="004A709C" w:rsidP="004A709C">
      <w:pPr>
        <w:pStyle w:val="BulletBodyText"/>
        <w:rPr>
          <w:sz w:val="22"/>
          <w:szCs w:val="22"/>
        </w:rPr>
      </w:pPr>
      <w:r w:rsidRPr="004A709C">
        <w:rPr>
          <w:sz w:val="22"/>
          <w:szCs w:val="22"/>
        </w:rPr>
        <w:t>Disruption caused to patient care</w:t>
      </w:r>
    </w:p>
    <w:p w14:paraId="12E3678A" w14:textId="77777777" w:rsidR="004A709C" w:rsidRPr="004A709C" w:rsidRDefault="004A709C" w:rsidP="004A709C">
      <w:pPr>
        <w:pStyle w:val="BulletBodyText"/>
        <w:rPr>
          <w:sz w:val="22"/>
          <w:szCs w:val="22"/>
        </w:rPr>
      </w:pPr>
      <w:r w:rsidRPr="004A709C">
        <w:rPr>
          <w:sz w:val="22"/>
          <w:szCs w:val="22"/>
        </w:rPr>
        <w:t xml:space="preserve">Disruption caused to </w:t>
      </w:r>
      <w:r w:rsidR="00B40D96">
        <w:rPr>
          <w:sz w:val="22"/>
          <w:szCs w:val="22"/>
        </w:rPr>
        <w:t>ELFT</w:t>
      </w:r>
      <w:r w:rsidRPr="004A709C">
        <w:rPr>
          <w:sz w:val="22"/>
          <w:szCs w:val="22"/>
        </w:rPr>
        <w:t xml:space="preserve"> functions</w:t>
      </w:r>
    </w:p>
    <w:p w14:paraId="3907D97F" w14:textId="77777777" w:rsidR="004A709C" w:rsidRPr="004A709C" w:rsidRDefault="004A709C" w:rsidP="004A709C">
      <w:pPr>
        <w:pStyle w:val="BulletBodyText"/>
        <w:rPr>
          <w:sz w:val="22"/>
          <w:szCs w:val="22"/>
        </w:rPr>
      </w:pPr>
      <w:r w:rsidRPr="004A709C">
        <w:rPr>
          <w:sz w:val="22"/>
          <w:szCs w:val="22"/>
        </w:rPr>
        <w:t>Financial losses</w:t>
      </w:r>
    </w:p>
    <w:p w14:paraId="7D2FB819" w14:textId="77777777" w:rsidR="004A709C" w:rsidRPr="004A709C" w:rsidRDefault="004A709C" w:rsidP="00F51497">
      <w:pPr>
        <w:pStyle w:val="BulletBodyText"/>
        <w:rPr>
          <w:sz w:val="22"/>
          <w:szCs w:val="22"/>
        </w:rPr>
      </w:pPr>
      <w:r w:rsidRPr="004A709C">
        <w:rPr>
          <w:sz w:val="22"/>
          <w:szCs w:val="22"/>
        </w:rPr>
        <w:t>Future provision of services in the short, medium and long-term</w:t>
      </w:r>
      <w:r w:rsidR="00F51497">
        <w:rPr>
          <w:sz w:val="22"/>
          <w:szCs w:val="22"/>
        </w:rPr>
        <w:t>.</w:t>
      </w:r>
    </w:p>
    <w:p w14:paraId="2AB6848E" w14:textId="77777777" w:rsidR="00F51497" w:rsidRDefault="00F51497" w:rsidP="00D97064">
      <w:pPr>
        <w:pStyle w:val="Heading2"/>
      </w:pPr>
    </w:p>
    <w:p w14:paraId="3707FD99" w14:textId="77777777" w:rsidR="007C32E2" w:rsidRPr="002241B2" w:rsidRDefault="00332857" w:rsidP="00D97064">
      <w:pPr>
        <w:pStyle w:val="Heading2"/>
      </w:pPr>
      <w:bookmarkStart w:id="13" w:name="_Toc397599203"/>
      <w:r w:rsidRPr="005E0DF2">
        <w:rPr>
          <w:b w:val="0"/>
        </w:rPr>
        <w:t>6.5</w:t>
      </w:r>
      <w:r w:rsidR="00654939">
        <w:tab/>
      </w:r>
      <w:r w:rsidR="004952DB">
        <w:t>Performance</w:t>
      </w:r>
      <w:bookmarkEnd w:id="13"/>
    </w:p>
    <w:p w14:paraId="4898B165" w14:textId="77777777" w:rsidR="007C32E2" w:rsidRDefault="0016527C" w:rsidP="00654939">
      <w:pPr>
        <w:spacing w:line="240" w:lineRule="auto"/>
        <w:ind w:left="720"/>
      </w:pPr>
      <w:r>
        <w:t xml:space="preserve">Within London, the </w:t>
      </w:r>
      <w:r w:rsidR="00AF3220">
        <w:t xml:space="preserve">Lead Nurse for East Ham Care Centre </w:t>
      </w:r>
      <w:proofErr w:type="gramStart"/>
      <w:r w:rsidR="00AF3220">
        <w:t>on a daily basis</w:t>
      </w:r>
      <w:proofErr w:type="gramEnd"/>
      <w:r w:rsidR="00AF3220">
        <w:t xml:space="preserve"> reviews the bed status and </w:t>
      </w:r>
      <w:r w:rsidR="00522623">
        <w:t xml:space="preserve">monitors that </w:t>
      </w:r>
      <w:r w:rsidR="00AF3220">
        <w:t xml:space="preserve">proactive discharge planning </w:t>
      </w:r>
      <w:r w:rsidR="00522623">
        <w:t xml:space="preserve">and </w:t>
      </w:r>
      <w:proofErr w:type="spellStart"/>
      <w:r w:rsidR="00522623">
        <w:t>Multi Disciplinary</w:t>
      </w:r>
      <w:proofErr w:type="spellEnd"/>
      <w:r w:rsidR="00522623">
        <w:t xml:space="preserve"> Meetings take place. </w:t>
      </w:r>
    </w:p>
    <w:p w14:paraId="24DA4F3A" w14:textId="77777777" w:rsidR="00522623" w:rsidRDefault="00332857" w:rsidP="00654939">
      <w:pPr>
        <w:spacing w:line="240" w:lineRule="auto"/>
        <w:ind w:left="720"/>
      </w:pPr>
      <w:r>
        <w:t>For East Ham Care Centre, b</w:t>
      </w:r>
      <w:r w:rsidR="00522623">
        <w:t>ed occupancy, admissions and discharges are r</w:t>
      </w:r>
      <w:r>
        <w:t xml:space="preserve">eported to the Performance Team </w:t>
      </w:r>
      <w:proofErr w:type="gramStart"/>
      <w:r>
        <w:t>on a daily basis</w:t>
      </w:r>
      <w:proofErr w:type="gramEnd"/>
      <w:r>
        <w:t>, Monday – Friday.</w:t>
      </w:r>
    </w:p>
    <w:p w14:paraId="661E2E3F" w14:textId="0D387654" w:rsidR="00332857" w:rsidRDefault="00332857" w:rsidP="00654939">
      <w:pPr>
        <w:spacing w:line="240" w:lineRule="auto"/>
        <w:ind w:left="720"/>
      </w:pPr>
      <w:r>
        <w:t>The status of mental health bed availability is reported to the Performance team.</w:t>
      </w:r>
    </w:p>
    <w:p w14:paraId="4A202F2F" w14:textId="20746722" w:rsidR="00404B16" w:rsidRPr="005E0DF2" w:rsidRDefault="00404B16" w:rsidP="00404B16">
      <w:pPr>
        <w:spacing w:line="240" w:lineRule="auto"/>
        <w:rPr>
          <w:highlight w:val="yellow"/>
        </w:rPr>
      </w:pPr>
      <w:r>
        <w:t xml:space="preserve">6.6      </w:t>
      </w:r>
      <w:r w:rsidRPr="005E0DF2">
        <w:rPr>
          <w:b/>
          <w:highlight w:val="yellow"/>
        </w:rPr>
        <w:t>Training &amp; Exercising</w:t>
      </w:r>
    </w:p>
    <w:p w14:paraId="7E2AC54B" w14:textId="39A8462E" w:rsidR="00404B16" w:rsidRDefault="00404B16" w:rsidP="00654939">
      <w:pPr>
        <w:spacing w:line="240" w:lineRule="auto"/>
        <w:ind w:left="720"/>
      </w:pPr>
      <w:r w:rsidRPr="005E0DF2">
        <w:rPr>
          <w:highlight w:val="yellow"/>
        </w:rPr>
        <w:t>To ensure organisational preparedness, the Surge Management Plan should be tested annually through table</w:t>
      </w:r>
      <w:r w:rsidRPr="005E0DF2">
        <w:rPr>
          <w:highlight w:val="yellow"/>
        </w:rPr>
        <w:noBreakHyphen/>
        <w:t>top or live exercises. Participation should include operational leads, on</w:t>
      </w:r>
      <w:r w:rsidRPr="005E0DF2">
        <w:rPr>
          <w:highlight w:val="yellow"/>
        </w:rPr>
        <w:noBreakHyphen/>
        <w:t>call teams, and relevant clinical services. Learning from exercises should be captured, reviewed, and incorporated into future revisions of the plan to support continuous improvement and strengthen resilience.</w:t>
      </w:r>
    </w:p>
    <w:p w14:paraId="37A658CF" w14:textId="77777777" w:rsidR="00404B16" w:rsidRDefault="00404B16" w:rsidP="00654939">
      <w:pPr>
        <w:spacing w:line="240" w:lineRule="auto"/>
        <w:ind w:left="720"/>
      </w:pPr>
    </w:p>
    <w:p w14:paraId="2EE12059" w14:textId="77777777" w:rsidR="007F34E4" w:rsidRDefault="007F34E4" w:rsidP="00D97064">
      <w:pPr>
        <w:pStyle w:val="Heading1"/>
      </w:pPr>
      <w:r>
        <w:t xml:space="preserve">       </w:t>
      </w:r>
      <w:bookmarkStart w:id="14" w:name="_Toc397599204"/>
    </w:p>
    <w:p w14:paraId="0DA2BAAC" w14:textId="77777777" w:rsidR="009F579B" w:rsidRDefault="009F579B" w:rsidP="00D97064">
      <w:pPr>
        <w:pStyle w:val="Heading1"/>
      </w:pPr>
    </w:p>
    <w:p w14:paraId="36DFFEC6" w14:textId="77777777" w:rsidR="009F579B" w:rsidRDefault="009F579B" w:rsidP="00D97064">
      <w:pPr>
        <w:pStyle w:val="Heading1"/>
      </w:pPr>
    </w:p>
    <w:p w14:paraId="4A3DC4CD" w14:textId="77777777" w:rsidR="006B5F21" w:rsidRDefault="006B5F21">
      <w:pPr>
        <w:rPr>
          <w:rFonts w:cs="Arial"/>
          <w:b/>
          <w:sz w:val="24"/>
          <w:szCs w:val="24"/>
        </w:rPr>
      </w:pPr>
      <w:r>
        <w:br w:type="page"/>
      </w:r>
    </w:p>
    <w:p w14:paraId="3EB3C244" w14:textId="77777777" w:rsidR="009F579B" w:rsidRDefault="009F579B" w:rsidP="00D97064">
      <w:pPr>
        <w:pStyle w:val="Heading1"/>
      </w:pPr>
    </w:p>
    <w:p w14:paraId="113083B9" w14:textId="77777777" w:rsidR="009F579B" w:rsidRDefault="009F579B" w:rsidP="00D97064">
      <w:pPr>
        <w:pStyle w:val="Heading1"/>
      </w:pPr>
    </w:p>
    <w:p w14:paraId="0D39FB98" w14:textId="77777777" w:rsidR="000D288B" w:rsidRPr="00654939" w:rsidRDefault="00654939" w:rsidP="00D97064">
      <w:pPr>
        <w:pStyle w:val="Heading1"/>
      </w:pPr>
      <w:r w:rsidRPr="00654939">
        <w:t>7.</w:t>
      </w:r>
      <w:r w:rsidRPr="00654939">
        <w:tab/>
      </w:r>
      <w:r w:rsidR="00424F70">
        <w:t xml:space="preserve">Trust </w:t>
      </w:r>
      <w:r w:rsidR="004952DB">
        <w:t xml:space="preserve">Management of a </w:t>
      </w:r>
      <w:r w:rsidR="000D288B" w:rsidRPr="00654939">
        <w:t xml:space="preserve">Significant </w:t>
      </w:r>
      <w:r w:rsidR="00C53C19">
        <w:t xml:space="preserve">Surge </w:t>
      </w:r>
      <w:r w:rsidR="000D288B" w:rsidRPr="00654939">
        <w:t>Incident</w:t>
      </w:r>
      <w:bookmarkEnd w:id="14"/>
    </w:p>
    <w:p w14:paraId="0475B038" w14:textId="77777777" w:rsidR="00332857" w:rsidRDefault="00332857" w:rsidP="00206A51">
      <w:pPr>
        <w:spacing w:line="240" w:lineRule="auto"/>
        <w:ind w:left="720" w:hanging="720"/>
      </w:pPr>
      <w:r>
        <w:t>7</w:t>
      </w:r>
      <w:r w:rsidR="005E2207">
        <w:t>.1</w:t>
      </w:r>
      <w:r w:rsidR="005E2207">
        <w:tab/>
      </w:r>
      <w:r w:rsidR="00424F70" w:rsidRPr="00424F70">
        <w:rPr>
          <w:u w:val="single"/>
        </w:rPr>
        <w:t>Declaration of Major Incident</w:t>
      </w:r>
    </w:p>
    <w:p w14:paraId="31F5F816" w14:textId="77777777" w:rsidR="00D562CC" w:rsidRPr="00654939" w:rsidRDefault="00424F70" w:rsidP="00206A51">
      <w:pPr>
        <w:spacing w:line="240" w:lineRule="auto"/>
        <w:ind w:left="720" w:hanging="720"/>
      </w:pPr>
      <w:r>
        <w:t xml:space="preserve">            A</w:t>
      </w:r>
      <w:r w:rsidR="00D562CC" w:rsidRPr="00654939">
        <w:t xml:space="preserve"> </w:t>
      </w:r>
      <w:r w:rsidR="005E2207">
        <w:t xml:space="preserve">significant surge </w:t>
      </w:r>
      <w:r w:rsidR="00D562CC" w:rsidRPr="00654939">
        <w:t xml:space="preserve">incident </w:t>
      </w:r>
      <w:r w:rsidR="005E2207">
        <w:t xml:space="preserve">which results in </w:t>
      </w:r>
      <w:r w:rsidR="00D562CC" w:rsidRPr="00654939">
        <w:t xml:space="preserve">normal surge management processes </w:t>
      </w:r>
      <w:r w:rsidR="005E2207">
        <w:t xml:space="preserve">being overwhelmed </w:t>
      </w:r>
      <w:r w:rsidR="00206A51">
        <w:t>may</w:t>
      </w:r>
      <w:r>
        <w:t xml:space="preserve"> mean that </w:t>
      </w:r>
      <w:r w:rsidR="00D562CC" w:rsidRPr="00654939">
        <w:t>a</w:t>
      </w:r>
      <w:r w:rsidR="00726629">
        <w:t xml:space="preserve">n emergency or </w:t>
      </w:r>
      <w:r w:rsidR="00D562CC" w:rsidRPr="00654939">
        <w:t>Major Incident</w:t>
      </w:r>
      <w:r>
        <w:t xml:space="preserve"> needs to be declared.</w:t>
      </w:r>
    </w:p>
    <w:p w14:paraId="443B301F" w14:textId="77777777" w:rsidR="00424F70" w:rsidRDefault="00424F70" w:rsidP="00206A51">
      <w:pPr>
        <w:spacing w:line="240" w:lineRule="auto"/>
        <w:ind w:left="720" w:hanging="720"/>
      </w:pPr>
      <w:r>
        <w:t xml:space="preserve">           The</w:t>
      </w:r>
      <w:r w:rsidR="00D562CC" w:rsidRPr="005E2207">
        <w:t xml:space="preserve"> Chief Executive, or</w:t>
      </w:r>
      <w:r>
        <w:t xml:space="preserve"> a</w:t>
      </w:r>
      <w:r w:rsidR="00D562CC" w:rsidRPr="005E2207">
        <w:t xml:space="preserve"> deputy, </w:t>
      </w:r>
      <w:r w:rsidR="005E2207">
        <w:t xml:space="preserve">will </w:t>
      </w:r>
      <w:r w:rsidR="00206A51">
        <w:t xml:space="preserve">need to decide if it is necessary for ELFT to declare </w:t>
      </w:r>
      <w:r w:rsidR="005E2207">
        <w:t xml:space="preserve">a </w:t>
      </w:r>
      <w:r w:rsidR="00D562CC" w:rsidRPr="005E2207">
        <w:t xml:space="preserve">“major incident”. In such an event the actions of this plan </w:t>
      </w:r>
      <w:r w:rsidR="00206A51">
        <w:t>will</w:t>
      </w:r>
      <w:r w:rsidR="00D562CC" w:rsidRPr="005E2207">
        <w:t xml:space="preserve"> be superseded by those of the </w:t>
      </w:r>
      <w:r w:rsidR="00691094">
        <w:t>T</w:t>
      </w:r>
      <w:r w:rsidR="005E2207">
        <w:t xml:space="preserve">rusts </w:t>
      </w:r>
      <w:r w:rsidR="00691094">
        <w:t>Incident Response</w:t>
      </w:r>
      <w:r w:rsidR="00D562CC" w:rsidRPr="005E2207">
        <w:t xml:space="preserve"> Plan.</w:t>
      </w:r>
      <w:r>
        <w:t xml:space="preserve"> The Trust Business Continuity Plan will also be activated.</w:t>
      </w:r>
    </w:p>
    <w:p w14:paraId="2DB1DDB8" w14:textId="77777777" w:rsidR="00424F70" w:rsidRPr="009D38BD" w:rsidRDefault="00424F70" w:rsidP="00424F70">
      <w:pPr>
        <w:spacing w:after="0" w:line="240" w:lineRule="auto"/>
        <w:ind w:left="720" w:hanging="720"/>
        <w:rPr>
          <w:rFonts w:eastAsia="Calibri" w:cs="Times New Roman"/>
        </w:rPr>
      </w:pPr>
      <w:r>
        <w:rPr>
          <w:rFonts w:eastAsia="Calibri" w:cs="Times New Roman"/>
        </w:rPr>
        <w:t xml:space="preserve">            </w:t>
      </w:r>
      <w:r w:rsidR="003824AA">
        <w:rPr>
          <w:rFonts w:eastAsia="Calibri" w:cs="Times New Roman"/>
        </w:rPr>
        <w:t xml:space="preserve">It will be decided whether </w:t>
      </w:r>
      <w:r w:rsidR="0016527C">
        <w:rPr>
          <w:rFonts w:eastAsia="Calibri" w:cs="Times New Roman"/>
        </w:rPr>
        <w:t>an</w:t>
      </w:r>
      <w:r w:rsidR="0016527C" w:rsidRPr="009D38BD">
        <w:rPr>
          <w:rFonts w:eastAsia="Calibri" w:cs="Times New Roman"/>
        </w:rPr>
        <w:t xml:space="preserve"> </w:t>
      </w:r>
      <w:r w:rsidRPr="009D38BD">
        <w:rPr>
          <w:rFonts w:eastAsia="Calibri" w:cs="Times New Roman"/>
        </w:rPr>
        <w:t xml:space="preserve">Incident Coordination Centre (ICC) is to be established or if the incident will be handled using existing working methods. The Incident Response Plan </w:t>
      </w:r>
      <w:r w:rsidR="003824AA">
        <w:rPr>
          <w:rFonts w:eastAsia="Calibri" w:cs="Times New Roman"/>
        </w:rPr>
        <w:t>sets out the list of ICCs and how to activate these.</w:t>
      </w:r>
    </w:p>
    <w:p w14:paraId="1B93A820" w14:textId="77777777" w:rsidR="00424F70" w:rsidRDefault="00424F70" w:rsidP="00206A51">
      <w:pPr>
        <w:spacing w:line="240" w:lineRule="auto"/>
        <w:ind w:left="720" w:hanging="720"/>
      </w:pPr>
    </w:p>
    <w:p w14:paraId="0AA583A8" w14:textId="77777777" w:rsidR="00424F70" w:rsidRPr="00424F70" w:rsidRDefault="00424F70" w:rsidP="00CE3607">
      <w:pPr>
        <w:spacing w:line="240" w:lineRule="auto"/>
        <w:ind w:left="720" w:hanging="720"/>
        <w:rPr>
          <w:u w:val="single"/>
        </w:rPr>
      </w:pPr>
      <w:r>
        <w:t xml:space="preserve">7.2       </w:t>
      </w:r>
      <w:r>
        <w:rPr>
          <w:u w:val="single"/>
        </w:rPr>
        <w:t>Local Management</w:t>
      </w:r>
    </w:p>
    <w:p w14:paraId="0AB88812" w14:textId="77777777" w:rsidR="00691094" w:rsidRDefault="00424F70" w:rsidP="00CE3607">
      <w:pPr>
        <w:spacing w:line="240" w:lineRule="auto"/>
        <w:ind w:left="720" w:hanging="720"/>
        <w:rPr>
          <w:rFonts w:cs="Arial"/>
        </w:rPr>
      </w:pPr>
      <w:r>
        <w:rPr>
          <w:rFonts w:cs="Arial"/>
        </w:rPr>
        <w:t xml:space="preserve">           </w:t>
      </w:r>
      <w:r w:rsidR="00691094" w:rsidRPr="00C00E57">
        <w:rPr>
          <w:rFonts w:cs="Arial"/>
        </w:rPr>
        <w:t xml:space="preserve">Surge will be managed locally by service leads ensuring that surge activity is escalated to the </w:t>
      </w:r>
      <w:r>
        <w:rPr>
          <w:rFonts w:cs="Arial"/>
        </w:rPr>
        <w:t>Lead Nurse at East Ham Care Centre</w:t>
      </w:r>
      <w:r w:rsidR="0016527C">
        <w:rPr>
          <w:rFonts w:cs="Arial"/>
        </w:rPr>
        <w:t xml:space="preserve"> (within London) or Borough Lead Nurses (within Bedfordshire &amp; Luton)</w:t>
      </w:r>
      <w:r>
        <w:rPr>
          <w:rFonts w:cs="Arial"/>
        </w:rPr>
        <w:t xml:space="preserve">, who will oversee </w:t>
      </w:r>
      <w:r w:rsidR="00691094" w:rsidRPr="00C00E57">
        <w:rPr>
          <w:rFonts w:cs="Arial"/>
        </w:rPr>
        <w:t xml:space="preserve">capacity and </w:t>
      </w:r>
      <w:r>
        <w:rPr>
          <w:rFonts w:cs="Arial"/>
        </w:rPr>
        <w:t xml:space="preserve">that </w:t>
      </w:r>
      <w:r w:rsidR="00691094" w:rsidRPr="00C00E57">
        <w:rPr>
          <w:rFonts w:cs="Arial"/>
        </w:rPr>
        <w:t xml:space="preserve">discharge </w:t>
      </w:r>
      <w:proofErr w:type="gramStart"/>
      <w:r w:rsidR="00691094" w:rsidRPr="00C00E57">
        <w:rPr>
          <w:rFonts w:cs="Arial"/>
        </w:rPr>
        <w:t>are</w:t>
      </w:r>
      <w:proofErr w:type="gramEnd"/>
      <w:r w:rsidR="00691094" w:rsidRPr="00C00E57">
        <w:rPr>
          <w:rFonts w:cs="Arial"/>
        </w:rPr>
        <w:t xml:space="preserve"> considered for patients. </w:t>
      </w:r>
      <w:r>
        <w:rPr>
          <w:rFonts w:cs="Arial"/>
        </w:rPr>
        <w:t xml:space="preserve">If mental health beds are concerned, this will be via daily bed meetings. </w:t>
      </w:r>
      <w:r w:rsidR="00691094">
        <w:rPr>
          <w:rFonts w:cs="Arial"/>
        </w:rPr>
        <w:t>Where extreme pressure is being experienced and normal contingency actions have been exhausted the service leads will escalate to their appropriate directorate lead. The on-call teams will also be provided with an update on the situation.</w:t>
      </w:r>
    </w:p>
    <w:p w14:paraId="6448CB51" w14:textId="77777777" w:rsidR="009D38BD" w:rsidRPr="009D38BD" w:rsidRDefault="002E7862" w:rsidP="00747E5E">
      <w:pPr>
        <w:spacing w:after="0" w:line="240" w:lineRule="auto"/>
        <w:ind w:left="720" w:hanging="578"/>
        <w:jc w:val="both"/>
        <w:rPr>
          <w:rFonts w:eastAsia="Calibri" w:cs="Times New Roman"/>
        </w:rPr>
      </w:pPr>
      <w:r>
        <w:rPr>
          <w:rFonts w:eastAsia="Times New Roman" w:cs="Arial"/>
          <w:lang w:eastAsia="x-none"/>
        </w:rPr>
        <w:t xml:space="preserve"> </w:t>
      </w:r>
      <w:r w:rsidR="00424F70">
        <w:rPr>
          <w:rFonts w:eastAsia="Times New Roman" w:cs="Arial"/>
          <w:lang w:eastAsia="x-none"/>
        </w:rPr>
        <w:t xml:space="preserve">        </w:t>
      </w:r>
      <w:r w:rsidR="009D38BD" w:rsidRPr="009D38BD">
        <w:rPr>
          <w:rFonts w:eastAsia="Times New Roman" w:cs="Arial"/>
          <w:lang w:eastAsia="x-none"/>
        </w:rPr>
        <w:t>During a surge, services may need to activate their business continuity plans. Also, implementation of the actions below will be considered:</w:t>
      </w:r>
    </w:p>
    <w:p w14:paraId="57ACC5C8" w14:textId="77777777" w:rsidR="009D38BD" w:rsidRPr="009D38BD" w:rsidRDefault="009D38BD" w:rsidP="009D38BD">
      <w:pPr>
        <w:numPr>
          <w:ilvl w:val="0"/>
          <w:numId w:val="24"/>
        </w:numPr>
        <w:spacing w:after="0" w:line="240" w:lineRule="auto"/>
        <w:contextualSpacing/>
        <w:rPr>
          <w:rFonts w:eastAsia="Times New Roman" w:cs="Arial"/>
          <w:color w:val="000000"/>
        </w:rPr>
      </w:pPr>
      <w:r w:rsidRPr="009D38BD">
        <w:rPr>
          <w:rFonts w:eastAsia="Times New Roman" w:cs="Arial"/>
          <w:color w:val="000000"/>
        </w:rPr>
        <w:t>Maximising and expediting discharges from community facilities to increase capacity.</w:t>
      </w:r>
    </w:p>
    <w:p w14:paraId="1A2C5DF4" w14:textId="77777777" w:rsidR="009D38BD" w:rsidRPr="009D38BD" w:rsidRDefault="009D38BD" w:rsidP="009D38BD">
      <w:pPr>
        <w:numPr>
          <w:ilvl w:val="0"/>
          <w:numId w:val="24"/>
        </w:numPr>
        <w:spacing w:after="0" w:line="240" w:lineRule="auto"/>
        <w:contextualSpacing/>
        <w:rPr>
          <w:rFonts w:eastAsia="Times New Roman" w:cs="Arial"/>
          <w:color w:val="000000"/>
        </w:rPr>
      </w:pPr>
      <w:r w:rsidRPr="009D38BD">
        <w:rPr>
          <w:rFonts w:eastAsia="Times New Roman" w:cs="Arial"/>
          <w:color w:val="000000"/>
        </w:rPr>
        <w:t>Cancellation of non-urgent activities to direct staff to essential and critical activities</w:t>
      </w:r>
    </w:p>
    <w:p w14:paraId="331D1A61" w14:textId="77777777" w:rsidR="009D38BD" w:rsidRPr="009D38BD" w:rsidRDefault="009D38BD" w:rsidP="009D38BD">
      <w:pPr>
        <w:numPr>
          <w:ilvl w:val="0"/>
          <w:numId w:val="24"/>
        </w:numPr>
        <w:spacing w:after="0" w:line="240" w:lineRule="auto"/>
        <w:contextualSpacing/>
        <w:rPr>
          <w:rFonts w:eastAsia="Times New Roman" w:cs="Arial"/>
          <w:color w:val="000000"/>
        </w:rPr>
      </w:pPr>
      <w:r w:rsidRPr="009D38BD">
        <w:rPr>
          <w:rFonts w:eastAsia="Times New Roman" w:cs="Arial"/>
          <w:color w:val="000000"/>
        </w:rPr>
        <w:t>Relaxing admission criteria into community hospital beds.</w:t>
      </w:r>
    </w:p>
    <w:p w14:paraId="7E89D2AD" w14:textId="77777777" w:rsidR="009D38BD" w:rsidRPr="009D38BD" w:rsidRDefault="009D38BD" w:rsidP="009D38BD">
      <w:pPr>
        <w:numPr>
          <w:ilvl w:val="0"/>
          <w:numId w:val="24"/>
        </w:numPr>
        <w:spacing w:after="0" w:line="240" w:lineRule="auto"/>
        <w:contextualSpacing/>
        <w:rPr>
          <w:rFonts w:eastAsia="Times New Roman" w:cs="Arial"/>
          <w:color w:val="000000"/>
        </w:rPr>
      </w:pPr>
      <w:r w:rsidRPr="009D38BD">
        <w:rPr>
          <w:rFonts w:eastAsia="Times New Roman" w:cs="Arial"/>
          <w:color w:val="000000"/>
        </w:rPr>
        <w:t xml:space="preserve">Liaise with commissioners regarding the purchase extra capacity in community to enable discharges from acute care / prevent patient admissions. </w:t>
      </w:r>
    </w:p>
    <w:p w14:paraId="08643614" w14:textId="70D01986" w:rsidR="009D38BD" w:rsidRPr="009D38BD" w:rsidRDefault="00F80098" w:rsidP="009D38BD">
      <w:pPr>
        <w:numPr>
          <w:ilvl w:val="0"/>
          <w:numId w:val="24"/>
        </w:numPr>
        <w:spacing w:after="0" w:line="240" w:lineRule="auto"/>
        <w:contextualSpacing/>
        <w:rPr>
          <w:rFonts w:eastAsia="Times New Roman" w:cs="Arial"/>
          <w:color w:val="000000"/>
        </w:rPr>
      </w:pPr>
      <w:r>
        <w:rPr>
          <w:rFonts w:eastAsia="Times New Roman" w:cs="Arial"/>
          <w:color w:val="000000"/>
        </w:rPr>
        <w:t>Liaising with ICBs</w:t>
      </w:r>
      <w:r w:rsidR="009D38BD" w:rsidRPr="009D38BD">
        <w:rPr>
          <w:rFonts w:eastAsia="Times New Roman" w:cs="Arial"/>
          <w:color w:val="000000"/>
        </w:rPr>
        <w:t xml:space="preserve"> to increase physiological services capacity</w:t>
      </w:r>
    </w:p>
    <w:p w14:paraId="077B613B" w14:textId="77777777" w:rsidR="009D38BD" w:rsidRPr="009D38BD" w:rsidRDefault="009D38BD" w:rsidP="009D38BD">
      <w:pPr>
        <w:numPr>
          <w:ilvl w:val="0"/>
          <w:numId w:val="24"/>
        </w:numPr>
        <w:spacing w:after="0" w:line="240" w:lineRule="auto"/>
        <w:contextualSpacing/>
        <w:rPr>
          <w:rFonts w:eastAsia="Times New Roman" w:cs="Arial"/>
          <w:color w:val="000000"/>
        </w:rPr>
      </w:pPr>
      <w:r w:rsidRPr="009D38BD">
        <w:rPr>
          <w:rFonts w:eastAsia="Times New Roman" w:cs="Arial"/>
          <w:color w:val="000000"/>
        </w:rPr>
        <w:t xml:space="preserve">Agreeing placement of patients “without prejudice” by local Boroughs for those patients out of area where external </w:t>
      </w:r>
      <w:r w:rsidR="0016527C" w:rsidRPr="009D38BD">
        <w:rPr>
          <w:rFonts w:eastAsia="Times New Roman" w:cs="Arial"/>
          <w:color w:val="000000"/>
        </w:rPr>
        <w:t>Borough</w:t>
      </w:r>
      <w:r w:rsidR="0016527C">
        <w:rPr>
          <w:rFonts w:eastAsia="Times New Roman" w:cs="Arial"/>
          <w:color w:val="000000"/>
        </w:rPr>
        <w:t>s</w:t>
      </w:r>
      <w:r w:rsidRPr="009D38BD">
        <w:rPr>
          <w:rFonts w:eastAsia="Times New Roman" w:cs="Arial"/>
          <w:color w:val="000000"/>
        </w:rPr>
        <w:t xml:space="preserve"> are not expediting repatriation. </w:t>
      </w:r>
    </w:p>
    <w:p w14:paraId="234DBE3F" w14:textId="77777777" w:rsidR="009D38BD" w:rsidRPr="009D38BD" w:rsidRDefault="009D38BD" w:rsidP="009D38BD">
      <w:pPr>
        <w:numPr>
          <w:ilvl w:val="0"/>
          <w:numId w:val="24"/>
        </w:numPr>
        <w:spacing w:after="0" w:line="240" w:lineRule="auto"/>
        <w:contextualSpacing/>
        <w:rPr>
          <w:rFonts w:eastAsia="Times New Roman" w:cs="Arial"/>
          <w:color w:val="000000"/>
        </w:rPr>
      </w:pPr>
      <w:r w:rsidRPr="009D38BD">
        <w:rPr>
          <w:rFonts w:eastAsia="Times New Roman" w:cs="Arial"/>
          <w:color w:val="000000"/>
        </w:rPr>
        <w:t>Using the independent healthcare sector to support the trust if experiencing internal surge which result in short term capacity issues.</w:t>
      </w:r>
    </w:p>
    <w:p w14:paraId="788837FF" w14:textId="3B1F6EFD" w:rsidR="009D38BD" w:rsidRDefault="009D38BD" w:rsidP="009D38BD">
      <w:pPr>
        <w:numPr>
          <w:ilvl w:val="0"/>
          <w:numId w:val="24"/>
        </w:numPr>
        <w:spacing w:after="0" w:line="240" w:lineRule="auto"/>
        <w:contextualSpacing/>
        <w:rPr>
          <w:rFonts w:eastAsia="Times New Roman" w:cs="Arial"/>
          <w:color w:val="000000"/>
        </w:rPr>
      </w:pPr>
      <w:r w:rsidRPr="009D38BD">
        <w:rPr>
          <w:rFonts w:eastAsia="Times New Roman" w:cs="Arial"/>
          <w:color w:val="000000"/>
        </w:rPr>
        <w:t>Managing staff to maximise the resource available according to the principles set out in section 9 below.</w:t>
      </w:r>
    </w:p>
    <w:p w14:paraId="6D5A0345" w14:textId="25A83907" w:rsidR="00404B16" w:rsidRDefault="00404B16" w:rsidP="00404B16">
      <w:pPr>
        <w:spacing w:after="0" w:line="240" w:lineRule="auto"/>
        <w:contextualSpacing/>
        <w:rPr>
          <w:rFonts w:eastAsia="Times New Roman" w:cs="Arial"/>
          <w:color w:val="000000"/>
        </w:rPr>
      </w:pPr>
      <w:r>
        <w:rPr>
          <w:rFonts w:eastAsia="Times New Roman" w:cs="Arial"/>
          <w:color w:val="000000"/>
        </w:rPr>
        <w:t xml:space="preserve">          </w:t>
      </w:r>
    </w:p>
    <w:p w14:paraId="5276C0FE" w14:textId="77777777" w:rsidR="009D38BD" w:rsidRPr="009D38BD" w:rsidRDefault="009D38BD" w:rsidP="00404B16">
      <w:pPr>
        <w:spacing w:after="0" w:line="240" w:lineRule="auto"/>
        <w:jc w:val="both"/>
        <w:rPr>
          <w:rFonts w:eastAsia="Calibri" w:cs="Arial"/>
          <w:color w:val="000000"/>
        </w:rPr>
      </w:pPr>
    </w:p>
    <w:p w14:paraId="30D6BC52" w14:textId="77777777" w:rsidR="00424F70" w:rsidRDefault="00424F70" w:rsidP="009D38BD">
      <w:pPr>
        <w:spacing w:after="0" w:line="240" w:lineRule="auto"/>
        <w:ind w:left="709" w:hanging="709"/>
        <w:rPr>
          <w:rFonts w:eastAsia="Calibri" w:cs="Arial"/>
          <w:color w:val="000000"/>
          <w:u w:val="single"/>
        </w:rPr>
      </w:pPr>
      <w:r>
        <w:rPr>
          <w:rFonts w:eastAsia="Calibri" w:cs="Arial"/>
          <w:color w:val="000000"/>
        </w:rPr>
        <w:t xml:space="preserve">7.3       </w:t>
      </w:r>
      <w:r>
        <w:rPr>
          <w:rFonts w:eastAsia="Calibri" w:cs="Arial"/>
          <w:color w:val="000000"/>
          <w:u w:val="single"/>
        </w:rPr>
        <w:t>Casualties with Burns and Trauma</w:t>
      </w:r>
    </w:p>
    <w:p w14:paraId="39036CC8" w14:textId="77777777" w:rsidR="00424F70" w:rsidRDefault="00424F70" w:rsidP="009D38BD">
      <w:pPr>
        <w:spacing w:after="0" w:line="240" w:lineRule="auto"/>
        <w:ind w:left="709" w:hanging="709"/>
        <w:rPr>
          <w:rFonts w:eastAsia="Calibri" w:cs="Arial"/>
          <w:color w:val="000000"/>
        </w:rPr>
      </w:pPr>
      <w:r>
        <w:rPr>
          <w:rFonts w:eastAsia="Calibri" w:cs="Arial"/>
          <w:color w:val="000000"/>
        </w:rPr>
        <w:t xml:space="preserve">            </w:t>
      </w:r>
    </w:p>
    <w:p w14:paraId="53710A13" w14:textId="77777777" w:rsidR="00747E5E" w:rsidRDefault="00424F70" w:rsidP="009D38BD">
      <w:pPr>
        <w:spacing w:after="0" w:line="240" w:lineRule="auto"/>
        <w:ind w:left="709" w:hanging="709"/>
        <w:rPr>
          <w:rFonts w:eastAsia="Calibri" w:cs="Arial"/>
          <w:color w:val="000000"/>
        </w:rPr>
      </w:pPr>
      <w:r>
        <w:rPr>
          <w:rFonts w:eastAsia="Calibri" w:cs="Arial"/>
          <w:color w:val="000000"/>
        </w:rPr>
        <w:t xml:space="preserve">            </w:t>
      </w:r>
      <w:r w:rsidR="009D38BD" w:rsidRPr="009D38BD">
        <w:rPr>
          <w:rFonts w:eastAsia="Calibri" w:cs="Arial"/>
          <w:color w:val="000000"/>
        </w:rPr>
        <w:t xml:space="preserve">In a significant surge </w:t>
      </w:r>
      <w:proofErr w:type="gramStart"/>
      <w:r w:rsidR="009D38BD" w:rsidRPr="009D38BD">
        <w:rPr>
          <w:rFonts w:eastAsia="Calibri" w:cs="Arial"/>
          <w:color w:val="000000"/>
        </w:rPr>
        <w:t>incident</w:t>
      </w:r>
      <w:proofErr w:type="gramEnd"/>
      <w:r w:rsidR="009D38BD" w:rsidRPr="009D38BD">
        <w:rPr>
          <w:rFonts w:eastAsia="Calibri" w:cs="Arial"/>
          <w:color w:val="000000"/>
        </w:rPr>
        <w:t xml:space="preserve"> it is not expected that ELFT staff will directly treat casualties suffering from burns or major </w:t>
      </w:r>
      <w:proofErr w:type="gramStart"/>
      <w:r w:rsidR="009D38BD" w:rsidRPr="009D38BD">
        <w:rPr>
          <w:rFonts w:eastAsia="Calibri" w:cs="Arial"/>
          <w:color w:val="000000"/>
        </w:rPr>
        <w:t>trauma</w:t>
      </w:r>
      <w:proofErr w:type="gramEnd"/>
      <w:r w:rsidR="009D38BD" w:rsidRPr="009D38BD">
        <w:rPr>
          <w:rFonts w:eastAsia="Calibri" w:cs="Arial"/>
          <w:color w:val="000000"/>
        </w:rPr>
        <w:t xml:space="preserve"> but they may support community management following treatment at an Acute setting.</w:t>
      </w:r>
    </w:p>
    <w:p w14:paraId="329C5771" w14:textId="77777777" w:rsidR="00747E5E" w:rsidRPr="009D38BD" w:rsidRDefault="00747E5E" w:rsidP="009D38BD">
      <w:pPr>
        <w:spacing w:after="0" w:line="240" w:lineRule="auto"/>
        <w:ind w:left="709" w:hanging="709"/>
        <w:rPr>
          <w:rFonts w:eastAsia="Calibri" w:cs="Arial"/>
          <w:color w:val="000000"/>
        </w:rPr>
      </w:pPr>
    </w:p>
    <w:p w14:paraId="32D34A0A" w14:textId="77777777" w:rsidR="00424F70" w:rsidRPr="00424F70" w:rsidRDefault="009D38BD" w:rsidP="009D38BD">
      <w:pPr>
        <w:shd w:val="clear" w:color="auto" w:fill="FFFFFF"/>
        <w:spacing w:before="150" w:after="75" w:line="240" w:lineRule="auto"/>
        <w:ind w:left="709" w:hanging="709"/>
        <w:rPr>
          <w:rFonts w:eastAsia="Calibri" w:cs="Arial"/>
          <w:u w:val="single"/>
        </w:rPr>
      </w:pPr>
      <w:r w:rsidRPr="009D38BD">
        <w:rPr>
          <w:rFonts w:eastAsia="Calibri" w:cs="Arial"/>
        </w:rPr>
        <w:t>7.</w:t>
      </w:r>
      <w:r w:rsidR="00424F70">
        <w:rPr>
          <w:rFonts w:eastAsia="Calibri" w:cs="Arial"/>
        </w:rPr>
        <w:t>4</w:t>
      </w:r>
      <w:r w:rsidRPr="009D38BD">
        <w:rPr>
          <w:rFonts w:eastAsia="Calibri" w:cs="Arial"/>
        </w:rPr>
        <w:tab/>
      </w:r>
      <w:r w:rsidR="00424F70">
        <w:rPr>
          <w:rFonts w:eastAsia="Calibri" w:cs="Arial"/>
          <w:u w:val="single"/>
        </w:rPr>
        <w:t>Communication with Affected Individuals</w:t>
      </w:r>
    </w:p>
    <w:p w14:paraId="6ECC401D" w14:textId="77777777" w:rsidR="009D38BD" w:rsidRPr="009D38BD" w:rsidRDefault="00424F70" w:rsidP="009D38BD">
      <w:pPr>
        <w:shd w:val="clear" w:color="auto" w:fill="FFFFFF"/>
        <w:spacing w:before="150" w:after="75" w:line="240" w:lineRule="auto"/>
        <w:ind w:left="709" w:hanging="709"/>
        <w:rPr>
          <w:rFonts w:eastAsia="Times New Roman" w:cs="Arial"/>
          <w:lang w:eastAsia="en-GB"/>
        </w:rPr>
      </w:pPr>
      <w:r>
        <w:rPr>
          <w:rFonts w:eastAsia="Calibri" w:cs="Arial"/>
        </w:rPr>
        <w:t xml:space="preserve">            </w:t>
      </w:r>
      <w:r w:rsidR="009D38BD" w:rsidRPr="009D38BD">
        <w:rPr>
          <w:rFonts w:eastAsia="Calibri" w:cs="Arial"/>
        </w:rPr>
        <w:t xml:space="preserve">ELFT will seek to ensure it is able to communicate with all affected individuals, regardless of language barriers. </w:t>
      </w:r>
      <w:r w:rsidR="009D38BD" w:rsidRPr="009D38BD">
        <w:rPr>
          <w:rFonts w:eastAsia="Times New Roman" w:cs="Arial"/>
          <w:lang w:eastAsia="en-GB"/>
        </w:rPr>
        <w:t xml:space="preserve">When working with patients, service users or carers who do not speak English as their first language, staff are able to use Language Shop for professional interpreting services for face-to-face or telephone conversations and provide written translations when appropriate. </w:t>
      </w:r>
      <w:r>
        <w:rPr>
          <w:rFonts w:eastAsia="Times New Roman" w:cs="Arial"/>
          <w:lang w:eastAsia="en-GB"/>
        </w:rPr>
        <w:t>Details are shown in the Incident Response Plan.</w:t>
      </w:r>
    </w:p>
    <w:p w14:paraId="2CC49A9D" w14:textId="77777777" w:rsidR="009D38BD" w:rsidRDefault="009D38BD" w:rsidP="009D38BD">
      <w:pPr>
        <w:spacing w:after="0" w:line="240" w:lineRule="auto"/>
        <w:ind w:left="862" w:hanging="720"/>
        <w:rPr>
          <w:rFonts w:eastAsia="Times New Roman" w:cs="Arial"/>
          <w:lang w:eastAsia="x-none"/>
        </w:rPr>
      </w:pPr>
    </w:p>
    <w:p w14:paraId="0D6C391A" w14:textId="77777777" w:rsidR="00756EA0" w:rsidRDefault="00756EA0" w:rsidP="009D38BD">
      <w:pPr>
        <w:spacing w:after="0" w:line="240" w:lineRule="auto"/>
        <w:ind w:left="862" w:hanging="720"/>
        <w:rPr>
          <w:rFonts w:eastAsia="Times New Roman" w:cs="Arial"/>
          <w:lang w:eastAsia="x-none"/>
        </w:rPr>
      </w:pPr>
    </w:p>
    <w:p w14:paraId="0BD7598A" w14:textId="77777777" w:rsidR="00756EA0" w:rsidRPr="009D38BD" w:rsidRDefault="00756EA0" w:rsidP="009D38BD">
      <w:pPr>
        <w:spacing w:after="0" w:line="240" w:lineRule="auto"/>
        <w:ind w:left="862" w:hanging="720"/>
        <w:rPr>
          <w:rFonts w:eastAsia="Times New Roman" w:cs="Arial"/>
          <w:lang w:eastAsia="x-none"/>
        </w:rPr>
      </w:pPr>
    </w:p>
    <w:p w14:paraId="5F92B45C" w14:textId="77777777" w:rsidR="00424F70" w:rsidRDefault="00424F70" w:rsidP="009D38BD">
      <w:pPr>
        <w:spacing w:after="0" w:line="240" w:lineRule="auto"/>
        <w:ind w:left="709" w:hanging="709"/>
        <w:rPr>
          <w:rFonts w:eastAsia="Calibri" w:cs="Times New Roman"/>
          <w:u w:val="single"/>
        </w:rPr>
      </w:pPr>
      <w:r>
        <w:rPr>
          <w:rFonts w:eastAsia="Calibri" w:cs="Times New Roman"/>
        </w:rPr>
        <w:t>7.5</w:t>
      </w:r>
      <w:r w:rsidR="009D38BD" w:rsidRPr="009D38BD">
        <w:rPr>
          <w:rFonts w:eastAsia="Calibri" w:cs="Times New Roman"/>
        </w:rPr>
        <w:tab/>
      </w:r>
      <w:r>
        <w:rPr>
          <w:rFonts w:eastAsia="Calibri" w:cs="Times New Roman"/>
          <w:u w:val="single"/>
        </w:rPr>
        <w:t>Requirements of Individual Faith Groups</w:t>
      </w:r>
    </w:p>
    <w:p w14:paraId="1A1E143A" w14:textId="77777777" w:rsidR="00424F70" w:rsidRDefault="00424F70" w:rsidP="009D38BD">
      <w:pPr>
        <w:spacing w:after="0" w:line="240" w:lineRule="auto"/>
        <w:ind w:left="709" w:hanging="709"/>
        <w:rPr>
          <w:rFonts w:eastAsia="Calibri" w:cs="Times New Roman"/>
        </w:rPr>
      </w:pPr>
      <w:r>
        <w:rPr>
          <w:rFonts w:eastAsia="Calibri" w:cs="Times New Roman"/>
        </w:rPr>
        <w:t xml:space="preserve">           </w:t>
      </w:r>
    </w:p>
    <w:p w14:paraId="0EFAB0A4" w14:textId="77777777" w:rsidR="009D38BD" w:rsidRPr="009D38BD" w:rsidRDefault="00424F70" w:rsidP="00747E5E">
      <w:pPr>
        <w:shd w:val="clear" w:color="auto" w:fill="FFFFFF"/>
        <w:spacing w:before="150" w:after="75" w:line="240" w:lineRule="auto"/>
        <w:ind w:left="709" w:hanging="709"/>
        <w:rPr>
          <w:rFonts w:eastAsia="Calibri" w:cs="Times New Roman"/>
        </w:rPr>
      </w:pPr>
      <w:r>
        <w:rPr>
          <w:rFonts w:eastAsia="Calibri" w:cs="Times New Roman"/>
        </w:rPr>
        <w:t xml:space="preserve">            </w:t>
      </w:r>
      <w:r w:rsidR="009D38BD" w:rsidRPr="009D38BD">
        <w:rPr>
          <w:rFonts w:eastAsia="Calibri" w:cs="Times New Roman"/>
        </w:rPr>
        <w:t xml:space="preserve">Consideration will be given during an incident to the requirements of individual faith groups. It is recognised that this may not always be possible in every circumstance. The Chaplaincy and Spiritual Care Team </w:t>
      </w:r>
      <w:proofErr w:type="gramStart"/>
      <w:r w:rsidR="009D38BD" w:rsidRPr="009D38BD">
        <w:rPr>
          <w:rFonts w:eastAsia="Calibri" w:cs="Times New Roman"/>
        </w:rPr>
        <w:t>are able to</w:t>
      </w:r>
      <w:proofErr w:type="gramEnd"/>
      <w:r w:rsidR="009D38BD" w:rsidRPr="009D38BD">
        <w:rPr>
          <w:rFonts w:eastAsia="Calibri" w:cs="Times New Roman"/>
        </w:rPr>
        <w:t xml:space="preserve"> provide support and contacts of other faith groups and leaders should this be required.</w:t>
      </w:r>
      <w:r w:rsidRPr="00424F70">
        <w:rPr>
          <w:rFonts w:eastAsia="Times New Roman" w:cs="Arial"/>
          <w:lang w:eastAsia="en-GB"/>
        </w:rPr>
        <w:t xml:space="preserve"> </w:t>
      </w:r>
      <w:r>
        <w:rPr>
          <w:rFonts w:eastAsia="Times New Roman" w:cs="Arial"/>
          <w:lang w:eastAsia="en-GB"/>
        </w:rPr>
        <w:t>Details are shown in the Incident Response Plan.</w:t>
      </w:r>
    </w:p>
    <w:p w14:paraId="42574690" w14:textId="77777777" w:rsidR="009D38BD" w:rsidRPr="009D38BD" w:rsidRDefault="009D38BD" w:rsidP="009D38BD">
      <w:pPr>
        <w:spacing w:after="0" w:line="240" w:lineRule="auto"/>
        <w:ind w:left="709" w:hanging="709"/>
        <w:rPr>
          <w:rFonts w:eastAsia="Calibri" w:cs="Arial"/>
          <w:color w:val="000000"/>
        </w:rPr>
      </w:pPr>
    </w:p>
    <w:p w14:paraId="293AEAFD" w14:textId="77777777" w:rsidR="00424F70" w:rsidRDefault="00424F70" w:rsidP="009D38BD">
      <w:pPr>
        <w:spacing w:after="0" w:line="240" w:lineRule="auto"/>
        <w:ind w:left="709" w:hanging="709"/>
        <w:rPr>
          <w:rFonts w:eastAsia="Calibri" w:cs="Arial"/>
          <w:color w:val="000000"/>
          <w:u w:val="single"/>
        </w:rPr>
      </w:pPr>
      <w:r>
        <w:rPr>
          <w:rFonts w:eastAsia="Calibri" w:cs="Arial"/>
          <w:color w:val="000000"/>
        </w:rPr>
        <w:t>7.6</w:t>
      </w:r>
      <w:r w:rsidR="009D38BD" w:rsidRPr="009D38BD">
        <w:rPr>
          <w:rFonts w:eastAsia="Calibri" w:cs="Arial"/>
          <w:color w:val="000000"/>
        </w:rPr>
        <w:tab/>
      </w:r>
      <w:r>
        <w:rPr>
          <w:rFonts w:eastAsia="Calibri" w:cs="Arial"/>
          <w:color w:val="000000"/>
          <w:u w:val="single"/>
        </w:rPr>
        <w:t>Psychological Support</w:t>
      </w:r>
    </w:p>
    <w:p w14:paraId="5455BC3B" w14:textId="77777777" w:rsidR="00424F70" w:rsidRDefault="00424F70" w:rsidP="009D38BD">
      <w:pPr>
        <w:spacing w:after="0" w:line="240" w:lineRule="auto"/>
        <w:ind w:left="709" w:hanging="709"/>
        <w:rPr>
          <w:rFonts w:eastAsia="Calibri" w:cs="Arial"/>
          <w:color w:val="000000"/>
        </w:rPr>
      </w:pPr>
      <w:r>
        <w:rPr>
          <w:rFonts w:eastAsia="Calibri" w:cs="Arial"/>
          <w:color w:val="000000"/>
        </w:rPr>
        <w:t xml:space="preserve">            </w:t>
      </w:r>
    </w:p>
    <w:p w14:paraId="782318D8" w14:textId="77777777" w:rsidR="009D38BD" w:rsidRPr="009D38BD" w:rsidRDefault="00424F70" w:rsidP="009D38BD">
      <w:pPr>
        <w:spacing w:after="0" w:line="240" w:lineRule="auto"/>
        <w:ind w:left="709" w:hanging="709"/>
        <w:rPr>
          <w:rFonts w:eastAsia="Calibri" w:cs="Times New Roman"/>
        </w:rPr>
      </w:pPr>
      <w:r>
        <w:rPr>
          <w:rFonts w:eastAsia="Calibri" w:cs="Arial"/>
          <w:color w:val="000000"/>
        </w:rPr>
        <w:t xml:space="preserve">            </w:t>
      </w:r>
      <w:r w:rsidR="009D38BD" w:rsidRPr="009D38BD">
        <w:rPr>
          <w:rFonts w:eastAsia="Calibri" w:cs="Arial"/>
          <w:color w:val="000000"/>
        </w:rPr>
        <w:t xml:space="preserve">It is acknowledged that following a significant incident a cohort of patients suffering from burns or major trauma may require physiological support. If this resulted in a surge for psychological services, ELFT would liaise with commissioners to review the need to increase capacity.  </w:t>
      </w:r>
    </w:p>
    <w:p w14:paraId="757D0882" w14:textId="77777777" w:rsidR="009D38BD" w:rsidRPr="009D38BD" w:rsidRDefault="009D38BD" w:rsidP="009D38BD">
      <w:pPr>
        <w:spacing w:after="0" w:line="240" w:lineRule="auto"/>
        <w:ind w:left="720" w:hanging="720"/>
        <w:rPr>
          <w:rFonts w:eastAsia="Calibri" w:cs="Times New Roman"/>
        </w:rPr>
      </w:pPr>
      <w:r w:rsidRPr="009D38BD">
        <w:rPr>
          <w:rFonts w:eastAsia="Calibri" w:cs="Times New Roman"/>
        </w:rPr>
        <w:tab/>
      </w:r>
    </w:p>
    <w:p w14:paraId="58BC4EBF" w14:textId="77777777" w:rsidR="003824AA" w:rsidRDefault="009D38BD" w:rsidP="009D38BD">
      <w:pPr>
        <w:spacing w:after="0" w:line="240" w:lineRule="auto"/>
        <w:ind w:left="720" w:hanging="720"/>
        <w:rPr>
          <w:rFonts w:eastAsia="Calibri" w:cs="Times New Roman"/>
          <w:u w:val="single"/>
        </w:rPr>
      </w:pPr>
      <w:r w:rsidRPr="009D38BD">
        <w:rPr>
          <w:rFonts w:eastAsia="Calibri" w:cs="Times New Roman"/>
        </w:rPr>
        <w:t>7.</w:t>
      </w:r>
      <w:r w:rsidR="003824AA">
        <w:rPr>
          <w:rFonts w:eastAsia="Calibri" w:cs="Times New Roman"/>
        </w:rPr>
        <w:t>7</w:t>
      </w:r>
      <w:r w:rsidRPr="009D38BD">
        <w:rPr>
          <w:rFonts w:eastAsia="Calibri" w:cs="Times New Roman"/>
        </w:rPr>
        <w:t xml:space="preserve">       </w:t>
      </w:r>
      <w:r w:rsidR="003824AA">
        <w:rPr>
          <w:rFonts w:eastAsia="Calibri" w:cs="Times New Roman"/>
          <w:u w:val="single"/>
        </w:rPr>
        <w:t>Forensic Services</w:t>
      </w:r>
    </w:p>
    <w:p w14:paraId="4B25E867" w14:textId="77777777" w:rsidR="003824AA" w:rsidRDefault="003824AA" w:rsidP="009D38BD">
      <w:pPr>
        <w:spacing w:after="0" w:line="240" w:lineRule="auto"/>
        <w:ind w:left="720" w:hanging="720"/>
        <w:rPr>
          <w:rFonts w:eastAsia="Calibri" w:cs="Times New Roman"/>
        </w:rPr>
      </w:pPr>
    </w:p>
    <w:p w14:paraId="08518A4B" w14:textId="6318C560" w:rsidR="009D38BD" w:rsidRDefault="003824AA" w:rsidP="009D38BD">
      <w:pPr>
        <w:spacing w:after="0" w:line="240" w:lineRule="auto"/>
        <w:ind w:left="720" w:hanging="720"/>
        <w:rPr>
          <w:rFonts w:eastAsia="Calibri" w:cs="Times New Roman"/>
        </w:rPr>
      </w:pPr>
      <w:r>
        <w:rPr>
          <w:rFonts w:eastAsia="Calibri" w:cs="Times New Roman"/>
        </w:rPr>
        <w:t xml:space="preserve">            In</w:t>
      </w:r>
      <w:r w:rsidR="009D38BD" w:rsidRPr="009D38BD">
        <w:rPr>
          <w:rFonts w:eastAsia="Calibri" w:cs="Times New Roman"/>
        </w:rPr>
        <w:t xml:space="preserve"> the event of surge affecting medium secure facilities, the Forensic Services Management Team will be activating the memorandum of understanding with neighbouring service providers and inf</w:t>
      </w:r>
      <w:r w:rsidR="00B16B7E">
        <w:rPr>
          <w:rFonts w:eastAsia="Calibri" w:cs="Times New Roman"/>
        </w:rPr>
        <w:t>orm the ICBs</w:t>
      </w:r>
      <w:r w:rsidR="009D38BD" w:rsidRPr="009D38BD">
        <w:rPr>
          <w:rFonts w:eastAsia="Calibri" w:cs="Times New Roman"/>
        </w:rPr>
        <w:t>.</w:t>
      </w:r>
    </w:p>
    <w:p w14:paraId="29868319" w14:textId="77777777" w:rsidR="00404B16" w:rsidRDefault="00404B16" w:rsidP="009D38BD">
      <w:pPr>
        <w:spacing w:after="0" w:line="240" w:lineRule="auto"/>
        <w:ind w:left="720" w:hanging="720"/>
        <w:rPr>
          <w:rFonts w:eastAsia="Calibri" w:cs="Times New Roman"/>
        </w:rPr>
      </w:pPr>
    </w:p>
    <w:p w14:paraId="4858DAD4" w14:textId="5284DBB8" w:rsidR="00404B16" w:rsidRPr="00404B16" w:rsidRDefault="00404B16" w:rsidP="009D38BD">
      <w:pPr>
        <w:spacing w:after="0" w:line="240" w:lineRule="auto"/>
        <w:ind w:left="720" w:hanging="720"/>
        <w:rPr>
          <w:rFonts w:eastAsia="Calibri" w:cs="Times New Roman"/>
          <w:highlight w:val="yellow"/>
          <w:u w:val="single"/>
        </w:rPr>
      </w:pPr>
      <w:r w:rsidRPr="00404B16">
        <w:rPr>
          <w:rFonts w:eastAsia="Calibri" w:cs="Times New Roman"/>
          <w:highlight w:val="yellow"/>
        </w:rPr>
        <w:t xml:space="preserve">7.8      </w:t>
      </w:r>
      <w:r w:rsidRPr="00404B16">
        <w:rPr>
          <w:rFonts w:eastAsia="Calibri" w:cs="Times New Roman"/>
          <w:highlight w:val="yellow"/>
          <w:u w:val="single"/>
        </w:rPr>
        <w:t>Mutual Aid Arrangements</w:t>
      </w:r>
    </w:p>
    <w:p w14:paraId="4DEE0533" w14:textId="09ECC193" w:rsidR="00404B16" w:rsidRPr="00404B16" w:rsidRDefault="00404B16" w:rsidP="009D38BD">
      <w:pPr>
        <w:spacing w:after="0" w:line="240" w:lineRule="auto"/>
        <w:ind w:left="720" w:hanging="720"/>
        <w:rPr>
          <w:rFonts w:eastAsia="Calibri" w:cs="Times New Roman"/>
          <w:highlight w:val="yellow"/>
        </w:rPr>
      </w:pPr>
    </w:p>
    <w:p w14:paraId="5ACACB10" w14:textId="5068CEA6" w:rsidR="00404B16" w:rsidRPr="009D38BD" w:rsidRDefault="00404B16" w:rsidP="009D38BD">
      <w:pPr>
        <w:spacing w:after="0" w:line="240" w:lineRule="auto"/>
        <w:ind w:left="720" w:hanging="720"/>
        <w:rPr>
          <w:rFonts w:eastAsia="Calibri" w:cs="Times New Roman"/>
        </w:rPr>
      </w:pPr>
      <w:r w:rsidRPr="00404B16">
        <w:rPr>
          <w:rFonts w:eastAsia="Calibri" w:cs="Times New Roman"/>
          <w:highlight w:val="yellow"/>
        </w:rPr>
        <w:t xml:space="preserve">           To strengthen resilience across the organisation, ELFT should formalise internal mutual aid arrangements that enable rapid support between boroughs and services during surge. This may include temporary redeployment of staff, sharing of bed capacity, access to specialist clinical input, and coordinated allocation of equipment. A clear process for requesting, approving, and documenting mutual aid should be established to ensure timely and equitable support across all localities.</w:t>
      </w:r>
    </w:p>
    <w:p w14:paraId="3B330EAD" w14:textId="77777777" w:rsidR="00691094" w:rsidRDefault="00691094" w:rsidP="00691094">
      <w:pPr>
        <w:pStyle w:val="BodyText"/>
        <w:numPr>
          <w:ilvl w:val="0"/>
          <w:numId w:val="0"/>
        </w:numPr>
        <w:spacing w:after="0"/>
        <w:ind w:left="720" w:hanging="578"/>
        <w:jc w:val="both"/>
        <w:rPr>
          <w:rFonts w:ascii="Arial" w:hAnsi="Arial" w:cs="Arial"/>
          <w:sz w:val="22"/>
          <w:szCs w:val="22"/>
          <w:lang w:val="en-GB"/>
        </w:rPr>
      </w:pPr>
    </w:p>
    <w:p w14:paraId="30C6DBDD" w14:textId="77777777" w:rsidR="009D38BD" w:rsidRDefault="009D38BD" w:rsidP="00691094">
      <w:pPr>
        <w:pStyle w:val="BodyText"/>
        <w:numPr>
          <w:ilvl w:val="0"/>
          <w:numId w:val="0"/>
        </w:numPr>
        <w:spacing w:after="0"/>
        <w:ind w:left="720" w:hanging="578"/>
        <w:jc w:val="both"/>
        <w:rPr>
          <w:rFonts w:ascii="Arial" w:hAnsi="Arial" w:cs="Arial"/>
          <w:sz w:val="22"/>
          <w:szCs w:val="22"/>
          <w:lang w:val="en-GB"/>
        </w:rPr>
      </w:pPr>
    </w:p>
    <w:p w14:paraId="57ED7F08" w14:textId="77777777" w:rsidR="009D38BD" w:rsidRPr="009D38BD" w:rsidRDefault="003824AA" w:rsidP="009D38BD">
      <w:pPr>
        <w:outlineLvl w:val="0"/>
        <w:rPr>
          <w:rFonts w:eastAsia="Calibri" w:cs="Arial"/>
          <w:b/>
          <w:sz w:val="24"/>
          <w:szCs w:val="24"/>
        </w:rPr>
      </w:pPr>
      <w:bookmarkStart w:id="15" w:name="_Toc397599205"/>
      <w:r>
        <w:rPr>
          <w:rFonts w:eastAsia="Calibri" w:cs="Arial"/>
          <w:b/>
          <w:sz w:val="24"/>
          <w:szCs w:val="24"/>
        </w:rPr>
        <w:t xml:space="preserve">8. </w:t>
      </w:r>
      <w:r w:rsidR="009D38BD" w:rsidRPr="009D38BD">
        <w:rPr>
          <w:rFonts w:eastAsia="Calibri" w:cs="Arial"/>
          <w:b/>
          <w:sz w:val="24"/>
          <w:szCs w:val="24"/>
        </w:rPr>
        <w:t>Communications</w:t>
      </w:r>
      <w:bookmarkEnd w:id="15"/>
    </w:p>
    <w:p w14:paraId="4D2F3643" w14:textId="618B34A6" w:rsidR="009D38BD" w:rsidRDefault="00747E5E" w:rsidP="00747E5E">
      <w:pPr>
        <w:spacing w:after="0" w:line="240" w:lineRule="auto"/>
        <w:rPr>
          <w:rFonts w:eastAsia="Calibri" w:cs="Times New Roman"/>
        </w:rPr>
      </w:pPr>
      <w:r>
        <w:rPr>
          <w:rFonts w:eastAsia="Calibri" w:cs="Times New Roman"/>
        </w:rPr>
        <w:t>T</w:t>
      </w:r>
      <w:r w:rsidR="003824AA">
        <w:rPr>
          <w:rFonts w:eastAsia="Calibri" w:cs="Times New Roman"/>
        </w:rPr>
        <w:t xml:space="preserve">he Trust </w:t>
      </w:r>
      <w:r w:rsidR="009D38BD" w:rsidRPr="009D38BD">
        <w:rPr>
          <w:rFonts w:eastAsia="Calibri" w:cs="Times New Roman"/>
        </w:rPr>
        <w:t xml:space="preserve">will work in close collaboration with the communication functions of NHS England, </w:t>
      </w:r>
      <w:r w:rsidR="00495C47">
        <w:rPr>
          <w:rFonts w:eastAsia="Calibri" w:cs="Times New Roman"/>
        </w:rPr>
        <w:t>ICBs</w:t>
      </w:r>
      <w:r w:rsidR="009D38BD" w:rsidRPr="009D38BD">
        <w:rPr>
          <w:rFonts w:eastAsia="Calibri" w:cs="Times New Roman"/>
        </w:rPr>
        <w:t xml:space="preserve"> and all local health and social care providers to ensure it provides clear, timely information to the population. </w:t>
      </w:r>
      <w:r w:rsidR="003824AA">
        <w:rPr>
          <w:rFonts w:eastAsia="Calibri" w:cs="Times New Roman"/>
        </w:rPr>
        <w:t xml:space="preserve">This may include providing </w:t>
      </w:r>
      <w:proofErr w:type="spellStart"/>
      <w:r w:rsidR="003824AA">
        <w:rPr>
          <w:rFonts w:eastAsia="Calibri" w:cs="Times New Roman"/>
        </w:rPr>
        <w:t>SitReps</w:t>
      </w:r>
      <w:proofErr w:type="spellEnd"/>
      <w:r w:rsidR="003824AA">
        <w:rPr>
          <w:rFonts w:eastAsia="Calibri" w:cs="Times New Roman"/>
        </w:rPr>
        <w:t xml:space="preserve"> and participation in teleconferences.</w:t>
      </w:r>
      <w:r w:rsidR="009D38BD" w:rsidRPr="009D38BD">
        <w:rPr>
          <w:rFonts w:eastAsia="Calibri" w:cs="Times New Roman"/>
        </w:rPr>
        <w:t xml:space="preserve"> </w:t>
      </w:r>
    </w:p>
    <w:p w14:paraId="274198CF" w14:textId="77777777" w:rsidR="009D38BD" w:rsidRPr="009D38BD" w:rsidRDefault="009D38BD" w:rsidP="00747E5E">
      <w:pPr>
        <w:spacing w:after="0" w:line="240" w:lineRule="auto"/>
        <w:rPr>
          <w:rFonts w:eastAsia="Calibri" w:cs="Times New Roman"/>
        </w:rPr>
      </w:pPr>
    </w:p>
    <w:p w14:paraId="1A900954" w14:textId="77777777" w:rsidR="009D38BD" w:rsidRPr="009D38BD" w:rsidRDefault="009D38BD" w:rsidP="00747E5E">
      <w:pPr>
        <w:spacing w:after="0" w:line="240" w:lineRule="auto"/>
        <w:rPr>
          <w:rFonts w:eastAsia="Calibri" w:cs="Times New Roman"/>
        </w:rPr>
      </w:pPr>
      <w:r w:rsidRPr="009D38BD">
        <w:rPr>
          <w:rFonts w:eastAsia="Calibri" w:cs="Times New Roman"/>
        </w:rPr>
        <w:t>Relevant staff will be informed of any changes to services and on-call teams will be informed as required.</w:t>
      </w:r>
    </w:p>
    <w:p w14:paraId="22C2A3F9" w14:textId="77777777" w:rsidR="009D38BD" w:rsidRPr="009D38BD" w:rsidRDefault="009D38BD" w:rsidP="00747E5E">
      <w:pPr>
        <w:spacing w:after="0" w:line="240" w:lineRule="auto"/>
        <w:rPr>
          <w:rFonts w:eastAsia="Calibri" w:cs="Times New Roman"/>
        </w:rPr>
      </w:pPr>
    </w:p>
    <w:p w14:paraId="201953BC" w14:textId="77777777" w:rsidR="009D38BD" w:rsidRPr="009D38BD" w:rsidRDefault="009D38BD" w:rsidP="00747E5E">
      <w:pPr>
        <w:spacing w:after="0" w:line="240" w:lineRule="auto"/>
        <w:rPr>
          <w:rFonts w:eastAsia="Calibri" w:cs="Times New Roman"/>
        </w:rPr>
      </w:pPr>
      <w:r w:rsidRPr="009D38BD">
        <w:rPr>
          <w:rFonts w:eastAsia="Calibri" w:cs="Times New Roman"/>
        </w:rPr>
        <w:t xml:space="preserve">Any changes to services even if they are time limited will be communicated via the </w:t>
      </w:r>
      <w:proofErr w:type="gramStart"/>
      <w:r w:rsidRPr="009D38BD">
        <w:rPr>
          <w:rFonts w:eastAsia="Calibri" w:cs="Times New Roman"/>
        </w:rPr>
        <w:t>trusts</w:t>
      </w:r>
      <w:proofErr w:type="gramEnd"/>
      <w:r w:rsidRPr="009D38BD">
        <w:rPr>
          <w:rFonts w:eastAsia="Calibri" w:cs="Times New Roman"/>
        </w:rPr>
        <w:t xml:space="preserve"> website and social media accounts. All key partners and stakeholders will be informed. Local 111 providers will also be contacted to ensure they update their records to provide the correct information.</w:t>
      </w:r>
    </w:p>
    <w:p w14:paraId="06AE29B1" w14:textId="77777777" w:rsidR="009D38BD" w:rsidRPr="009D38BD" w:rsidRDefault="009D38BD" w:rsidP="00747E5E">
      <w:pPr>
        <w:spacing w:after="0" w:line="240" w:lineRule="auto"/>
        <w:rPr>
          <w:rFonts w:eastAsia="Calibri" w:cs="Times New Roman"/>
        </w:rPr>
      </w:pPr>
    </w:p>
    <w:p w14:paraId="62822F55" w14:textId="61471A08" w:rsidR="009D38BD" w:rsidRDefault="009D38BD" w:rsidP="00747E5E">
      <w:pPr>
        <w:spacing w:line="240" w:lineRule="auto"/>
        <w:rPr>
          <w:rFonts w:eastAsia="Calibri" w:cs="Times New Roman"/>
        </w:rPr>
      </w:pPr>
      <w:r w:rsidRPr="009D38BD">
        <w:rPr>
          <w:rFonts w:eastAsia="Calibri" w:cs="Times New Roman"/>
        </w:rPr>
        <w:t>In the event of a significant surge incident that requires an emergency response</w:t>
      </w:r>
      <w:r w:rsidR="00B16B7E">
        <w:rPr>
          <w:rFonts w:eastAsia="Calibri" w:cs="Times New Roman"/>
        </w:rPr>
        <w:t>,</w:t>
      </w:r>
      <w:r w:rsidRPr="009D38BD">
        <w:rPr>
          <w:rFonts w:eastAsia="Calibri" w:cs="Times New Roman"/>
        </w:rPr>
        <w:t xml:space="preserve"> communication methods </w:t>
      </w:r>
      <w:r w:rsidR="003824AA">
        <w:rPr>
          <w:rFonts w:eastAsia="Calibri" w:cs="Times New Roman"/>
        </w:rPr>
        <w:t>will be used as set out in the</w:t>
      </w:r>
      <w:r w:rsidR="00B16B7E">
        <w:rPr>
          <w:rFonts w:eastAsia="Calibri" w:cs="Times New Roman"/>
        </w:rPr>
        <w:t xml:space="preserve"> IRP (Incident Response </w:t>
      </w:r>
      <w:proofErr w:type="gramStart"/>
      <w:r w:rsidR="00B16B7E">
        <w:rPr>
          <w:rFonts w:eastAsia="Calibri" w:cs="Times New Roman"/>
        </w:rPr>
        <w:t>Plan)co</w:t>
      </w:r>
      <w:proofErr w:type="gramEnd"/>
      <w:r w:rsidR="00B16B7E">
        <w:rPr>
          <w:rFonts w:eastAsia="Calibri" w:cs="Times New Roman"/>
        </w:rPr>
        <w:t xml:space="preserve">, </w:t>
      </w:r>
      <w:r w:rsidR="003824AA">
        <w:rPr>
          <w:rFonts w:eastAsia="Calibri" w:cs="Times New Roman"/>
        </w:rPr>
        <w:t>Communication</w:t>
      </w:r>
      <w:r w:rsidR="00B16B7E">
        <w:rPr>
          <w:rFonts w:eastAsia="Calibri" w:cs="Times New Roman"/>
        </w:rPr>
        <w:t xml:space="preserve"> and </w:t>
      </w:r>
      <w:r w:rsidR="003824AA">
        <w:rPr>
          <w:rFonts w:eastAsia="Calibri" w:cs="Times New Roman"/>
        </w:rPr>
        <w:t>Major Incident Plan</w:t>
      </w:r>
      <w:r w:rsidRPr="009D38BD">
        <w:rPr>
          <w:rFonts w:eastAsia="Calibri" w:cs="Times New Roman"/>
        </w:rPr>
        <w:t>.</w:t>
      </w:r>
    </w:p>
    <w:p w14:paraId="375ECD62" w14:textId="77777777" w:rsidR="00BD11EB" w:rsidRDefault="00BD11EB" w:rsidP="00747E5E">
      <w:pPr>
        <w:spacing w:line="240" w:lineRule="auto"/>
        <w:rPr>
          <w:rFonts w:eastAsia="Calibri" w:cs="Times New Roman"/>
        </w:rPr>
      </w:pPr>
      <w:r>
        <w:rPr>
          <w:rFonts w:eastAsia="Calibri" w:cs="Times New Roman"/>
        </w:rPr>
        <w:t>Any alerts received such as for Cold Weather or Heatwave will be cascaded within the Trust.</w:t>
      </w:r>
    </w:p>
    <w:p w14:paraId="10F65990" w14:textId="00ED9529" w:rsidR="00B67641" w:rsidRPr="00B67641" w:rsidRDefault="00747E5E">
      <w:pPr>
        <w:rPr>
          <w:rFonts w:eastAsia="Calibri" w:cs="Times New Roman"/>
        </w:rPr>
      </w:pPr>
      <w:r>
        <w:rPr>
          <w:noProof/>
          <w:lang w:eastAsia="en-GB"/>
        </w:rPr>
        <mc:AlternateContent>
          <mc:Choice Requires="wps">
            <w:drawing>
              <wp:anchor distT="0" distB="0" distL="114300" distR="114300" simplePos="0" relativeHeight="251657216" behindDoc="0" locked="0" layoutInCell="1" allowOverlap="1" wp14:anchorId="158400A6" wp14:editId="04199715">
                <wp:simplePos x="0" y="0"/>
                <wp:positionH relativeFrom="column">
                  <wp:posOffset>-57150</wp:posOffset>
                </wp:positionH>
                <wp:positionV relativeFrom="paragraph">
                  <wp:posOffset>-133350</wp:posOffset>
                </wp:positionV>
                <wp:extent cx="5775325" cy="828675"/>
                <wp:effectExtent l="0" t="0" r="158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5325" cy="828675"/>
                        </a:xfrm>
                        <a:prstGeom prst="rect">
                          <a:avLst/>
                        </a:prstGeom>
                        <a:solidFill>
                          <a:srgbClr val="FFFFFF"/>
                        </a:solidFill>
                        <a:ln w="9525">
                          <a:solidFill>
                            <a:schemeClr val="bg1"/>
                          </a:solidFill>
                          <a:miter lim="800000"/>
                          <a:headEnd/>
                          <a:tailEnd/>
                        </a:ln>
                      </wps:spPr>
                      <wps:txbx>
                        <w:txbxContent>
                          <w:p w14:paraId="4F9DC37A" w14:textId="3E70C54C" w:rsidR="00404B16" w:rsidRDefault="00404B1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8400A6" id="_x0000_s1028" type="#_x0000_t202" style="position:absolute;margin-left:-4.5pt;margin-top:-10.5pt;width:454.75pt;height:6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" strokecolor="white [3212]">
                <v:textbox>
                  <w:txbxContent>
                    <w:p w14:paraId="4F9DC37A" w14:textId="3E70C54C" w:rsidR="00404B16" w:rsidRDefault="00404B16"/>
                  </w:txbxContent>
                </v:textbox>
              </v:shape>
            </w:pict>
          </mc:Fallback>
        </mc:AlternateContent>
      </w:r>
      <w:r w:rsidR="00B67641">
        <w:br w:type="page"/>
      </w:r>
    </w:p>
    <w:p w14:paraId="657FD77B" w14:textId="77777777" w:rsidR="0092511F" w:rsidRDefault="0092511F" w:rsidP="00BB787B"/>
    <w:p w14:paraId="153C0BF0" w14:textId="77777777" w:rsidR="001560D4" w:rsidRDefault="0016527C">
      <w:r>
        <w:rPr>
          <w:b/>
        </w:rPr>
        <w:t xml:space="preserve">Appendix </w:t>
      </w:r>
      <w:r w:rsidR="00B67641">
        <w:rPr>
          <w:b/>
        </w:rPr>
        <w:t>A</w:t>
      </w:r>
      <w:r>
        <w:rPr>
          <w:b/>
        </w:rPr>
        <w:t xml:space="preserve"> – </w:t>
      </w:r>
      <w:r>
        <w:t>Bedfordshire &amp; Luton OPEL Triggers and Action</w:t>
      </w:r>
      <w:r w:rsidR="00B67641">
        <w:t>s</w:t>
      </w:r>
    </w:p>
    <w:p w14:paraId="246A2B52" w14:textId="77777777" w:rsidR="00B67641" w:rsidRDefault="0016527C" w:rsidP="00BB787B">
      <w:pPr>
        <w:sectPr w:rsidR="00B67641" w:rsidSect="00B67641">
          <w:footerReference w:type="default" r:id="rId9"/>
          <w:pgSz w:w="11906" w:h="16838" w:code="9"/>
          <w:pgMar w:top="720" w:right="720" w:bottom="720" w:left="720" w:header="709" w:footer="709" w:gutter="0"/>
          <w:cols w:space="708"/>
          <w:docGrid w:linePitch="360"/>
        </w:sectPr>
      </w:pPr>
      <w:r>
        <w:rPr>
          <w:noProof/>
          <w:lang w:eastAsia="en-GB"/>
        </w:rPr>
        <w:drawing>
          <wp:inline distT="0" distB="0" distL="0" distR="0" wp14:anchorId="1D14250C" wp14:editId="28A5BD67">
            <wp:extent cx="6848475" cy="42678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7CD1D.tmp"/>
                    <pic:cNvPicPr/>
                  </pic:nvPicPr>
                  <pic:blipFill>
                    <a:blip r:embed="rId10">
                      <a:extLst>
                        <a:ext uri="{28A0092B-C50C-407E-A947-70E740481C1C}">
                          <a14:useLocalDpi xmlns:a14="http://schemas.microsoft.com/office/drawing/2010/main" val="0"/>
                        </a:ext>
                      </a:extLst>
                    </a:blip>
                    <a:stretch>
                      <a:fillRect/>
                    </a:stretch>
                  </pic:blipFill>
                  <pic:spPr>
                    <a:xfrm>
                      <a:off x="0" y="0"/>
                      <a:ext cx="6859120" cy="4274439"/>
                    </a:xfrm>
                    <a:prstGeom prst="rect">
                      <a:avLst/>
                    </a:prstGeom>
                  </pic:spPr>
                </pic:pic>
              </a:graphicData>
            </a:graphic>
          </wp:inline>
        </w:drawing>
      </w:r>
    </w:p>
    <w:p w14:paraId="357A08E9" w14:textId="71675664" w:rsidR="0016527C" w:rsidRPr="0016527C" w:rsidRDefault="0016527C" w:rsidP="001560D4"/>
    <w:sectPr w:rsidR="0016527C" w:rsidRPr="0016527C" w:rsidSect="00B6764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42BB7" w14:textId="77777777" w:rsidR="00B86A6B" w:rsidRDefault="00B86A6B" w:rsidP="004175BA">
      <w:pPr>
        <w:spacing w:after="0" w:line="240" w:lineRule="auto"/>
      </w:pPr>
      <w:r>
        <w:separator/>
      </w:r>
    </w:p>
  </w:endnote>
  <w:endnote w:type="continuationSeparator" w:id="0">
    <w:p w14:paraId="7BD202D5" w14:textId="77777777" w:rsidR="00B86A6B" w:rsidRDefault="00B86A6B" w:rsidP="00417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w:altName w:val="Arial"/>
    <w:panose1 w:val="00000000000000000000"/>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130544778"/>
      <w:docPartObj>
        <w:docPartGallery w:val="Page Numbers (Bottom of Page)"/>
        <w:docPartUnique/>
      </w:docPartObj>
    </w:sdtPr>
    <w:sdtEndPr/>
    <w:sdtContent>
      <w:sdt>
        <w:sdtPr>
          <w:rPr>
            <w:sz w:val="18"/>
            <w:szCs w:val="18"/>
          </w:rPr>
          <w:id w:val="860082579"/>
          <w:docPartObj>
            <w:docPartGallery w:val="Page Numbers (Top of Page)"/>
            <w:docPartUnique/>
          </w:docPartObj>
        </w:sdtPr>
        <w:sdtEndPr/>
        <w:sdtContent>
          <w:p w14:paraId="5923C5FD" w14:textId="364812ED" w:rsidR="00404B16" w:rsidRPr="004175BA" w:rsidRDefault="00404B16" w:rsidP="00E255B7">
            <w:pPr>
              <w:pStyle w:val="Footer"/>
              <w:rPr>
                <w:sz w:val="18"/>
                <w:szCs w:val="18"/>
              </w:rPr>
            </w:pPr>
            <w:r>
              <w:rPr>
                <w:sz w:val="18"/>
                <w:szCs w:val="18"/>
              </w:rPr>
              <w:t>Surge Management Plan v4.0</w:t>
            </w:r>
            <w:r>
              <w:rPr>
                <w:sz w:val="18"/>
                <w:szCs w:val="18"/>
              </w:rPr>
              <w:tab/>
            </w:r>
            <w:r>
              <w:rPr>
                <w:sz w:val="18"/>
                <w:szCs w:val="18"/>
              </w:rPr>
              <w:tab/>
            </w:r>
            <w:r w:rsidRPr="004175BA">
              <w:rPr>
                <w:sz w:val="18"/>
                <w:szCs w:val="18"/>
              </w:rPr>
              <w:t xml:space="preserve">Page </w:t>
            </w:r>
            <w:r w:rsidRPr="004175BA">
              <w:rPr>
                <w:b/>
                <w:bCs/>
                <w:sz w:val="18"/>
                <w:szCs w:val="18"/>
              </w:rPr>
              <w:fldChar w:fldCharType="begin"/>
            </w:r>
            <w:r w:rsidRPr="004175BA">
              <w:rPr>
                <w:b/>
                <w:bCs/>
                <w:sz w:val="18"/>
                <w:szCs w:val="18"/>
              </w:rPr>
              <w:instrText xml:space="preserve"> PAGE </w:instrText>
            </w:r>
            <w:r w:rsidRPr="004175BA">
              <w:rPr>
                <w:b/>
                <w:bCs/>
                <w:sz w:val="18"/>
                <w:szCs w:val="18"/>
              </w:rPr>
              <w:fldChar w:fldCharType="separate"/>
            </w:r>
            <w:r w:rsidR="005E0DF2">
              <w:rPr>
                <w:b/>
                <w:bCs/>
                <w:noProof/>
                <w:sz w:val="18"/>
                <w:szCs w:val="18"/>
              </w:rPr>
              <w:t>9</w:t>
            </w:r>
            <w:r w:rsidRPr="004175BA">
              <w:rPr>
                <w:b/>
                <w:bCs/>
                <w:sz w:val="18"/>
                <w:szCs w:val="18"/>
              </w:rPr>
              <w:fldChar w:fldCharType="end"/>
            </w:r>
            <w:r w:rsidRPr="004175BA">
              <w:rPr>
                <w:sz w:val="18"/>
                <w:szCs w:val="18"/>
              </w:rPr>
              <w:t xml:space="preserve"> of </w:t>
            </w:r>
            <w:r w:rsidRPr="004175BA">
              <w:rPr>
                <w:b/>
                <w:bCs/>
                <w:sz w:val="18"/>
                <w:szCs w:val="18"/>
              </w:rPr>
              <w:fldChar w:fldCharType="begin"/>
            </w:r>
            <w:r w:rsidRPr="004175BA">
              <w:rPr>
                <w:b/>
                <w:bCs/>
                <w:sz w:val="18"/>
                <w:szCs w:val="18"/>
              </w:rPr>
              <w:instrText xml:space="preserve"> NUMPAGES  </w:instrText>
            </w:r>
            <w:r w:rsidRPr="004175BA">
              <w:rPr>
                <w:b/>
                <w:bCs/>
                <w:sz w:val="18"/>
                <w:szCs w:val="18"/>
              </w:rPr>
              <w:fldChar w:fldCharType="separate"/>
            </w:r>
            <w:r w:rsidR="005E0DF2">
              <w:rPr>
                <w:b/>
                <w:bCs/>
                <w:noProof/>
                <w:sz w:val="18"/>
                <w:szCs w:val="18"/>
              </w:rPr>
              <w:t>17</w:t>
            </w:r>
            <w:r w:rsidRPr="004175BA">
              <w:rPr>
                <w:b/>
                <w:bCs/>
                <w:sz w:val="18"/>
                <w:szCs w:val="18"/>
              </w:rPr>
              <w:fldChar w:fldCharType="end"/>
            </w:r>
          </w:p>
        </w:sdtContent>
      </w:sdt>
    </w:sdtContent>
  </w:sdt>
  <w:p w14:paraId="4C6F4FA7" w14:textId="77777777" w:rsidR="00404B16" w:rsidRDefault="00404B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B84C8" w14:textId="77777777" w:rsidR="00B86A6B" w:rsidRDefault="00B86A6B" w:rsidP="004175BA">
      <w:pPr>
        <w:spacing w:after="0" w:line="240" w:lineRule="auto"/>
      </w:pPr>
      <w:r>
        <w:separator/>
      </w:r>
    </w:p>
  </w:footnote>
  <w:footnote w:type="continuationSeparator" w:id="0">
    <w:p w14:paraId="7C3C645F" w14:textId="77777777" w:rsidR="00B86A6B" w:rsidRDefault="00B86A6B" w:rsidP="004175BA">
      <w:pPr>
        <w:spacing w:after="0" w:line="240" w:lineRule="auto"/>
      </w:pPr>
      <w:r>
        <w:continuationSeparator/>
      </w:r>
    </w:p>
  </w:footnote>
  <w:footnote w:id="1">
    <w:p w14:paraId="488A9590" w14:textId="77777777" w:rsidR="00404B16" w:rsidRDefault="00404B16">
      <w:pPr>
        <w:pStyle w:val="FootnoteText"/>
      </w:pPr>
      <w:r>
        <w:rPr>
          <w:rStyle w:val="FootnoteReference"/>
        </w:rPr>
        <w:footnoteRef/>
      </w:r>
      <w:r>
        <w:t xml:space="preserve"> NHS England (London) Pressure Surge Management Arrangements v2, November 2013</w:t>
      </w:r>
    </w:p>
  </w:footnote>
  <w:footnote w:id="2">
    <w:p w14:paraId="07988A5C" w14:textId="77777777" w:rsidR="00404B16" w:rsidRDefault="00404B16">
      <w:pPr>
        <w:pStyle w:val="FootnoteText"/>
      </w:pPr>
      <w:r>
        <w:rPr>
          <w:rStyle w:val="FootnoteReference"/>
        </w:rPr>
        <w:footnoteRef/>
      </w:r>
      <w:r>
        <w:t xml:space="preserve"> NHS England (London) Pressure Surge Management Arrangements v2, November 2013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A16B6"/>
    <w:multiLevelType w:val="hybridMultilevel"/>
    <w:tmpl w:val="BD4A3760"/>
    <w:lvl w:ilvl="0" w:tplc="364082B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C9546A"/>
    <w:multiLevelType w:val="hybridMultilevel"/>
    <w:tmpl w:val="50C8818C"/>
    <w:lvl w:ilvl="0" w:tplc="08090001">
      <w:start w:val="1"/>
      <w:numFmt w:val="bullet"/>
      <w:lvlText w:val=""/>
      <w:lvlJc w:val="left"/>
      <w:pPr>
        <w:tabs>
          <w:tab w:val="num" w:pos="294"/>
        </w:tabs>
        <w:ind w:left="294" w:hanging="360"/>
      </w:pPr>
      <w:rPr>
        <w:rFonts w:ascii="Symbol" w:hAnsi="Symbol" w:hint="default"/>
      </w:rPr>
    </w:lvl>
    <w:lvl w:ilvl="1" w:tplc="08090003" w:tentative="1">
      <w:start w:val="1"/>
      <w:numFmt w:val="bullet"/>
      <w:lvlText w:val="o"/>
      <w:lvlJc w:val="left"/>
      <w:pPr>
        <w:tabs>
          <w:tab w:val="num" w:pos="1014"/>
        </w:tabs>
        <w:ind w:left="1014" w:hanging="360"/>
      </w:pPr>
      <w:rPr>
        <w:rFonts w:ascii="Courier New" w:hAnsi="Courier New" w:cs="Courier New" w:hint="default"/>
      </w:rPr>
    </w:lvl>
    <w:lvl w:ilvl="2" w:tplc="08090005" w:tentative="1">
      <w:start w:val="1"/>
      <w:numFmt w:val="bullet"/>
      <w:lvlText w:val=""/>
      <w:lvlJc w:val="left"/>
      <w:pPr>
        <w:tabs>
          <w:tab w:val="num" w:pos="1734"/>
        </w:tabs>
        <w:ind w:left="1734" w:hanging="360"/>
      </w:pPr>
      <w:rPr>
        <w:rFonts w:ascii="Wingdings" w:hAnsi="Wingdings" w:hint="default"/>
      </w:rPr>
    </w:lvl>
    <w:lvl w:ilvl="3" w:tplc="08090001" w:tentative="1">
      <w:start w:val="1"/>
      <w:numFmt w:val="bullet"/>
      <w:lvlText w:val=""/>
      <w:lvlJc w:val="left"/>
      <w:pPr>
        <w:tabs>
          <w:tab w:val="num" w:pos="2454"/>
        </w:tabs>
        <w:ind w:left="2454" w:hanging="360"/>
      </w:pPr>
      <w:rPr>
        <w:rFonts w:ascii="Symbol" w:hAnsi="Symbol" w:hint="default"/>
      </w:rPr>
    </w:lvl>
    <w:lvl w:ilvl="4" w:tplc="08090003" w:tentative="1">
      <w:start w:val="1"/>
      <w:numFmt w:val="bullet"/>
      <w:lvlText w:val="o"/>
      <w:lvlJc w:val="left"/>
      <w:pPr>
        <w:tabs>
          <w:tab w:val="num" w:pos="3174"/>
        </w:tabs>
        <w:ind w:left="3174" w:hanging="360"/>
      </w:pPr>
      <w:rPr>
        <w:rFonts w:ascii="Courier New" w:hAnsi="Courier New" w:cs="Courier New" w:hint="default"/>
      </w:rPr>
    </w:lvl>
    <w:lvl w:ilvl="5" w:tplc="08090005" w:tentative="1">
      <w:start w:val="1"/>
      <w:numFmt w:val="bullet"/>
      <w:lvlText w:val=""/>
      <w:lvlJc w:val="left"/>
      <w:pPr>
        <w:tabs>
          <w:tab w:val="num" w:pos="3894"/>
        </w:tabs>
        <w:ind w:left="3894" w:hanging="360"/>
      </w:pPr>
      <w:rPr>
        <w:rFonts w:ascii="Wingdings" w:hAnsi="Wingdings" w:hint="default"/>
      </w:rPr>
    </w:lvl>
    <w:lvl w:ilvl="6" w:tplc="08090001" w:tentative="1">
      <w:start w:val="1"/>
      <w:numFmt w:val="bullet"/>
      <w:lvlText w:val=""/>
      <w:lvlJc w:val="left"/>
      <w:pPr>
        <w:tabs>
          <w:tab w:val="num" w:pos="4614"/>
        </w:tabs>
        <w:ind w:left="4614" w:hanging="360"/>
      </w:pPr>
      <w:rPr>
        <w:rFonts w:ascii="Symbol" w:hAnsi="Symbol" w:hint="default"/>
      </w:rPr>
    </w:lvl>
    <w:lvl w:ilvl="7" w:tplc="08090003" w:tentative="1">
      <w:start w:val="1"/>
      <w:numFmt w:val="bullet"/>
      <w:lvlText w:val="o"/>
      <w:lvlJc w:val="left"/>
      <w:pPr>
        <w:tabs>
          <w:tab w:val="num" w:pos="5334"/>
        </w:tabs>
        <w:ind w:left="5334" w:hanging="360"/>
      </w:pPr>
      <w:rPr>
        <w:rFonts w:ascii="Courier New" w:hAnsi="Courier New" w:cs="Courier New" w:hint="default"/>
      </w:rPr>
    </w:lvl>
    <w:lvl w:ilvl="8" w:tplc="08090005" w:tentative="1">
      <w:start w:val="1"/>
      <w:numFmt w:val="bullet"/>
      <w:lvlText w:val=""/>
      <w:lvlJc w:val="left"/>
      <w:pPr>
        <w:tabs>
          <w:tab w:val="num" w:pos="6054"/>
        </w:tabs>
        <w:ind w:left="6054" w:hanging="360"/>
      </w:pPr>
      <w:rPr>
        <w:rFonts w:ascii="Wingdings" w:hAnsi="Wingdings" w:hint="default"/>
      </w:rPr>
    </w:lvl>
  </w:abstractNum>
  <w:abstractNum w:abstractNumId="2" w15:restartNumberingAfterBreak="0">
    <w:nsid w:val="05C90D0D"/>
    <w:multiLevelType w:val="hybridMultilevel"/>
    <w:tmpl w:val="E0189C3C"/>
    <w:lvl w:ilvl="0" w:tplc="08090001">
      <w:start w:val="1"/>
      <w:numFmt w:val="bullet"/>
      <w:lvlText w:val=""/>
      <w:lvlJc w:val="left"/>
      <w:pPr>
        <w:tabs>
          <w:tab w:val="num" w:pos="1069"/>
        </w:tabs>
        <w:ind w:left="1069" w:hanging="360"/>
      </w:pPr>
      <w:rPr>
        <w:rFonts w:ascii="Symbol" w:hAnsi="Symbol" w:hint="default"/>
      </w:rPr>
    </w:lvl>
    <w:lvl w:ilvl="1" w:tplc="08090003" w:tentative="1">
      <w:start w:val="1"/>
      <w:numFmt w:val="bullet"/>
      <w:lvlText w:val="o"/>
      <w:lvlJc w:val="left"/>
      <w:pPr>
        <w:tabs>
          <w:tab w:val="num" w:pos="1789"/>
        </w:tabs>
        <w:ind w:left="1789" w:hanging="360"/>
      </w:pPr>
      <w:rPr>
        <w:rFonts w:ascii="Courier New" w:hAnsi="Courier New" w:cs="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cs="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cs="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3" w15:restartNumberingAfterBreak="0">
    <w:nsid w:val="0600674B"/>
    <w:multiLevelType w:val="hybridMultilevel"/>
    <w:tmpl w:val="B5C86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FE65E4"/>
    <w:multiLevelType w:val="hybridMultilevel"/>
    <w:tmpl w:val="46B04DB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078F251C"/>
    <w:multiLevelType w:val="hybridMultilevel"/>
    <w:tmpl w:val="977ABADC"/>
    <w:lvl w:ilvl="0" w:tplc="FFFFFFFF">
      <w:start w:val="1"/>
      <w:numFmt w:val="bullet"/>
      <w:lvlText w:val=""/>
      <w:lvlJc w:val="left"/>
      <w:pPr>
        <w:tabs>
          <w:tab w:val="num" w:pos="294"/>
        </w:tabs>
        <w:ind w:left="294" w:hanging="360"/>
      </w:pPr>
      <w:rPr>
        <w:rFonts w:ascii="Symbol" w:hAnsi="Symbol"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FA32FC"/>
    <w:multiLevelType w:val="hybridMultilevel"/>
    <w:tmpl w:val="6CC06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653D47"/>
    <w:multiLevelType w:val="hybridMultilevel"/>
    <w:tmpl w:val="2256AD66"/>
    <w:lvl w:ilvl="0" w:tplc="FFFFFFFF">
      <w:start w:val="1"/>
      <w:numFmt w:val="bullet"/>
      <w:lvlText w:val=""/>
      <w:lvlJc w:val="left"/>
      <w:pPr>
        <w:tabs>
          <w:tab w:val="num" w:pos="-132"/>
        </w:tabs>
        <w:ind w:left="-132" w:hanging="360"/>
      </w:pPr>
      <w:rPr>
        <w:rFonts w:ascii="Symbol" w:hAnsi="Symbol" w:hint="default"/>
        <w:sz w:val="18"/>
      </w:rPr>
    </w:lvl>
    <w:lvl w:ilvl="1" w:tplc="FFFFFFFF" w:tentative="1">
      <w:start w:val="1"/>
      <w:numFmt w:val="bullet"/>
      <w:lvlText w:val="o"/>
      <w:lvlJc w:val="left"/>
      <w:pPr>
        <w:tabs>
          <w:tab w:val="num" w:pos="1014"/>
        </w:tabs>
        <w:ind w:left="1014" w:hanging="360"/>
      </w:pPr>
      <w:rPr>
        <w:rFonts w:ascii="Courier New" w:hAnsi="Courier New" w:hint="default"/>
      </w:rPr>
    </w:lvl>
    <w:lvl w:ilvl="2" w:tplc="FFFFFFFF" w:tentative="1">
      <w:start w:val="1"/>
      <w:numFmt w:val="bullet"/>
      <w:lvlText w:val=""/>
      <w:lvlJc w:val="left"/>
      <w:pPr>
        <w:tabs>
          <w:tab w:val="num" w:pos="1734"/>
        </w:tabs>
        <w:ind w:left="1734" w:hanging="360"/>
      </w:pPr>
      <w:rPr>
        <w:rFonts w:ascii="Wingdings" w:hAnsi="Wingdings" w:hint="default"/>
      </w:rPr>
    </w:lvl>
    <w:lvl w:ilvl="3" w:tplc="FFFFFFFF" w:tentative="1">
      <w:start w:val="1"/>
      <w:numFmt w:val="bullet"/>
      <w:lvlText w:val=""/>
      <w:lvlJc w:val="left"/>
      <w:pPr>
        <w:tabs>
          <w:tab w:val="num" w:pos="2454"/>
        </w:tabs>
        <w:ind w:left="2454" w:hanging="360"/>
      </w:pPr>
      <w:rPr>
        <w:rFonts w:ascii="Symbol" w:hAnsi="Symbol" w:hint="default"/>
      </w:rPr>
    </w:lvl>
    <w:lvl w:ilvl="4" w:tplc="FFFFFFFF" w:tentative="1">
      <w:start w:val="1"/>
      <w:numFmt w:val="bullet"/>
      <w:lvlText w:val="o"/>
      <w:lvlJc w:val="left"/>
      <w:pPr>
        <w:tabs>
          <w:tab w:val="num" w:pos="3174"/>
        </w:tabs>
        <w:ind w:left="3174" w:hanging="360"/>
      </w:pPr>
      <w:rPr>
        <w:rFonts w:ascii="Courier New" w:hAnsi="Courier New" w:hint="default"/>
      </w:rPr>
    </w:lvl>
    <w:lvl w:ilvl="5" w:tplc="FFFFFFFF" w:tentative="1">
      <w:start w:val="1"/>
      <w:numFmt w:val="bullet"/>
      <w:lvlText w:val=""/>
      <w:lvlJc w:val="left"/>
      <w:pPr>
        <w:tabs>
          <w:tab w:val="num" w:pos="3894"/>
        </w:tabs>
        <w:ind w:left="3894" w:hanging="360"/>
      </w:pPr>
      <w:rPr>
        <w:rFonts w:ascii="Wingdings" w:hAnsi="Wingdings" w:hint="default"/>
      </w:rPr>
    </w:lvl>
    <w:lvl w:ilvl="6" w:tplc="FFFFFFFF" w:tentative="1">
      <w:start w:val="1"/>
      <w:numFmt w:val="bullet"/>
      <w:lvlText w:val=""/>
      <w:lvlJc w:val="left"/>
      <w:pPr>
        <w:tabs>
          <w:tab w:val="num" w:pos="4614"/>
        </w:tabs>
        <w:ind w:left="4614" w:hanging="360"/>
      </w:pPr>
      <w:rPr>
        <w:rFonts w:ascii="Symbol" w:hAnsi="Symbol" w:hint="default"/>
      </w:rPr>
    </w:lvl>
    <w:lvl w:ilvl="7" w:tplc="FFFFFFFF" w:tentative="1">
      <w:start w:val="1"/>
      <w:numFmt w:val="bullet"/>
      <w:lvlText w:val="o"/>
      <w:lvlJc w:val="left"/>
      <w:pPr>
        <w:tabs>
          <w:tab w:val="num" w:pos="5334"/>
        </w:tabs>
        <w:ind w:left="5334" w:hanging="360"/>
      </w:pPr>
      <w:rPr>
        <w:rFonts w:ascii="Courier New" w:hAnsi="Courier New" w:hint="default"/>
      </w:rPr>
    </w:lvl>
    <w:lvl w:ilvl="8" w:tplc="FFFFFFFF" w:tentative="1">
      <w:start w:val="1"/>
      <w:numFmt w:val="bullet"/>
      <w:lvlText w:val=""/>
      <w:lvlJc w:val="left"/>
      <w:pPr>
        <w:tabs>
          <w:tab w:val="num" w:pos="6054"/>
        </w:tabs>
        <w:ind w:left="6054" w:hanging="360"/>
      </w:pPr>
      <w:rPr>
        <w:rFonts w:ascii="Wingdings" w:hAnsi="Wingdings" w:hint="default"/>
      </w:rPr>
    </w:lvl>
  </w:abstractNum>
  <w:abstractNum w:abstractNumId="8" w15:restartNumberingAfterBreak="0">
    <w:nsid w:val="0B3363C6"/>
    <w:multiLevelType w:val="hybridMultilevel"/>
    <w:tmpl w:val="E0F80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107AC7"/>
    <w:multiLevelType w:val="hybridMultilevel"/>
    <w:tmpl w:val="CEAA0CCC"/>
    <w:lvl w:ilvl="0" w:tplc="768C78CC">
      <w:start w:val="1"/>
      <w:numFmt w:val="bullet"/>
      <w:lvlText w:val="—"/>
      <w:lvlJc w:val="left"/>
      <w:pPr>
        <w:ind w:left="1080" w:hanging="360"/>
      </w:pPr>
      <w:rPr>
        <w:rFonts w:ascii="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2CC4FAB"/>
    <w:multiLevelType w:val="hybridMultilevel"/>
    <w:tmpl w:val="14B0F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4B5212"/>
    <w:multiLevelType w:val="multilevel"/>
    <w:tmpl w:val="6FC8E310"/>
    <w:lvl w:ilvl="0">
      <w:start w:val="1"/>
      <w:numFmt w:val="bullet"/>
      <w:lvlText w:val=""/>
      <w:lvlJc w:val="left"/>
      <w:pPr>
        <w:tabs>
          <w:tab w:val="num" w:pos="3126"/>
        </w:tabs>
        <w:ind w:left="3126" w:hanging="432"/>
      </w:pPr>
      <w:rPr>
        <w:rFonts w:ascii="Symbol" w:hAnsi="Symbol" w:hint="default"/>
        <w:b/>
        <w:i w:val="0"/>
      </w:rPr>
    </w:lvl>
    <w:lvl w:ilvl="1">
      <w:start w:val="1"/>
      <w:numFmt w:val="decimal"/>
      <w:lvlText w:val="%1.%2"/>
      <w:lvlJc w:val="left"/>
      <w:pPr>
        <w:tabs>
          <w:tab w:val="num" w:pos="3270"/>
        </w:tabs>
        <w:ind w:left="3270" w:hanging="576"/>
      </w:pPr>
    </w:lvl>
    <w:lvl w:ilvl="2">
      <w:start w:val="1"/>
      <w:numFmt w:val="decimal"/>
      <w:lvlText w:val="%1.%2.%3"/>
      <w:lvlJc w:val="left"/>
      <w:pPr>
        <w:tabs>
          <w:tab w:val="num" w:pos="3556"/>
        </w:tabs>
        <w:ind w:left="3556" w:hanging="720"/>
      </w:pPr>
    </w:lvl>
    <w:lvl w:ilvl="3">
      <w:start w:val="1"/>
      <w:numFmt w:val="decimal"/>
      <w:lvlText w:val="%1.%2.%3.%4"/>
      <w:lvlJc w:val="left"/>
      <w:pPr>
        <w:tabs>
          <w:tab w:val="num" w:pos="3558"/>
        </w:tabs>
        <w:ind w:left="3558" w:hanging="864"/>
      </w:pPr>
    </w:lvl>
    <w:lvl w:ilvl="4">
      <w:start w:val="1"/>
      <w:numFmt w:val="decimal"/>
      <w:lvlText w:val="%1.%2.%3.%4.%5"/>
      <w:lvlJc w:val="left"/>
      <w:pPr>
        <w:tabs>
          <w:tab w:val="num" w:pos="3702"/>
        </w:tabs>
        <w:ind w:left="3702" w:hanging="1008"/>
      </w:pPr>
    </w:lvl>
    <w:lvl w:ilvl="5">
      <w:start w:val="1"/>
      <w:numFmt w:val="decimal"/>
      <w:lvlText w:val="%1.%2.%3.%4.%5.%6"/>
      <w:lvlJc w:val="left"/>
      <w:pPr>
        <w:tabs>
          <w:tab w:val="num" w:pos="3846"/>
        </w:tabs>
        <w:ind w:left="3846" w:hanging="1152"/>
      </w:pPr>
    </w:lvl>
    <w:lvl w:ilvl="6">
      <w:start w:val="1"/>
      <w:numFmt w:val="decimal"/>
      <w:lvlText w:val="%1.%2.%3.%4.%5.%6.%7"/>
      <w:lvlJc w:val="left"/>
      <w:pPr>
        <w:tabs>
          <w:tab w:val="num" w:pos="3990"/>
        </w:tabs>
        <w:ind w:left="3990" w:hanging="1296"/>
      </w:pPr>
    </w:lvl>
    <w:lvl w:ilvl="7">
      <w:start w:val="1"/>
      <w:numFmt w:val="decimal"/>
      <w:lvlText w:val="%1.%2.%3.%4.%5.%6.%7.%8"/>
      <w:lvlJc w:val="left"/>
      <w:pPr>
        <w:tabs>
          <w:tab w:val="num" w:pos="4134"/>
        </w:tabs>
        <w:ind w:left="4134" w:hanging="1440"/>
      </w:pPr>
    </w:lvl>
    <w:lvl w:ilvl="8">
      <w:start w:val="1"/>
      <w:numFmt w:val="decimal"/>
      <w:lvlText w:val="%1.%2.%3.%4.%5.%6.%7.%8.%9"/>
      <w:lvlJc w:val="left"/>
      <w:pPr>
        <w:tabs>
          <w:tab w:val="num" w:pos="4278"/>
        </w:tabs>
        <w:ind w:left="4278" w:hanging="1584"/>
      </w:pPr>
    </w:lvl>
  </w:abstractNum>
  <w:abstractNum w:abstractNumId="12" w15:restartNumberingAfterBreak="0">
    <w:nsid w:val="1B874829"/>
    <w:multiLevelType w:val="hybridMultilevel"/>
    <w:tmpl w:val="2DA0DF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4D7F10"/>
    <w:multiLevelType w:val="hybridMultilevel"/>
    <w:tmpl w:val="B3F441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F75029A"/>
    <w:multiLevelType w:val="hybridMultilevel"/>
    <w:tmpl w:val="DDF488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24030FC"/>
    <w:multiLevelType w:val="hybridMultilevel"/>
    <w:tmpl w:val="2FE0E92E"/>
    <w:lvl w:ilvl="0" w:tplc="768C78CC">
      <w:start w:val="1"/>
      <w:numFmt w:val="bullet"/>
      <w:lvlText w:val="—"/>
      <w:lvlJc w:val="left"/>
      <w:pPr>
        <w:ind w:left="1080" w:hanging="360"/>
      </w:pPr>
      <w:rPr>
        <w:rFonts w:ascii="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2D02DD3"/>
    <w:multiLevelType w:val="hybridMultilevel"/>
    <w:tmpl w:val="E29C1BF2"/>
    <w:lvl w:ilvl="0" w:tplc="ACF84BFE">
      <w:start w:val="1"/>
      <w:numFmt w:val="bullet"/>
      <w:pStyle w:val="BulletBodyText"/>
      <w:lvlText w:val=""/>
      <w:lvlJc w:val="left"/>
      <w:pPr>
        <w:tabs>
          <w:tab w:val="num" w:pos="1211"/>
        </w:tabs>
        <w:ind w:left="1191" w:hanging="34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hint="default"/>
        <w:color w:val="0000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E01486"/>
    <w:multiLevelType w:val="hybridMultilevel"/>
    <w:tmpl w:val="0C30EF2E"/>
    <w:lvl w:ilvl="0" w:tplc="768C78CC">
      <w:start w:val="1"/>
      <w:numFmt w:val="bullet"/>
      <w:lvlText w:val="—"/>
      <w:lvlJc w:val="left"/>
      <w:pPr>
        <w:ind w:left="1080" w:hanging="360"/>
      </w:pPr>
      <w:rPr>
        <w:rFonts w:ascii="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F9E0291"/>
    <w:multiLevelType w:val="hybridMultilevel"/>
    <w:tmpl w:val="68E0D9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0C48FA"/>
    <w:multiLevelType w:val="hybridMultilevel"/>
    <w:tmpl w:val="5C60370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10E26E0"/>
    <w:multiLevelType w:val="hybridMultilevel"/>
    <w:tmpl w:val="5368245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1" w15:restartNumberingAfterBreak="0">
    <w:nsid w:val="33366919"/>
    <w:multiLevelType w:val="hybridMultilevel"/>
    <w:tmpl w:val="41BAE7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5246C88"/>
    <w:multiLevelType w:val="hybridMultilevel"/>
    <w:tmpl w:val="D2D83E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8DB5767"/>
    <w:multiLevelType w:val="multilevel"/>
    <w:tmpl w:val="67BC08EC"/>
    <w:lvl w:ilvl="0">
      <w:start w:val="1"/>
      <w:numFmt w:val="decimal"/>
      <w:lvlText w:val="Part %1 - "/>
      <w:lvlJc w:val="left"/>
      <w:pPr>
        <w:tabs>
          <w:tab w:val="num" w:pos="1440"/>
        </w:tabs>
        <w:ind w:left="432" w:hanging="432"/>
      </w:pPr>
      <w:rPr>
        <w:b/>
        <w:i w:val="0"/>
      </w:rPr>
    </w:lvl>
    <w:lvl w:ilvl="1">
      <w:start w:val="1"/>
      <w:numFmt w:val="decimal"/>
      <w:lvlText w:val="Part %1 Section %2"/>
      <w:lvlJc w:val="left"/>
      <w:pPr>
        <w:tabs>
          <w:tab w:val="num" w:pos="2880"/>
        </w:tabs>
        <w:ind w:left="576" w:hanging="576"/>
      </w:pPr>
    </w:lvl>
    <w:lvl w:ilvl="2">
      <w:start w:val="1"/>
      <w:numFmt w:val="decimal"/>
      <w:lvlText w:val="%1.%2.%3"/>
      <w:lvlJc w:val="left"/>
      <w:pPr>
        <w:tabs>
          <w:tab w:val="num" w:pos="720"/>
        </w:tabs>
        <w:ind w:left="720" w:hanging="720"/>
      </w:pPr>
    </w:lvl>
    <w:lvl w:ilvl="3">
      <w:start w:val="1"/>
      <w:numFmt w:val="decimal"/>
      <w:lvlText w:val="%1.%4"/>
      <w:lvlJc w:val="left"/>
      <w:pPr>
        <w:tabs>
          <w:tab w:val="num" w:pos="864"/>
        </w:tabs>
        <w:ind w:left="864" w:hanging="864"/>
      </w:pPr>
    </w:lvl>
    <w:lvl w:ilvl="4">
      <w:start w:val="1"/>
      <w:numFmt w:val="decimal"/>
      <w:lvlText w:val="%1.%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3A2444E9"/>
    <w:multiLevelType w:val="multilevel"/>
    <w:tmpl w:val="AB86E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A64573B"/>
    <w:multiLevelType w:val="hybridMultilevel"/>
    <w:tmpl w:val="5B460A2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AB56677"/>
    <w:multiLevelType w:val="hybridMultilevel"/>
    <w:tmpl w:val="45D20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54571D"/>
    <w:multiLevelType w:val="hybridMultilevel"/>
    <w:tmpl w:val="644047C4"/>
    <w:lvl w:ilvl="0" w:tplc="0809001B">
      <w:start w:val="1"/>
      <w:numFmt w:val="lowerRoman"/>
      <w:lvlText w:val="%1."/>
      <w:lvlJc w:val="righ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8" w15:restartNumberingAfterBreak="0">
    <w:nsid w:val="3E7E3ACD"/>
    <w:multiLevelType w:val="hybridMultilevel"/>
    <w:tmpl w:val="4AB8F7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7EB48E8"/>
    <w:multiLevelType w:val="hybridMultilevel"/>
    <w:tmpl w:val="C3EE31FE"/>
    <w:lvl w:ilvl="0" w:tplc="08090001">
      <w:start w:val="1"/>
      <w:numFmt w:val="bullet"/>
      <w:lvlText w:val=""/>
      <w:lvlJc w:val="left"/>
      <w:pPr>
        <w:tabs>
          <w:tab w:val="num" w:pos="1069"/>
        </w:tabs>
        <w:ind w:left="1069" w:hanging="360"/>
      </w:pPr>
      <w:rPr>
        <w:rFonts w:ascii="Symbol" w:hAnsi="Symbol" w:hint="default"/>
      </w:rPr>
    </w:lvl>
    <w:lvl w:ilvl="1" w:tplc="08090003">
      <w:start w:val="1"/>
      <w:numFmt w:val="bullet"/>
      <w:lvlText w:val="o"/>
      <w:lvlJc w:val="left"/>
      <w:pPr>
        <w:tabs>
          <w:tab w:val="num" w:pos="371"/>
        </w:tabs>
        <w:ind w:left="371" w:hanging="360"/>
      </w:pPr>
      <w:rPr>
        <w:rFonts w:ascii="Courier New" w:hAnsi="Courier New" w:cs="Courier New" w:hint="default"/>
      </w:rPr>
    </w:lvl>
    <w:lvl w:ilvl="2" w:tplc="08090005" w:tentative="1">
      <w:start w:val="1"/>
      <w:numFmt w:val="bullet"/>
      <w:lvlText w:val=""/>
      <w:lvlJc w:val="left"/>
      <w:pPr>
        <w:tabs>
          <w:tab w:val="num" w:pos="1091"/>
        </w:tabs>
        <w:ind w:left="1091" w:hanging="360"/>
      </w:pPr>
      <w:rPr>
        <w:rFonts w:ascii="Wingdings" w:hAnsi="Wingdings" w:hint="default"/>
      </w:rPr>
    </w:lvl>
    <w:lvl w:ilvl="3" w:tplc="08090001" w:tentative="1">
      <w:start w:val="1"/>
      <w:numFmt w:val="bullet"/>
      <w:lvlText w:val=""/>
      <w:lvlJc w:val="left"/>
      <w:pPr>
        <w:tabs>
          <w:tab w:val="num" w:pos="1811"/>
        </w:tabs>
        <w:ind w:left="1811" w:hanging="360"/>
      </w:pPr>
      <w:rPr>
        <w:rFonts w:ascii="Symbol" w:hAnsi="Symbol" w:hint="default"/>
      </w:rPr>
    </w:lvl>
    <w:lvl w:ilvl="4" w:tplc="08090003" w:tentative="1">
      <w:start w:val="1"/>
      <w:numFmt w:val="bullet"/>
      <w:lvlText w:val="o"/>
      <w:lvlJc w:val="left"/>
      <w:pPr>
        <w:tabs>
          <w:tab w:val="num" w:pos="2531"/>
        </w:tabs>
        <w:ind w:left="2531" w:hanging="360"/>
      </w:pPr>
      <w:rPr>
        <w:rFonts w:ascii="Courier New" w:hAnsi="Courier New" w:cs="Courier New" w:hint="default"/>
      </w:rPr>
    </w:lvl>
    <w:lvl w:ilvl="5" w:tplc="08090005" w:tentative="1">
      <w:start w:val="1"/>
      <w:numFmt w:val="bullet"/>
      <w:lvlText w:val=""/>
      <w:lvlJc w:val="left"/>
      <w:pPr>
        <w:tabs>
          <w:tab w:val="num" w:pos="3251"/>
        </w:tabs>
        <w:ind w:left="3251" w:hanging="360"/>
      </w:pPr>
      <w:rPr>
        <w:rFonts w:ascii="Wingdings" w:hAnsi="Wingdings" w:hint="default"/>
      </w:rPr>
    </w:lvl>
    <w:lvl w:ilvl="6" w:tplc="08090001" w:tentative="1">
      <w:start w:val="1"/>
      <w:numFmt w:val="bullet"/>
      <w:lvlText w:val=""/>
      <w:lvlJc w:val="left"/>
      <w:pPr>
        <w:tabs>
          <w:tab w:val="num" w:pos="3971"/>
        </w:tabs>
        <w:ind w:left="3971" w:hanging="360"/>
      </w:pPr>
      <w:rPr>
        <w:rFonts w:ascii="Symbol" w:hAnsi="Symbol" w:hint="default"/>
      </w:rPr>
    </w:lvl>
    <w:lvl w:ilvl="7" w:tplc="08090003" w:tentative="1">
      <w:start w:val="1"/>
      <w:numFmt w:val="bullet"/>
      <w:lvlText w:val="o"/>
      <w:lvlJc w:val="left"/>
      <w:pPr>
        <w:tabs>
          <w:tab w:val="num" w:pos="4691"/>
        </w:tabs>
        <w:ind w:left="4691" w:hanging="360"/>
      </w:pPr>
      <w:rPr>
        <w:rFonts w:ascii="Courier New" w:hAnsi="Courier New" w:cs="Courier New" w:hint="default"/>
      </w:rPr>
    </w:lvl>
    <w:lvl w:ilvl="8" w:tplc="08090005" w:tentative="1">
      <w:start w:val="1"/>
      <w:numFmt w:val="bullet"/>
      <w:lvlText w:val=""/>
      <w:lvlJc w:val="left"/>
      <w:pPr>
        <w:tabs>
          <w:tab w:val="num" w:pos="5411"/>
        </w:tabs>
        <w:ind w:left="5411" w:hanging="360"/>
      </w:pPr>
      <w:rPr>
        <w:rFonts w:ascii="Wingdings" w:hAnsi="Wingdings" w:hint="default"/>
      </w:rPr>
    </w:lvl>
  </w:abstractNum>
  <w:abstractNum w:abstractNumId="30" w15:restartNumberingAfterBreak="0">
    <w:nsid w:val="488F5196"/>
    <w:multiLevelType w:val="hybridMultilevel"/>
    <w:tmpl w:val="71322E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D9336D9"/>
    <w:multiLevelType w:val="hybridMultilevel"/>
    <w:tmpl w:val="16AC26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F0066C8"/>
    <w:multiLevelType w:val="hybridMultilevel"/>
    <w:tmpl w:val="C2D2993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2F41373"/>
    <w:multiLevelType w:val="hybridMultilevel"/>
    <w:tmpl w:val="9466A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0D4409"/>
    <w:multiLevelType w:val="hybridMultilevel"/>
    <w:tmpl w:val="B6EC15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54882F2A"/>
    <w:multiLevelType w:val="hybridMultilevel"/>
    <w:tmpl w:val="83FCED48"/>
    <w:lvl w:ilvl="0" w:tplc="614C3F7C">
      <w:start w:val="1"/>
      <w:numFmt w:val="bullet"/>
      <w:lvlText w:val=""/>
      <w:lvlJc w:val="left"/>
      <w:pPr>
        <w:ind w:left="1353" w:hanging="360"/>
      </w:pPr>
      <w:rPr>
        <w:rFonts w:ascii="Symbol" w:hAnsi="Symbol" w:hint="default"/>
      </w:rPr>
    </w:lvl>
    <w:lvl w:ilvl="1" w:tplc="08090003">
      <w:start w:val="1"/>
      <w:numFmt w:val="bullet"/>
      <w:lvlText w:val="o"/>
      <w:lvlJc w:val="left"/>
      <w:pPr>
        <w:ind w:left="2073" w:hanging="360"/>
      </w:pPr>
      <w:rPr>
        <w:rFonts w:ascii="Courier New" w:hAnsi="Courier New" w:cs="Times New Roman" w:hint="default"/>
      </w:rPr>
    </w:lvl>
    <w:lvl w:ilvl="2" w:tplc="08090005">
      <w:start w:val="1"/>
      <w:numFmt w:val="bullet"/>
      <w:lvlText w:val=""/>
      <w:lvlJc w:val="left"/>
      <w:pPr>
        <w:ind w:left="2793" w:hanging="360"/>
      </w:pPr>
      <w:rPr>
        <w:rFonts w:ascii="Wingdings" w:hAnsi="Wingdings" w:hint="default"/>
      </w:rPr>
    </w:lvl>
    <w:lvl w:ilvl="3" w:tplc="08090001">
      <w:start w:val="1"/>
      <w:numFmt w:val="bullet"/>
      <w:lvlText w:val=""/>
      <w:lvlJc w:val="left"/>
      <w:pPr>
        <w:ind w:left="3513" w:hanging="360"/>
      </w:pPr>
      <w:rPr>
        <w:rFonts w:ascii="Symbol" w:hAnsi="Symbol" w:hint="default"/>
      </w:rPr>
    </w:lvl>
    <w:lvl w:ilvl="4" w:tplc="08090003">
      <w:start w:val="1"/>
      <w:numFmt w:val="bullet"/>
      <w:lvlText w:val="o"/>
      <w:lvlJc w:val="left"/>
      <w:pPr>
        <w:ind w:left="4233" w:hanging="360"/>
      </w:pPr>
      <w:rPr>
        <w:rFonts w:ascii="Courier New" w:hAnsi="Courier New" w:cs="Times New Roman" w:hint="default"/>
      </w:rPr>
    </w:lvl>
    <w:lvl w:ilvl="5" w:tplc="08090005">
      <w:start w:val="1"/>
      <w:numFmt w:val="bullet"/>
      <w:lvlText w:val=""/>
      <w:lvlJc w:val="left"/>
      <w:pPr>
        <w:ind w:left="4953" w:hanging="360"/>
      </w:pPr>
      <w:rPr>
        <w:rFonts w:ascii="Wingdings" w:hAnsi="Wingdings" w:hint="default"/>
      </w:rPr>
    </w:lvl>
    <w:lvl w:ilvl="6" w:tplc="08090001">
      <w:start w:val="1"/>
      <w:numFmt w:val="bullet"/>
      <w:lvlText w:val=""/>
      <w:lvlJc w:val="left"/>
      <w:pPr>
        <w:ind w:left="5673" w:hanging="360"/>
      </w:pPr>
      <w:rPr>
        <w:rFonts w:ascii="Symbol" w:hAnsi="Symbol" w:hint="default"/>
      </w:rPr>
    </w:lvl>
    <w:lvl w:ilvl="7" w:tplc="08090003">
      <w:start w:val="1"/>
      <w:numFmt w:val="bullet"/>
      <w:lvlText w:val="o"/>
      <w:lvlJc w:val="left"/>
      <w:pPr>
        <w:ind w:left="6393" w:hanging="360"/>
      </w:pPr>
      <w:rPr>
        <w:rFonts w:ascii="Courier New" w:hAnsi="Courier New" w:cs="Times New Roman" w:hint="default"/>
      </w:rPr>
    </w:lvl>
    <w:lvl w:ilvl="8" w:tplc="08090005">
      <w:start w:val="1"/>
      <w:numFmt w:val="bullet"/>
      <w:lvlText w:val=""/>
      <w:lvlJc w:val="left"/>
      <w:pPr>
        <w:ind w:left="7113" w:hanging="360"/>
      </w:pPr>
      <w:rPr>
        <w:rFonts w:ascii="Wingdings" w:hAnsi="Wingdings" w:hint="default"/>
      </w:rPr>
    </w:lvl>
  </w:abstractNum>
  <w:abstractNum w:abstractNumId="36" w15:restartNumberingAfterBreak="0">
    <w:nsid w:val="56FE06BC"/>
    <w:multiLevelType w:val="hybridMultilevel"/>
    <w:tmpl w:val="2C24ED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5872483C"/>
    <w:multiLevelType w:val="hybridMultilevel"/>
    <w:tmpl w:val="BE740F7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5E005DF7"/>
    <w:multiLevelType w:val="hybridMultilevel"/>
    <w:tmpl w:val="1C288C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06C5E14"/>
    <w:multiLevelType w:val="hybridMultilevel"/>
    <w:tmpl w:val="F5EAC7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31E4EC0"/>
    <w:multiLevelType w:val="hybridMultilevel"/>
    <w:tmpl w:val="AB28D0C4"/>
    <w:lvl w:ilvl="0" w:tplc="278A2520">
      <w:start w:val="1"/>
      <w:numFmt w:val="bullet"/>
      <w:lvlText w:val=""/>
      <w:lvlJc w:val="left"/>
      <w:pPr>
        <w:ind w:left="654"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E77881"/>
    <w:multiLevelType w:val="hybridMultilevel"/>
    <w:tmpl w:val="94088F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6F1D7924"/>
    <w:multiLevelType w:val="hybridMultilevel"/>
    <w:tmpl w:val="3CB0BC5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3" w15:restartNumberingAfterBreak="0">
    <w:nsid w:val="70C573EB"/>
    <w:multiLevelType w:val="multilevel"/>
    <w:tmpl w:val="83304440"/>
    <w:lvl w:ilvl="0">
      <w:start w:val="1"/>
      <w:numFmt w:val="decimal"/>
      <w:pStyle w:val="BodyText"/>
      <w:lvlText w:val="%1.0"/>
      <w:lvlJc w:val="left"/>
      <w:pPr>
        <w:tabs>
          <w:tab w:val="num" w:pos="432"/>
        </w:tabs>
        <w:ind w:left="432" w:hanging="432"/>
      </w:pPr>
      <w:rPr>
        <w:b/>
        <w:i w:val="0"/>
      </w:rPr>
    </w:lvl>
    <w:lvl w:ilvl="1">
      <w:start w:val="1"/>
      <w:numFmt w:val="decimal"/>
      <w:lvlText w:val="%1.%2"/>
      <w:lvlJc w:val="left"/>
      <w:pPr>
        <w:tabs>
          <w:tab w:val="num" w:pos="576"/>
        </w:tabs>
        <w:ind w:left="576" w:hanging="576"/>
      </w:pPr>
    </w:lvl>
    <w:lvl w:ilvl="2">
      <w:start w:val="1"/>
      <w:numFmt w:val="decimal"/>
      <w:pStyle w:val="BodyText"/>
      <w:lvlText w:val="%1.%2.%3"/>
      <w:lvlJc w:val="left"/>
      <w:pPr>
        <w:tabs>
          <w:tab w:val="num" w:pos="862"/>
        </w:tabs>
        <w:ind w:left="862"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4" w15:restartNumberingAfterBreak="0">
    <w:nsid w:val="71E11DB2"/>
    <w:multiLevelType w:val="hybridMultilevel"/>
    <w:tmpl w:val="E722B1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1FE6097"/>
    <w:multiLevelType w:val="hybridMultilevel"/>
    <w:tmpl w:val="F906FC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33F76D6"/>
    <w:multiLevelType w:val="hybridMultilevel"/>
    <w:tmpl w:val="7F1E056E"/>
    <w:lvl w:ilvl="0" w:tplc="07F814A0">
      <w:start w:val="1"/>
      <w:numFmt w:val="bullet"/>
      <w:lvlText w:val=""/>
      <w:lvlJc w:val="left"/>
      <w:pPr>
        <w:tabs>
          <w:tab w:val="num" w:pos="654"/>
        </w:tabs>
        <w:ind w:left="654"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91B4B88"/>
    <w:multiLevelType w:val="multilevel"/>
    <w:tmpl w:val="CC44D120"/>
    <w:lvl w:ilvl="0">
      <w:start w:val="1"/>
      <w:numFmt w:val="decimal"/>
      <w:lvlText w:val="%1.0"/>
      <w:lvlJc w:val="left"/>
      <w:pPr>
        <w:tabs>
          <w:tab w:val="num" w:pos="432"/>
        </w:tabs>
        <w:ind w:left="432" w:hanging="432"/>
      </w:pPr>
      <w:rPr>
        <w:b/>
        <w:i w:val="0"/>
      </w:rPr>
    </w:lvl>
    <w:lvl w:ilvl="1">
      <w:start w:val="1"/>
      <w:numFmt w:val="decimal"/>
      <w:lvlText w:val="%1.%2"/>
      <w:lvlJc w:val="left"/>
      <w:pPr>
        <w:tabs>
          <w:tab w:val="num" w:pos="576"/>
        </w:tabs>
        <w:ind w:left="576" w:hanging="576"/>
      </w:pPr>
    </w:lvl>
    <w:lvl w:ilvl="2">
      <w:start w:val="1"/>
      <w:numFmt w:val="bullet"/>
      <w:lvlText w:val=""/>
      <w:lvlJc w:val="left"/>
      <w:pPr>
        <w:tabs>
          <w:tab w:val="num" w:pos="1069"/>
        </w:tabs>
        <w:ind w:left="1069" w:hanging="360"/>
      </w:pPr>
      <w:rPr>
        <w:rFonts w:ascii="Symbol" w:hAnsi="Symbol" w:hint="default"/>
        <w:b/>
        <w:i w:val="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8" w15:restartNumberingAfterBreak="0">
    <w:nsid w:val="7BEB39F8"/>
    <w:multiLevelType w:val="hybridMultilevel"/>
    <w:tmpl w:val="18BC39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7CD65E3B"/>
    <w:multiLevelType w:val="hybridMultilevel"/>
    <w:tmpl w:val="C414A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1198223">
    <w:abstractNumId w:val="42"/>
  </w:num>
  <w:num w:numId="2" w16cid:durableId="2107991957">
    <w:abstractNumId w:val="27"/>
  </w:num>
  <w:num w:numId="3" w16cid:durableId="1387609926">
    <w:abstractNumId w:val="43"/>
  </w:num>
  <w:num w:numId="4" w16cid:durableId="353311944">
    <w:abstractNumId w:val="11"/>
  </w:num>
  <w:num w:numId="5" w16cid:durableId="2056392781">
    <w:abstractNumId w:val="26"/>
  </w:num>
  <w:num w:numId="6" w16cid:durableId="1033382291">
    <w:abstractNumId w:val="8"/>
  </w:num>
  <w:num w:numId="7" w16cid:durableId="566066106">
    <w:abstractNumId w:val="22"/>
  </w:num>
  <w:num w:numId="8" w16cid:durableId="8725764">
    <w:abstractNumId w:val="3"/>
  </w:num>
  <w:num w:numId="9" w16cid:durableId="67191573">
    <w:abstractNumId w:val="49"/>
  </w:num>
  <w:num w:numId="10" w16cid:durableId="2125807471">
    <w:abstractNumId w:val="17"/>
  </w:num>
  <w:num w:numId="11" w16cid:durableId="1576554055">
    <w:abstractNumId w:val="15"/>
  </w:num>
  <w:num w:numId="12" w16cid:durableId="149295419">
    <w:abstractNumId w:val="10"/>
  </w:num>
  <w:num w:numId="13" w16cid:durableId="1651012424">
    <w:abstractNumId w:val="2"/>
  </w:num>
  <w:num w:numId="14" w16cid:durableId="588586849">
    <w:abstractNumId w:val="31"/>
  </w:num>
  <w:num w:numId="15" w16cid:durableId="236675710">
    <w:abstractNumId w:val="28"/>
  </w:num>
  <w:num w:numId="16" w16cid:durableId="2114082783">
    <w:abstractNumId w:val="12"/>
  </w:num>
  <w:num w:numId="17" w16cid:durableId="908925909">
    <w:abstractNumId w:val="47"/>
  </w:num>
  <w:num w:numId="18" w16cid:durableId="1204513946">
    <w:abstractNumId w:val="6"/>
  </w:num>
  <w:num w:numId="19" w16cid:durableId="1279678831">
    <w:abstractNumId w:val="0"/>
  </w:num>
  <w:num w:numId="20" w16cid:durableId="1375078328">
    <w:abstractNumId w:val="48"/>
  </w:num>
  <w:num w:numId="21" w16cid:durableId="197744217">
    <w:abstractNumId w:val="25"/>
  </w:num>
  <w:num w:numId="22" w16cid:durableId="1730959577">
    <w:abstractNumId w:val="37"/>
  </w:num>
  <w:num w:numId="23" w16cid:durableId="642348945">
    <w:abstractNumId w:val="30"/>
  </w:num>
  <w:num w:numId="24" w16cid:durableId="1765416243">
    <w:abstractNumId w:val="29"/>
  </w:num>
  <w:num w:numId="25" w16cid:durableId="1652057739">
    <w:abstractNumId w:val="19"/>
  </w:num>
  <w:num w:numId="26" w16cid:durableId="1980374674">
    <w:abstractNumId w:val="18"/>
  </w:num>
  <w:num w:numId="27" w16cid:durableId="2008053979">
    <w:abstractNumId w:val="21"/>
  </w:num>
  <w:num w:numId="28" w16cid:durableId="670836944">
    <w:abstractNumId w:val="38"/>
  </w:num>
  <w:num w:numId="29" w16cid:durableId="2095200143">
    <w:abstractNumId w:val="23"/>
  </w:num>
  <w:num w:numId="30" w16cid:durableId="705064455">
    <w:abstractNumId w:val="20"/>
  </w:num>
  <w:num w:numId="31" w16cid:durableId="536553337">
    <w:abstractNumId w:val="16"/>
  </w:num>
  <w:num w:numId="32" w16cid:durableId="948775274">
    <w:abstractNumId w:val="36"/>
  </w:num>
  <w:num w:numId="33" w16cid:durableId="1838954124">
    <w:abstractNumId w:val="44"/>
  </w:num>
  <w:num w:numId="34" w16cid:durableId="1955355996">
    <w:abstractNumId w:val="14"/>
  </w:num>
  <w:num w:numId="35" w16cid:durableId="1556962278">
    <w:abstractNumId w:val="32"/>
  </w:num>
  <w:num w:numId="36" w16cid:durableId="1481456813">
    <w:abstractNumId w:val="45"/>
  </w:num>
  <w:num w:numId="37" w16cid:durableId="167912308">
    <w:abstractNumId w:val="13"/>
  </w:num>
  <w:num w:numId="38" w16cid:durableId="1141926579">
    <w:abstractNumId w:val="41"/>
  </w:num>
  <w:num w:numId="39" w16cid:durableId="723678344">
    <w:abstractNumId w:val="35"/>
  </w:num>
  <w:num w:numId="40" w16cid:durableId="2048095321">
    <w:abstractNumId w:val="34"/>
  </w:num>
  <w:num w:numId="41" w16cid:durableId="1356734657">
    <w:abstractNumId w:val="9"/>
  </w:num>
  <w:num w:numId="42" w16cid:durableId="1853300285">
    <w:abstractNumId w:val="33"/>
  </w:num>
  <w:num w:numId="43" w16cid:durableId="1917007572">
    <w:abstractNumId w:val="24"/>
  </w:num>
  <w:num w:numId="44" w16cid:durableId="527718892">
    <w:abstractNumId w:val="46"/>
  </w:num>
  <w:num w:numId="45" w16cid:durableId="1211576676">
    <w:abstractNumId w:val="5"/>
  </w:num>
  <w:num w:numId="46" w16cid:durableId="1793207706">
    <w:abstractNumId w:val="7"/>
  </w:num>
  <w:num w:numId="47" w16cid:durableId="1228610882">
    <w:abstractNumId w:val="1"/>
  </w:num>
  <w:num w:numId="48" w16cid:durableId="435100897">
    <w:abstractNumId w:val="40"/>
  </w:num>
  <w:num w:numId="49" w16cid:durableId="1723166581">
    <w:abstractNumId w:val="4"/>
  </w:num>
  <w:num w:numId="50" w16cid:durableId="135942655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A76"/>
    <w:rsid w:val="000077EF"/>
    <w:rsid w:val="00023BBD"/>
    <w:rsid w:val="0002746A"/>
    <w:rsid w:val="00040D1A"/>
    <w:rsid w:val="00045BC5"/>
    <w:rsid w:val="00071CD8"/>
    <w:rsid w:val="0009427F"/>
    <w:rsid w:val="0009757B"/>
    <w:rsid w:val="000C0693"/>
    <w:rsid w:val="000C545B"/>
    <w:rsid w:val="000D288B"/>
    <w:rsid w:val="000E3EEC"/>
    <w:rsid w:val="000F5971"/>
    <w:rsid w:val="001057B5"/>
    <w:rsid w:val="00116EE3"/>
    <w:rsid w:val="00134F1B"/>
    <w:rsid w:val="00143732"/>
    <w:rsid w:val="00150325"/>
    <w:rsid w:val="001560D4"/>
    <w:rsid w:val="00163418"/>
    <w:rsid w:val="0016527C"/>
    <w:rsid w:val="001703AB"/>
    <w:rsid w:val="001760A4"/>
    <w:rsid w:val="0018301F"/>
    <w:rsid w:val="001B1C08"/>
    <w:rsid w:val="001C530F"/>
    <w:rsid w:val="001C6527"/>
    <w:rsid w:val="001E2690"/>
    <w:rsid w:val="001E3DB1"/>
    <w:rsid w:val="001F651B"/>
    <w:rsid w:val="002039AB"/>
    <w:rsid w:val="00206A51"/>
    <w:rsid w:val="002176DE"/>
    <w:rsid w:val="002241B2"/>
    <w:rsid w:val="00240A82"/>
    <w:rsid w:val="00257C4B"/>
    <w:rsid w:val="002609E3"/>
    <w:rsid w:val="00274DF9"/>
    <w:rsid w:val="002756CF"/>
    <w:rsid w:val="00275E52"/>
    <w:rsid w:val="00291415"/>
    <w:rsid w:val="0029442F"/>
    <w:rsid w:val="002954A5"/>
    <w:rsid w:val="002A27FD"/>
    <w:rsid w:val="002B6CA2"/>
    <w:rsid w:val="002C2833"/>
    <w:rsid w:val="002E7862"/>
    <w:rsid w:val="002F4E9C"/>
    <w:rsid w:val="002F5851"/>
    <w:rsid w:val="00310151"/>
    <w:rsid w:val="003101FF"/>
    <w:rsid w:val="003118BB"/>
    <w:rsid w:val="00311BA7"/>
    <w:rsid w:val="00314EDE"/>
    <w:rsid w:val="00315995"/>
    <w:rsid w:val="00327BE8"/>
    <w:rsid w:val="00332857"/>
    <w:rsid w:val="00334A3C"/>
    <w:rsid w:val="00363D60"/>
    <w:rsid w:val="00371E83"/>
    <w:rsid w:val="003737AA"/>
    <w:rsid w:val="003744D6"/>
    <w:rsid w:val="003824AA"/>
    <w:rsid w:val="00382DD9"/>
    <w:rsid w:val="0038693F"/>
    <w:rsid w:val="00393BF5"/>
    <w:rsid w:val="00396514"/>
    <w:rsid w:val="003A7187"/>
    <w:rsid w:val="003E012D"/>
    <w:rsid w:val="003F429F"/>
    <w:rsid w:val="003F55AB"/>
    <w:rsid w:val="00404AC9"/>
    <w:rsid w:val="00404B16"/>
    <w:rsid w:val="004119AD"/>
    <w:rsid w:val="004175BA"/>
    <w:rsid w:val="00423D71"/>
    <w:rsid w:val="00424F70"/>
    <w:rsid w:val="00425DAB"/>
    <w:rsid w:val="004376A1"/>
    <w:rsid w:val="00443AC8"/>
    <w:rsid w:val="00470C3F"/>
    <w:rsid w:val="004952DB"/>
    <w:rsid w:val="00495C47"/>
    <w:rsid w:val="004A210F"/>
    <w:rsid w:val="004A709C"/>
    <w:rsid w:val="004C3515"/>
    <w:rsid w:val="004D0888"/>
    <w:rsid w:val="004F58A6"/>
    <w:rsid w:val="0050707A"/>
    <w:rsid w:val="00522623"/>
    <w:rsid w:val="005272CE"/>
    <w:rsid w:val="005444C4"/>
    <w:rsid w:val="00552C47"/>
    <w:rsid w:val="00553145"/>
    <w:rsid w:val="005561AA"/>
    <w:rsid w:val="00583D4E"/>
    <w:rsid w:val="00587208"/>
    <w:rsid w:val="00591EE7"/>
    <w:rsid w:val="005963CF"/>
    <w:rsid w:val="00597888"/>
    <w:rsid w:val="005A3D42"/>
    <w:rsid w:val="005B28C9"/>
    <w:rsid w:val="005B6025"/>
    <w:rsid w:val="005B7AB6"/>
    <w:rsid w:val="005D617E"/>
    <w:rsid w:val="005E03BA"/>
    <w:rsid w:val="005E0DF2"/>
    <w:rsid w:val="005E2207"/>
    <w:rsid w:val="00601067"/>
    <w:rsid w:val="00602321"/>
    <w:rsid w:val="006032A2"/>
    <w:rsid w:val="0060475B"/>
    <w:rsid w:val="00613FAA"/>
    <w:rsid w:val="00621A1B"/>
    <w:rsid w:val="00626274"/>
    <w:rsid w:val="006264AD"/>
    <w:rsid w:val="00632882"/>
    <w:rsid w:val="0064775E"/>
    <w:rsid w:val="00654939"/>
    <w:rsid w:val="00656A64"/>
    <w:rsid w:val="006608AB"/>
    <w:rsid w:val="0066255A"/>
    <w:rsid w:val="006634B9"/>
    <w:rsid w:val="00663A76"/>
    <w:rsid w:val="0068350A"/>
    <w:rsid w:val="00691094"/>
    <w:rsid w:val="00692E41"/>
    <w:rsid w:val="006A2B1B"/>
    <w:rsid w:val="006A5C59"/>
    <w:rsid w:val="006B02AF"/>
    <w:rsid w:val="006B20E4"/>
    <w:rsid w:val="006B5F21"/>
    <w:rsid w:val="006C3782"/>
    <w:rsid w:val="006D69AB"/>
    <w:rsid w:val="006D7260"/>
    <w:rsid w:val="006E221C"/>
    <w:rsid w:val="006E5B6E"/>
    <w:rsid w:val="006E625B"/>
    <w:rsid w:val="006F361F"/>
    <w:rsid w:val="00711955"/>
    <w:rsid w:val="0071204B"/>
    <w:rsid w:val="00717A35"/>
    <w:rsid w:val="00720124"/>
    <w:rsid w:val="00720EA7"/>
    <w:rsid w:val="00726629"/>
    <w:rsid w:val="00734EE0"/>
    <w:rsid w:val="00747E5E"/>
    <w:rsid w:val="00754DDC"/>
    <w:rsid w:val="00756EA0"/>
    <w:rsid w:val="00756EEF"/>
    <w:rsid w:val="007B6354"/>
    <w:rsid w:val="007C2F52"/>
    <w:rsid w:val="007C32E2"/>
    <w:rsid w:val="007C548C"/>
    <w:rsid w:val="007D2F7E"/>
    <w:rsid w:val="007E14CF"/>
    <w:rsid w:val="007E155F"/>
    <w:rsid w:val="007F2676"/>
    <w:rsid w:val="007F34E4"/>
    <w:rsid w:val="007F39B0"/>
    <w:rsid w:val="00806BFF"/>
    <w:rsid w:val="00812D61"/>
    <w:rsid w:val="008368AE"/>
    <w:rsid w:val="008419EA"/>
    <w:rsid w:val="00852E8E"/>
    <w:rsid w:val="0085783F"/>
    <w:rsid w:val="008817D8"/>
    <w:rsid w:val="008F7D83"/>
    <w:rsid w:val="009078E0"/>
    <w:rsid w:val="00920F5F"/>
    <w:rsid w:val="0092511F"/>
    <w:rsid w:val="009339E6"/>
    <w:rsid w:val="00940477"/>
    <w:rsid w:val="009438A7"/>
    <w:rsid w:val="009450AB"/>
    <w:rsid w:val="009458E3"/>
    <w:rsid w:val="009461A8"/>
    <w:rsid w:val="009775BB"/>
    <w:rsid w:val="00990D82"/>
    <w:rsid w:val="009921F0"/>
    <w:rsid w:val="009A7EC0"/>
    <w:rsid w:val="009B1BCD"/>
    <w:rsid w:val="009C60B1"/>
    <w:rsid w:val="009D14A5"/>
    <w:rsid w:val="009D38BD"/>
    <w:rsid w:val="009D7B53"/>
    <w:rsid w:val="009E5EEE"/>
    <w:rsid w:val="009E7690"/>
    <w:rsid w:val="009E7849"/>
    <w:rsid w:val="009F579B"/>
    <w:rsid w:val="00A035B6"/>
    <w:rsid w:val="00A16DAC"/>
    <w:rsid w:val="00A266EE"/>
    <w:rsid w:val="00A32981"/>
    <w:rsid w:val="00A40FE0"/>
    <w:rsid w:val="00A56723"/>
    <w:rsid w:val="00A7244A"/>
    <w:rsid w:val="00A90D30"/>
    <w:rsid w:val="00AB496E"/>
    <w:rsid w:val="00AC2F2E"/>
    <w:rsid w:val="00AE21B1"/>
    <w:rsid w:val="00AE359F"/>
    <w:rsid w:val="00AF1354"/>
    <w:rsid w:val="00AF3220"/>
    <w:rsid w:val="00AF3CA9"/>
    <w:rsid w:val="00AF6B30"/>
    <w:rsid w:val="00AF7B53"/>
    <w:rsid w:val="00B006A1"/>
    <w:rsid w:val="00B115D5"/>
    <w:rsid w:val="00B16B7E"/>
    <w:rsid w:val="00B25543"/>
    <w:rsid w:val="00B25999"/>
    <w:rsid w:val="00B40D96"/>
    <w:rsid w:val="00B52360"/>
    <w:rsid w:val="00B67641"/>
    <w:rsid w:val="00B84B33"/>
    <w:rsid w:val="00B85109"/>
    <w:rsid w:val="00B86A6B"/>
    <w:rsid w:val="00B9742D"/>
    <w:rsid w:val="00BA7984"/>
    <w:rsid w:val="00BB0F0C"/>
    <w:rsid w:val="00BB5848"/>
    <w:rsid w:val="00BB787B"/>
    <w:rsid w:val="00BC4BF1"/>
    <w:rsid w:val="00BD11EB"/>
    <w:rsid w:val="00BF6F56"/>
    <w:rsid w:val="00C00E57"/>
    <w:rsid w:val="00C06D3B"/>
    <w:rsid w:val="00C11977"/>
    <w:rsid w:val="00C11E1B"/>
    <w:rsid w:val="00C12F51"/>
    <w:rsid w:val="00C22924"/>
    <w:rsid w:val="00C3627E"/>
    <w:rsid w:val="00C433D5"/>
    <w:rsid w:val="00C53C19"/>
    <w:rsid w:val="00C62859"/>
    <w:rsid w:val="00C70036"/>
    <w:rsid w:val="00C74E75"/>
    <w:rsid w:val="00C81E01"/>
    <w:rsid w:val="00C824EA"/>
    <w:rsid w:val="00C836A7"/>
    <w:rsid w:val="00C87848"/>
    <w:rsid w:val="00C96690"/>
    <w:rsid w:val="00CD05FF"/>
    <w:rsid w:val="00CE12B0"/>
    <w:rsid w:val="00CE2071"/>
    <w:rsid w:val="00CE3607"/>
    <w:rsid w:val="00CE563B"/>
    <w:rsid w:val="00D00680"/>
    <w:rsid w:val="00D13DD0"/>
    <w:rsid w:val="00D236AB"/>
    <w:rsid w:val="00D562CC"/>
    <w:rsid w:val="00D628E0"/>
    <w:rsid w:val="00D6347D"/>
    <w:rsid w:val="00D86FFF"/>
    <w:rsid w:val="00D97064"/>
    <w:rsid w:val="00DC6DED"/>
    <w:rsid w:val="00DD1C7C"/>
    <w:rsid w:val="00DE0C42"/>
    <w:rsid w:val="00DE1410"/>
    <w:rsid w:val="00DF49F4"/>
    <w:rsid w:val="00DF6420"/>
    <w:rsid w:val="00E0035B"/>
    <w:rsid w:val="00E255B7"/>
    <w:rsid w:val="00E5032D"/>
    <w:rsid w:val="00E62BAF"/>
    <w:rsid w:val="00E82AE8"/>
    <w:rsid w:val="00E83710"/>
    <w:rsid w:val="00E859AA"/>
    <w:rsid w:val="00E86143"/>
    <w:rsid w:val="00E87A7D"/>
    <w:rsid w:val="00E90B87"/>
    <w:rsid w:val="00E91A04"/>
    <w:rsid w:val="00E93A71"/>
    <w:rsid w:val="00E97108"/>
    <w:rsid w:val="00EB2182"/>
    <w:rsid w:val="00EB2FBD"/>
    <w:rsid w:val="00EC20E4"/>
    <w:rsid w:val="00EC31E6"/>
    <w:rsid w:val="00EC5142"/>
    <w:rsid w:val="00EE457A"/>
    <w:rsid w:val="00EE4D98"/>
    <w:rsid w:val="00EF2DC1"/>
    <w:rsid w:val="00F04635"/>
    <w:rsid w:val="00F13B4D"/>
    <w:rsid w:val="00F13BE8"/>
    <w:rsid w:val="00F205CB"/>
    <w:rsid w:val="00F22C0F"/>
    <w:rsid w:val="00F45FE6"/>
    <w:rsid w:val="00F51497"/>
    <w:rsid w:val="00F56EE5"/>
    <w:rsid w:val="00F71061"/>
    <w:rsid w:val="00F80098"/>
    <w:rsid w:val="00F81B86"/>
    <w:rsid w:val="00F85956"/>
    <w:rsid w:val="00F91A92"/>
    <w:rsid w:val="00F9779C"/>
    <w:rsid w:val="00FB43BE"/>
    <w:rsid w:val="00FB461B"/>
    <w:rsid w:val="00FD6F5E"/>
    <w:rsid w:val="00FE286F"/>
    <w:rsid w:val="00FE71FF"/>
    <w:rsid w:val="00FF365B"/>
    <w:rsid w:val="00FF42AA"/>
    <w:rsid w:val="00FF68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FF8E3"/>
  <w15:docId w15:val="{D6C815F9-E32C-493A-AA2E-5ABC53C61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8E0"/>
    <w:rPr>
      <w:rFonts w:ascii="Arial" w:hAnsi="Arial"/>
    </w:rPr>
  </w:style>
  <w:style w:type="paragraph" w:styleId="Heading1">
    <w:name w:val="heading 1"/>
    <w:basedOn w:val="Normal"/>
    <w:next w:val="Normal"/>
    <w:link w:val="Heading1Char"/>
    <w:uiPriority w:val="9"/>
    <w:qFormat/>
    <w:rsid w:val="00D97064"/>
    <w:pPr>
      <w:outlineLvl w:val="0"/>
    </w:pPr>
    <w:rPr>
      <w:rFonts w:cs="Arial"/>
      <w:b/>
      <w:sz w:val="24"/>
      <w:szCs w:val="24"/>
    </w:rPr>
  </w:style>
  <w:style w:type="paragraph" w:styleId="Heading2">
    <w:name w:val="heading 2"/>
    <w:basedOn w:val="NoSpacing"/>
    <w:next w:val="Normal"/>
    <w:link w:val="Heading2Char"/>
    <w:qFormat/>
    <w:rsid w:val="00D97064"/>
    <w:pPr>
      <w:spacing w:line="360" w:lineRule="auto"/>
      <w:outlineLvl w:val="1"/>
    </w:pPr>
    <w:rPr>
      <w:rFonts w:ascii="Arial" w:hAnsi="Arial" w:cs="Arial"/>
      <w:b/>
    </w:rPr>
  </w:style>
  <w:style w:type="paragraph" w:styleId="Heading3">
    <w:name w:val="heading 3"/>
    <w:basedOn w:val="Normal"/>
    <w:next w:val="Normal"/>
    <w:link w:val="Heading3Char"/>
    <w:unhideWhenUsed/>
    <w:qFormat/>
    <w:rsid w:val="002241B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D628E0"/>
    <w:pPr>
      <w:keepNext/>
      <w:numPr>
        <w:ilvl w:val="3"/>
        <w:numId w:val="3"/>
      </w:numPr>
      <w:spacing w:before="240" w:after="60" w:line="240" w:lineRule="auto"/>
      <w:outlineLvl w:val="3"/>
    </w:pPr>
    <w:rPr>
      <w:rFonts w:eastAsia="Times New Roman" w:cs="Times New Roman"/>
      <w:b/>
      <w:sz w:val="24"/>
      <w:szCs w:val="20"/>
      <w:lang w:eastAsia="en-GB"/>
    </w:rPr>
  </w:style>
  <w:style w:type="paragraph" w:styleId="Heading5">
    <w:name w:val="heading 5"/>
    <w:basedOn w:val="Normal"/>
    <w:next w:val="Normal"/>
    <w:link w:val="Heading5Char"/>
    <w:qFormat/>
    <w:rsid w:val="00D628E0"/>
    <w:pPr>
      <w:numPr>
        <w:ilvl w:val="4"/>
        <w:numId w:val="3"/>
      </w:numPr>
      <w:spacing w:before="240" w:after="60" w:line="240" w:lineRule="auto"/>
      <w:outlineLvl w:val="4"/>
    </w:pPr>
    <w:rPr>
      <w:rFonts w:eastAsia="Times New Roman" w:cs="Times New Roman"/>
      <w:szCs w:val="20"/>
      <w:lang w:eastAsia="en-GB"/>
    </w:rPr>
  </w:style>
  <w:style w:type="paragraph" w:styleId="Heading6">
    <w:name w:val="heading 6"/>
    <w:basedOn w:val="Normal"/>
    <w:next w:val="Normal"/>
    <w:link w:val="Heading6Char"/>
    <w:qFormat/>
    <w:rsid w:val="00D628E0"/>
    <w:pPr>
      <w:numPr>
        <w:ilvl w:val="5"/>
        <w:numId w:val="3"/>
      </w:numPr>
      <w:spacing w:before="240" w:after="60" w:line="240" w:lineRule="auto"/>
      <w:outlineLvl w:val="5"/>
    </w:pPr>
    <w:rPr>
      <w:rFonts w:eastAsia="Times New Roman" w:cs="Times New Roman"/>
      <w:i/>
      <w:szCs w:val="20"/>
      <w:lang w:eastAsia="en-GB"/>
    </w:rPr>
  </w:style>
  <w:style w:type="paragraph" w:styleId="Heading7">
    <w:name w:val="heading 7"/>
    <w:basedOn w:val="Normal"/>
    <w:next w:val="Normal"/>
    <w:link w:val="Heading7Char"/>
    <w:qFormat/>
    <w:rsid w:val="00D628E0"/>
    <w:pPr>
      <w:numPr>
        <w:ilvl w:val="6"/>
        <w:numId w:val="3"/>
      </w:numPr>
      <w:spacing w:before="240" w:after="60" w:line="240" w:lineRule="auto"/>
      <w:outlineLvl w:val="6"/>
    </w:pPr>
    <w:rPr>
      <w:rFonts w:eastAsia="Times New Roman" w:cs="Times New Roman"/>
      <w:sz w:val="24"/>
      <w:szCs w:val="20"/>
      <w:lang w:eastAsia="en-GB"/>
    </w:rPr>
  </w:style>
  <w:style w:type="paragraph" w:styleId="Heading8">
    <w:name w:val="heading 8"/>
    <w:basedOn w:val="Normal"/>
    <w:next w:val="Normal"/>
    <w:link w:val="Heading8Char"/>
    <w:qFormat/>
    <w:rsid w:val="00D628E0"/>
    <w:pPr>
      <w:numPr>
        <w:ilvl w:val="7"/>
        <w:numId w:val="3"/>
      </w:numPr>
      <w:spacing w:before="240" w:after="60" w:line="240" w:lineRule="auto"/>
      <w:outlineLvl w:val="7"/>
    </w:pPr>
    <w:rPr>
      <w:rFonts w:eastAsia="Times New Roman" w:cs="Times New Roman"/>
      <w:i/>
      <w:sz w:val="24"/>
      <w:szCs w:val="20"/>
      <w:lang w:eastAsia="en-GB"/>
    </w:rPr>
  </w:style>
  <w:style w:type="paragraph" w:styleId="Heading9">
    <w:name w:val="heading 9"/>
    <w:basedOn w:val="Normal"/>
    <w:next w:val="Normal"/>
    <w:link w:val="Heading9Char"/>
    <w:qFormat/>
    <w:rsid w:val="00D628E0"/>
    <w:pPr>
      <w:numPr>
        <w:ilvl w:val="8"/>
        <w:numId w:val="3"/>
      </w:numPr>
      <w:spacing w:before="240" w:after="60" w:line="240" w:lineRule="auto"/>
      <w:outlineLvl w:val="8"/>
    </w:pPr>
    <w:rPr>
      <w:rFonts w:eastAsia="Times New Roman" w:cs="Times New Roman"/>
      <w:b/>
      <w:i/>
      <w:sz w:val="1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3A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A76"/>
    <w:rPr>
      <w:rFonts w:ascii="Tahoma" w:hAnsi="Tahoma" w:cs="Tahoma"/>
      <w:sz w:val="16"/>
      <w:szCs w:val="16"/>
    </w:rPr>
  </w:style>
  <w:style w:type="paragraph" w:styleId="TOC2">
    <w:name w:val="toc 2"/>
    <w:basedOn w:val="Normal"/>
    <w:next w:val="Normal"/>
    <w:autoRedefine/>
    <w:uiPriority w:val="39"/>
    <w:qFormat/>
    <w:rsid w:val="00663A76"/>
    <w:pPr>
      <w:spacing w:after="0" w:line="240" w:lineRule="auto"/>
    </w:pPr>
    <w:rPr>
      <w:rFonts w:eastAsia="Times New Roman" w:cs="Tahoma"/>
      <w:szCs w:val="20"/>
      <w:lang w:eastAsia="en-GB"/>
    </w:rPr>
  </w:style>
  <w:style w:type="paragraph" w:styleId="TOC1">
    <w:name w:val="toc 1"/>
    <w:basedOn w:val="Normal"/>
    <w:next w:val="Normal"/>
    <w:autoRedefine/>
    <w:uiPriority w:val="39"/>
    <w:qFormat/>
    <w:rsid w:val="00663A76"/>
    <w:pPr>
      <w:spacing w:before="120" w:after="60" w:line="240" w:lineRule="auto"/>
    </w:pPr>
    <w:rPr>
      <w:rFonts w:eastAsia="Times New Roman" w:cs="Times New Roman"/>
      <w:b/>
      <w:caps/>
      <w:sz w:val="24"/>
      <w:szCs w:val="20"/>
      <w:lang w:eastAsia="en-GB"/>
    </w:rPr>
  </w:style>
  <w:style w:type="character" w:customStyle="1" w:styleId="Heading1Char">
    <w:name w:val="Heading 1 Char"/>
    <w:basedOn w:val="DefaultParagraphFont"/>
    <w:link w:val="Heading1"/>
    <w:uiPriority w:val="9"/>
    <w:rsid w:val="00D97064"/>
    <w:rPr>
      <w:rFonts w:ascii="Arial" w:hAnsi="Arial" w:cs="Arial"/>
      <w:b/>
      <w:sz w:val="24"/>
      <w:szCs w:val="24"/>
    </w:rPr>
  </w:style>
  <w:style w:type="paragraph" w:styleId="TOCHeading">
    <w:name w:val="TOC Heading"/>
    <w:basedOn w:val="Heading1"/>
    <w:next w:val="Normal"/>
    <w:uiPriority w:val="39"/>
    <w:unhideWhenUsed/>
    <w:qFormat/>
    <w:rsid w:val="00663A76"/>
    <w:pPr>
      <w:outlineLvl w:val="9"/>
    </w:pPr>
    <w:rPr>
      <w:lang w:val="en-US" w:eastAsia="ja-JP"/>
    </w:rPr>
  </w:style>
  <w:style w:type="paragraph" w:styleId="TOC3">
    <w:name w:val="toc 3"/>
    <w:basedOn w:val="Normal"/>
    <w:next w:val="Normal"/>
    <w:autoRedefine/>
    <w:uiPriority w:val="39"/>
    <w:semiHidden/>
    <w:unhideWhenUsed/>
    <w:qFormat/>
    <w:rsid w:val="00663A76"/>
    <w:pPr>
      <w:spacing w:after="100"/>
      <w:ind w:left="440"/>
    </w:pPr>
    <w:rPr>
      <w:rFonts w:eastAsiaTheme="minorEastAsia"/>
      <w:lang w:val="en-US" w:eastAsia="ja-JP"/>
    </w:rPr>
  </w:style>
  <w:style w:type="character" w:styleId="Hyperlink">
    <w:name w:val="Hyperlink"/>
    <w:basedOn w:val="DefaultParagraphFont"/>
    <w:uiPriority w:val="99"/>
    <w:unhideWhenUsed/>
    <w:rsid w:val="007F39B0"/>
    <w:rPr>
      <w:color w:val="0000FF" w:themeColor="hyperlink"/>
      <w:u w:val="single"/>
    </w:rPr>
  </w:style>
  <w:style w:type="paragraph" w:styleId="ListParagraph">
    <w:name w:val="List Paragraph"/>
    <w:basedOn w:val="Normal"/>
    <w:uiPriority w:val="34"/>
    <w:qFormat/>
    <w:rsid w:val="007F39B0"/>
    <w:pPr>
      <w:spacing w:after="240" w:line="240" w:lineRule="auto"/>
      <w:ind w:left="720"/>
      <w:contextualSpacing/>
    </w:pPr>
    <w:rPr>
      <w:rFonts w:eastAsia="Times New Roman" w:cs="Arial"/>
      <w:color w:val="333399"/>
      <w:sz w:val="24"/>
      <w:szCs w:val="24"/>
    </w:rPr>
  </w:style>
  <w:style w:type="character" w:customStyle="1" w:styleId="Heading2Char">
    <w:name w:val="Heading 2 Char"/>
    <w:basedOn w:val="DefaultParagraphFont"/>
    <w:link w:val="Heading2"/>
    <w:rsid w:val="00D97064"/>
    <w:rPr>
      <w:rFonts w:ascii="Arial" w:eastAsia="Calibri" w:hAnsi="Arial" w:cs="Arial"/>
      <w:b/>
    </w:rPr>
  </w:style>
  <w:style w:type="character" w:customStyle="1" w:styleId="Heading4Char">
    <w:name w:val="Heading 4 Char"/>
    <w:basedOn w:val="DefaultParagraphFont"/>
    <w:link w:val="Heading4"/>
    <w:rsid w:val="00D628E0"/>
    <w:rPr>
      <w:rFonts w:ascii="Arial" w:eastAsia="Times New Roman" w:hAnsi="Arial" w:cs="Times New Roman"/>
      <w:b/>
      <w:sz w:val="24"/>
      <w:szCs w:val="20"/>
      <w:lang w:eastAsia="en-GB"/>
    </w:rPr>
  </w:style>
  <w:style w:type="character" w:customStyle="1" w:styleId="Heading5Char">
    <w:name w:val="Heading 5 Char"/>
    <w:basedOn w:val="DefaultParagraphFont"/>
    <w:link w:val="Heading5"/>
    <w:rsid w:val="00D628E0"/>
    <w:rPr>
      <w:rFonts w:ascii="Arial" w:eastAsia="Times New Roman" w:hAnsi="Arial" w:cs="Times New Roman"/>
      <w:szCs w:val="20"/>
      <w:lang w:eastAsia="en-GB"/>
    </w:rPr>
  </w:style>
  <w:style w:type="character" w:customStyle="1" w:styleId="Heading6Char">
    <w:name w:val="Heading 6 Char"/>
    <w:basedOn w:val="DefaultParagraphFont"/>
    <w:link w:val="Heading6"/>
    <w:rsid w:val="00D628E0"/>
    <w:rPr>
      <w:rFonts w:ascii="Arial" w:eastAsia="Times New Roman" w:hAnsi="Arial" w:cs="Times New Roman"/>
      <w:i/>
      <w:szCs w:val="20"/>
      <w:lang w:eastAsia="en-GB"/>
    </w:rPr>
  </w:style>
  <w:style w:type="character" w:customStyle="1" w:styleId="Heading7Char">
    <w:name w:val="Heading 7 Char"/>
    <w:basedOn w:val="DefaultParagraphFont"/>
    <w:link w:val="Heading7"/>
    <w:rsid w:val="00D628E0"/>
    <w:rPr>
      <w:rFonts w:ascii="Arial" w:eastAsia="Times New Roman" w:hAnsi="Arial" w:cs="Times New Roman"/>
      <w:sz w:val="24"/>
      <w:szCs w:val="20"/>
      <w:lang w:eastAsia="en-GB"/>
    </w:rPr>
  </w:style>
  <w:style w:type="character" w:customStyle="1" w:styleId="Heading8Char">
    <w:name w:val="Heading 8 Char"/>
    <w:basedOn w:val="DefaultParagraphFont"/>
    <w:link w:val="Heading8"/>
    <w:rsid w:val="00D628E0"/>
    <w:rPr>
      <w:rFonts w:ascii="Arial" w:eastAsia="Times New Roman" w:hAnsi="Arial" w:cs="Times New Roman"/>
      <w:i/>
      <w:sz w:val="24"/>
      <w:szCs w:val="20"/>
      <w:lang w:eastAsia="en-GB"/>
    </w:rPr>
  </w:style>
  <w:style w:type="character" w:customStyle="1" w:styleId="Heading9Char">
    <w:name w:val="Heading 9 Char"/>
    <w:basedOn w:val="DefaultParagraphFont"/>
    <w:link w:val="Heading9"/>
    <w:rsid w:val="00D628E0"/>
    <w:rPr>
      <w:rFonts w:ascii="Arial" w:eastAsia="Times New Roman" w:hAnsi="Arial" w:cs="Times New Roman"/>
      <w:b/>
      <w:i/>
      <w:sz w:val="18"/>
      <w:szCs w:val="20"/>
      <w:lang w:eastAsia="en-GB"/>
    </w:rPr>
  </w:style>
  <w:style w:type="paragraph" w:styleId="BodyText">
    <w:name w:val="Body Text"/>
    <w:basedOn w:val="Normal"/>
    <w:link w:val="BodyTextChar"/>
    <w:rsid w:val="00D628E0"/>
    <w:pPr>
      <w:numPr>
        <w:ilvl w:val="2"/>
        <w:numId w:val="3"/>
      </w:numPr>
      <w:spacing w:after="120" w:line="240" w:lineRule="auto"/>
    </w:pPr>
    <w:rPr>
      <w:rFonts w:ascii="HelveticaNeueLT Std" w:eastAsia="Times New Roman" w:hAnsi="HelveticaNeueLT Std" w:cs="Times New Roman"/>
      <w:sz w:val="24"/>
      <w:szCs w:val="20"/>
      <w:lang w:val="x-none" w:eastAsia="x-none"/>
    </w:rPr>
  </w:style>
  <w:style w:type="character" w:customStyle="1" w:styleId="BodyTextChar">
    <w:name w:val="Body Text Char"/>
    <w:basedOn w:val="DefaultParagraphFont"/>
    <w:link w:val="BodyText"/>
    <w:rsid w:val="00D628E0"/>
    <w:rPr>
      <w:rFonts w:ascii="HelveticaNeueLT Std" w:eastAsia="Times New Roman" w:hAnsi="HelveticaNeueLT Std" w:cs="Times New Roman"/>
      <w:sz w:val="24"/>
      <w:szCs w:val="20"/>
      <w:lang w:val="x-none" w:eastAsia="x-none"/>
    </w:rPr>
  </w:style>
  <w:style w:type="paragraph" w:customStyle="1" w:styleId="BodyTextBullets">
    <w:name w:val="Body Text Bullets"/>
    <w:basedOn w:val="Normal"/>
    <w:link w:val="BodyTextBulletsChar"/>
    <w:uiPriority w:val="99"/>
    <w:qFormat/>
    <w:rsid w:val="00D628E0"/>
    <w:pPr>
      <w:spacing w:after="0" w:line="240" w:lineRule="auto"/>
      <w:jc w:val="both"/>
    </w:pPr>
    <w:rPr>
      <w:rFonts w:eastAsia="Times New Roman" w:cs="Arial"/>
      <w:sz w:val="24"/>
      <w:szCs w:val="20"/>
      <w:lang w:eastAsia="en-GB"/>
    </w:rPr>
  </w:style>
  <w:style w:type="character" w:customStyle="1" w:styleId="BodyTextBulletsChar">
    <w:name w:val="Body Text Bullets Char"/>
    <w:link w:val="BodyTextBullets"/>
    <w:uiPriority w:val="99"/>
    <w:rsid w:val="00D628E0"/>
    <w:rPr>
      <w:rFonts w:ascii="Arial" w:eastAsia="Times New Roman" w:hAnsi="Arial" w:cs="Arial"/>
      <w:sz w:val="24"/>
      <w:szCs w:val="20"/>
      <w:lang w:eastAsia="en-GB"/>
    </w:rPr>
  </w:style>
  <w:style w:type="paragraph" w:customStyle="1" w:styleId="Default">
    <w:name w:val="Default"/>
    <w:rsid w:val="00040D1A"/>
    <w:pPr>
      <w:autoSpaceDE w:val="0"/>
      <w:autoSpaceDN w:val="0"/>
      <w:adjustRightInd w:val="0"/>
      <w:spacing w:after="0" w:line="240" w:lineRule="auto"/>
    </w:pPr>
    <w:rPr>
      <w:rFonts w:ascii="Arial" w:hAnsi="Arial" w:cs="Arial"/>
      <w:color w:val="000000"/>
      <w:sz w:val="24"/>
      <w:szCs w:val="24"/>
    </w:rPr>
  </w:style>
  <w:style w:type="paragraph" w:styleId="NoSpacing">
    <w:name w:val="No Spacing"/>
    <w:qFormat/>
    <w:rsid w:val="00613FAA"/>
    <w:pPr>
      <w:spacing w:after="0" w:line="240" w:lineRule="auto"/>
    </w:pPr>
    <w:rPr>
      <w:rFonts w:ascii="Calibri" w:eastAsia="Calibri" w:hAnsi="Calibri" w:cs="Times New Roman"/>
    </w:rPr>
  </w:style>
  <w:style w:type="table" w:styleId="TableGrid">
    <w:name w:val="Table Grid"/>
    <w:basedOn w:val="TableNormal"/>
    <w:uiPriority w:val="59"/>
    <w:rsid w:val="00382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175BA"/>
    <w:pPr>
      <w:tabs>
        <w:tab w:val="center" w:pos="4513"/>
        <w:tab w:val="right" w:pos="9026"/>
      </w:tabs>
      <w:spacing w:after="0" w:line="240" w:lineRule="auto"/>
    </w:pPr>
  </w:style>
  <w:style w:type="character" w:customStyle="1" w:styleId="HeaderChar">
    <w:name w:val="Header Char"/>
    <w:basedOn w:val="DefaultParagraphFont"/>
    <w:link w:val="Header"/>
    <w:rsid w:val="004175BA"/>
    <w:rPr>
      <w:rFonts w:ascii="Arial" w:hAnsi="Arial"/>
    </w:rPr>
  </w:style>
  <w:style w:type="paragraph" w:styleId="Footer">
    <w:name w:val="footer"/>
    <w:basedOn w:val="Normal"/>
    <w:link w:val="FooterChar"/>
    <w:uiPriority w:val="99"/>
    <w:unhideWhenUsed/>
    <w:rsid w:val="004175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75BA"/>
    <w:rPr>
      <w:rFonts w:ascii="Arial" w:hAnsi="Arial"/>
    </w:rPr>
  </w:style>
  <w:style w:type="paragraph" w:styleId="Subtitle">
    <w:name w:val="Subtitle"/>
    <w:basedOn w:val="Normal"/>
    <w:link w:val="SubtitleChar"/>
    <w:qFormat/>
    <w:rsid w:val="00257C4B"/>
    <w:pPr>
      <w:spacing w:after="0" w:line="240" w:lineRule="auto"/>
      <w:jc w:val="center"/>
    </w:pPr>
    <w:rPr>
      <w:rFonts w:ascii="Times New Roman" w:eastAsia="Times New Roman" w:hAnsi="Times New Roman" w:cs="Times New Roman"/>
      <w:b/>
      <w:bCs/>
      <w:sz w:val="24"/>
      <w:szCs w:val="24"/>
      <w:u w:val="single"/>
    </w:rPr>
  </w:style>
  <w:style w:type="character" w:customStyle="1" w:styleId="SubtitleChar">
    <w:name w:val="Subtitle Char"/>
    <w:basedOn w:val="DefaultParagraphFont"/>
    <w:link w:val="Subtitle"/>
    <w:rsid w:val="00257C4B"/>
    <w:rPr>
      <w:rFonts w:ascii="Times New Roman" w:eastAsia="Times New Roman" w:hAnsi="Times New Roman" w:cs="Times New Roman"/>
      <w:b/>
      <w:bCs/>
      <w:sz w:val="24"/>
      <w:szCs w:val="24"/>
      <w:u w:val="single"/>
    </w:rPr>
  </w:style>
  <w:style w:type="character" w:customStyle="1" w:styleId="Heading3Char">
    <w:name w:val="Heading 3 Char"/>
    <w:basedOn w:val="DefaultParagraphFont"/>
    <w:link w:val="Heading3"/>
    <w:uiPriority w:val="9"/>
    <w:semiHidden/>
    <w:rsid w:val="002241B2"/>
    <w:rPr>
      <w:rFonts w:asciiTheme="majorHAnsi" w:eastAsiaTheme="majorEastAsia" w:hAnsiTheme="majorHAnsi" w:cstheme="majorBidi"/>
      <w:b/>
      <w:bCs/>
      <w:color w:val="4F81BD" w:themeColor="accent1"/>
    </w:rPr>
  </w:style>
  <w:style w:type="paragraph" w:customStyle="1" w:styleId="Tabletext">
    <w:name w:val="Table text"/>
    <w:basedOn w:val="Normal"/>
    <w:rsid w:val="00D562CC"/>
    <w:pPr>
      <w:spacing w:after="0" w:line="240" w:lineRule="auto"/>
    </w:pPr>
    <w:rPr>
      <w:rFonts w:eastAsia="Times New Roman" w:cs="Times New Roman"/>
      <w:sz w:val="24"/>
      <w:szCs w:val="20"/>
      <w:lang w:eastAsia="en-GB"/>
    </w:rPr>
  </w:style>
  <w:style w:type="paragraph" w:customStyle="1" w:styleId="BulletBodyText">
    <w:name w:val="Bullet Body Text"/>
    <w:basedOn w:val="Normal"/>
    <w:rsid w:val="004A709C"/>
    <w:pPr>
      <w:numPr>
        <w:numId w:val="31"/>
      </w:numPr>
      <w:tabs>
        <w:tab w:val="clear" w:pos="1211"/>
        <w:tab w:val="left" w:pos="1191"/>
      </w:tabs>
      <w:spacing w:after="0" w:line="240" w:lineRule="auto"/>
    </w:pPr>
    <w:rPr>
      <w:rFonts w:eastAsia="Times New Roman" w:cs="Times New Roman"/>
      <w:sz w:val="19"/>
      <w:szCs w:val="24"/>
    </w:rPr>
  </w:style>
  <w:style w:type="paragraph" w:customStyle="1" w:styleId="MainBodyText">
    <w:name w:val="Main Body Text"/>
    <w:basedOn w:val="Normal"/>
    <w:rsid w:val="004A709C"/>
    <w:pPr>
      <w:spacing w:after="0" w:line="240" w:lineRule="auto"/>
      <w:ind w:left="851"/>
    </w:pPr>
    <w:rPr>
      <w:rFonts w:eastAsia="Times New Roman" w:cs="Times New Roman"/>
      <w:sz w:val="19"/>
      <w:szCs w:val="24"/>
    </w:rPr>
  </w:style>
  <w:style w:type="character" w:styleId="FollowedHyperlink">
    <w:name w:val="FollowedHyperlink"/>
    <w:basedOn w:val="DefaultParagraphFont"/>
    <w:uiPriority w:val="99"/>
    <w:semiHidden/>
    <w:unhideWhenUsed/>
    <w:rsid w:val="00327BE8"/>
    <w:rPr>
      <w:color w:val="800080" w:themeColor="followedHyperlink"/>
      <w:u w:val="single"/>
    </w:rPr>
  </w:style>
  <w:style w:type="character" w:styleId="CommentReference">
    <w:name w:val="annotation reference"/>
    <w:basedOn w:val="DefaultParagraphFont"/>
    <w:uiPriority w:val="99"/>
    <w:semiHidden/>
    <w:unhideWhenUsed/>
    <w:rsid w:val="003E012D"/>
    <w:rPr>
      <w:sz w:val="16"/>
      <w:szCs w:val="16"/>
    </w:rPr>
  </w:style>
  <w:style w:type="paragraph" w:styleId="CommentText">
    <w:name w:val="annotation text"/>
    <w:basedOn w:val="Normal"/>
    <w:link w:val="CommentTextChar"/>
    <w:uiPriority w:val="99"/>
    <w:semiHidden/>
    <w:unhideWhenUsed/>
    <w:rsid w:val="003E012D"/>
    <w:pPr>
      <w:spacing w:line="240" w:lineRule="auto"/>
    </w:pPr>
    <w:rPr>
      <w:sz w:val="20"/>
      <w:szCs w:val="20"/>
    </w:rPr>
  </w:style>
  <w:style w:type="character" w:customStyle="1" w:styleId="CommentTextChar">
    <w:name w:val="Comment Text Char"/>
    <w:basedOn w:val="DefaultParagraphFont"/>
    <w:link w:val="CommentText"/>
    <w:uiPriority w:val="99"/>
    <w:semiHidden/>
    <w:rsid w:val="003E0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E012D"/>
    <w:rPr>
      <w:b/>
      <w:bCs/>
    </w:rPr>
  </w:style>
  <w:style w:type="character" w:customStyle="1" w:styleId="CommentSubjectChar">
    <w:name w:val="Comment Subject Char"/>
    <w:basedOn w:val="CommentTextChar"/>
    <w:link w:val="CommentSubject"/>
    <w:uiPriority w:val="99"/>
    <w:semiHidden/>
    <w:rsid w:val="003E012D"/>
    <w:rPr>
      <w:rFonts w:ascii="Arial" w:hAnsi="Arial"/>
      <w:b/>
      <w:bCs/>
      <w:sz w:val="20"/>
      <w:szCs w:val="20"/>
    </w:rPr>
  </w:style>
  <w:style w:type="paragraph" w:styleId="FootnoteText">
    <w:name w:val="footnote text"/>
    <w:basedOn w:val="Normal"/>
    <w:link w:val="FootnoteTextChar"/>
    <w:uiPriority w:val="99"/>
    <w:semiHidden/>
    <w:unhideWhenUsed/>
    <w:rsid w:val="006010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1067"/>
    <w:rPr>
      <w:rFonts w:ascii="Arial" w:hAnsi="Arial"/>
      <w:sz w:val="20"/>
      <w:szCs w:val="20"/>
    </w:rPr>
  </w:style>
  <w:style w:type="character" w:styleId="FootnoteReference">
    <w:name w:val="footnote reference"/>
    <w:basedOn w:val="DefaultParagraphFont"/>
    <w:uiPriority w:val="99"/>
    <w:semiHidden/>
    <w:unhideWhenUsed/>
    <w:rsid w:val="00601067"/>
    <w:rPr>
      <w:vertAlign w:val="superscript"/>
    </w:rPr>
  </w:style>
  <w:style w:type="paragraph" w:styleId="NormalWeb">
    <w:name w:val="Normal (Web)"/>
    <w:basedOn w:val="Normal"/>
    <w:uiPriority w:val="99"/>
    <w:unhideWhenUsed/>
    <w:rsid w:val="00583D4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00680"/>
    <w:rPr>
      <w:b/>
      <w:bCs/>
    </w:rPr>
  </w:style>
  <w:style w:type="paragraph" w:customStyle="1" w:styleId="b9b69ec8-713f-49e2-9e91-579222eacc78">
    <w:name w:val="b9b69ec8-713f-49e2-9e91-579222eacc78"/>
    <w:basedOn w:val="Normal"/>
    <w:uiPriority w:val="99"/>
    <w:rsid w:val="00C824EA"/>
    <w:pPr>
      <w:spacing w:after="0" w:line="240" w:lineRule="auto"/>
    </w:pPr>
    <w:rPr>
      <w:rFonts w:ascii="Times New Roman" w:hAnsi="Times New Roman" w:cs="Times New Roman"/>
      <w:sz w:val="24"/>
      <w:szCs w:val="24"/>
      <w:lang w:eastAsia="en-GB"/>
    </w:rPr>
  </w:style>
  <w:style w:type="character" w:styleId="SubtleEmphasis">
    <w:name w:val="Subtle Emphasis"/>
    <w:basedOn w:val="DefaultParagraphFont"/>
    <w:uiPriority w:val="19"/>
    <w:qFormat/>
    <w:rsid w:val="0016527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52508">
      <w:bodyDiv w:val="1"/>
      <w:marLeft w:val="0"/>
      <w:marRight w:val="0"/>
      <w:marTop w:val="0"/>
      <w:marBottom w:val="0"/>
      <w:divBdr>
        <w:top w:val="none" w:sz="0" w:space="0" w:color="auto"/>
        <w:left w:val="none" w:sz="0" w:space="0" w:color="auto"/>
        <w:bottom w:val="none" w:sz="0" w:space="0" w:color="auto"/>
        <w:right w:val="none" w:sz="0" w:space="0" w:color="auto"/>
      </w:divBdr>
    </w:div>
    <w:div w:id="226452326">
      <w:bodyDiv w:val="1"/>
      <w:marLeft w:val="0"/>
      <w:marRight w:val="0"/>
      <w:marTop w:val="0"/>
      <w:marBottom w:val="0"/>
      <w:divBdr>
        <w:top w:val="none" w:sz="0" w:space="0" w:color="auto"/>
        <w:left w:val="none" w:sz="0" w:space="0" w:color="auto"/>
        <w:bottom w:val="none" w:sz="0" w:space="0" w:color="auto"/>
        <w:right w:val="none" w:sz="0" w:space="0" w:color="auto"/>
      </w:divBdr>
    </w:div>
    <w:div w:id="270405614">
      <w:bodyDiv w:val="1"/>
      <w:marLeft w:val="0"/>
      <w:marRight w:val="0"/>
      <w:marTop w:val="0"/>
      <w:marBottom w:val="0"/>
      <w:divBdr>
        <w:top w:val="none" w:sz="0" w:space="0" w:color="auto"/>
        <w:left w:val="none" w:sz="0" w:space="0" w:color="auto"/>
        <w:bottom w:val="none" w:sz="0" w:space="0" w:color="auto"/>
        <w:right w:val="none" w:sz="0" w:space="0" w:color="auto"/>
      </w:divBdr>
      <w:divsChild>
        <w:div w:id="880214357">
          <w:marLeft w:val="0"/>
          <w:marRight w:val="0"/>
          <w:marTop w:val="0"/>
          <w:marBottom w:val="0"/>
          <w:divBdr>
            <w:top w:val="none" w:sz="0" w:space="0" w:color="auto"/>
            <w:left w:val="none" w:sz="0" w:space="0" w:color="auto"/>
            <w:bottom w:val="none" w:sz="0" w:space="0" w:color="auto"/>
            <w:right w:val="none" w:sz="0" w:space="0" w:color="auto"/>
          </w:divBdr>
          <w:divsChild>
            <w:div w:id="38437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042897">
      <w:bodyDiv w:val="1"/>
      <w:marLeft w:val="0"/>
      <w:marRight w:val="0"/>
      <w:marTop w:val="0"/>
      <w:marBottom w:val="0"/>
      <w:divBdr>
        <w:top w:val="none" w:sz="0" w:space="0" w:color="auto"/>
        <w:left w:val="none" w:sz="0" w:space="0" w:color="auto"/>
        <w:bottom w:val="none" w:sz="0" w:space="0" w:color="auto"/>
        <w:right w:val="none" w:sz="0" w:space="0" w:color="auto"/>
      </w:divBdr>
    </w:div>
    <w:div w:id="678508619">
      <w:bodyDiv w:val="1"/>
      <w:marLeft w:val="0"/>
      <w:marRight w:val="0"/>
      <w:marTop w:val="0"/>
      <w:marBottom w:val="0"/>
      <w:divBdr>
        <w:top w:val="none" w:sz="0" w:space="0" w:color="auto"/>
        <w:left w:val="none" w:sz="0" w:space="0" w:color="auto"/>
        <w:bottom w:val="none" w:sz="0" w:space="0" w:color="auto"/>
        <w:right w:val="none" w:sz="0" w:space="0" w:color="auto"/>
      </w:divBdr>
    </w:div>
    <w:div w:id="688532412">
      <w:bodyDiv w:val="1"/>
      <w:marLeft w:val="0"/>
      <w:marRight w:val="0"/>
      <w:marTop w:val="0"/>
      <w:marBottom w:val="0"/>
      <w:divBdr>
        <w:top w:val="none" w:sz="0" w:space="0" w:color="auto"/>
        <w:left w:val="none" w:sz="0" w:space="0" w:color="auto"/>
        <w:bottom w:val="none" w:sz="0" w:space="0" w:color="auto"/>
        <w:right w:val="none" w:sz="0" w:space="0" w:color="auto"/>
      </w:divBdr>
    </w:div>
    <w:div w:id="819882594">
      <w:bodyDiv w:val="1"/>
      <w:marLeft w:val="0"/>
      <w:marRight w:val="0"/>
      <w:marTop w:val="0"/>
      <w:marBottom w:val="0"/>
      <w:divBdr>
        <w:top w:val="none" w:sz="0" w:space="0" w:color="auto"/>
        <w:left w:val="none" w:sz="0" w:space="0" w:color="auto"/>
        <w:bottom w:val="none" w:sz="0" w:space="0" w:color="auto"/>
        <w:right w:val="none" w:sz="0" w:space="0" w:color="auto"/>
      </w:divBdr>
      <w:divsChild>
        <w:div w:id="1059597416">
          <w:marLeft w:val="0"/>
          <w:marRight w:val="0"/>
          <w:marTop w:val="0"/>
          <w:marBottom w:val="0"/>
          <w:divBdr>
            <w:top w:val="none" w:sz="0" w:space="0" w:color="auto"/>
            <w:left w:val="none" w:sz="0" w:space="0" w:color="auto"/>
            <w:bottom w:val="none" w:sz="0" w:space="0" w:color="auto"/>
            <w:right w:val="none" w:sz="0" w:space="0" w:color="auto"/>
          </w:divBdr>
          <w:divsChild>
            <w:div w:id="1013073132">
              <w:marLeft w:val="0"/>
              <w:marRight w:val="0"/>
              <w:marTop w:val="0"/>
              <w:marBottom w:val="0"/>
              <w:divBdr>
                <w:top w:val="none" w:sz="0" w:space="0" w:color="auto"/>
                <w:left w:val="none" w:sz="0" w:space="0" w:color="auto"/>
                <w:bottom w:val="none" w:sz="0" w:space="0" w:color="auto"/>
                <w:right w:val="none" w:sz="0" w:space="0" w:color="auto"/>
              </w:divBdr>
              <w:divsChild>
                <w:div w:id="123157997">
                  <w:marLeft w:val="0"/>
                  <w:marRight w:val="0"/>
                  <w:marTop w:val="0"/>
                  <w:marBottom w:val="0"/>
                  <w:divBdr>
                    <w:top w:val="none" w:sz="0" w:space="0" w:color="auto"/>
                    <w:left w:val="none" w:sz="0" w:space="0" w:color="auto"/>
                    <w:bottom w:val="none" w:sz="0" w:space="0" w:color="auto"/>
                    <w:right w:val="none" w:sz="0" w:space="0" w:color="auto"/>
                  </w:divBdr>
                  <w:divsChild>
                    <w:div w:id="548301141">
                      <w:marLeft w:val="75"/>
                      <w:marRight w:val="0"/>
                      <w:marTop w:val="300"/>
                      <w:marBottom w:val="300"/>
                      <w:divBdr>
                        <w:top w:val="none" w:sz="0" w:space="0" w:color="auto"/>
                        <w:left w:val="none" w:sz="0" w:space="0" w:color="auto"/>
                        <w:bottom w:val="none" w:sz="0" w:space="0" w:color="auto"/>
                        <w:right w:val="none" w:sz="0" w:space="0" w:color="auto"/>
                      </w:divBdr>
                      <w:divsChild>
                        <w:div w:id="978460825">
                          <w:marLeft w:val="0"/>
                          <w:marRight w:val="0"/>
                          <w:marTop w:val="0"/>
                          <w:marBottom w:val="0"/>
                          <w:divBdr>
                            <w:top w:val="none" w:sz="0" w:space="0" w:color="auto"/>
                            <w:left w:val="none" w:sz="0" w:space="0" w:color="auto"/>
                            <w:bottom w:val="none" w:sz="0" w:space="0" w:color="auto"/>
                            <w:right w:val="none" w:sz="0" w:space="0" w:color="auto"/>
                          </w:divBdr>
                          <w:divsChild>
                            <w:div w:id="102020368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113678">
      <w:bodyDiv w:val="1"/>
      <w:marLeft w:val="0"/>
      <w:marRight w:val="0"/>
      <w:marTop w:val="0"/>
      <w:marBottom w:val="0"/>
      <w:divBdr>
        <w:top w:val="none" w:sz="0" w:space="0" w:color="auto"/>
        <w:left w:val="none" w:sz="0" w:space="0" w:color="auto"/>
        <w:bottom w:val="none" w:sz="0" w:space="0" w:color="auto"/>
        <w:right w:val="none" w:sz="0" w:space="0" w:color="auto"/>
      </w:divBdr>
    </w:div>
    <w:div w:id="1206914396">
      <w:bodyDiv w:val="1"/>
      <w:marLeft w:val="0"/>
      <w:marRight w:val="0"/>
      <w:marTop w:val="0"/>
      <w:marBottom w:val="0"/>
      <w:divBdr>
        <w:top w:val="none" w:sz="0" w:space="0" w:color="auto"/>
        <w:left w:val="none" w:sz="0" w:space="0" w:color="auto"/>
        <w:bottom w:val="none" w:sz="0" w:space="0" w:color="auto"/>
        <w:right w:val="none" w:sz="0" w:space="0" w:color="auto"/>
      </w:divBdr>
      <w:divsChild>
        <w:div w:id="316612785">
          <w:marLeft w:val="0"/>
          <w:marRight w:val="0"/>
          <w:marTop w:val="0"/>
          <w:marBottom w:val="0"/>
          <w:divBdr>
            <w:top w:val="none" w:sz="0" w:space="0" w:color="auto"/>
            <w:left w:val="none" w:sz="0" w:space="0" w:color="auto"/>
            <w:bottom w:val="none" w:sz="0" w:space="0" w:color="auto"/>
            <w:right w:val="none" w:sz="0" w:space="0" w:color="auto"/>
          </w:divBdr>
          <w:divsChild>
            <w:div w:id="1762490003">
              <w:marLeft w:val="0"/>
              <w:marRight w:val="0"/>
              <w:marTop w:val="0"/>
              <w:marBottom w:val="0"/>
              <w:divBdr>
                <w:top w:val="none" w:sz="0" w:space="0" w:color="auto"/>
                <w:left w:val="none" w:sz="0" w:space="0" w:color="auto"/>
                <w:bottom w:val="none" w:sz="0" w:space="0" w:color="auto"/>
                <w:right w:val="none" w:sz="0" w:space="0" w:color="auto"/>
              </w:divBdr>
              <w:divsChild>
                <w:div w:id="53408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66851">
      <w:bodyDiv w:val="1"/>
      <w:marLeft w:val="0"/>
      <w:marRight w:val="0"/>
      <w:marTop w:val="0"/>
      <w:marBottom w:val="0"/>
      <w:divBdr>
        <w:top w:val="none" w:sz="0" w:space="0" w:color="auto"/>
        <w:left w:val="none" w:sz="0" w:space="0" w:color="auto"/>
        <w:bottom w:val="none" w:sz="0" w:space="0" w:color="auto"/>
        <w:right w:val="none" w:sz="0" w:space="0" w:color="auto"/>
      </w:divBdr>
    </w:div>
    <w:div w:id="1315067290">
      <w:bodyDiv w:val="1"/>
      <w:marLeft w:val="0"/>
      <w:marRight w:val="0"/>
      <w:marTop w:val="0"/>
      <w:marBottom w:val="0"/>
      <w:divBdr>
        <w:top w:val="none" w:sz="0" w:space="0" w:color="auto"/>
        <w:left w:val="none" w:sz="0" w:space="0" w:color="auto"/>
        <w:bottom w:val="none" w:sz="0" w:space="0" w:color="auto"/>
        <w:right w:val="none" w:sz="0" w:space="0" w:color="auto"/>
      </w:divBdr>
    </w:div>
    <w:div w:id="1369985227">
      <w:bodyDiv w:val="1"/>
      <w:marLeft w:val="0"/>
      <w:marRight w:val="0"/>
      <w:marTop w:val="0"/>
      <w:marBottom w:val="0"/>
      <w:divBdr>
        <w:top w:val="none" w:sz="0" w:space="0" w:color="auto"/>
        <w:left w:val="none" w:sz="0" w:space="0" w:color="auto"/>
        <w:bottom w:val="none" w:sz="0" w:space="0" w:color="auto"/>
        <w:right w:val="none" w:sz="0" w:space="0" w:color="auto"/>
      </w:divBdr>
      <w:divsChild>
        <w:div w:id="1608385031">
          <w:marLeft w:val="0"/>
          <w:marRight w:val="0"/>
          <w:marTop w:val="0"/>
          <w:marBottom w:val="0"/>
          <w:divBdr>
            <w:top w:val="none" w:sz="0" w:space="0" w:color="auto"/>
            <w:left w:val="none" w:sz="0" w:space="0" w:color="auto"/>
            <w:bottom w:val="none" w:sz="0" w:space="0" w:color="auto"/>
            <w:right w:val="none" w:sz="0" w:space="0" w:color="auto"/>
          </w:divBdr>
          <w:divsChild>
            <w:div w:id="106155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52740">
      <w:bodyDiv w:val="1"/>
      <w:marLeft w:val="0"/>
      <w:marRight w:val="0"/>
      <w:marTop w:val="0"/>
      <w:marBottom w:val="0"/>
      <w:divBdr>
        <w:top w:val="none" w:sz="0" w:space="0" w:color="auto"/>
        <w:left w:val="none" w:sz="0" w:space="0" w:color="auto"/>
        <w:bottom w:val="none" w:sz="0" w:space="0" w:color="auto"/>
        <w:right w:val="none" w:sz="0" w:space="0" w:color="auto"/>
      </w:divBdr>
      <w:divsChild>
        <w:div w:id="843545728">
          <w:marLeft w:val="0"/>
          <w:marRight w:val="0"/>
          <w:marTop w:val="0"/>
          <w:marBottom w:val="0"/>
          <w:divBdr>
            <w:top w:val="none" w:sz="0" w:space="0" w:color="auto"/>
            <w:left w:val="none" w:sz="0" w:space="0" w:color="auto"/>
            <w:bottom w:val="none" w:sz="0" w:space="0" w:color="auto"/>
            <w:right w:val="none" w:sz="0" w:space="0" w:color="auto"/>
          </w:divBdr>
          <w:divsChild>
            <w:div w:id="2003000521">
              <w:marLeft w:val="0"/>
              <w:marRight w:val="0"/>
              <w:marTop w:val="0"/>
              <w:marBottom w:val="0"/>
              <w:divBdr>
                <w:top w:val="none" w:sz="0" w:space="0" w:color="auto"/>
                <w:left w:val="none" w:sz="0" w:space="0" w:color="auto"/>
                <w:bottom w:val="none" w:sz="0" w:space="0" w:color="auto"/>
                <w:right w:val="none" w:sz="0" w:space="0" w:color="auto"/>
              </w:divBdr>
              <w:divsChild>
                <w:div w:id="56584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005804">
      <w:bodyDiv w:val="1"/>
      <w:marLeft w:val="0"/>
      <w:marRight w:val="0"/>
      <w:marTop w:val="0"/>
      <w:marBottom w:val="0"/>
      <w:divBdr>
        <w:top w:val="none" w:sz="0" w:space="0" w:color="auto"/>
        <w:left w:val="none" w:sz="0" w:space="0" w:color="auto"/>
        <w:bottom w:val="none" w:sz="0" w:space="0" w:color="auto"/>
        <w:right w:val="none" w:sz="0" w:space="0" w:color="auto"/>
      </w:divBdr>
    </w:div>
    <w:div w:id="1874416089">
      <w:bodyDiv w:val="1"/>
      <w:marLeft w:val="0"/>
      <w:marRight w:val="0"/>
      <w:marTop w:val="0"/>
      <w:marBottom w:val="0"/>
      <w:divBdr>
        <w:top w:val="none" w:sz="0" w:space="0" w:color="auto"/>
        <w:left w:val="none" w:sz="0" w:space="0" w:color="auto"/>
        <w:bottom w:val="none" w:sz="0" w:space="0" w:color="auto"/>
        <w:right w:val="none" w:sz="0" w:space="0" w:color="auto"/>
      </w:divBdr>
      <w:divsChild>
        <w:div w:id="513569039">
          <w:marLeft w:val="0"/>
          <w:marRight w:val="0"/>
          <w:marTop w:val="0"/>
          <w:marBottom w:val="0"/>
          <w:divBdr>
            <w:top w:val="none" w:sz="0" w:space="0" w:color="auto"/>
            <w:left w:val="none" w:sz="0" w:space="0" w:color="auto"/>
            <w:bottom w:val="none" w:sz="0" w:space="0" w:color="auto"/>
            <w:right w:val="none" w:sz="0" w:space="0" w:color="auto"/>
          </w:divBdr>
          <w:divsChild>
            <w:div w:id="1321737959">
              <w:marLeft w:val="0"/>
              <w:marRight w:val="0"/>
              <w:marTop w:val="0"/>
              <w:marBottom w:val="0"/>
              <w:divBdr>
                <w:top w:val="none" w:sz="0" w:space="0" w:color="auto"/>
                <w:left w:val="none" w:sz="0" w:space="0" w:color="auto"/>
                <w:bottom w:val="none" w:sz="0" w:space="0" w:color="auto"/>
                <w:right w:val="none" w:sz="0" w:space="0" w:color="auto"/>
              </w:divBdr>
              <w:divsChild>
                <w:div w:id="879124452">
                  <w:marLeft w:val="0"/>
                  <w:marRight w:val="0"/>
                  <w:marTop w:val="0"/>
                  <w:marBottom w:val="0"/>
                  <w:divBdr>
                    <w:top w:val="none" w:sz="0" w:space="0" w:color="auto"/>
                    <w:left w:val="none" w:sz="0" w:space="0" w:color="auto"/>
                    <w:bottom w:val="none" w:sz="0" w:space="0" w:color="auto"/>
                    <w:right w:val="none" w:sz="0" w:space="0" w:color="auto"/>
                  </w:divBdr>
                </w:div>
                <w:div w:id="983043146">
                  <w:marLeft w:val="0"/>
                  <w:marRight w:val="0"/>
                  <w:marTop w:val="0"/>
                  <w:marBottom w:val="0"/>
                  <w:divBdr>
                    <w:top w:val="none" w:sz="0" w:space="0" w:color="auto"/>
                    <w:left w:val="none" w:sz="0" w:space="0" w:color="auto"/>
                    <w:bottom w:val="none" w:sz="0" w:space="0" w:color="auto"/>
                    <w:right w:val="none" w:sz="0" w:space="0" w:color="auto"/>
                  </w:divBdr>
                </w:div>
                <w:div w:id="1237284480">
                  <w:marLeft w:val="0"/>
                  <w:marRight w:val="0"/>
                  <w:marTop w:val="0"/>
                  <w:marBottom w:val="0"/>
                  <w:divBdr>
                    <w:top w:val="none" w:sz="0" w:space="0" w:color="auto"/>
                    <w:left w:val="none" w:sz="0" w:space="0" w:color="auto"/>
                    <w:bottom w:val="none" w:sz="0" w:space="0" w:color="auto"/>
                    <w:right w:val="none" w:sz="0" w:space="0" w:color="auto"/>
                  </w:divBdr>
                </w:div>
                <w:div w:id="1614510627">
                  <w:marLeft w:val="0"/>
                  <w:marRight w:val="0"/>
                  <w:marTop w:val="0"/>
                  <w:marBottom w:val="0"/>
                  <w:divBdr>
                    <w:top w:val="none" w:sz="0" w:space="0" w:color="auto"/>
                    <w:left w:val="none" w:sz="0" w:space="0" w:color="auto"/>
                    <w:bottom w:val="none" w:sz="0" w:space="0" w:color="auto"/>
                    <w:right w:val="none" w:sz="0" w:space="0" w:color="auto"/>
                  </w:divBdr>
                </w:div>
                <w:div w:id="1883902408">
                  <w:marLeft w:val="0"/>
                  <w:marRight w:val="0"/>
                  <w:marTop w:val="0"/>
                  <w:marBottom w:val="0"/>
                  <w:divBdr>
                    <w:top w:val="none" w:sz="0" w:space="0" w:color="auto"/>
                    <w:left w:val="none" w:sz="0" w:space="0" w:color="auto"/>
                    <w:bottom w:val="none" w:sz="0" w:space="0" w:color="auto"/>
                    <w:right w:val="none" w:sz="0" w:space="0" w:color="auto"/>
                  </w:divBdr>
                </w:div>
                <w:div w:id="201438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tmp"/><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21DC3-02B5-491B-915B-063E574D8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4330</Words>
  <Characters>24681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NELFT</Company>
  <LinksUpToDate>false</LinksUpToDate>
  <CharactersWithSpaces>28954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Mclean Nicky</dc:creator>
  <cp:lastModifiedBy>KHATUN, Rashida (EAST LONDON NHS FOUNDATION TRUST)</cp:lastModifiedBy>
  <cp:revision>2</cp:revision>
  <cp:lastPrinted>2020-10-16T08:09:00Z</cp:lastPrinted>
  <dcterms:created xsi:type="dcterms:W3CDTF">2026-02-27T11:18:00Z</dcterms:created>
  <dcterms:modified xsi:type="dcterms:W3CDTF">2026-02-27T11:18:00Z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nDIP File ID">
    <vt:lpwstr>2e1a7196-e3ae-40f6-8577-952515681204</vt:lpwstr>
  </property>
</Properties>
</file>