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2C3F" w14:textId="76DF6D10" w:rsidR="002932AE" w:rsidRPr="00373A85" w:rsidRDefault="002932AE" w:rsidP="004E39BE">
      <w:pPr>
        <w:jc w:val="center"/>
        <w:rPr>
          <w:rFonts w:ascii="Arial" w:hAnsi="Arial" w:cs="Arial"/>
          <w:b/>
          <w:bCs/>
          <w:sz w:val="24"/>
          <w:szCs w:val="24"/>
        </w:rPr>
      </w:pPr>
      <w:r w:rsidRPr="00373A85">
        <w:rPr>
          <w:rFonts w:ascii="Arial" w:hAnsi="Arial" w:cs="Arial"/>
          <w:b/>
          <w:bCs/>
          <w:sz w:val="24"/>
          <w:szCs w:val="24"/>
        </w:rPr>
        <w:t>Policy in a Nutshell (</w:t>
      </w:r>
      <w:r w:rsidR="00B81426">
        <w:rPr>
          <w:rFonts w:ascii="Arial" w:hAnsi="Arial" w:cs="Arial"/>
          <w:b/>
          <w:bCs/>
          <w:sz w:val="24"/>
          <w:szCs w:val="24"/>
        </w:rPr>
        <w:t>January</w:t>
      </w:r>
      <w:r w:rsidRPr="00373A85">
        <w:rPr>
          <w:rFonts w:ascii="Arial" w:hAnsi="Arial" w:cs="Arial"/>
          <w:b/>
          <w:bCs/>
          <w:sz w:val="24"/>
          <w:szCs w:val="24"/>
        </w:rPr>
        <w:t xml:space="preserve"> 202</w:t>
      </w:r>
      <w:r w:rsidR="00B81426">
        <w:rPr>
          <w:rFonts w:ascii="Arial" w:hAnsi="Arial" w:cs="Arial"/>
          <w:b/>
          <w:bCs/>
          <w:sz w:val="24"/>
          <w:szCs w:val="24"/>
        </w:rPr>
        <w:t>6</w:t>
      </w:r>
      <w:r w:rsidRPr="00373A85">
        <w:rPr>
          <w:rFonts w:ascii="Arial" w:hAnsi="Arial" w:cs="Arial"/>
          <w:b/>
          <w:bCs/>
          <w:sz w:val="24"/>
          <w:szCs w:val="24"/>
        </w:rPr>
        <w:t>)</w:t>
      </w:r>
    </w:p>
    <w:p w14:paraId="103C5358" w14:textId="77777777" w:rsidR="004E39BE" w:rsidRDefault="004E39BE" w:rsidP="004E39BE">
      <w:pPr>
        <w:jc w:val="center"/>
        <w:rPr>
          <w:rFonts w:ascii="Arial" w:hAnsi="Arial" w:cs="Arial"/>
          <w:b/>
          <w:bCs/>
        </w:rPr>
      </w:pPr>
    </w:p>
    <w:p w14:paraId="6E05D309" w14:textId="77777777" w:rsidR="004E39BE" w:rsidRDefault="004E39BE" w:rsidP="004E39BE">
      <w:pPr>
        <w:rPr>
          <w:rFonts w:ascii="Arial" w:hAnsi="Arial" w:cs="Arial"/>
        </w:rPr>
      </w:pPr>
      <w:r w:rsidRPr="004E39BE">
        <w:rPr>
          <w:rFonts w:ascii="Arial" w:hAnsi="Arial" w:cs="Arial"/>
        </w:rPr>
        <w:t xml:space="preserve">All Trust wide policies are available on the ELFT intranet, </w:t>
      </w:r>
    </w:p>
    <w:p w14:paraId="17061249" w14:textId="15492BB2" w:rsidR="004E39BE" w:rsidRPr="004E39BE" w:rsidRDefault="004E39BE" w:rsidP="004E39BE">
      <w:pPr>
        <w:rPr>
          <w:rFonts w:ascii="Arial" w:hAnsi="Arial" w:cs="Arial"/>
        </w:rPr>
      </w:pPr>
      <w:hyperlink r:id="rId5" w:history="1">
        <w:r w:rsidRPr="004E39BE">
          <w:rPr>
            <w:rStyle w:val="Hyperlink"/>
            <w:rFonts w:ascii="Arial" w:hAnsi="Arial" w:cs="Arial"/>
          </w:rPr>
          <w:t>https://www.elft.nhs.uk/intranet/teams-support-me/governance-and-risk-management/policy-management/trust-policies</w:t>
        </w:r>
      </w:hyperlink>
    </w:p>
    <w:p w14:paraId="29CB249F" w14:textId="3B2334A2" w:rsidR="004E39BE" w:rsidRDefault="004E39BE" w:rsidP="004E39BE">
      <w:pPr>
        <w:rPr>
          <w:rFonts w:ascii="Arial" w:hAnsi="Arial" w:cs="Arial"/>
        </w:rPr>
      </w:pPr>
      <w:r w:rsidRPr="004E39BE">
        <w:rPr>
          <w:rFonts w:ascii="Arial" w:hAnsi="Arial" w:cs="Arial"/>
        </w:rPr>
        <w:t xml:space="preserve">As a polite reminder please do not search for policies on the internet as not all policies are published externally, and you may not find what you are looking for! </w:t>
      </w:r>
    </w:p>
    <w:p w14:paraId="31749719" w14:textId="77777777" w:rsidR="00373A85" w:rsidRPr="00373A85" w:rsidRDefault="00373A85" w:rsidP="004E39BE">
      <w:pPr>
        <w:rPr>
          <w:rFonts w:ascii="Arial" w:hAnsi="Arial" w:cs="Arial"/>
        </w:rPr>
      </w:pPr>
    </w:p>
    <w:p w14:paraId="1F104AFF" w14:textId="47F5C8BF" w:rsidR="004E39BE" w:rsidRDefault="002932AE" w:rsidP="002932AE">
      <w:pPr>
        <w:rPr>
          <w:rFonts w:ascii="Arial" w:hAnsi="Arial" w:cs="Arial"/>
          <w:b/>
          <w:bCs/>
        </w:rPr>
      </w:pPr>
      <w:r w:rsidRPr="004E39BE">
        <w:rPr>
          <w:rFonts w:ascii="Arial" w:hAnsi="Arial" w:cs="Arial"/>
          <w:b/>
          <w:bCs/>
        </w:rPr>
        <w:t>The following policies were ratified or extended recently by the Quality Committee.</w:t>
      </w:r>
    </w:p>
    <w:p w14:paraId="735AA99E" w14:textId="77777777" w:rsidR="00373A85" w:rsidRDefault="00373A85" w:rsidP="002932AE">
      <w:pPr>
        <w:rPr>
          <w:rFonts w:ascii="Arial" w:hAnsi="Arial" w:cs="Arial"/>
          <w:b/>
          <w:bCs/>
        </w:rPr>
      </w:pPr>
    </w:p>
    <w:p w14:paraId="1B6B8BCB" w14:textId="0542E189" w:rsidR="00B81426" w:rsidRPr="00B81426" w:rsidRDefault="002932AE" w:rsidP="00B81426">
      <w:pPr>
        <w:rPr>
          <w:rFonts w:ascii="Arial" w:hAnsi="Arial" w:cs="Arial"/>
        </w:rPr>
      </w:pPr>
      <w:r w:rsidRPr="004E39BE">
        <w:rPr>
          <w:rFonts w:ascii="Arial" w:hAnsi="Arial" w:cs="Arial"/>
        </w:rPr>
        <w:t xml:space="preserve">The </w:t>
      </w:r>
      <w:r w:rsidR="00B81426" w:rsidRPr="00B81426">
        <w:rPr>
          <w:rFonts w:ascii="Arial" w:hAnsi="Arial" w:cs="Arial"/>
          <w:b/>
          <w:bCs/>
        </w:rPr>
        <w:t>Data Protection by Design and Default Policy</w:t>
      </w:r>
      <w:r w:rsidR="00B81426">
        <w:rPr>
          <w:rFonts w:ascii="Arial" w:hAnsi="Arial" w:cs="Arial"/>
          <w:b/>
          <w:bCs/>
        </w:rPr>
        <w:t xml:space="preserve"> </w:t>
      </w:r>
      <w:r w:rsidR="00B81426" w:rsidRPr="00B81426">
        <w:rPr>
          <w:rFonts w:ascii="Arial" w:hAnsi="Arial" w:cs="Arial"/>
        </w:rPr>
        <w:t>outlines the Trust’s approach to data protection and project management, with particular focus on compliance with the General Data Protection Regulation (GDPR). It explains the legal framework and principles of “data protection by design and default” and describes the role of Data Protection Impact Assessments (DPIAs) in managing privacy risks within projects involving personal data.</w:t>
      </w:r>
    </w:p>
    <w:p w14:paraId="58BA44AE" w14:textId="6FB2B1C5" w:rsidR="002932AE" w:rsidRDefault="00B81426" w:rsidP="00B81426">
      <w:pPr>
        <w:rPr>
          <w:rFonts w:ascii="Arial" w:hAnsi="Arial" w:cs="Arial"/>
        </w:rPr>
      </w:pPr>
      <w:r w:rsidRPr="00B81426">
        <w:rPr>
          <w:rFonts w:ascii="Arial" w:hAnsi="Arial" w:cs="Arial"/>
        </w:rPr>
        <w:t>The policy provides guidance for managers and staff on their responsibilities when handling personal information, detailing the stages, processes, roles, risks, and ownership associated with DPIAs. It emphasises the importance of considering data protection at the earliest stages of project design to reduce the risk of data breaches, enhance transparency, and support effective collaboration with partners.</w:t>
      </w:r>
      <w:r w:rsidRPr="004E39BE">
        <w:rPr>
          <w:rFonts w:ascii="Arial" w:hAnsi="Arial" w:cs="Arial"/>
        </w:rPr>
        <w:t xml:space="preserve"> </w:t>
      </w:r>
    </w:p>
    <w:p w14:paraId="75B9BF50" w14:textId="03EEEFBE" w:rsidR="00B81426" w:rsidRPr="00B81426" w:rsidRDefault="00B81426" w:rsidP="00B81426">
      <w:pPr>
        <w:rPr>
          <w:rFonts w:ascii="Arial" w:hAnsi="Arial" w:cs="Arial"/>
        </w:rPr>
      </w:pPr>
      <w:r w:rsidRPr="00B81426">
        <w:rPr>
          <w:rFonts w:ascii="Arial" w:hAnsi="Arial" w:cs="Arial"/>
        </w:rPr>
        <w:t>This policy was updated to revise the DPIA process contact details, introduce a Further Proposal to Original DPIA form and clarify the responsibilities of the Data and Project Management Office (DPMO). The update also confirms that DPIA requests may be refused where an existing or similar solution is already available.</w:t>
      </w:r>
    </w:p>
    <w:p w14:paraId="663ABF22" w14:textId="2963F4D6" w:rsidR="002010EB" w:rsidRDefault="00B81426" w:rsidP="002932AE">
      <w:pPr>
        <w:rPr>
          <w:rFonts w:ascii="Arial" w:hAnsi="Arial" w:cs="Arial"/>
        </w:rPr>
      </w:pPr>
      <w:hyperlink r:id="rId6" w:history="1">
        <w:r w:rsidRPr="00323548">
          <w:rPr>
            <w:rStyle w:val="Hyperlink"/>
            <w:rFonts w:ascii="Arial" w:hAnsi="Arial" w:cs="Arial"/>
          </w:rPr>
          <w:t>https://www.elft.nhs.uk/sites/default/files/2026-01/Data%20Protection%20By%20Design%20and%20Default%20Policy%201.2.docx</w:t>
        </w:r>
      </w:hyperlink>
      <w:r>
        <w:rPr>
          <w:rFonts w:ascii="Arial" w:hAnsi="Arial" w:cs="Arial"/>
        </w:rPr>
        <w:t xml:space="preserve"> </w:t>
      </w:r>
    </w:p>
    <w:p w14:paraId="1288F916" w14:textId="77777777" w:rsidR="004E39BE" w:rsidRDefault="004E39BE" w:rsidP="002932AE">
      <w:pPr>
        <w:rPr>
          <w:rFonts w:ascii="Arial" w:hAnsi="Arial" w:cs="Arial"/>
        </w:rPr>
      </w:pPr>
    </w:p>
    <w:p w14:paraId="6DD975F4" w14:textId="77777777" w:rsidR="004E39BE" w:rsidRPr="004E39BE" w:rsidRDefault="004E39BE" w:rsidP="002932AE">
      <w:pPr>
        <w:rPr>
          <w:rFonts w:ascii="Arial" w:hAnsi="Arial" w:cs="Arial"/>
        </w:rPr>
      </w:pPr>
    </w:p>
    <w:p w14:paraId="6D796515" w14:textId="44EAD53B" w:rsidR="00B81426" w:rsidRPr="00B81426" w:rsidRDefault="002932AE" w:rsidP="00B81426">
      <w:pPr>
        <w:rPr>
          <w:rFonts w:ascii="Arial" w:hAnsi="Arial" w:cs="Arial"/>
        </w:rPr>
      </w:pPr>
      <w:r w:rsidRPr="004E39BE">
        <w:rPr>
          <w:rFonts w:ascii="Arial" w:hAnsi="Arial" w:cs="Arial"/>
        </w:rPr>
        <w:t>Th</w:t>
      </w:r>
      <w:r w:rsidR="002010EB" w:rsidRPr="004E39BE">
        <w:rPr>
          <w:rFonts w:ascii="Arial" w:hAnsi="Arial" w:cs="Arial"/>
        </w:rPr>
        <w:t xml:space="preserve">e </w:t>
      </w:r>
      <w:r w:rsidR="00B81426" w:rsidRPr="00B81426">
        <w:rPr>
          <w:rFonts w:ascii="Arial" w:hAnsi="Arial" w:cs="Arial"/>
          <w:b/>
          <w:bCs/>
        </w:rPr>
        <w:t>Health Records Policy</w:t>
      </w:r>
      <w:r w:rsidR="00B81426">
        <w:rPr>
          <w:rFonts w:ascii="Arial" w:hAnsi="Arial" w:cs="Arial"/>
          <w:b/>
          <w:bCs/>
        </w:rPr>
        <w:t xml:space="preserve"> </w:t>
      </w:r>
      <w:r w:rsidR="00B81426" w:rsidRPr="00B81426">
        <w:rPr>
          <w:rFonts w:ascii="Arial" w:hAnsi="Arial" w:cs="Arial"/>
        </w:rPr>
        <w:t>sets out the Trust’s approach to managing health-related records, outlining the legal framework, standards, and responsibilities for creating and maintaining accurate, secure, and accessible records. It emphasises the importance of high-quality record keeping in supporting safe, evidence-based healthcare and compliance with data protection legislation. The policy establishes electronic records as the primary record for community and mental health services and defines the processes required to maintain high standards of health record management for all service users.</w:t>
      </w:r>
    </w:p>
    <w:p w14:paraId="11C3EEE3" w14:textId="605B4CD3" w:rsidR="00B81426" w:rsidRDefault="00B81426" w:rsidP="00B81426">
      <w:pPr>
        <w:rPr>
          <w:rFonts w:ascii="Arial" w:hAnsi="Arial" w:cs="Arial"/>
        </w:rPr>
      </w:pPr>
      <w:r w:rsidRPr="00B81426">
        <w:rPr>
          <w:rFonts w:ascii="Arial" w:hAnsi="Arial" w:cs="Arial"/>
        </w:rPr>
        <w:t>This policy was updated to revise the purpose and systems sections, add the Information Asset Register (IAR), and update the format and job titles following review. The update also includes a file destruction process, revises the responsibilities of the Caldicott Guardian, and removes example appendices.</w:t>
      </w:r>
    </w:p>
    <w:p w14:paraId="589B3F3E" w14:textId="1DB2C8D8" w:rsidR="004E39BE" w:rsidRDefault="00B81426" w:rsidP="002932AE">
      <w:pPr>
        <w:rPr>
          <w:rFonts w:ascii="Arial" w:hAnsi="Arial" w:cs="Arial"/>
        </w:rPr>
      </w:pPr>
      <w:hyperlink r:id="rId7" w:history="1">
        <w:r w:rsidRPr="00323548">
          <w:rPr>
            <w:rStyle w:val="Hyperlink"/>
            <w:rFonts w:ascii="Arial" w:hAnsi="Arial" w:cs="Arial"/>
          </w:rPr>
          <w:t>https://www.elft.nhs.uk/intranet/documents/health-records-policy-29</w:t>
        </w:r>
      </w:hyperlink>
      <w:r>
        <w:rPr>
          <w:rFonts w:ascii="Arial" w:hAnsi="Arial" w:cs="Arial"/>
        </w:rPr>
        <w:t xml:space="preserve"> </w:t>
      </w:r>
    </w:p>
    <w:p w14:paraId="69A18BC5" w14:textId="463C9B48" w:rsidR="004E39BE" w:rsidRPr="004E39BE" w:rsidRDefault="004E39BE" w:rsidP="002932AE">
      <w:pPr>
        <w:rPr>
          <w:rFonts w:ascii="Arial" w:hAnsi="Arial" w:cs="Arial"/>
        </w:rPr>
      </w:pPr>
    </w:p>
    <w:p w14:paraId="6310591B" w14:textId="4E50E93B" w:rsidR="00B81426" w:rsidRPr="00B81426" w:rsidRDefault="002932AE" w:rsidP="00B81426">
      <w:pPr>
        <w:rPr>
          <w:rFonts w:ascii="Arial" w:hAnsi="Arial" w:cs="Arial"/>
        </w:rPr>
      </w:pPr>
      <w:r w:rsidRPr="004E39BE">
        <w:rPr>
          <w:rFonts w:ascii="Arial" w:hAnsi="Arial" w:cs="Arial"/>
        </w:rPr>
        <w:lastRenderedPageBreak/>
        <w:t>Th</w:t>
      </w:r>
      <w:r w:rsidR="002010EB" w:rsidRPr="004E39BE">
        <w:rPr>
          <w:rFonts w:ascii="Arial" w:hAnsi="Arial" w:cs="Arial"/>
        </w:rPr>
        <w:t xml:space="preserve">e </w:t>
      </w:r>
      <w:r w:rsidR="00B81426" w:rsidRPr="004206F9">
        <w:rPr>
          <w:rFonts w:ascii="Arial" w:hAnsi="Arial" w:cs="Arial"/>
          <w:b/>
          <w:bCs/>
        </w:rPr>
        <w:t xml:space="preserve">Trust wide Guideline on the use of </w:t>
      </w:r>
      <w:proofErr w:type="spellStart"/>
      <w:r w:rsidR="00B81426" w:rsidRPr="004206F9">
        <w:rPr>
          <w:rFonts w:ascii="Arial" w:hAnsi="Arial" w:cs="Arial"/>
          <w:b/>
          <w:bCs/>
        </w:rPr>
        <w:t>HBPoS</w:t>
      </w:r>
      <w:proofErr w:type="spellEnd"/>
      <w:r w:rsidR="00B81426">
        <w:rPr>
          <w:rFonts w:ascii="Arial" w:hAnsi="Arial" w:cs="Arial"/>
        </w:rPr>
        <w:t xml:space="preserve"> </w:t>
      </w:r>
      <w:r w:rsidR="00B81426" w:rsidRPr="00B81426">
        <w:rPr>
          <w:rFonts w:ascii="Arial" w:hAnsi="Arial" w:cs="Arial"/>
        </w:rPr>
        <w:t>has been developed with the intention to support consistency in the care provided for service users accessing the ELFT Health Based Places of Safety (</w:t>
      </w:r>
      <w:proofErr w:type="spellStart"/>
      <w:r w:rsidR="00B81426" w:rsidRPr="00B81426">
        <w:rPr>
          <w:rFonts w:ascii="Arial" w:hAnsi="Arial" w:cs="Arial"/>
        </w:rPr>
        <w:t>HBPoS</w:t>
      </w:r>
      <w:proofErr w:type="spellEnd"/>
      <w:r w:rsidR="00B81426" w:rsidRPr="00B81426">
        <w:rPr>
          <w:rFonts w:ascii="Arial" w:hAnsi="Arial" w:cs="Arial"/>
        </w:rPr>
        <w:t xml:space="preserve">). </w:t>
      </w:r>
    </w:p>
    <w:p w14:paraId="36D3F5CF" w14:textId="11105108" w:rsidR="00B81426" w:rsidRPr="00B81426" w:rsidRDefault="00B81426" w:rsidP="00B81426">
      <w:pPr>
        <w:rPr>
          <w:rFonts w:ascii="Arial" w:hAnsi="Arial" w:cs="Arial"/>
        </w:rPr>
      </w:pPr>
      <w:r w:rsidRPr="00B81426">
        <w:rPr>
          <w:rFonts w:ascii="Arial" w:hAnsi="Arial" w:cs="Arial"/>
        </w:rPr>
        <w:t xml:space="preserve">It aims to outline expected standards of care and service delivery for </w:t>
      </w:r>
      <w:proofErr w:type="gramStart"/>
      <w:r w:rsidRPr="00B81426">
        <w:rPr>
          <w:rFonts w:ascii="Arial" w:hAnsi="Arial" w:cs="Arial"/>
        </w:rPr>
        <w:t>all of</w:t>
      </w:r>
      <w:proofErr w:type="gramEnd"/>
      <w:r w:rsidRPr="00B81426">
        <w:rPr>
          <w:rFonts w:ascii="Arial" w:hAnsi="Arial" w:cs="Arial"/>
        </w:rPr>
        <w:t xml:space="preserve"> the ELFT sites HBPOS. This guideline cannot anticipate every situation and Trust staff should refer to local Standard operational Procedures and use their professional judgement to take any action that is deemed necessary to protect the safety of the individual and the public based on an assessment of risk for </w:t>
      </w:r>
      <w:proofErr w:type="gramStart"/>
      <w:r w:rsidRPr="00B81426">
        <w:rPr>
          <w:rFonts w:ascii="Arial" w:hAnsi="Arial" w:cs="Arial"/>
        </w:rPr>
        <w:t>each individual</w:t>
      </w:r>
      <w:proofErr w:type="gramEnd"/>
      <w:r w:rsidRPr="00B81426">
        <w:rPr>
          <w:rFonts w:ascii="Arial" w:hAnsi="Arial" w:cs="Arial"/>
        </w:rPr>
        <w:t>.</w:t>
      </w:r>
    </w:p>
    <w:p w14:paraId="6BB9ACC5" w14:textId="77777777" w:rsidR="00B81426" w:rsidRDefault="00B81426" w:rsidP="00B81426">
      <w:pPr>
        <w:rPr>
          <w:rFonts w:ascii="Arial" w:hAnsi="Arial" w:cs="Arial"/>
        </w:rPr>
      </w:pPr>
      <w:r w:rsidRPr="00B81426">
        <w:rPr>
          <w:rFonts w:ascii="Arial" w:hAnsi="Arial" w:cs="Arial"/>
        </w:rPr>
        <w:t>This guideline is an appendix to the Section 135 and 136 Place of Safety Policy and should be read in conjunction with it.</w:t>
      </w:r>
    </w:p>
    <w:p w14:paraId="38F96E15" w14:textId="585F5818" w:rsidR="002010EB" w:rsidRPr="00373A85" w:rsidRDefault="00373A85" w:rsidP="00B81426">
      <w:pPr>
        <w:rPr>
          <w:rFonts w:ascii="Arial" w:hAnsi="Arial" w:cs="Arial"/>
        </w:rPr>
      </w:pPr>
      <w:r>
        <w:rPr>
          <w:rFonts w:ascii="Arial" w:hAnsi="Arial" w:cs="Arial"/>
        </w:rPr>
        <w:t xml:space="preserve"> </w:t>
      </w:r>
      <w:hyperlink r:id="rId8" w:history="1">
        <w:r w:rsidR="00B81426" w:rsidRPr="00323548">
          <w:rPr>
            <w:rStyle w:val="Hyperlink"/>
            <w:rFonts w:ascii="Arial" w:hAnsi="Arial" w:cs="Arial"/>
          </w:rPr>
          <w:t>https://www.elft.nhs.uk/sites/default/files/2026-01/trustwide_guidelines_for_hbpos_-_appendix_to_section_135_and_136_place_of_safety_policy.docx</w:t>
        </w:r>
      </w:hyperlink>
      <w:r w:rsidR="00B81426">
        <w:rPr>
          <w:rFonts w:ascii="Arial" w:hAnsi="Arial" w:cs="Arial"/>
        </w:rPr>
        <w:t xml:space="preserve"> </w:t>
      </w:r>
    </w:p>
    <w:p w14:paraId="7E60CEFC" w14:textId="77777777" w:rsidR="00373A85" w:rsidRDefault="00373A85" w:rsidP="002932AE">
      <w:pPr>
        <w:rPr>
          <w:rFonts w:ascii="Arial" w:hAnsi="Arial" w:cs="Arial"/>
        </w:rPr>
      </w:pPr>
    </w:p>
    <w:p w14:paraId="6A9B615F" w14:textId="77777777" w:rsidR="00373A85" w:rsidRDefault="00373A85" w:rsidP="002932AE">
      <w:pPr>
        <w:rPr>
          <w:rFonts w:ascii="Arial" w:hAnsi="Arial" w:cs="Arial"/>
        </w:rPr>
      </w:pPr>
    </w:p>
    <w:p w14:paraId="68F87D24" w14:textId="6CAAF6F1" w:rsidR="003A4243" w:rsidRPr="003A4243" w:rsidRDefault="003A4243" w:rsidP="003A4243">
      <w:pPr>
        <w:rPr>
          <w:rFonts w:ascii="Arial" w:hAnsi="Arial" w:cs="Arial"/>
        </w:rPr>
      </w:pPr>
      <w:r w:rsidRPr="003A4243">
        <w:rPr>
          <w:rFonts w:ascii="Arial" w:hAnsi="Arial" w:cs="Arial"/>
        </w:rPr>
        <w:t>Th</w:t>
      </w:r>
      <w:r>
        <w:rPr>
          <w:rFonts w:ascii="Arial" w:hAnsi="Arial" w:cs="Arial"/>
        </w:rPr>
        <w:t>e</w:t>
      </w:r>
      <w:r w:rsidRPr="003A4243">
        <w:t xml:space="preserve"> </w:t>
      </w:r>
      <w:r w:rsidRPr="004206F9">
        <w:rPr>
          <w:rFonts w:ascii="Arial" w:hAnsi="Arial" w:cs="Arial"/>
          <w:b/>
          <w:bCs/>
        </w:rPr>
        <w:t>Enteral Feeding Policy for Children and Young People</w:t>
      </w:r>
      <w:r w:rsidRPr="003A4243">
        <w:rPr>
          <w:rFonts w:ascii="Arial" w:hAnsi="Arial" w:cs="Arial"/>
        </w:rPr>
        <w:t xml:space="preserve"> sets out the Trust-wide approach to the safe management of enteral feeding for children and young people aged 0–18 years within East London NHS Foundation Trust, primarily in community and specialist children’s services. It responds to the increasing number of children requiring enteral feeding and the need for consistent, safe, and evidence-based practice.</w:t>
      </w:r>
    </w:p>
    <w:p w14:paraId="49F46232" w14:textId="75D05DC7" w:rsidR="003A4243" w:rsidRPr="003A4243" w:rsidRDefault="003A4243" w:rsidP="003A4243">
      <w:pPr>
        <w:rPr>
          <w:rFonts w:ascii="Arial" w:hAnsi="Arial" w:cs="Arial"/>
        </w:rPr>
      </w:pPr>
      <w:r w:rsidRPr="003A4243">
        <w:rPr>
          <w:rFonts w:ascii="Arial" w:hAnsi="Arial" w:cs="Arial"/>
        </w:rPr>
        <w:t>The policy aims to ensure high-quality nutritional care, reduce clinical risk, and support compliance with national guidance, medical device safety standards, and infection prevention requirements. It provides clear guidance on assessment, risk management, device selection and care, confirmation of tube placement, emergency procedures, and ongoing review.</w:t>
      </w:r>
    </w:p>
    <w:p w14:paraId="482C97AE" w14:textId="322E1F1B" w:rsidR="00373A85" w:rsidRDefault="004206F9" w:rsidP="003A4243">
      <w:pPr>
        <w:rPr>
          <w:rFonts w:ascii="Arial" w:hAnsi="Arial" w:cs="Arial"/>
        </w:rPr>
      </w:pPr>
      <w:r>
        <w:rPr>
          <w:rFonts w:ascii="Arial" w:hAnsi="Arial" w:cs="Arial"/>
        </w:rPr>
        <w:t>This policy was updated</w:t>
      </w:r>
      <w:r w:rsidR="003A4243" w:rsidRPr="003A4243">
        <w:rPr>
          <w:rFonts w:ascii="Arial" w:hAnsi="Arial" w:cs="Arial"/>
        </w:rPr>
        <w:t xml:space="preserve"> to include a disclaimer, revised measurement standards, enhanced guidance on tube insertion, positioning, safety and troubleshooting, extended balloon gastrostomy change intervals, updated syringe and device guidance, manufacturer updates, revised training information, permanent removal procedures, and streamlined</w:t>
      </w:r>
      <w:r w:rsidR="003A4243">
        <w:rPr>
          <w:rFonts w:ascii="Arial" w:hAnsi="Arial" w:cs="Arial"/>
        </w:rPr>
        <w:t xml:space="preserve"> </w:t>
      </w:r>
      <w:r w:rsidR="003A4243" w:rsidRPr="003A4243">
        <w:rPr>
          <w:rFonts w:ascii="Arial" w:hAnsi="Arial" w:cs="Arial"/>
        </w:rPr>
        <w:t>appendices.</w:t>
      </w:r>
      <w:r w:rsidR="00373A85">
        <w:rPr>
          <w:rFonts w:ascii="Arial" w:hAnsi="Arial" w:cs="Arial"/>
        </w:rPr>
        <w:t xml:space="preserve"> </w:t>
      </w:r>
    </w:p>
    <w:p w14:paraId="7D6B9D13" w14:textId="7B5D5713" w:rsidR="00373A85" w:rsidRPr="00DD4016" w:rsidRDefault="00DD4016" w:rsidP="002932AE">
      <w:pPr>
        <w:rPr>
          <w:rFonts w:ascii="Arial" w:hAnsi="Arial" w:cs="Arial"/>
        </w:rPr>
      </w:pPr>
      <w:hyperlink r:id="rId9" w:history="1">
        <w:r w:rsidRPr="00DD4016">
          <w:rPr>
            <w:rStyle w:val="Hyperlink"/>
            <w:rFonts w:ascii="Arial" w:hAnsi="Arial" w:cs="Arial"/>
          </w:rPr>
          <w:t>https://www.elft.nhs.uk/sites/default/files/2023-11/Children%20and%20Young%20People%27s%20Enteral%20Feeding%20Policy%201.0.doc</w:t>
        </w:r>
      </w:hyperlink>
      <w:r w:rsidRPr="00DD4016">
        <w:rPr>
          <w:rFonts w:ascii="Arial" w:hAnsi="Arial" w:cs="Arial"/>
        </w:rPr>
        <w:t xml:space="preserve"> </w:t>
      </w:r>
    </w:p>
    <w:p w14:paraId="029176C8" w14:textId="77777777" w:rsidR="003A4243" w:rsidRPr="003A4243" w:rsidRDefault="003A4243" w:rsidP="003A4243">
      <w:pPr>
        <w:rPr>
          <w:rFonts w:ascii="Arial" w:hAnsi="Arial" w:cs="Arial"/>
          <w:b/>
          <w:bCs/>
        </w:rPr>
      </w:pPr>
    </w:p>
    <w:p w14:paraId="0493ED01" w14:textId="0FF53E55" w:rsidR="003A4243" w:rsidRDefault="003A4243" w:rsidP="003A4243">
      <w:pPr>
        <w:rPr>
          <w:rFonts w:ascii="Arial" w:hAnsi="Arial" w:cs="Arial"/>
        </w:rPr>
      </w:pPr>
      <w:r w:rsidRPr="004206F9">
        <w:rPr>
          <w:rFonts w:ascii="Arial" w:hAnsi="Arial" w:cs="Arial"/>
          <w:b/>
          <w:bCs/>
        </w:rPr>
        <w:t>The Procedural Guidelines for Chairside Sharp Debridement in Management of Lower Extremity Ulcers</w:t>
      </w:r>
      <w:r w:rsidRPr="003A4243">
        <w:rPr>
          <w:rFonts w:ascii="Arial" w:hAnsi="Arial" w:cs="Arial"/>
        </w:rPr>
        <w:t xml:space="preserve"> </w:t>
      </w:r>
      <w:r>
        <w:rPr>
          <w:rFonts w:ascii="Arial" w:hAnsi="Arial" w:cs="Arial"/>
        </w:rPr>
        <w:t xml:space="preserve">is a new </w:t>
      </w:r>
      <w:r w:rsidR="004206F9">
        <w:rPr>
          <w:rFonts w:ascii="Arial" w:hAnsi="Arial" w:cs="Arial"/>
        </w:rPr>
        <w:t xml:space="preserve">guideline </w:t>
      </w:r>
      <w:r>
        <w:rPr>
          <w:rFonts w:ascii="Arial" w:hAnsi="Arial" w:cs="Arial"/>
        </w:rPr>
        <w:t xml:space="preserve">which </w:t>
      </w:r>
      <w:r w:rsidRPr="003A4243">
        <w:rPr>
          <w:rFonts w:ascii="Arial" w:hAnsi="Arial" w:cs="Arial"/>
        </w:rPr>
        <w:t xml:space="preserve">provides guidance on effective and safe chairside sharp wound debridement for podiatrists, aiming to promote wound healing and reduce infection. </w:t>
      </w:r>
    </w:p>
    <w:p w14:paraId="33F5676D" w14:textId="365561C1" w:rsidR="00373A85" w:rsidRPr="003A4243" w:rsidRDefault="003A4243" w:rsidP="003A4243">
      <w:pPr>
        <w:rPr>
          <w:rFonts w:ascii="Arial" w:hAnsi="Arial" w:cs="Arial"/>
        </w:rPr>
      </w:pPr>
      <w:r w:rsidRPr="003A4243">
        <w:rPr>
          <w:rFonts w:ascii="Arial" w:hAnsi="Arial" w:cs="Arial"/>
        </w:rPr>
        <w:t>It should be read in conjunction with international guidance on foot ulcer management, the competency framework related to the procedure published by the Royal College of Podiatry, the Standards of proficiency for Podiatrists, the Infection Prevention &amp; Control Policy and the Trust’s Wound Management Clinical Practice Guideline.</w:t>
      </w:r>
    </w:p>
    <w:p w14:paraId="6E2D25E5" w14:textId="7DEF7ABF" w:rsidR="003A4243" w:rsidRDefault="00DD4016" w:rsidP="003A4243">
      <w:pPr>
        <w:rPr>
          <w:rFonts w:ascii="Arial" w:hAnsi="Arial" w:cs="Arial"/>
        </w:rPr>
      </w:pPr>
      <w:hyperlink r:id="rId10" w:history="1">
        <w:r w:rsidRPr="007A1220">
          <w:rPr>
            <w:rStyle w:val="Hyperlink"/>
            <w:rFonts w:ascii="Arial" w:hAnsi="Arial" w:cs="Arial"/>
          </w:rPr>
          <w:t>https://www.elft.nhs.uk/sites/default/files/2026-02/procedural_guidelines_for_chairside_sharp_debridement_in_management_of_lower_extremity_ulcers_1.0.docx</w:t>
        </w:r>
      </w:hyperlink>
      <w:r>
        <w:rPr>
          <w:rFonts w:ascii="Arial" w:hAnsi="Arial" w:cs="Arial"/>
        </w:rPr>
        <w:t xml:space="preserve"> </w:t>
      </w:r>
    </w:p>
    <w:p w14:paraId="7CAE4E16" w14:textId="77777777" w:rsidR="003A4243" w:rsidRPr="003A4243" w:rsidRDefault="003A4243" w:rsidP="003A4243">
      <w:pPr>
        <w:rPr>
          <w:rFonts w:ascii="Arial" w:hAnsi="Arial" w:cs="Arial"/>
        </w:rPr>
      </w:pPr>
    </w:p>
    <w:p w14:paraId="1F7763FC" w14:textId="1AF39FB3" w:rsidR="003A4243" w:rsidRPr="003A4243" w:rsidRDefault="003A4243" w:rsidP="003A4243">
      <w:pPr>
        <w:rPr>
          <w:rFonts w:ascii="Arial" w:hAnsi="Arial" w:cs="Arial"/>
        </w:rPr>
      </w:pPr>
      <w:r w:rsidRPr="003A4243">
        <w:rPr>
          <w:rFonts w:ascii="Arial" w:hAnsi="Arial" w:cs="Arial"/>
        </w:rPr>
        <w:t>Th</w:t>
      </w:r>
      <w:r>
        <w:rPr>
          <w:rFonts w:ascii="Arial" w:hAnsi="Arial" w:cs="Arial"/>
        </w:rPr>
        <w:t xml:space="preserve">e </w:t>
      </w:r>
      <w:r w:rsidRPr="004206F9">
        <w:rPr>
          <w:rFonts w:ascii="Arial" w:hAnsi="Arial" w:cs="Arial"/>
          <w:b/>
          <w:bCs/>
        </w:rPr>
        <w:t>Safe Environment and Search Policy</w:t>
      </w:r>
      <w:r>
        <w:rPr>
          <w:rFonts w:ascii="Arial" w:hAnsi="Arial" w:cs="Arial"/>
        </w:rPr>
        <w:t xml:space="preserve"> </w:t>
      </w:r>
      <w:proofErr w:type="gramStart"/>
      <w:r w:rsidRPr="003A4243">
        <w:rPr>
          <w:rFonts w:ascii="Arial" w:hAnsi="Arial" w:cs="Arial"/>
        </w:rPr>
        <w:t>outline</w:t>
      </w:r>
      <w:r>
        <w:rPr>
          <w:rFonts w:ascii="Arial" w:hAnsi="Arial" w:cs="Arial"/>
        </w:rPr>
        <w:t>s</w:t>
      </w:r>
      <w:proofErr w:type="gramEnd"/>
      <w:r w:rsidRPr="003A4243">
        <w:rPr>
          <w:rFonts w:ascii="Arial" w:hAnsi="Arial" w:cs="Arial"/>
        </w:rPr>
        <w:t xml:space="preserve"> the Trust’s approach to searching patients, visitors and personal property on inpatient units to maintain a safe and therapeutic environment. </w:t>
      </w:r>
    </w:p>
    <w:p w14:paraId="2F8D519A" w14:textId="634E2EEC" w:rsidR="003A4243" w:rsidRPr="003A4243" w:rsidRDefault="003A4243" w:rsidP="003A4243">
      <w:pPr>
        <w:rPr>
          <w:rFonts w:ascii="Arial" w:hAnsi="Arial" w:cs="Arial"/>
        </w:rPr>
      </w:pPr>
      <w:r w:rsidRPr="003A4243">
        <w:rPr>
          <w:rFonts w:ascii="Arial" w:hAnsi="Arial" w:cs="Arial"/>
        </w:rPr>
        <w:t>Searches are a last resort, must be proportionate to risk, carried out with dignity and consent where possible, and in line with the Mental Health Act Code of Practice; strip and intimate searches are prohibited, and all relevant staff must be trained and compliant with the policy.</w:t>
      </w:r>
    </w:p>
    <w:p w14:paraId="5B805EC1" w14:textId="77777777" w:rsidR="003A4243" w:rsidRDefault="003A4243" w:rsidP="003A4243">
      <w:pPr>
        <w:rPr>
          <w:rFonts w:ascii="Arial" w:hAnsi="Arial" w:cs="Arial"/>
        </w:rPr>
      </w:pPr>
      <w:r w:rsidRPr="003A4243">
        <w:rPr>
          <w:rFonts w:ascii="Arial" w:hAnsi="Arial" w:cs="Arial"/>
        </w:rPr>
        <w:t xml:space="preserve">The policy was updated to be in line with current practice. </w:t>
      </w:r>
    </w:p>
    <w:p w14:paraId="5077F7A9" w14:textId="69BC44EE" w:rsidR="00DD4016" w:rsidRDefault="00E27EB7" w:rsidP="003A4243">
      <w:pPr>
        <w:rPr>
          <w:rFonts w:ascii="Arial" w:hAnsi="Arial" w:cs="Arial"/>
        </w:rPr>
      </w:pPr>
      <w:hyperlink r:id="rId11" w:history="1">
        <w:r w:rsidRPr="005712D3">
          <w:rPr>
            <w:rStyle w:val="Hyperlink"/>
            <w:rFonts w:ascii="Arial" w:hAnsi="Arial" w:cs="Arial"/>
          </w:rPr>
          <w:t>https://www.elft.nhs.uk/intranet/documents/safe-environment-and-search-policy-32</w:t>
        </w:r>
      </w:hyperlink>
      <w:r>
        <w:rPr>
          <w:rFonts w:ascii="Arial" w:hAnsi="Arial" w:cs="Arial"/>
        </w:rPr>
        <w:t xml:space="preserve"> </w:t>
      </w:r>
    </w:p>
    <w:p w14:paraId="295C6C6C" w14:textId="77777777" w:rsidR="00DD4016" w:rsidRDefault="00DD4016" w:rsidP="003A4243">
      <w:pPr>
        <w:rPr>
          <w:rFonts w:ascii="Arial" w:hAnsi="Arial" w:cs="Arial"/>
        </w:rPr>
      </w:pPr>
    </w:p>
    <w:p w14:paraId="3F031A67" w14:textId="77777777" w:rsidR="00E27EB7" w:rsidRPr="003A4243" w:rsidRDefault="00E27EB7" w:rsidP="003A4243">
      <w:pPr>
        <w:rPr>
          <w:rFonts w:ascii="Arial" w:hAnsi="Arial" w:cs="Arial"/>
        </w:rPr>
      </w:pPr>
    </w:p>
    <w:p w14:paraId="6728F804" w14:textId="25916547" w:rsidR="003A4243" w:rsidRPr="003A4243" w:rsidRDefault="003A4243" w:rsidP="003A4243">
      <w:pPr>
        <w:rPr>
          <w:rFonts w:ascii="Arial" w:hAnsi="Arial" w:cs="Arial"/>
          <w:b/>
          <w:bCs/>
        </w:rPr>
      </w:pPr>
      <w:r w:rsidRPr="003A4243">
        <w:rPr>
          <w:rFonts w:ascii="Arial" w:hAnsi="Arial" w:cs="Arial"/>
          <w:b/>
          <w:bCs/>
        </w:rPr>
        <w:t>Same Sex Accommodation (DSSA) Policy</w:t>
      </w:r>
    </w:p>
    <w:p w14:paraId="38715E54" w14:textId="55E71574" w:rsidR="003A4243" w:rsidRPr="003A4243" w:rsidRDefault="003A4243" w:rsidP="003A4243">
      <w:pPr>
        <w:rPr>
          <w:rFonts w:ascii="Arial" w:hAnsi="Arial" w:cs="Arial"/>
        </w:rPr>
      </w:pPr>
      <w:r w:rsidRPr="003A4243">
        <w:rPr>
          <w:rFonts w:ascii="Arial" w:hAnsi="Arial" w:cs="Arial"/>
        </w:rPr>
        <w:t>Following a Supreme Court ruling, NHS England guidance on same-sex accommodation is under review. Until updated guidance is issued, providers must continue to monitor and report same-sex accommodation breaches in line with the NHS Constitution. The policy reaffirms the importance of privacy and dignity, confirms that most patients will be cared for in same-sex accommodation, and sets out risk management and assurance arrangements where mixed-sex accommodation is unavoidable.</w:t>
      </w:r>
    </w:p>
    <w:p w14:paraId="6BF8B959" w14:textId="703C8186" w:rsidR="00373A85" w:rsidRPr="004E39BE" w:rsidRDefault="003A4243" w:rsidP="003A4243">
      <w:pPr>
        <w:rPr>
          <w:rFonts w:ascii="Arial" w:hAnsi="Arial" w:cs="Arial"/>
        </w:rPr>
      </w:pPr>
      <w:r w:rsidRPr="003A4243">
        <w:rPr>
          <w:rFonts w:ascii="Arial" w:hAnsi="Arial" w:cs="Arial"/>
        </w:rPr>
        <w:t>Minor changes were made during the review to replace DATIX terminology. Statement and hyperlink were added to reflect NHS England review of national DSSA guidance.</w:t>
      </w:r>
    </w:p>
    <w:p w14:paraId="643C2D40" w14:textId="0D785B84" w:rsidR="003A4243" w:rsidRDefault="00E27EB7" w:rsidP="003A4243">
      <w:pPr>
        <w:rPr>
          <w:rFonts w:ascii="Arial" w:hAnsi="Arial" w:cs="Arial"/>
        </w:rPr>
      </w:pPr>
      <w:hyperlink r:id="rId12" w:history="1">
        <w:r w:rsidRPr="005712D3">
          <w:rPr>
            <w:rStyle w:val="Hyperlink"/>
            <w:rFonts w:ascii="Arial" w:hAnsi="Arial" w:cs="Arial"/>
          </w:rPr>
          <w:t>https://www.elft.nhs.uk/sites/default/files/202602/Same%20Sex%20Accomodation%20Policy%204.0.docx</w:t>
        </w:r>
      </w:hyperlink>
      <w:r>
        <w:rPr>
          <w:rFonts w:ascii="Arial" w:hAnsi="Arial" w:cs="Arial"/>
        </w:rPr>
        <w:t xml:space="preserve"> </w:t>
      </w:r>
    </w:p>
    <w:p w14:paraId="09BDE3ED" w14:textId="77777777" w:rsidR="00DD4016" w:rsidRDefault="00DD4016" w:rsidP="003A4243">
      <w:pPr>
        <w:rPr>
          <w:rFonts w:ascii="Arial" w:hAnsi="Arial" w:cs="Arial"/>
        </w:rPr>
      </w:pPr>
    </w:p>
    <w:p w14:paraId="4E67C095" w14:textId="77777777" w:rsidR="00E27EB7" w:rsidRPr="003A4243" w:rsidRDefault="00E27EB7" w:rsidP="003A4243">
      <w:pPr>
        <w:rPr>
          <w:rFonts w:ascii="Arial" w:hAnsi="Arial" w:cs="Arial"/>
        </w:rPr>
      </w:pPr>
    </w:p>
    <w:p w14:paraId="25C687C4" w14:textId="77777777" w:rsidR="003A4243" w:rsidRDefault="003A4243" w:rsidP="003A4243">
      <w:pPr>
        <w:rPr>
          <w:rFonts w:ascii="Arial" w:hAnsi="Arial" w:cs="Arial"/>
        </w:rPr>
      </w:pPr>
      <w:r w:rsidRPr="004206F9">
        <w:rPr>
          <w:rFonts w:ascii="Arial" w:hAnsi="Arial" w:cs="Arial"/>
          <w:b/>
          <w:bCs/>
        </w:rPr>
        <w:t xml:space="preserve">The Policy for the management of Syringe Pumps / Drivers in Palliative and End of Life Care </w:t>
      </w:r>
      <w:r w:rsidRPr="003A4243">
        <w:rPr>
          <w:rFonts w:ascii="Arial" w:hAnsi="Arial" w:cs="Arial"/>
        </w:rPr>
        <w:t xml:space="preserve">sets out the safe and effective use of syringe pumps for administering subcutaneous infusions in palliative and end of life care. </w:t>
      </w:r>
    </w:p>
    <w:p w14:paraId="0514FA46" w14:textId="350BEE6C" w:rsidR="00373A85" w:rsidRDefault="003A4243" w:rsidP="003A4243">
      <w:pPr>
        <w:rPr>
          <w:rFonts w:ascii="Arial" w:hAnsi="Arial" w:cs="Arial"/>
        </w:rPr>
      </w:pPr>
      <w:r w:rsidRPr="003A4243">
        <w:rPr>
          <w:rFonts w:ascii="Arial" w:hAnsi="Arial" w:cs="Arial"/>
        </w:rPr>
        <w:t>It provides a standardised framework for symptom control, outlining when syringe pumps should be used, appropriate medications, professional responsibilities, and the importance of patient and family involvement to support comfort, safety and quality of care in the last days of life</w:t>
      </w:r>
    </w:p>
    <w:p w14:paraId="2E38C8CF" w14:textId="39770955" w:rsidR="003A4243" w:rsidRDefault="00E27EB7" w:rsidP="002932AE">
      <w:pPr>
        <w:rPr>
          <w:rFonts w:ascii="Arial" w:hAnsi="Arial" w:cs="Arial"/>
        </w:rPr>
      </w:pPr>
      <w:hyperlink r:id="rId13" w:history="1">
        <w:r w:rsidRPr="005712D3">
          <w:rPr>
            <w:rStyle w:val="Hyperlink"/>
            <w:rFonts w:ascii="Arial" w:hAnsi="Arial" w:cs="Arial"/>
          </w:rPr>
          <w:t>https://www.elft.nhs.uk/sites/default/files/202601/syringe_pump_drivers_in_end_of_life_care_policy_1.0.docx</w:t>
        </w:r>
      </w:hyperlink>
      <w:r w:rsidR="00DD4016">
        <w:rPr>
          <w:rFonts w:ascii="Arial" w:hAnsi="Arial" w:cs="Arial"/>
        </w:rPr>
        <w:t xml:space="preserve"> </w:t>
      </w:r>
    </w:p>
    <w:p w14:paraId="3B73A1AC" w14:textId="77777777" w:rsidR="00DD4016" w:rsidRPr="00373A85" w:rsidRDefault="00DD4016" w:rsidP="002932AE">
      <w:pPr>
        <w:rPr>
          <w:rFonts w:ascii="Arial" w:hAnsi="Arial" w:cs="Arial"/>
        </w:rPr>
      </w:pPr>
    </w:p>
    <w:p w14:paraId="723FC08D" w14:textId="62525757" w:rsidR="003A4243" w:rsidRPr="003A4243" w:rsidRDefault="00373A85" w:rsidP="003A4243">
      <w:pPr>
        <w:shd w:val="clear" w:color="auto" w:fill="FFFFFF"/>
        <w:jc w:val="both"/>
        <w:rPr>
          <w:rFonts w:ascii="Arial" w:hAnsi="Arial" w:cs="Arial"/>
          <w:b/>
          <w:bCs/>
          <w:u w:val="single"/>
        </w:rPr>
      </w:pPr>
      <w:r w:rsidRPr="00373A85">
        <w:rPr>
          <w:rFonts w:ascii="Arial" w:hAnsi="Arial" w:cs="Arial"/>
          <w:b/>
          <w:bCs/>
          <w:u w:val="single"/>
        </w:rPr>
        <w:t>Policies for Extension</w:t>
      </w:r>
    </w:p>
    <w:tbl>
      <w:tblPr>
        <w:tblStyle w:val="TableGrid"/>
        <w:tblW w:w="9555" w:type="dxa"/>
        <w:tblLook w:val="04A0" w:firstRow="1" w:lastRow="0" w:firstColumn="1" w:lastColumn="0" w:noHBand="0" w:noVBand="1"/>
      </w:tblPr>
      <w:tblGrid>
        <w:gridCol w:w="3317"/>
        <w:gridCol w:w="2411"/>
        <w:gridCol w:w="3827"/>
      </w:tblGrid>
      <w:tr w:rsidR="003A4243" w:rsidRPr="003A4243" w14:paraId="6FBB432E" w14:textId="77777777" w:rsidTr="006C308D">
        <w:tc>
          <w:tcPr>
            <w:tcW w:w="3317" w:type="dxa"/>
          </w:tcPr>
          <w:p w14:paraId="12CADAFC" w14:textId="77777777" w:rsidR="003A4243" w:rsidRPr="003A4243" w:rsidRDefault="003A4243" w:rsidP="003A4243">
            <w:pPr>
              <w:shd w:val="clear" w:color="auto" w:fill="FFFFFF"/>
              <w:jc w:val="both"/>
              <w:rPr>
                <w:rFonts w:ascii="Arial" w:hAnsi="Arial" w:cs="Arial"/>
                <w:b/>
                <w:bCs/>
                <w:sz w:val="22"/>
                <w:szCs w:val="22"/>
              </w:rPr>
            </w:pPr>
            <w:r w:rsidRPr="003A4243">
              <w:rPr>
                <w:rFonts w:ascii="Arial" w:hAnsi="Arial" w:cs="Arial"/>
                <w:b/>
                <w:bCs/>
                <w:sz w:val="22"/>
                <w:szCs w:val="22"/>
              </w:rPr>
              <w:t>Policy Name</w:t>
            </w:r>
          </w:p>
        </w:tc>
        <w:tc>
          <w:tcPr>
            <w:tcW w:w="2411" w:type="dxa"/>
          </w:tcPr>
          <w:p w14:paraId="0B3FAF78" w14:textId="77777777" w:rsidR="003A4243" w:rsidRPr="003A4243" w:rsidRDefault="003A4243" w:rsidP="003A4243">
            <w:pPr>
              <w:shd w:val="clear" w:color="auto" w:fill="FFFFFF"/>
              <w:jc w:val="both"/>
              <w:rPr>
                <w:rFonts w:ascii="Arial" w:hAnsi="Arial" w:cs="Arial"/>
                <w:b/>
                <w:bCs/>
                <w:sz w:val="22"/>
                <w:szCs w:val="22"/>
              </w:rPr>
            </w:pPr>
            <w:r w:rsidRPr="003A4243">
              <w:rPr>
                <w:rFonts w:ascii="Arial" w:hAnsi="Arial" w:cs="Arial"/>
                <w:b/>
                <w:bCs/>
                <w:sz w:val="22"/>
                <w:szCs w:val="22"/>
              </w:rPr>
              <w:t>Extension requested to</w:t>
            </w:r>
          </w:p>
        </w:tc>
        <w:tc>
          <w:tcPr>
            <w:tcW w:w="3827" w:type="dxa"/>
          </w:tcPr>
          <w:p w14:paraId="253B51BB" w14:textId="77777777" w:rsidR="003A4243" w:rsidRPr="003A4243" w:rsidRDefault="003A4243" w:rsidP="003A4243">
            <w:pPr>
              <w:shd w:val="clear" w:color="auto" w:fill="FFFFFF"/>
              <w:jc w:val="both"/>
              <w:rPr>
                <w:rFonts w:ascii="Arial" w:hAnsi="Arial" w:cs="Arial"/>
                <w:b/>
                <w:bCs/>
                <w:sz w:val="22"/>
                <w:szCs w:val="22"/>
              </w:rPr>
            </w:pPr>
            <w:r w:rsidRPr="003A4243">
              <w:rPr>
                <w:rFonts w:ascii="Arial" w:hAnsi="Arial" w:cs="Arial"/>
                <w:b/>
                <w:bCs/>
                <w:sz w:val="22"/>
                <w:szCs w:val="22"/>
              </w:rPr>
              <w:t>Rationale</w:t>
            </w:r>
          </w:p>
        </w:tc>
      </w:tr>
      <w:tr w:rsidR="003A4243" w:rsidRPr="003A4243" w14:paraId="10750696" w14:textId="77777777" w:rsidTr="006C308D">
        <w:tc>
          <w:tcPr>
            <w:tcW w:w="3317" w:type="dxa"/>
          </w:tcPr>
          <w:p w14:paraId="7E0D2A27" w14:textId="77777777" w:rsidR="003A4243" w:rsidRPr="003A4243" w:rsidRDefault="003A4243" w:rsidP="003A4243">
            <w:pPr>
              <w:shd w:val="clear" w:color="auto" w:fill="FFFFFF"/>
              <w:rPr>
                <w:rFonts w:ascii="Arial" w:hAnsi="Arial" w:cs="Arial"/>
                <w:bCs/>
                <w:sz w:val="22"/>
                <w:szCs w:val="22"/>
              </w:rPr>
            </w:pPr>
            <w:bookmarkStart w:id="0" w:name="_Hlk219880434"/>
            <w:r w:rsidRPr="003A4243">
              <w:rPr>
                <w:rFonts w:ascii="Arial" w:hAnsi="Arial" w:cs="Arial"/>
                <w:bCs/>
                <w:sz w:val="22"/>
                <w:szCs w:val="22"/>
              </w:rPr>
              <w:t>Charity Grants Terms and Conditions</w:t>
            </w:r>
          </w:p>
        </w:tc>
        <w:tc>
          <w:tcPr>
            <w:tcW w:w="2411" w:type="dxa"/>
            <w:vMerge w:val="restart"/>
          </w:tcPr>
          <w:p w14:paraId="5A17107A"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June 2026</w:t>
            </w:r>
          </w:p>
          <w:p w14:paraId="41E01154" w14:textId="77777777" w:rsidR="003A4243" w:rsidRPr="003A4243" w:rsidRDefault="003A4243" w:rsidP="003A4243">
            <w:pPr>
              <w:shd w:val="clear" w:color="auto" w:fill="FFFFFF"/>
              <w:jc w:val="both"/>
              <w:rPr>
                <w:rFonts w:ascii="Arial" w:hAnsi="Arial" w:cs="Arial"/>
                <w:bCs/>
                <w:sz w:val="22"/>
                <w:szCs w:val="22"/>
              </w:rPr>
            </w:pPr>
          </w:p>
        </w:tc>
        <w:tc>
          <w:tcPr>
            <w:tcW w:w="3827" w:type="dxa"/>
            <w:vMerge w:val="restart"/>
          </w:tcPr>
          <w:p w14:paraId="4C05AAC4"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 xml:space="preserve">Six-month extension agreed to allow charity policies to be updated once </w:t>
            </w:r>
            <w:r w:rsidRPr="003A4243">
              <w:rPr>
                <w:rFonts w:ascii="Arial" w:hAnsi="Arial" w:cs="Arial"/>
                <w:bCs/>
                <w:sz w:val="22"/>
                <w:szCs w:val="22"/>
              </w:rPr>
              <w:lastRenderedPageBreak/>
              <w:t>the new three-year Charity Business Plan is in place; current policies remain active and suitable, with oversight continuing under existing arrangements.</w:t>
            </w:r>
          </w:p>
        </w:tc>
      </w:tr>
      <w:tr w:rsidR="003A4243" w:rsidRPr="003A4243" w14:paraId="0C7B1E74" w14:textId="77777777" w:rsidTr="006C308D">
        <w:tc>
          <w:tcPr>
            <w:tcW w:w="3317" w:type="dxa"/>
          </w:tcPr>
          <w:p w14:paraId="748A52C0"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lastRenderedPageBreak/>
              <w:t>Charity Funding Guidance (Grants Process)</w:t>
            </w:r>
          </w:p>
        </w:tc>
        <w:tc>
          <w:tcPr>
            <w:tcW w:w="2411" w:type="dxa"/>
            <w:vMerge/>
          </w:tcPr>
          <w:p w14:paraId="79957AAB" w14:textId="77777777" w:rsidR="003A4243" w:rsidRPr="003A4243" w:rsidRDefault="003A4243" w:rsidP="003A4243">
            <w:pPr>
              <w:shd w:val="clear" w:color="auto" w:fill="FFFFFF"/>
              <w:jc w:val="both"/>
              <w:rPr>
                <w:rFonts w:ascii="Arial" w:hAnsi="Arial" w:cs="Arial"/>
                <w:bCs/>
                <w:sz w:val="22"/>
                <w:szCs w:val="22"/>
              </w:rPr>
            </w:pPr>
          </w:p>
        </w:tc>
        <w:tc>
          <w:tcPr>
            <w:tcW w:w="3827" w:type="dxa"/>
            <w:vMerge/>
          </w:tcPr>
          <w:p w14:paraId="768FFA1D" w14:textId="77777777" w:rsidR="003A4243" w:rsidRPr="003A4243" w:rsidRDefault="003A4243" w:rsidP="003A4243">
            <w:pPr>
              <w:shd w:val="clear" w:color="auto" w:fill="FFFFFF"/>
              <w:rPr>
                <w:rFonts w:ascii="Arial" w:hAnsi="Arial" w:cs="Arial"/>
                <w:bCs/>
                <w:sz w:val="22"/>
                <w:szCs w:val="22"/>
              </w:rPr>
            </w:pPr>
          </w:p>
        </w:tc>
      </w:tr>
      <w:tr w:rsidR="003A4243" w:rsidRPr="003A4243" w14:paraId="117695B1" w14:textId="77777777" w:rsidTr="006C308D">
        <w:tc>
          <w:tcPr>
            <w:tcW w:w="3317" w:type="dxa"/>
          </w:tcPr>
          <w:p w14:paraId="6A4BFB9D"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Charity Complaints Policy</w:t>
            </w:r>
          </w:p>
        </w:tc>
        <w:tc>
          <w:tcPr>
            <w:tcW w:w="2411" w:type="dxa"/>
            <w:vMerge/>
          </w:tcPr>
          <w:p w14:paraId="0000AE13" w14:textId="77777777" w:rsidR="003A4243" w:rsidRPr="003A4243" w:rsidRDefault="003A4243" w:rsidP="003A4243">
            <w:pPr>
              <w:shd w:val="clear" w:color="auto" w:fill="FFFFFF"/>
              <w:jc w:val="both"/>
              <w:rPr>
                <w:rFonts w:ascii="Arial" w:hAnsi="Arial" w:cs="Arial"/>
                <w:bCs/>
                <w:sz w:val="22"/>
                <w:szCs w:val="22"/>
              </w:rPr>
            </w:pPr>
          </w:p>
        </w:tc>
        <w:tc>
          <w:tcPr>
            <w:tcW w:w="3827" w:type="dxa"/>
            <w:vMerge/>
          </w:tcPr>
          <w:p w14:paraId="3522C1EE" w14:textId="77777777" w:rsidR="003A4243" w:rsidRPr="003A4243" w:rsidRDefault="003A4243" w:rsidP="003A4243">
            <w:pPr>
              <w:shd w:val="clear" w:color="auto" w:fill="FFFFFF"/>
              <w:rPr>
                <w:rFonts w:ascii="Arial" w:hAnsi="Arial" w:cs="Arial"/>
                <w:bCs/>
                <w:sz w:val="22"/>
                <w:szCs w:val="22"/>
              </w:rPr>
            </w:pPr>
          </w:p>
        </w:tc>
      </w:tr>
      <w:tr w:rsidR="003A4243" w:rsidRPr="003A4243" w14:paraId="00AB38AE" w14:textId="77777777" w:rsidTr="006C308D">
        <w:tc>
          <w:tcPr>
            <w:tcW w:w="3317" w:type="dxa"/>
          </w:tcPr>
          <w:p w14:paraId="0D595A7B"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Charity Donations Policy</w:t>
            </w:r>
          </w:p>
        </w:tc>
        <w:tc>
          <w:tcPr>
            <w:tcW w:w="2411" w:type="dxa"/>
            <w:vMerge/>
          </w:tcPr>
          <w:p w14:paraId="37F0D67C" w14:textId="77777777" w:rsidR="003A4243" w:rsidRPr="003A4243" w:rsidRDefault="003A4243" w:rsidP="003A4243">
            <w:pPr>
              <w:shd w:val="clear" w:color="auto" w:fill="FFFFFF"/>
              <w:jc w:val="both"/>
              <w:rPr>
                <w:rFonts w:ascii="Arial" w:hAnsi="Arial" w:cs="Arial"/>
                <w:bCs/>
                <w:sz w:val="22"/>
                <w:szCs w:val="22"/>
              </w:rPr>
            </w:pPr>
          </w:p>
        </w:tc>
        <w:tc>
          <w:tcPr>
            <w:tcW w:w="3827" w:type="dxa"/>
            <w:vMerge/>
          </w:tcPr>
          <w:p w14:paraId="2D61168F" w14:textId="77777777" w:rsidR="003A4243" w:rsidRPr="003A4243" w:rsidRDefault="003A4243" w:rsidP="003A4243">
            <w:pPr>
              <w:shd w:val="clear" w:color="auto" w:fill="FFFFFF"/>
              <w:rPr>
                <w:rFonts w:ascii="Arial" w:hAnsi="Arial" w:cs="Arial"/>
                <w:bCs/>
                <w:sz w:val="22"/>
                <w:szCs w:val="22"/>
              </w:rPr>
            </w:pPr>
          </w:p>
        </w:tc>
      </w:tr>
      <w:tr w:rsidR="003A4243" w:rsidRPr="003A4243" w14:paraId="1D412167" w14:textId="77777777" w:rsidTr="006C308D">
        <w:tc>
          <w:tcPr>
            <w:tcW w:w="3317" w:type="dxa"/>
          </w:tcPr>
          <w:p w14:paraId="43AA1EB0"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Charity Reserves Policy</w:t>
            </w:r>
          </w:p>
        </w:tc>
        <w:tc>
          <w:tcPr>
            <w:tcW w:w="2411" w:type="dxa"/>
            <w:vMerge/>
          </w:tcPr>
          <w:p w14:paraId="7068179C" w14:textId="77777777" w:rsidR="003A4243" w:rsidRPr="003A4243" w:rsidRDefault="003A4243" w:rsidP="003A4243">
            <w:pPr>
              <w:shd w:val="clear" w:color="auto" w:fill="FFFFFF"/>
              <w:jc w:val="both"/>
              <w:rPr>
                <w:rFonts w:ascii="Arial" w:hAnsi="Arial" w:cs="Arial"/>
                <w:bCs/>
                <w:sz w:val="22"/>
                <w:szCs w:val="22"/>
              </w:rPr>
            </w:pPr>
          </w:p>
        </w:tc>
        <w:tc>
          <w:tcPr>
            <w:tcW w:w="3827" w:type="dxa"/>
            <w:vMerge/>
          </w:tcPr>
          <w:p w14:paraId="645EA086" w14:textId="77777777" w:rsidR="003A4243" w:rsidRPr="003A4243" w:rsidRDefault="003A4243" w:rsidP="003A4243">
            <w:pPr>
              <w:shd w:val="clear" w:color="auto" w:fill="FFFFFF"/>
              <w:rPr>
                <w:rFonts w:ascii="Arial" w:hAnsi="Arial" w:cs="Arial"/>
                <w:bCs/>
                <w:sz w:val="22"/>
                <w:szCs w:val="22"/>
              </w:rPr>
            </w:pPr>
          </w:p>
        </w:tc>
      </w:tr>
      <w:tr w:rsidR="003A4243" w:rsidRPr="003A4243" w14:paraId="40BCAD44" w14:textId="77777777" w:rsidTr="006C308D">
        <w:tc>
          <w:tcPr>
            <w:tcW w:w="3317" w:type="dxa"/>
          </w:tcPr>
          <w:p w14:paraId="66AB3565"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Charity Investment Policy</w:t>
            </w:r>
          </w:p>
        </w:tc>
        <w:tc>
          <w:tcPr>
            <w:tcW w:w="2411" w:type="dxa"/>
            <w:vMerge/>
          </w:tcPr>
          <w:p w14:paraId="512C60BF" w14:textId="77777777" w:rsidR="003A4243" w:rsidRPr="003A4243" w:rsidRDefault="003A4243" w:rsidP="003A4243">
            <w:pPr>
              <w:shd w:val="clear" w:color="auto" w:fill="FFFFFF"/>
              <w:jc w:val="both"/>
              <w:rPr>
                <w:rFonts w:ascii="Arial" w:hAnsi="Arial" w:cs="Arial"/>
                <w:bCs/>
                <w:sz w:val="22"/>
                <w:szCs w:val="22"/>
              </w:rPr>
            </w:pPr>
          </w:p>
        </w:tc>
        <w:tc>
          <w:tcPr>
            <w:tcW w:w="3827" w:type="dxa"/>
            <w:vMerge/>
          </w:tcPr>
          <w:p w14:paraId="2E885F4C" w14:textId="77777777" w:rsidR="003A4243" w:rsidRPr="003A4243" w:rsidRDefault="003A4243" w:rsidP="003A4243">
            <w:pPr>
              <w:shd w:val="clear" w:color="auto" w:fill="FFFFFF"/>
              <w:rPr>
                <w:rFonts w:ascii="Arial" w:hAnsi="Arial" w:cs="Arial"/>
                <w:bCs/>
                <w:sz w:val="22"/>
                <w:szCs w:val="22"/>
              </w:rPr>
            </w:pPr>
          </w:p>
        </w:tc>
      </w:tr>
      <w:tr w:rsidR="003A4243" w:rsidRPr="003A4243" w14:paraId="5AE4531F" w14:textId="77777777" w:rsidTr="006C308D">
        <w:tc>
          <w:tcPr>
            <w:tcW w:w="3317" w:type="dxa"/>
          </w:tcPr>
          <w:p w14:paraId="214FEE8F"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Charity Grants Costs Policy</w:t>
            </w:r>
          </w:p>
        </w:tc>
        <w:tc>
          <w:tcPr>
            <w:tcW w:w="2411" w:type="dxa"/>
            <w:vMerge/>
          </w:tcPr>
          <w:p w14:paraId="127FAA29" w14:textId="77777777" w:rsidR="003A4243" w:rsidRPr="003A4243" w:rsidRDefault="003A4243" w:rsidP="003A4243">
            <w:pPr>
              <w:shd w:val="clear" w:color="auto" w:fill="FFFFFF"/>
              <w:jc w:val="both"/>
              <w:rPr>
                <w:rFonts w:ascii="Arial" w:hAnsi="Arial" w:cs="Arial"/>
                <w:bCs/>
                <w:sz w:val="22"/>
                <w:szCs w:val="22"/>
              </w:rPr>
            </w:pPr>
          </w:p>
        </w:tc>
        <w:tc>
          <w:tcPr>
            <w:tcW w:w="3827" w:type="dxa"/>
            <w:vMerge/>
          </w:tcPr>
          <w:p w14:paraId="46AFA1F0" w14:textId="77777777" w:rsidR="003A4243" w:rsidRPr="003A4243" w:rsidRDefault="003A4243" w:rsidP="003A4243">
            <w:pPr>
              <w:shd w:val="clear" w:color="auto" w:fill="FFFFFF"/>
              <w:rPr>
                <w:rFonts w:ascii="Arial" w:hAnsi="Arial" w:cs="Arial"/>
                <w:bCs/>
                <w:sz w:val="22"/>
                <w:szCs w:val="22"/>
              </w:rPr>
            </w:pPr>
          </w:p>
        </w:tc>
      </w:tr>
      <w:tr w:rsidR="003A4243" w:rsidRPr="003A4243" w14:paraId="5F360881" w14:textId="77777777" w:rsidTr="006C308D">
        <w:tc>
          <w:tcPr>
            <w:tcW w:w="3317" w:type="dxa"/>
          </w:tcPr>
          <w:p w14:paraId="0455AB6D"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Protocol for the direct supply of Nicotine Replacement Therapy (NRT)</w:t>
            </w:r>
          </w:p>
        </w:tc>
        <w:tc>
          <w:tcPr>
            <w:tcW w:w="2411" w:type="dxa"/>
          </w:tcPr>
          <w:p w14:paraId="659E1BEF" w14:textId="77777777" w:rsidR="003A4243" w:rsidRPr="003A4243" w:rsidRDefault="003A4243" w:rsidP="003A4243">
            <w:pPr>
              <w:shd w:val="clear" w:color="auto" w:fill="FFFFFF"/>
              <w:jc w:val="both"/>
              <w:rPr>
                <w:rFonts w:ascii="Arial" w:hAnsi="Arial" w:cs="Arial"/>
                <w:bCs/>
                <w:sz w:val="22"/>
                <w:szCs w:val="22"/>
              </w:rPr>
            </w:pPr>
            <w:r w:rsidRPr="003A4243">
              <w:rPr>
                <w:rFonts w:ascii="Arial" w:hAnsi="Arial" w:cs="Arial"/>
                <w:bCs/>
                <w:sz w:val="22"/>
                <w:szCs w:val="22"/>
              </w:rPr>
              <w:t>June 2026</w:t>
            </w:r>
          </w:p>
        </w:tc>
        <w:tc>
          <w:tcPr>
            <w:tcW w:w="3827" w:type="dxa"/>
          </w:tcPr>
          <w:p w14:paraId="7DA28786"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 xml:space="preserve">Extended for 6 months whilst local agreement regarding funding for </w:t>
            </w:r>
            <w:proofErr w:type="spellStart"/>
            <w:r w:rsidRPr="003A4243">
              <w:rPr>
                <w:rFonts w:ascii="Arial" w:hAnsi="Arial" w:cs="Arial"/>
                <w:bCs/>
                <w:sz w:val="22"/>
                <w:szCs w:val="22"/>
              </w:rPr>
              <w:t>Cystisine</w:t>
            </w:r>
            <w:proofErr w:type="spellEnd"/>
            <w:r w:rsidRPr="003A4243">
              <w:rPr>
                <w:rFonts w:ascii="Arial" w:hAnsi="Arial" w:cs="Arial"/>
                <w:bCs/>
                <w:sz w:val="22"/>
                <w:szCs w:val="22"/>
              </w:rPr>
              <w:t xml:space="preserve"> is explored</w:t>
            </w:r>
          </w:p>
        </w:tc>
      </w:tr>
      <w:tr w:rsidR="003A4243" w:rsidRPr="003A4243" w14:paraId="2EDE1948" w14:textId="77777777" w:rsidTr="006C308D">
        <w:tc>
          <w:tcPr>
            <w:tcW w:w="3317" w:type="dxa"/>
          </w:tcPr>
          <w:p w14:paraId="36F11B33"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Transgender Inpatient Policy</w:t>
            </w:r>
          </w:p>
        </w:tc>
        <w:tc>
          <w:tcPr>
            <w:tcW w:w="2411" w:type="dxa"/>
          </w:tcPr>
          <w:p w14:paraId="5AAD414D" w14:textId="77777777" w:rsidR="003A4243" w:rsidRPr="003A4243" w:rsidRDefault="003A4243" w:rsidP="003A4243">
            <w:pPr>
              <w:shd w:val="clear" w:color="auto" w:fill="FFFFFF"/>
              <w:jc w:val="both"/>
              <w:rPr>
                <w:rFonts w:ascii="Arial" w:hAnsi="Arial" w:cs="Arial"/>
                <w:bCs/>
                <w:sz w:val="22"/>
                <w:szCs w:val="22"/>
              </w:rPr>
            </w:pPr>
            <w:r w:rsidRPr="003A4243">
              <w:rPr>
                <w:rFonts w:ascii="Arial" w:hAnsi="Arial" w:cs="Arial"/>
                <w:bCs/>
                <w:sz w:val="22"/>
                <w:szCs w:val="22"/>
              </w:rPr>
              <w:t>June 2026</w:t>
            </w:r>
          </w:p>
        </w:tc>
        <w:tc>
          <w:tcPr>
            <w:tcW w:w="3827" w:type="dxa"/>
          </w:tcPr>
          <w:p w14:paraId="43AF15A4"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Extended for 6 months whilst awaiting government guidance</w:t>
            </w:r>
          </w:p>
        </w:tc>
      </w:tr>
      <w:tr w:rsidR="003A4243" w:rsidRPr="003A4243" w14:paraId="07651D90" w14:textId="77777777" w:rsidTr="006C308D">
        <w:tc>
          <w:tcPr>
            <w:tcW w:w="3317" w:type="dxa"/>
          </w:tcPr>
          <w:p w14:paraId="197CBDCB"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Infection Prevention and Control Policy Manual</w:t>
            </w:r>
          </w:p>
        </w:tc>
        <w:tc>
          <w:tcPr>
            <w:tcW w:w="2411" w:type="dxa"/>
          </w:tcPr>
          <w:p w14:paraId="6189D808" w14:textId="77777777" w:rsidR="003A4243" w:rsidRPr="003A4243" w:rsidRDefault="003A4243" w:rsidP="003A4243">
            <w:pPr>
              <w:shd w:val="clear" w:color="auto" w:fill="FFFFFF"/>
              <w:jc w:val="both"/>
              <w:rPr>
                <w:rFonts w:ascii="Arial" w:hAnsi="Arial" w:cs="Arial"/>
                <w:bCs/>
                <w:sz w:val="22"/>
                <w:szCs w:val="22"/>
              </w:rPr>
            </w:pPr>
            <w:r w:rsidRPr="003A4243">
              <w:rPr>
                <w:rFonts w:ascii="Arial" w:hAnsi="Arial" w:cs="Arial"/>
                <w:bCs/>
                <w:sz w:val="22"/>
                <w:szCs w:val="22"/>
              </w:rPr>
              <w:t>February 2026</w:t>
            </w:r>
          </w:p>
        </w:tc>
        <w:tc>
          <w:tcPr>
            <w:tcW w:w="3827" w:type="dxa"/>
          </w:tcPr>
          <w:p w14:paraId="00318918" w14:textId="77777777" w:rsidR="003A4243" w:rsidRPr="003A4243" w:rsidRDefault="003A4243" w:rsidP="003A4243">
            <w:pPr>
              <w:shd w:val="clear" w:color="auto" w:fill="FFFFFF"/>
              <w:rPr>
                <w:rFonts w:ascii="Arial" w:hAnsi="Arial" w:cs="Arial"/>
                <w:bCs/>
                <w:sz w:val="22"/>
                <w:szCs w:val="22"/>
              </w:rPr>
            </w:pPr>
            <w:r w:rsidRPr="003A4243">
              <w:rPr>
                <w:rFonts w:ascii="Arial" w:hAnsi="Arial" w:cs="Arial"/>
                <w:bCs/>
                <w:sz w:val="22"/>
                <w:szCs w:val="22"/>
              </w:rPr>
              <w:t>Extended whilst review is concluded due February 2026</w:t>
            </w:r>
          </w:p>
        </w:tc>
      </w:tr>
      <w:bookmarkEnd w:id="0"/>
    </w:tbl>
    <w:p w14:paraId="7DE45081" w14:textId="77777777" w:rsidR="00373A85" w:rsidRDefault="00373A85" w:rsidP="002932AE">
      <w:pPr>
        <w:rPr>
          <w:rFonts w:ascii="Arial" w:hAnsi="Arial" w:cs="Arial"/>
          <w:b/>
          <w:bCs/>
        </w:rPr>
      </w:pPr>
    </w:p>
    <w:p w14:paraId="2F0390D8" w14:textId="72DF5C49" w:rsidR="00373A85" w:rsidRPr="00373A85" w:rsidRDefault="00373A85" w:rsidP="002932AE">
      <w:pPr>
        <w:rPr>
          <w:rFonts w:ascii="Arial" w:hAnsi="Arial" w:cs="Arial"/>
          <w:b/>
          <w:bCs/>
          <w:u w:val="single"/>
        </w:rPr>
      </w:pPr>
      <w:r w:rsidRPr="00373A85">
        <w:rPr>
          <w:rFonts w:ascii="Arial" w:hAnsi="Arial" w:cs="Arial"/>
          <w:b/>
          <w:bCs/>
          <w:u w:val="single"/>
        </w:rPr>
        <w:t>Other Trust Policies Ratified this month:</w:t>
      </w:r>
    </w:p>
    <w:p w14:paraId="557FFE2E" w14:textId="77777777" w:rsidR="003A4243" w:rsidRPr="003A4243" w:rsidRDefault="003A4243" w:rsidP="003A4243">
      <w:pPr>
        <w:numPr>
          <w:ilvl w:val="0"/>
          <w:numId w:val="1"/>
        </w:numPr>
        <w:shd w:val="clear" w:color="auto" w:fill="FFFFFF"/>
        <w:spacing w:after="200" w:line="276" w:lineRule="auto"/>
        <w:contextualSpacing/>
        <w:jc w:val="both"/>
        <w:rPr>
          <w:rFonts w:ascii="Arial" w:eastAsia="Calibri" w:hAnsi="Arial" w:cs="Arial"/>
          <w:bCs/>
          <w:kern w:val="0"/>
          <w:sz w:val="24"/>
          <w:szCs w:val="24"/>
          <w14:ligatures w14:val="none"/>
        </w:rPr>
      </w:pPr>
      <w:r w:rsidRPr="003A4243">
        <w:rPr>
          <w:rFonts w:ascii="Arial" w:eastAsia="Calibri" w:hAnsi="Arial" w:cs="Arial"/>
          <w:bCs/>
          <w:kern w:val="0"/>
          <w14:ligatures w14:val="none"/>
        </w:rPr>
        <w:t>The Wound Management Guidelines were reviewed and updated. The guidelines were approved by the Directors of Nursing</w:t>
      </w:r>
    </w:p>
    <w:p w14:paraId="2A470141" w14:textId="77777777" w:rsidR="003A4243" w:rsidRPr="003A4243" w:rsidRDefault="003A4243" w:rsidP="003A4243">
      <w:pPr>
        <w:shd w:val="clear" w:color="auto" w:fill="FFFFFF"/>
        <w:spacing w:after="200" w:line="276" w:lineRule="auto"/>
        <w:ind w:left="720"/>
        <w:contextualSpacing/>
        <w:jc w:val="both"/>
        <w:rPr>
          <w:rFonts w:ascii="Arial" w:eastAsia="Calibri" w:hAnsi="Arial" w:cs="Arial"/>
          <w:bCs/>
          <w:kern w:val="0"/>
          <w14:ligatures w14:val="none"/>
        </w:rPr>
      </w:pPr>
    </w:p>
    <w:p w14:paraId="42FDE481" w14:textId="77777777" w:rsidR="00373A85" w:rsidRDefault="00373A85">
      <w:pPr>
        <w:rPr>
          <w:rFonts w:ascii="Arial" w:hAnsi="Arial" w:cs="Arial"/>
        </w:rPr>
      </w:pPr>
    </w:p>
    <w:p w14:paraId="549F2B11" w14:textId="2C4F7763" w:rsidR="00FC0868" w:rsidRPr="004E39BE" w:rsidRDefault="00FC0868">
      <w:pPr>
        <w:rPr>
          <w:rFonts w:ascii="Arial" w:hAnsi="Arial" w:cs="Arial"/>
        </w:rPr>
      </w:pPr>
    </w:p>
    <w:sectPr w:rsidR="00FC0868" w:rsidRPr="004E3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B5494"/>
    <w:multiLevelType w:val="hybridMultilevel"/>
    <w:tmpl w:val="D662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98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AE"/>
    <w:rsid w:val="0009384A"/>
    <w:rsid w:val="00142AE3"/>
    <w:rsid w:val="001E1BFE"/>
    <w:rsid w:val="002010EB"/>
    <w:rsid w:val="002749EA"/>
    <w:rsid w:val="002932AE"/>
    <w:rsid w:val="00305F8F"/>
    <w:rsid w:val="003278C1"/>
    <w:rsid w:val="00373A85"/>
    <w:rsid w:val="003A4243"/>
    <w:rsid w:val="003F0D90"/>
    <w:rsid w:val="004206F9"/>
    <w:rsid w:val="004E39BE"/>
    <w:rsid w:val="005F5B99"/>
    <w:rsid w:val="006B65C9"/>
    <w:rsid w:val="00855B11"/>
    <w:rsid w:val="008A5F92"/>
    <w:rsid w:val="009D5F7E"/>
    <w:rsid w:val="00B81426"/>
    <w:rsid w:val="00BE3A04"/>
    <w:rsid w:val="00C91F87"/>
    <w:rsid w:val="00CE6A69"/>
    <w:rsid w:val="00DD4016"/>
    <w:rsid w:val="00E27EB7"/>
    <w:rsid w:val="00E6405C"/>
    <w:rsid w:val="00FC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50B9"/>
  <w15:chartTrackingRefBased/>
  <w15:docId w15:val="{E138F8A5-5A21-463A-A925-997DE451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32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32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32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32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3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32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32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32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3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AE"/>
    <w:rPr>
      <w:rFonts w:eastAsiaTheme="majorEastAsia" w:cstheme="majorBidi"/>
      <w:color w:val="272727" w:themeColor="text1" w:themeTint="D8"/>
    </w:rPr>
  </w:style>
  <w:style w:type="paragraph" w:styleId="Title">
    <w:name w:val="Title"/>
    <w:basedOn w:val="Normal"/>
    <w:next w:val="Normal"/>
    <w:link w:val="TitleChar"/>
    <w:uiPriority w:val="10"/>
    <w:qFormat/>
    <w:rsid w:val="0029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AE"/>
    <w:pPr>
      <w:spacing w:before="160"/>
      <w:jc w:val="center"/>
    </w:pPr>
    <w:rPr>
      <w:i/>
      <w:iCs/>
      <w:color w:val="404040" w:themeColor="text1" w:themeTint="BF"/>
    </w:rPr>
  </w:style>
  <w:style w:type="character" w:customStyle="1" w:styleId="QuoteChar">
    <w:name w:val="Quote Char"/>
    <w:basedOn w:val="DefaultParagraphFont"/>
    <w:link w:val="Quote"/>
    <w:uiPriority w:val="29"/>
    <w:rsid w:val="002932AE"/>
    <w:rPr>
      <w:i/>
      <w:iCs/>
      <w:color w:val="404040" w:themeColor="text1" w:themeTint="BF"/>
    </w:rPr>
  </w:style>
  <w:style w:type="paragraph" w:styleId="ListParagraph">
    <w:name w:val="List Paragraph"/>
    <w:basedOn w:val="Normal"/>
    <w:uiPriority w:val="34"/>
    <w:qFormat/>
    <w:rsid w:val="002932AE"/>
    <w:pPr>
      <w:ind w:left="720"/>
      <w:contextualSpacing/>
    </w:pPr>
  </w:style>
  <w:style w:type="character" w:styleId="IntenseEmphasis">
    <w:name w:val="Intense Emphasis"/>
    <w:basedOn w:val="DefaultParagraphFont"/>
    <w:uiPriority w:val="21"/>
    <w:qFormat/>
    <w:rsid w:val="002932AE"/>
    <w:rPr>
      <w:i/>
      <w:iCs/>
      <w:color w:val="2E74B5" w:themeColor="accent1" w:themeShade="BF"/>
    </w:rPr>
  </w:style>
  <w:style w:type="paragraph" w:styleId="IntenseQuote">
    <w:name w:val="Intense Quote"/>
    <w:basedOn w:val="Normal"/>
    <w:next w:val="Normal"/>
    <w:link w:val="IntenseQuoteChar"/>
    <w:uiPriority w:val="30"/>
    <w:qFormat/>
    <w:rsid w:val="002932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32AE"/>
    <w:rPr>
      <w:i/>
      <w:iCs/>
      <w:color w:val="2E74B5" w:themeColor="accent1" w:themeShade="BF"/>
    </w:rPr>
  </w:style>
  <w:style w:type="character" w:styleId="IntenseReference">
    <w:name w:val="Intense Reference"/>
    <w:basedOn w:val="DefaultParagraphFont"/>
    <w:uiPriority w:val="32"/>
    <w:qFormat/>
    <w:rsid w:val="002932AE"/>
    <w:rPr>
      <w:b/>
      <w:bCs/>
      <w:smallCaps/>
      <w:color w:val="2E74B5" w:themeColor="accent1" w:themeShade="BF"/>
      <w:spacing w:val="5"/>
    </w:rPr>
  </w:style>
  <w:style w:type="table" w:styleId="TableGrid">
    <w:name w:val="Table Grid"/>
    <w:basedOn w:val="TableNormal"/>
    <w:rsid w:val="004E39B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9BE"/>
    <w:rPr>
      <w:color w:val="0563C1" w:themeColor="hyperlink"/>
      <w:u w:val="single"/>
    </w:rPr>
  </w:style>
  <w:style w:type="character" w:styleId="UnresolvedMention">
    <w:name w:val="Unresolved Mention"/>
    <w:basedOn w:val="DefaultParagraphFont"/>
    <w:uiPriority w:val="99"/>
    <w:semiHidden/>
    <w:unhideWhenUsed/>
    <w:rsid w:val="004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sites/default/files/2026-01/trustwide_guidelines_for_hbpos_-_appendix_to_section_135_and_136_place_of_safety_policy.docx" TargetMode="External"/><Relationship Id="rId13" Type="http://schemas.openxmlformats.org/officeDocument/2006/relationships/hyperlink" Target="https://www.elft.nhs.uk/sites/default/files/202601/syringe_pump_drivers_in_end_of_life_care_policy_1.0.docx" TargetMode="External"/><Relationship Id="rId3" Type="http://schemas.openxmlformats.org/officeDocument/2006/relationships/settings" Target="settings.xml"/><Relationship Id="rId7" Type="http://schemas.openxmlformats.org/officeDocument/2006/relationships/hyperlink" Target="https://www.elft.nhs.uk/intranet/documents/health-records-policy-29" TargetMode="External"/><Relationship Id="rId12" Type="http://schemas.openxmlformats.org/officeDocument/2006/relationships/hyperlink" Target="https://www.elft.nhs.uk/sites/default/files/202602/Same%20Sex%20Accomodation%20Policy%204.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ft.nhs.uk/sites/default/files/2026-01/Data%20Protection%20By%20Design%20and%20Default%20Policy%201.2.docx" TargetMode="External"/><Relationship Id="rId11" Type="http://schemas.openxmlformats.org/officeDocument/2006/relationships/hyperlink" Target="https://www.elft.nhs.uk/intranet/documents/safe-environment-and-search-policy-32" TargetMode="External"/><Relationship Id="rId5" Type="http://schemas.openxmlformats.org/officeDocument/2006/relationships/hyperlink" Target="https://www.elft.nhs.uk/intranet/teams-support-me/governance-and-risk-management/policy-management/trust-policies" TargetMode="External"/><Relationship Id="rId15" Type="http://schemas.openxmlformats.org/officeDocument/2006/relationships/theme" Target="theme/theme1.xml"/><Relationship Id="rId10" Type="http://schemas.openxmlformats.org/officeDocument/2006/relationships/hyperlink" Target="https://www.elft.nhs.uk/sites/default/files/2026-02/procedural_guidelines_for_chairside_sharp_debridement_in_management_of_lower_extremity_ulcers_1.0.docx" TargetMode="External"/><Relationship Id="rId4" Type="http://schemas.openxmlformats.org/officeDocument/2006/relationships/webSettings" Target="webSettings.xml"/><Relationship Id="rId9" Type="http://schemas.openxmlformats.org/officeDocument/2006/relationships/hyperlink" Target="https://www.elft.nhs.uk/sites/default/files/2023-11/Children%20and%20Young%20People%27s%20Enteral%20Feeding%20Policy%201.0.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2</cp:revision>
  <dcterms:created xsi:type="dcterms:W3CDTF">2026-02-13T09:56:00Z</dcterms:created>
  <dcterms:modified xsi:type="dcterms:W3CDTF">2026-02-13T09:56:00Z</dcterms:modified>
</cp:coreProperties>
</file>