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C3F" w14:textId="7FF65723" w:rsidR="002932AE" w:rsidRPr="00373A85" w:rsidRDefault="002932AE" w:rsidP="004E39BE">
      <w:pPr>
        <w:jc w:val="center"/>
        <w:rPr>
          <w:rFonts w:ascii="Arial" w:hAnsi="Arial" w:cs="Arial"/>
          <w:b/>
          <w:bCs/>
          <w:sz w:val="24"/>
          <w:szCs w:val="24"/>
        </w:rPr>
      </w:pPr>
      <w:r w:rsidRPr="00373A85">
        <w:rPr>
          <w:rFonts w:ascii="Arial" w:hAnsi="Arial" w:cs="Arial"/>
          <w:b/>
          <w:bCs/>
          <w:sz w:val="24"/>
          <w:szCs w:val="24"/>
        </w:rPr>
        <w:t>Policy in a Nutshell (</w:t>
      </w:r>
      <w:r w:rsidR="008E5AB1">
        <w:rPr>
          <w:rFonts w:ascii="Arial" w:hAnsi="Arial" w:cs="Arial"/>
          <w:b/>
          <w:bCs/>
          <w:sz w:val="24"/>
          <w:szCs w:val="24"/>
        </w:rPr>
        <w:t>Febr</w:t>
      </w:r>
      <w:r w:rsidR="00B81426">
        <w:rPr>
          <w:rFonts w:ascii="Arial" w:hAnsi="Arial" w:cs="Arial"/>
          <w:b/>
          <w:bCs/>
          <w:sz w:val="24"/>
          <w:szCs w:val="24"/>
        </w:rPr>
        <w:t>uary</w:t>
      </w:r>
      <w:r w:rsidRPr="00373A85">
        <w:rPr>
          <w:rFonts w:ascii="Arial" w:hAnsi="Arial" w:cs="Arial"/>
          <w:b/>
          <w:bCs/>
          <w:sz w:val="24"/>
          <w:szCs w:val="24"/>
        </w:rPr>
        <w:t xml:space="preserve"> 202</w:t>
      </w:r>
      <w:r w:rsidR="00B81426">
        <w:rPr>
          <w:rFonts w:ascii="Arial" w:hAnsi="Arial" w:cs="Arial"/>
          <w:b/>
          <w:bCs/>
          <w:sz w:val="24"/>
          <w:szCs w:val="24"/>
        </w:rPr>
        <w:t>6</w:t>
      </w:r>
      <w:r w:rsidRPr="00373A85">
        <w:rPr>
          <w:rFonts w:ascii="Arial" w:hAnsi="Arial" w:cs="Arial"/>
          <w:b/>
          <w:bCs/>
          <w:sz w:val="24"/>
          <w:szCs w:val="24"/>
        </w:rPr>
        <w:t>)</w:t>
      </w:r>
    </w:p>
    <w:p w14:paraId="103C5358" w14:textId="77777777" w:rsidR="004E39BE" w:rsidRDefault="004E39BE" w:rsidP="004E39BE">
      <w:pPr>
        <w:jc w:val="center"/>
        <w:rPr>
          <w:rFonts w:ascii="Arial" w:hAnsi="Arial" w:cs="Arial"/>
          <w:b/>
          <w:bCs/>
        </w:rPr>
      </w:pPr>
    </w:p>
    <w:p w14:paraId="6E05D309" w14:textId="77777777" w:rsidR="004E39BE" w:rsidRDefault="004E39BE" w:rsidP="004E39BE">
      <w:pPr>
        <w:rPr>
          <w:rFonts w:ascii="Arial" w:hAnsi="Arial" w:cs="Arial"/>
        </w:rPr>
      </w:pPr>
      <w:r w:rsidRPr="004E39BE">
        <w:rPr>
          <w:rFonts w:ascii="Arial" w:hAnsi="Arial" w:cs="Arial"/>
        </w:rPr>
        <w:t xml:space="preserve">All Trust wide policies are available on the ELFT intranet, </w:t>
      </w:r>
    </w:p>
    <w:p w14:paraId="17061249" w14:textId="15492BB2" w:rsidR="004E39BE" w:rsidRPr="004E39BE" w:rsidRDefault="004E39BE" w:rsidP="004E39BE">
      <w:pPr>
        <w:rPr>
          <w:rFonts w:ascii="Arial" w:hAnsi="Arial" w:cs="Arial"/>
        </w:rPr>
      </w:pPr>
      <w:hyperlink r:id="rId5" w:history="1">
        <w:r w:rsidRPr="004E39BE">
          <w:rPr>
            <w:rStyle w:val="Hyperlink"/>
            <w:rFonts w:ascii="Arial" w:hAnsi="Arial" w:cs="Arial"/>
          </w:rPr>
          <w:t>https://www.elft.nhs.uk/intranet/teams-support-me/governance-and-risk-management/policy-management/trust-policies</w:t>
        </w:r>
      </w:hyperlink>
    </w:p>
    <w:p w14:paraId="29CB249F" w14:textId="3B2334A2" w:rsidR="004E39BE" w:rsidRDefault="004E39BE" w:rsidP="004E39BE">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31749719" w14:textId="77777777" w:rsidR="00373A85" w:rsidRPr="00373A85" w:rsidRDefault="00373A85" w:rsidP="004E39BE">
      <w:pPr>
        <w:rPr>
          <w:rFonts w:ascii="Arial" w:hAnsi="Arial" w:cs="Arial"/>
        </w:rPr>
      </w:pPr>
    </w:p>
    <w:p w14:paraId="735AA99E" w14:textId="1F655AA8" w:rsidR="00373A85" w:rsidRDefault="002932AE" w:rsidP="002932AE">
      <w:pPr>
        <w:rPr>
          <w:rFonts w:ascii="Arial" w:hAnsi="Arial" w:cs="Arial"/>
          <w:b/>
          <w:bCs/>
        </w:rPr>
      </w:pPr>
      <w:r w:rsidRPr="004E39BE">
        <w:rPr>
          <w:rFonts w:ascii="Arial" w:hAnsi="Arial" w:cs="Arial"/>
          <w:b/>
          <w:bCs/>
        </w:rPr>
        <w:t>The following policies were ratified or extended recently by the Quality Committee.</w:t>
      </w:r>
    </w:p>
    <w:p w14:paraId="3ACE8CDE" w14:textId="77777777" w:rsidR="00844FBF" w:rsidRDefault="00844FBF" w:rsidP="002932AE">
      <w:pPr>
        <w:rPr>
          <w:rFonts w:ascii="Arial" w:hAnsi="Arial" w:cs="Arial"/>
          <w:b/>
          <w:bCs/>
        </w:rPr>
      </w:pPr>
    </w:p>
    <w:p w14:paraId="26C6E48A" w14:textId="77777777" w:rsidR="008E5AB1" w:rsidRDefault="002932AE" w:rsidP="00B81426">
      <w:pPr>
        <w:rPr>
          <w:rFonts w:ascii="Arial" w:hAnsi="Arial" w:cs="Arial"/>
        </w:rPr>
      </w:pPr>
      <w:r w:rsidRPr="004E39BE">
        <w:rPr>
          <w:rFonts w:ascii="Arial" w:hAnsi="Arial" w:cs="Arial"/>
        </w:rPr>
        <w:t xml:space="preserve">The </w:t>
      </w:r>
      <w:r w:rsidR="008E5AB1" w:rsidRPr="008E5AB1">
        <w:rPr>
          <w:rFonts w:ascii="Arial" w:hAnsi="Arial" w:cs="Arial"/>
          <w:b/>
          <w:bCs/>
        </w:rPr>
        <w:t>Prevent Policy</w:t>
      </w:r>
      <w:r w:rsidR="008E5AB1">
        <w:rPr>
          <w:rFonts w:ascii="Arial" w:hAnsi="Arial" w:cs="Arial"/>
          <w:b/>
          <w:bCs/>
        </w:rPr>
        <w:t xml:space="preserve"> </w:t>
      </w:r>
      <w:r w:rsidR="008E5AB1" w:rsidRPr="008E5AB1">
        <w:rPr>
          <w:rFonts w:ascii="Arial" w:hAnsi="Arial" w:cs="Arial"/>
        </w:rPr>
        <w:t>outlines the approach of East London NHS Foundation Trust (ELFT) to meeting its statutory responsibilities under the PREVENT Duty. It provides guidance for staff and volunteers on recognising, responding to, and reporting concerns where an individual may be vulnerable to radicalisation or at risk of being drawn into terrorism. The policy establishes clear processes for raising concerns, seeking advice, and managing referrals, including liaison with external partners where required.</w:t>
      </w:r>
    </w:p>
    <w:p w14:paraId="51137F90" w14:textId="77777777" w:rsidR="008E5AB1" w:rsidRDefault="008E5AB1" w:rsidP="00B81426">
      <w:pPr>
        <w:rPr>
          <w:rFonts w:ascii="Arial" w:hAnsi="Arial" w:cs="Arial"/>
        </w:rPr>
      </w:pPr>
      <w:r w:rsidRPr="008E5AB1">
        <w:rPr>
          <w:rFonts w:ascii="Arial" w:hAnsi="Arial" w:cs="Arial"/>
        </w:rPr>
        <w:t>The primary aim of the policy is to safeguard vulnerable adults and children from radicalisation while under the care of the Trust. It reinforces that preventing radicalisation is a safeguarding responsibility, aligned with the Trust’s existing Safeguarding Adults and Safeguarding Children frameworks. Staff are supported to develop an understanding of the PREVENT Duty, recognise potential indicators of radicalisation, and take appropriate and timely action.</w:t>
      </w:r>
    </w:p>
    <w:p w14:paraId="1288F916" w14:textId="105161DC" w:rsidR="004E39BE" w:rsidRDefault="008E5AB1" w:rsidP="002932AE">
      <w:pPr>
        <w:rPr>
          <w:rFonts w:ascii="Arial" w:hAnsi="Arial" w:cs="Arial"/>
        </w:rPr>
      </w:pPr>
      <w:r w:rsidRPr="008E5AB1">
        <w:rPr>
          <w:rFonts w:ascii="Arial" w:hAnsi="Arial" w:cs="Arial"/>
        </w:rPr>
        <w:t>The policy was updated to include Information regarding Recording and Reporting Requirements for PREVENT Referrals.</w:t>
      </w:r>
    </w:p>
    <w:p w14:paraId="051048CF" w14:textId="77F98F39" w:rsidR="008E5AB1" w:rsidRDefault="00844FBF" w:rsidP="002932AE">
      <w:pPr>
        <w:rPr>
          <w:rFonts w:ascii="Arial" w:hAnsi="Arial" w:cs="Arial"/>
        </w:rPr>
      </w:pPr>
      <w:hyperlink r:id="rId6" w:history="1">
        <w:r w:rsidRPr="003026F4">
          <w:rPr>
            <w:rStyle w:val="Hyperlink"/>
            <w:rFonts w:ascii="Arial" w:hAnsi="Arial" w:cs="Arial"/>
          </w:rPr>
          <w:t>https://www.elft.nhs.uk/sites/default/files/2026-02/Prevent%20Policy%204.0.docx</w:t>
        </w:r>
      </w:hyperlink>
      <w:r>
        <w:rPr>
          <w:rFonts w:ascii="Arial" w:hAnsi="Arial" w:cs="Arial"/>
        </w:rPr>
        <w:t xml:space="preserve"> </w:t>
      </w:r>
    </w:p>
    <w:p w14:paraId="6DD975F4" w14:textId="77777777" w:rsidR="004E39BE" w:rsidRDefault="004E39BE" w:rsidP="002932AE">
      <w:pPr>
        <w:rPr>
          <w:rFonts w:ascii="Arial" w:hAnsi="Arial" w:cs="Arial"/>
        </w:rPr>
      </w:pPr>
    </w:p>
    <w:p w14:paraId="2DECCC29" w14:textId="77777777" w:rsidR="00844FBF" w:rsidRPr="004E39BE" w:rsidRDefault="00844FBF" w:rsidP="002932AE">
      <w:pPr>
        <w:rPr>
          <w:rFonts w:ascii="Arial" w:hAnsi="Arial" w:cs="Arial"/>
        </w:rPr>
      </w:pPr>
    </w:p>
    <w:p w14:paraId="0C1E3B26" w14:textId="74DA47D7" w:rsidR="008E5AB1" w:rsidRPr="001D53A8" w:rsidRDefault="002932AE" w:rsidP="008E5AB1">
      <w:pPr>
        <w:shd w:val="clear" w:color="auto" w:fill="FFFFFF"/>
        <w:jc w:val="both"/>
        <w:rPr>
          <w:rFonts w:ascii="Arial" w:hAnsi="Arial" w:cs="Arial"/>
        </w:rPr>
      </w:pPr>
      <w:r w:rsidRPr="004E39BE">
        <w:rPr>
          <w:rFonts w:ascii="Arial" w:hAnsi="Arial" w:cs="Arial"/>
        </w:rPr>
        <w:t>Th</w:t>
      </w:r>
      <w:r w:rsidR="002010EB" w:rsidRPr="004E39BE">
        <w:rPr>
          <w:rFonts w:ascii="Arial" w:hAnsi="Arial" w:cs="Arial"/>
        </w:rPr>
        <w:t xml:space="preserve">e </w:t>
      </w:r>
      <w:r w:rsidR="008E5AB1" w:rsidRPr="008E5AB1">
        <w:rPr>
          <w:rFonts w:ascii="Arial" w:hAnsi="Arial" w:cs="Arial"/>
          <w:b/>
          <w:bCs/>
        </w:rPr>
        <w:t>Venous Thromboembolism Reducing Risk Policy</w:t>
      </w:r>
      <w:r w:rsidR="008E5AB1">
        <w:rPr>
          <w:rFonts w:ascii="Arial" w:hAnsi="Arial" w:cs="Arial"/>
          <w:b/>
          <w:bCs/>
        </w:rPr>
        <w:t xml:space="preserve"> </w:t>
      </w:r>
      <w:r w:rsidR="00F404B4" w:rsidRPr="00F404B4">
        <w:rPr>
          <w:rFonts w:ascii="Arial" w:hAnsi="Arial" w:cs="Arial"/>
        </w:rPr>
        <w:t>sets</w:t>
      </w:r>
      <w:r w:rsidR="00F404B4">
        <w:rPr>
          <w:rFonts w:ascii="Arial" w:hAnsi="Arial" w:cs="Arial"/>
          <w:b/>
          <w:bCs/>
        </w:rPr>
        <w:t xml:space="preserve"> </w:t>
      </w:r>
      <w:r w:rsidR="008E5AB1" w:rsidRPr="001D53A8">
        <w:rPr>
          <w:rFonts w:ascii="Arial" w:hAnsi="Arial" w:cs="Arial"/>
        </w:rPr>
        <w:t xml:space="preserve">out the processes for identifying patients at risk of Venous Thromboembolism (VTE) within inpatient mental health and community bedded units, and for implementing appropriate thromboprophylaxis measures. </w:t>
      </w:r>
    </w:p>
    <w:p w14:paraId="085CE552" w14:textId="65E2EBFE" w:rsidR="008E5AB1" w:rsidRPr="001D53A8" w:rsidRDefault="008E5AB1" w:rsidP="008E5AB1">
      <w:pPr>
        <w:shd w:val="clear" w:color="auto" w:fill="FFFFFF"/>
        <w:jc w:val="both"/>
        <w:rPr>
          <w:rFonts w:ascii="Arial" w:hAnsi="Arial" w:cs="Arial"/>
        </w:rPr>
      </w:pPr>
      <w:r w:rsidRPr="001D53A8">
        <w:rPr>
          <w:rFonts w:ascii="Arial" w:hAnsi="Arial" w:cs="Arial"/>
        </w:rPr>
        <w:t>VTE refers to the formation of a blood clot within a vein, most commonly presenting as deep vein thrombosis (DVT) in the leg, which may dislodge and travel to the lungs as a pulmonary embolism (PE). VTE can range from asymptomatic presentations to life-threatening complications and long-term morbidity, including chronic venous insufficiency and post-thrombotic syndrome. Early identification and prevention are therefore critical components of inpatient care.</w:t>
      </w:r>
    </w:p>
    <w:p w14:paraId="6ED62D10" w14:textId="77777777" w:rsidR="008E5AB1" w:rsidRPr="001D53A8" w:rsidRDefault="008E5AB1" w:rsidP="008E5AB1">
      <w:pPr>
        <w:shd w:val="clear" w:color="auto" w:fill="FFFFFF"/>
        <w:jc w:val="both"/>
        <w:rPr>
          <w:rFonts w:ascii="Arial" w:hAnsi="Arial" w:cs="Arial"/>
        </w:rPr>
      </w:pPr>
      <w:r w:rsidRPr="001D53A8">
        <w:rPr>
          <w:rFonts w:ascii="Arial" w:hAnsi="Arial" w:cs="Arial"/>
        </w:rPr>
        <w:t xml:space="preserve">The purpose of this policy is to ensure that all eligible patients are individually assessed for VTE risk on admission and throughout their inpatient stay, that assessments are clearly documented, and that appropriate risk-reduction measures are implemented. This includes </w:t>
      </w:r>
      <w:r w:rsidRPr="001D53A8">
        <w:rPr>
          <w:rFonts w:ascii="Arial" w:hAnsi="Arial" w:cs="Arial"/>
        </w:rPr>
        <w:lastRenderedPageBreak/>
        <w:t>timely initiation and management of thromboprophylaxis, provision of relevant information to staff and patients, and ongoing review to minimise the risk of preventable harm.</w:t>
      </w:r>
    </w:p>
    <w:p w14:paraId="6D796515" w14:textId="70A7EE7A" w:rsidR="008E5AB1" w:rsidRPr="00B81426" w:rsidRDefault="008E5AB1" w:rsidP="008E5AB1">
      <w:pPr>
        <w:rPr>
          <w:rFonts w:ascii="Arial" w:hAnsi="Arial" w:cs="Arial"/>
        </w:rPr>
      </w:pPr>
      <w:r w:rsidRPr="008E5AB1">
        <w:rPr>
          <w:rFonts w:ascii="Arial" w:hAnsi="Arial" w:cs="Arial"/>
        </w:rPr>
        <w:t>The policy has been updated to confirm alignment with NICE Guideline NG89, including the 2024 surveillance update. Changes include the addition of a mandatory baseline platelet count prior to commencing LMWH, clear instruction to stop LMWH and seek urgent advice if Heparin-Induced</w:t>
      </w:r>
      <w:r>
        <w:rPr>
          <w:rFonts w:ascii="Arial" w:hAnsi="Arial" w:cs="Arial"/>
        </w:rPr>
        <w:t xml:space="preserve"> </w:t>
      </w:r>
      <w:r w:rsidRPr="001D53A8">
        <w:rPr>
          <w:rFonts w:ascii="Arial" w:hAnsi="Arial" w:cs="Arial"/>
        </w:rPr>
        <w:t>Thrombocytopenia (HIT) is suspected, and incorporation of updated NICE recommendations on pharmacological thromboprophylaxis.</w:t>
      </w:r>
    </w:p>
    <w:p w14:paraId="69A18BC5" w14:textId="4FB4943F" w:rsidR="004E39BE" w:rsidRDefault="00844FBF" w:rsidP="002932AE">
      <w:pPr>
        <w:rPr>
          <w:rFonts w:ascii="Arial" w:hAnsi="Arial" w:cs="Arial"/>
        </w:rPr>
      </w:pPr>
      <w:hyperlink r:id="rId7" w:history="1">
        <w:r w:rsidRPr="003026F4">
          <w:rPr>
            <w:rStyle w:val="Hyperlink"/>
            <w:rFonts w:ascii="Arial" w:hAnsi="Arial" w:cs="Arial"/>
          </w:rPr>
          <w:t>https://www.elft.nhs.uk/sites/default/files/202602/venous_thromboembolism_reducing_the_risk_policy_4.0.docx</w:t>
        </w:r>
      </w:hyperlink>
      <w:r>
        <w:rPr>
          <w:rFonts w:ascii="Arial" w:hAnsi="Arial" w:cs="Arial"/>
        </w:rPr>
        <w:t xml:space="preserve"> </w:t>
      </w:r>
    </w:p>
    <w:p w14:paraId="180AA64C" w14:textId="77777777" w:rsidR="00844FBF" w:rsidRPr="004E39BE" w:rsidRDefault="00844FBF" w:rsidP="002932AE">
      <w:pPr>
        <w:rPr>
          <w:rFonts w:ascii="Arial" w:hAnsi="Arial" w:cs="Arial"/>
        </w:rPr>
      </w:pPr>
    </w:p>
    <w:p w14:paraId="1CD90B7A" w14:textId="77777777" w:rsidR="008E5AB1" w:rsidRPr="008E5AB1" w:rsidRDefault="008E5AB1" w:rsidP="008E5AB1">
      <w:pPr>
        <w:rPr>
          <w:rFonts w:ascii="Arial" w:hAnsi="Arial" w:cs="Arial"/>
          <w:b/>
          <w:bCs/>
        </w:rPr>
      </w:pPr>
    </w:p>
    <w:p w14:paraId="27AFF05A" w14:textId="04C148E0" w:rsidR="008E5AB1" w:rsidRPr="008E5AB1" w:rsidRDefault="008E5AB1" w:rsidP="008E5AB1">
      <w:pPr>
        <w:rPr>
          <w:rFonts w:ascii="Arial" w:hAnsi="Arial" w:cs="Arial"/>
        </w:rPr>
      </w:pPr>
      <w:r w:rsidRPr="008E5AB1">
        <w:rPr>
          <w:rFonts w:ascii="Arial" w:hAnsi="Arial" w:cs="Arial"/>
        </w:rPr>
        <w:t xml:space="preserve">The </w:t>
      </w:r>
      <w:r w:rsidRPr="008E5AB1">
        <w:rPr>
          <w:rFonts w:ascii="Arial" w:hAnsi="Arial" w:cs="Arial"/>
          <w:b/>
          <w:bCs/>
        </w:rPr>
        <w:t>Incident Response Plan</w:t>
      </w:r>
      <w:r w:rsidRPr="008E5AB1">
        <w:rPr>
          <w:rFonts w:ascii="Arial" w:hAnsi="Arial" w:cs="Arial"/>
        </w:rPr>
        <w:t xml:space="preserve"> establishes a comprehensive and flexible framework for the Trust’s response to any major emergency, regardless of cause, enabling a coordinated and proportionate approach to incidents ranging from localised disruptions to large-scale catastrophic events. Although the Trust is not formally designated as a Category 1 responder under the Civil Contingencies Act 2004, the Plan is structured in line with its principles and reflects the responsibilities set out within the NHS England Emergency Preparedness, Resilience and Response (EPRR) Framework (2015).</w:t>
      </w:r>
    </w:p>
    <w:p w14:paraId="76C7AA19" w14:textId="06156BE1" w:rsidR="008E5AB1" w:rsidRPr="008E5AB1" w:rsidRDefault="008E5AB1" w:rsidP="008E5AB1">
      <w:pPr>
        <w:rPr>
          <w:rFonts w:ascii="Arial" w:hAnsi="Arial" w:cs="Arial"/>
        </w:rPr>
      </w:pPr>
      <w:r w:rsidRPr="008E5AB1">
        <w:rPr>
          <w:rFonts w:ascii="Arial" w:hAnsi="Arial" w:cs="Arial"/>
        </w:rPr>
        <w:t>The purpose of the policy is to ensure the Trust is prepared to respond effectively to major incidents through robust risk assessment, multi-agency cooperation, clear communication, information sharing, and integration with business continuity arrangements. It defines executive accountability, with overall responsibility held by the Chief Executive Officer and delegated to the Chief Operations Officer as Accountable Emergency Officer and establishes governance arrangements to ensure Board oversight of preparedness, training, exercising, and organisational learning.</w:t>
      </w:r>
    </w:p>
    <w:p w14:paraId="64D578BE" w14:textId="77777777" w:rsidR="008E5AB1" w:rsidRPr="008E5AB1" w:rsidRDefault="008E5AB1" w:rsidP="008E5AB1">
      <w:pPr>
        <w:rPr>
          <w:rFonts w:ascii="Arial" w:hAnsi="Arial" w:cs="Arial"/>
        </w:rPr>
      </w:pPr>
      <w:r w:rsidRPr="008E5AB1">
        <w:rPr>
          <w:rFonts w:ascii="Arial" w:hAnsi="Arial" w:cs="Arial"/>
        </w:rPr>
        <w:t xml:space="preserve">The Incident Response Plan went through its Annual Review and contacts within the plan were updated. </w:t>
      </w:r>
    </w:p>
    <w:p w14:paraId="7E60CEFC" w14:textId="3FE62C6D" w:rsidR="00373A85" w:rsidRDefault="00844FBF" w:rsidP="002932AE">
      <w:pPr>
        <w:rPr>
          <w:rFonts w:ascii="Arial" w:hAnsi="Arial" w:cs="Arial"/>
        </w:rPr>
      </w:pPr>
      <w:hyperlink r:id="rId8" w:history="1">
        <w:r w:rsidRPr="003026F4">
          <w:rPr>
            <w:rStyle w:val="Hyperlink"/>
            <w:rFonts w:ascii="Arial" w:hAnsi="Arial" w:cs="Arial"/>
          </w:rPr>
          <w:t>https://www.elft.nhs.uk/system/files/202602/Incident%20Response%20Plan%2014.6%20Part%20one.docx</w:t>
        </w:r>
      </w:hyperlink>
    </w:p>
    <w:p w14:paraId="5ADD1D37" w14:textId="77777777" w:rsidR="00844FBF" w:rsidRDefault="00844FBF" w:rsidP="002932AE">
      <w:pPr>
        <w:rPr>
          <w:rFonts w:ascii="Arial" w:hAnsi="Arial" w:cs="Arial"/>
        </w:rPr>
      </w:pPr>
    </w:p>
    <w:p w14:paraId="6A9B615F" w14:textId="77777777" w:rsidR="00373A85" w:rsidRDefault="00373A85" w:rsidP="002932AE">
      <w:pPr>
        <w:rPr>
          <w:rFonts w:ascii="Arial" w:hAnsi="Arial" w:cs="Arial"/>
        </w:rPr>
      </w:pPr>
    </w:p>
    <w:p w14:paraId="658DD740" w14:textId="53C7EE71" w:rsidR="008E5AB1" w:rsidRPr="00681577" w:rsidRDefault="008E5AB1" w:rsidP="008E5AB1">
      <w:pPr>
        <w:shd w:val="clear" w:color="auto" w:fill="FFFFFF"/>
        <w:jc w:val="both"/>
        <w:rPr>
          <w:rFonts w:ascii="Arial" w:hAnsi="Arial" w:cs="Arial"/>
          <w:bCs/>
        </w:rPr>
      </w:pPr>
      <w:r w:rsidRPr="00681577">
        <w:rPr>
          <w:rFonts w:ascii="Arial" w:hAnsi="Arial" w:cs="Arial"/>
          <w:bCs/>
        </w:rPr>
        <w:t xml:space="preserve">The </w:t>
      </w:r>
      <w:r w:rsidRPr="008E5AB1">
        <w:rPr>
          <w:rFonts w:ascii="Arial" w:hAnsi="Arial" w:cs="Arial"/>
          <w:b/>
        </w:rPr>
        <w:t>Surge Management Plan</w:t>
      </w:r>
      <w:r w:rsidRPr="00681577">
        <w:rPr>
          <w:rFonts w:ascii="Arial" w:hAnsi="Arial" w:cs="Arial"/>
          <w:bCs/>
        </w:rPr>
        <w:t xml:space="preserve"> sets out how East London NHS Foundation Trust (ELFT) will prepare for and respond to periods of increased demand or reduced capacity across its mental health and community health services. It provides a coordinated framework to ensure safe, effective, and timely care during seasonal pressures, localised service surges, or wider system incidents. The plan is not a standalone document and must be used alongside the Trust’s emergency preparedness and business continuity plans.</w:t>
      </w:r>
    </w:p>
    <w:p w14:paraId="24CB37E2" w14:textId="381359A4" w:rsidR="008E5AB1" w:rsidRPr="00681577" w:rsidRDefault="008E5AB1" w:rsidP="008E5AB1">
      <w:pPr>
        <w:shd w:val="clear" w:color="auto" w:fill="FFFFFF"/>
        <w:jc w:val="both"/>
        <w:rPr>
          <w:rFonts w:ascii="Arial" w:hAnsi="Arial" w:cs="Arial"/>
          <w:bCs/>
        </w:rPr>
      </w:pPr>
      <w:r w:rsidRPr="00681577">
        <w:rPr>
          <w:rFonts w:ascii="Arial" w:hAnsi="Arial" w:cs="Arial"/>
          <w:bCs/>
        </w:rPr>
        <w:t>The purpose of the Plan is to identify and mitigate risks to service delivery, define clear escalation triggers, and create both additional and emergency capacity where required. It supports system resilience by enabling proportionate action during surge events and by working with partners to manage patient flow and maintain continuity of care across the wider health economy.</w:t>
      </w:r>
    </w:p>
    <w:p w14:paraId="232B950C" w14:textId="77777777" w:rsidR="008E5AB1" w:rsidRDefault="008E5AB1" w:rsidP="008E5AB1">
      <w:pPr>
        <w:shd w:val="clear" w:color="auto" w:fill="FFFFFF"/>
        <w:jc w:val="both"/>
        <w:rPr>
          <w:rFonts w:ascii="Arial" w:hAnsi="Arial" w:cs="Arial"/>
          <w:bCs/>
        </w:rPr>
      </w:pPr>
      <w:r w:rsidRPr="00681577">
        <w:rPr>
          <w:rFonts w:ascii="Arial" w:hAnsi="Arial" w:cs="Arial"/>
          <w:bCs/>
        </w:rPr>
        <w:lastRenderedPageBreak/>
        <w:t>The Surge Management Plan has been updated to incorporate the review and inclusion of Memoranda of Understanding (MoU) arrangements, as well as the planning and execution of exercises and testing.</w:t>
      </w:r>
    </w:p>
    <w:p w14:paraId="4DF9564E" w14:textId="10219E68" w:rsidR="00844FBF" w:rsidRPr="00681577" w:rsidRDefault="00844FBF" w:rsidP="008E5AB1">
      <w:pPr>
        <w:shd w:val="clear" w:color="auto" w:fill="FFFFFF"/>
        <w:jc w:val="both"/>
        <w:rPr>
          <w:rFonts w:ascii="Arial" w:hAnsi="Arial" w:cs="Arial"/>
          <w:bCs/>
        </w:rPr>
      </w:pPr>
      <w:hyperlink r:id="rId9" w:history="1">
        <w:r w:rsidRPr="003026F4">
          <w:rPr>
            <w:rStyle w:val="Hyperlink"/>
            <w:rFonts w:ascii="Arial" w:hAnsi="Arial" w:cs="Arial"/>
            <w:bCs/>
          </w:rPr>
          <w:t>https://www.elft.nhs.uk/sites/default/files/202602/Surge%20Management%20Plan%204.0.docx</w:t>
        </w:r>
      </w:hyperlink>
      <w:r>
        <w:rPr>
          <w:rFonts w:ascii="Arial" w:hAnsi="Arial" w:cs="Arial"/>
          <w:bCs/>
        </w:rPr>
        <w:t xml:space="preserve"> </w:t>
      </w:r>
    </w:p>
    <w:p w14:paraId="3AACECDB" w14:textId="77777777" w:rsidR="008E5AB1" w:rsidRDefault="008E5AB1" w:rsidP="003A4243">
      <w:pPr>
        <w:rPr>
          <w:rFonts w:ascii="Arial" w:hAnsi="Arial" w:cs="Arial"/>
          <w:b/>
          <w:bCs/>
        </w:rPr>
      </w:pPr>
    </w:p>
    <w:p w14:paraId="5CE1A91A" w14:textId="49C07B7A" w:rsidR="00DE25EC" w:rsidRPr="00DE25EC" w:rsidRDefault="00DE25EC" w:rsidP="00DE25EC">
      <w:pPr>
        <w:rPr>
          <w:rFonts w:ascii="Arial" w:hAnsi="Arial" w:cs="Arial"/>
        </w:rPr>
      </w:pPr>
      <w:r w:rsidRPr="00DE25EC">
        <w:rPr>
          <w:rFonts w:ascii="Arial" w:hAnsi="Arial" w:cs="Arial"/>
        </w:rPr>
        <w:t>The</w:t>
      </w:r>
      <w:r>
        <w:rPr>
          <w:rFonts w:ascii="Arial" w:hAnsi="Arial" w:cs="Arial"/>
          <w:b/>
          <w:bCs/>
        </w:rPr>
        <w:t xml:space="preserve"> Flood Plan </w:t>
      </w:r>
      <w:r w:rsidRPr="00DE25EC">
        <w:rPr>
          <w:rFonts w:ascii="Arial" w:hAnsi="Arial" w:cs="Arial"/>
        </w:rPr>
        <w:t xml:space="preserve">explains that the </w:t>
      </w:r>
      <w:r w:rsidRPr="00DE25EC">
        <w:rPr>
          <w:rFonts w:ascii="Arial" w:hAnsi="Arial" w:cs="Arial"/>
        </w:rPr>
        <w:t>Trust recognises that rapid and accurate assessment of flooding emergencies is essential to ensure an effective response. Understanding flood risks and preparing accordingly helps maintain operational continuity, reduce property damage, and minimise disruption and distress. While East London NHS Foundation Trust properties are generally not at risk from river or coastal flooding,</w:t>
      </w:r>
      <w:r w:rsidRPr="00DE25EC">
        <w:t xml:space="preserve"> </w:t>
      </w:r>
      <w:r w:rsidRPr="00DE25EC">
        <w:rPr>
          <w:rFonts w:ascii="Arial" w:hAnsi="Arial" w:cs="Arial"/>
        </w:rPr>
        <w:t>extreme weather events could impact urban areas due to overwhelmed drainage systems. Additionally, the Luton &amp; Bedfordshire Directorate faces specific flood risks from the River Great Ouse in certain locations.</w:t>
      </w:r>
    </w:p>
    <w:p w14:paraId="0B264E6F" w14:textId="784DE2FD" w:rsidR="00DE25EC" w:rsidRPr="00DE25EC" w:rsidRDefault="00DE25EC" w:rsidP="00DE25EC">
      <w:pPr>
        <w:rPr>
          <w:rFonts w:ascii="Arial" w:hAnsi="Arial" w:cs="Arial"/>
        </w:rPr>
      </w:pPr>
      <w:r w:rsidRPr="00DE25EC">
        <w:rPr>
          <w:rFonts w:ascii="Arial" w:hAnsi="Arial" w:cs="Arial"/>
        </w:rPr>
        <w:t>The objective of this plan is to establish a coordinated and consistent approach to flood preparedness and management. It clarifies responsibilities, protects lives and critical facilities, and outlines business continuity measures to maintain service delivery during flooding events. By implementing these strategies, the Trust aims to minimise the impact of flooding on its operations and ensure the continued provision of safe, effective care.</w:t>
      </w:r>
    </w:p>
    <w:p w14:paraId="1324B993" w14:textId="579BC0A1" w:rsidR="008E5AB1" w:rsidRPr="00DE25EC" w:rsidRDefault="00DE25EC" w:rsidP="00DE25EC">
      <w:pPr>
        <w:rPr>
          <w:rFonts w:ascii="Arial" w:hAnsi="Arial" w:cs="Arial"/>
        </w:rPr>
      </w:pPr>
      <w:r w:rsidRPr="00DE25EC">
        <w:rPr>
          <w:rFonts w:ascii="Arial" w:hAnsi="Arial" w:cs="Arial"/>
        </w:rPr>
        <w:t>The Flood plan was updated to include exercising &amp; training, Utilities &amp; Infrastructure Failure.</w:t>
      </w:r>
    </w:p>
    <w:p w14:paraId="3B73A1AC" w14:textId="0AC67E6C" w:rsidR="00DD4016" w:rsidRPr="00373A85" w:rsidRDefault="00844FBF" w:rsidP="002932AE">
      <w:pPr>
        <w:rPr>
          <w:rFonts w:ascii="Arial" w:hAnsi="Arial" w:cs="Arial"/>
        </w:rPr>
      </w:pPr>
      <w:hyperlink r:id="rId10" w:history="1">
        <w:r w:rsidRPr="003026F4">
          <w:rPr>
            <w:rStyle w:val="Hyperlink"/>
            <w:rFonts w:ascii="Arial" w:hAnsi="Arial" w:cs="Arial"/>
          </w:rPr>
          <w:t>https://www.elft.nhs.uk/sites/default/files/2026-02/Flood%20Plan%201.6.doc</w:t>
        </w:r>
      </w:hyperlink>
      <w:r>
        <w:rPr>
          <w:rFonts w:ascii="Arial" w:hAnsi="Arial" w:cs="Arial"/>
        </w:rPr>
        <w:t xml:space="preserve"> </w:t>
      </w:r>
    </w:p>
    <w:p w14:paraId="7DE45081" w14:textId="77777777" w:rsidR="00373A85" w:rsidRDefault="00373A85" w:rsidP="002932AE">
      <w:pPr>
        <w:rPr>
          <w:rFonts w:ascii="Arial" w:hAnsi="Arial" w:cs="Arial"/>
          <w:b/>
          <w:bCs/>
        </w:rPr>
      </w:pPr>
    </w:p>
    <w:p w14:paraId="09CC6DBA" w14:textId="77777777" w:rsidR="00844FBF" w:rsidRDefault="00844FBF" w:rsidP="002932AE">
      <w:pPr>
        <w:rPr>
          <w:rFonts w:ascii="Arial" w:hAnsi="Arial" w:cs="Arial"/>
          <w:b/>
          <w:bCs/>
        </w:rPr>
      </w:pPr>
    </w:p>
    <w:p w14:paraId="2F0390D8" w14:textId="72DF5C49" w:rsidR="00373A85" w:rsidRPr="00373A85" w:rsidRDefault="00373A85" w:rsidP="002932AE">
      <w:pPr>
        <w:rPr>
          <w:rFonts w:ascii="Arial" w:hAnsi="Arial" w:cs="Arial"/>
          <w:b/>
          <w:bCs/>
          <w:u w:val="single"/>
        </w:rPr>
      </w:pPr>
      <w:r w:rsidRPr="00373A85">
        <w:rPr>
          <w:rFonts w:ascii="Arial" w:hAnsi="Arial" w:cs="Arial"/>
          <w:b/>
          <w:bCs/>
          <w:u w:val="single"/>
        </w:rPr>
        <w:t>Other Trust Policies Ratified this month:</w:t>
      </w:r>
    </w:p>
    <w:p w14:paraId="2A470141" w14:textId="66312F60" w:rsidR="003A4243" w:rsidRDefault="00DE25EC" w:rsidP="00DE25EC">
      <w:pPr>
        <w:shd w:val="clear" w:color="auto" w:fill="FFFFFF"/>
        <w:spacing w:after="200" w:line="276" w:lineRule="auto"/>
        <w:contextualSpacing/>
        <w:jc w:val="both"/>
        <w:rPr>
          <w:rFonts w:ascii="Arial" w:eastAsia="Calibri" w:hAnsi="Arial" w:cs="Arial"/>
          <w:bCs/>
          <w:kern w:val="0"/>
          <w14:ligatures w14:val="none"/>
        </w:rPr>
      </w:pPr>
      <w:r>
        <w:rPr>
          <w:rFonts w:ascii="Arial" w:eastAsia="Calibri" w:hAnsi="Arial" w:cs="Arial"/>
          <w:bCs/>
          <w:kern w:val="0"/>
          <w14:ligatures w14:val="none"/>
        </w:rPr>
        <w:t>Medicines:</w:t>
      </w:r>
    </w:p>
    <w:p w14:paraId="568C6984" w14:textId="0974AB30" w:rsidR="00DE25EC" w:rsidRPr="00DE25EC" w:rsidRDefault="00DE25EC" w:rsidP="00DE25EC">
      <w:pPr>
        <w:pStyle w:val="ListParagraph"/>
        <w:numPr>
          <w:ilvl w:val="0"/>
          <w:numId w:val="2"/>
        </w:numPr>
        <w:rPr>
          <w:rFonts w:ascii="Arial" w:hAnsi="Arial" w:cs="Arial"/>
        </w:rPr>
      </w:pPr>
      <w:r w:rsidRPr="00DE25EC">
        <w:rPr>
          <w:rFonts w:ascii="Arial" w:hAnsi="Arial" w:cs="Arial"/>
        </w:rPr>
        <w:t>IM Clozapine Protocol</w:t>
      </w:r>
    </w:p>
    <w:p w14:paraId="42FDE481" w14:textId="6831B8D3" w:rsidR="00373A85" w:rsidRDefault="00DE25EC" w:rsidP="00DE25EC">
      <w:pPr>
        <w:pStyle w:val="ListParagraph"/>
        <w:numPr>
          <w:ilvl w:val="0"/>
          <w:numId w:val="2"/>
        </w:numPr>
        <w:rPr>
          <w:rFonts w:ascii="Arial" w:hAnsi="Arial" w:cs="Arial"/>
        </w:rPr>
      </w:pPr>
      <w:r w:rsidRPr="00DE25EC">
        <w:rPr>
          <w:rFonts w:ascii="Arial" w:hAnsi="Arial" w:cs="Arial"/>
        </w:rPr>
        <w:t>Treatment and Prophylaxis of influenza-like illness</w:t>
      </w:r>
    </w:p>
    <w:p w14:paraId="418077DB" w14:textId="255A8638" w:rsidR="00DE25EC" w:rsidRPr="00DE25EC" w:rsidRDefault="00DE25EC" w:rsidP="00DE25EC">
      <w:pPr>
        <w:rPr>
          <w:rFonts w:ascii="Arial" w:hAnsi="Arial" w:cs="Arial"/>
        </w:rPr>
      </w:pPr>
      <w:r>
        <w:rPr>
          <w:rFonts w:ascii="Arial" w:hAnsi="Arial" w:cs="Arial"/>
        </w:rPr>
        <w:t>People and Culture:</w:t>
      </w:r>
    </w:p>
    <w:p w14:paraId="6C7FF849" w14:textId="0C434A0B" w:rsidR="00DE25EC" w:rsidRPr="00DE25EC" w:rsidRDefault="00DE25EC" w:rsidP="00DE25EC">
      <w:pPr>
        <w:pStyle w:val="ListParagraph"/>
        <w:numPr>
          <w:ilvl w:val="0"/>
          <w:numId w:val="3"/>
        </w:numPr>
        <w:rPr>
          <w:rFonts w:ascii="Arial" w:hAnsi="Arial" w:cs="Arial"/>
        </w:rPr>
      </w:pPr>
      <w:r w:rsidRPr="00DE25EC">
        <w:rPr>
          <w:rFonts w:ascii="Arial" w:hAnsi="Arial" w:cs="Arial"/>
        </w:rPr>
        <w:t>Raising Concerns (Whistleblowing Policy)</w:t>
      </w:r>
    </w:p>
    <w:p w14:paraId="31D8E0B8" w14:textId="3A060BA5" w:rsidR="00DE25EC" w:rsidRPr="00DE25EC" w:rsidRDefault="00DE25EC" w:rsidP="00DE25EC">
      <w:pPr>
        <w:pStyle w:val="ListParagraph"/>
        <w:numPr>
          <w:ilvl w:val="0"/>
          <w:numId w:val="3"/>
        </w:numPr>
        <w:rPr>
          <w:rFonts w:ascii="Arial" w:hAnsi="Arial" w:cs="Arial"/>
        </w:rPr>
      </w:pPr>
      <w:r w:rsidRPr="00DE25EC">
        <w:rPr>
          <w:rFonts w:ascii="Arial" w:hAnsi="Arial" w:cs="Arial"/>
        </w:rPr>
        <w:t>Statutory and Mandatory Training Policy</w:t>
      </w:r>
    </w:p>
    <w:p w14:paraId="549F2B11" w14:textId="2C4F7763" w:rsidR="00FC0868" w:rsidRPr="004E39BE" w:rsidRDefault="00FC0868">
      <w:pPr>
        <w:rPr>
          <w:rFonts w:ascii="Arial" w:hAnsi="Arial" w:cs="Arial"/>
        </w:rPr>
      </w:pPr>
    </w:p>
    <w:sectPr w:rsidR="00FC0868" w:rsidRPr="004E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99F"/>
    <w:multiLevelType w:val="hybridMultilevel"/>
    <w:tmpl w:val="9F72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B5494"/>
    <w:multiLevelType w:val="hybridMultilevel"/>
    <w:tmpl w:val="D66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F1FC5"/>
    <w:multiLevelType w:val="hybridMultilevel"/>
    <w:tmpl w:val="AD5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59">
    <w:abstractNumId w:val="1"/>
  </w:num>
  <w:num w:numId="2" w16cid:durableId="1391226197">
    <w:abstractNumId w:val="0"/>
  </w:num>
  <w:num w:numId="3" w16cid:durableId="40639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E"/>
    <w:rsid w:val="0009384A"/>
    <w:rsid w:val="00142AE3"/>
    <w:rsid w:val="0014552A"/>
    <w:rsid w:val="001E1BFE"/>
    <w:rsid w:val="002010EB"/>
    <w:rsid w:val="002749EA"/>
    <w:rsid w:val="002932AE"/>
    <w:rsid w:val="00305F8F"/>
    <w:rsid w:val="003278C1"/>
    <w:rsid w:val="00373A85"/>
    <w:rsid w:val="003A4243"/>
    <w:rsid w:val="003F0D90"/>
    <w:rsid w:val="004206F9"/>
    <w:rsid w:val="004E39BE"/>
    <w:rsid w:val="005F5B99"/>
    <w:rsid w:val="006B65C9"/>
    <w:rsid w:val="00844FBF"/>
    <w:rsid w:val="00855B11"/>
    <w:rsid w:val="008A5F92"/>
    <w:rsid w:val="008E5AB1"/>
    <w:rsid w:val="009D5F7E"/>
    <w:rsid w:val="00B81426"/>
    <w:rsid w:val="00BE3A04"/>
    <w:rsid w:val="00C91F87"/>
    <w:rsid w:val="00CE6A69"/>
    <w:rsid w:val="00DD4016"/>
    <w:rsid w:val="00DE25EC"/>
    <w:rsid w:val="00E27EB7"/>
    <w:rsid w:val="00E6405C"/>
    <w:rsid w:val="00F404B4"/>
    <w:rsid w:val="00FC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B9"/>
  <w15:chartTrackingRefBased/>
  <w15:docId w15:val="{E138F8A5-5A21-463A-A925-997DE45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E"/>
    <w:rPr>
      <w:rFonts w:eastAsiaTheme="majorEastAsia" w:cstheme="majorBidi"/>
      <w:color w:val="272727" w:themeColor="text1" w:themeTint="D8"/>
    </w:rPr>
  </w:style>
  <w:style w:type="paragraph" w:styleId="Title">
    <w:name w:val="Title"/>
    <w:basedOn w:val="Normal"/>
    <w:next w:val="Normal"/>
    <w:link w:val="TitleChar"/>
    <w:uiPriority w:val="10"/>
    <w:qFormat/>
    <w:rsid w:val="0029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E"/>
    <w:rPr>
      <w:i/>
      <w:iCs/>
      <w:color w:val="404040" w:themeColor="text1" w:themeTint="BF"/>
    </w:rPr>
  </w:style>
  <w:style w:type="paragraph" w:styleId="ListParagraph">
    <w:name w:val="List Paragraph"/>
    <w:basedOn w:val="Normal"/>
    <w:uiPriority w:val="34"/>
    <w:qFormat/>
    <w:rsid w:val="002932AE"/>
    <w:pPr>
      <w:ind w:left="720"/>
      <w:contextualSpacing/>
    </w:pPr>
  </w:style>
  <w:style w:type="character" w:styleId="IntenseEmphasis">
    <w:name w:val="Intense Emphasis"/>
    <w:basedOn w:val="DefaultParagraphFont"/>
    <w:uiPriority w:val="21"/>
    <w:qFormat/>
    <w:rsid w:val="002932AE"/>
    <w:rPr>
      <w:i/>
      <w:iCs/>
      <w:color w:val="2E74B5" w:themeColor="accent1" w:themeShade="BF"/>
    </w:rPr>
  </w:style>
  <w:style w:type="paragraph" w:styleId="IntenseQuote">
    <w:name w:val="Intense Quote"/>
    <w:basedOn w:val="Normal"/>
    <w:next w:val="Normal"/>
    <w:link w:val="IntenseQuoteChar"/>
    <w:uiPriority w:val="30"/>
    <w:qFormat/>
    <w:rsid w:val="0029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2AE"/>
    <w:rPr>
      <w:i/>
      <w:iCs/>
      <w:color w:val="2E74B5" w:themeColor="accent1" w:themeShade="BF"/>
    </w:rPr>
  </w:style>
  <w:style w:type="character" w:styleId="IntenseReference">
    <w:name w:val="Intense Reference"/>
    <w:basedOn w:val="DefaultParagraphFont"/>
    <w:uiPriority w:val="32"/>
    <w:qFormat/>
    <w:rsid w:val="002932AE"/>
    <w:rPr>
      <w:b/>
      <w:bCs/>
      <w:smallCaps/>
      <w:color w:val="2E74B5" w:themeColor="accent1" w:themeShade="BF"/>
      <w:spacing w:val="5"/>
    </w:rPr>
  </w:style>
  <w:style w:type="table" w:styleId="TableGrid">
    <w:name w:val="Table Grid"/>
    <w:basedOn w:val="TableNormal"/>
    <w:rsid w:val="004E39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9BE"/>
    <w:rPr>
      <w:color w:val="0563C1" w:themeColor="hyperlink"/>
      <w:u w:val="single"/>
    </w:rPr>
  </w:style>
  <w:style w:type="character" w:styleId="UnresolvedMention">
    <w:name w:val="Unresolved Mention"/>
    <w:basedOn w:val="DefaultParagraphFont"/>
    <w:uiPriority w:val="99"/>
    <w:semiHidden/>
    <w:unhideWhenUsed/>
    <w:rsid w:val="004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ystem/files/202602/Incident%20Response%20Plan%2014.6%20Part%20one.docx" TargetMode="External"/><Relationship Id="rId3" Type="http://schemas.openxmlformats.org/officeDocument/2006/relationships/settings" Target="settings.xml"/><Relationship Id="rId7" Type="http://schemas.openxmlformats.org/officeDocument/2006/relationships/hyperlink" Target="https://www.elft.nhs.uk/sites/default/files/202602/venous_thromboembolism_reducing_the_risk_policy_4.0.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sites/default/files/2026-02/Prevent%20Policy%204.0.docx" TargetMode="External"/><Relationship Id="rId11" Type="http://schemas.openxmlformats.org/officeDocument/2006/relationships/fontTable" Target="fontTable.xml"/><Relationship Id="rId5" Type="http://schemas.openxmlformats.org/officeDocument/2006/relationships/hyperlink" Target="https://www.elft.nhs.uk/intranet/teams-support-me/governance-and-risk-management/policy-management/trust-policies" TargetMode="External"/><Relationship Id="rId10" Type="http://schemas.openxmlformats.org/officeDocument/2006/relationships/hyperlink" Target="https://www.elft.nhs.uk/sites/default/files/2026-02/Flood%20Plan%201.6.doc" TargetMode="External"/><Relationship Id="rId4" Type="http://schemas.openxmlformats.org/officeDocument/2006/relationships/webSettings" Target="webSettings.xml"/><Relationship Id="rId9" Type="http://schemas.openxmlformats.org/officeDocument/2006/relationships/hyperlink" Target="https://www.elft.nhs.uk/sites/default/files/202602/Surge%20Management%20Plan%204.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4</cp:revision>
  <dcterms:created xsi:type="dcterms:W3CDTF">2026-03-11T11:04:00Z</dcterms:created>
  <dcterms:modified xsi:type="dcterms:W3CDTF">2026-03-11T11:08:00Z</dcterms:modified>
</cp:coreProperties>
</file>