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7FE5" w14:textId="21EC6EFE" w:rsidR="001B11A4" w:rsidRDefault="001B11A4" w:rsidP="001B11A4">
      <w:pPr>
        <w:pStyle w:val="NoSpacing"/>
        <w:jc w:val="right"/>
        <w:rPr>
          <w:b/>
          <w:bCs/>
          <w:sz w:val="40"/>
          <w:szCs w:val="40"/>
        </w:rPr>
      </w:pPr>
      <w:bookmarkStart w:id="0" w:name="_Toc224651766"/>
      <w:r>
        <w:rPr>
          <w:b/>
          <w:bCs/>
          <w:noProof/>
          <w:sz w:val="40"/>
          <w:szCs w:val="40"/>
        </w:rPr>
        <w:drawing>
          <wp:inline distT="0" distB="0" distL="0" distR="0" wp14:anchorId="041B24F1" wp14:editId="7E807A9A">
            <wp:extent cx="1640205" cy="926465"/>
            <wp:effectExtent l="0" t="0" r="0" b="6985"/>
            <wp:docPr id="105618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0205" cy="926465"/>
                    </a:xfrm>
                    <a:prstGeom prst="rect">
                      <a:avLst/>
                    </a:prstGeom>
                    <a:noFill/>
                  </pic:spPr>
                </pic:pic>
              </a:graphicData>
            </a:graphic>
          </wp:inline>
        </w:drawing>
      </w:r>
    </w:p>
    <w:p w14:paraId="114896A3" w14:textId="77777777" w:rsidR="001B11A4" w:rsidRDefault="001B11A4" w:rsidP="66992B7B">
      <w:pPr>
        <w:pStyle w:val="NoSpacing"/>
        <w:jc w:val="center"/>
        <w:rPr>
          <w:b/>
          <w:bCs/>
          <w:sz w:val="40"/>
          <w:szCs w:val="40"/>
        </w:rPr>
      </w:pPr>
    </w:p>
    <w:p w14:paraId="0CC981DB" w14:textId="77777777" w:rsidR="001B11A4" w:rsidRDefault="001B11A4" w:rsidP="66992B7B">
      <w:pPr>
        <w:pStyle w:val="NoSpacing"/>
        <w:jc w:val="center"/>
        <w:rPr>
          <w:b/>
          <w:bCs/>
          <w:sz w:val="40"/>
          <w:szCs w:val="40"/>
        </w:rPr>
      </w:pPr>
    </w:p>
    <w:p w14:paraId="10B09843" w14:textId="28C79C72" w:rsidR="71A65E9A" w:rsidRDefault="3B9E69AA" w:rsidP="66992B7B">
      <w:pPr>
        <w:pStyle w:val="NoSpacing"/>
        <w:jc w:val="center"/>
        <w:rPr>
          <w:b/>
          <w:bCs/>
          <w:sz w:val="40"/>
          <w:szCs w:val="40"/>
        </w:rPr>
      </w:pPr>
      <w:r w:rsidRPr="66992B7B">
        <w:rPr>
          <w:b/>
          <w:bCs/>
          <w:sz w:val="40"/>
          <w:szCs w:val="40"/>
        </w:rPr>
        <w:t>Nutrition Policy</w:t>
      </w:r>
      <w:bookmarkEnd w:id="0"/>
    </w:p>
    <w:p w14:paraId="1C5E4C29" w14:textId="77777777" w:rsidR="001B11A4" w:rsidRPr="006D25E6" w:rsidRDefault="001B11A4" w:rsidP="66992B7B">
      <w:pPr>
        <w:pStyle w:val="NoSpacing"/>
        <w:jc w:val="center"/>
        <w:rPr>
          <w:b/>
          <w:bCs/>
          <w:color w:val="auto"/>
          <w:sz w:val="40"/>
          <w:szCs w:val="40"/>
        </w:rPr>
      </w:pPr>
    </w:p>
    <w:tbl>
      <w:tblPr>
        <w:tblW w:w="0" w:type="auto"/>
        <w:tblLayout w:type="fixed"/>
        <w:tblLook w:val="01E0" w:firstRow="1" w:lastRow="1" w:firstColumn="1" w:lastColumn="1" w:noHBand="0" w:noVBand="0"/>
      </w:tblPr>
      <w:tblGrid>
        <w:gridCol w:w="2835"/>
        <w:gridCol w:w="6150"/>
      </w:tblGrid>
      <w:tr w:rsidR="1D38378D" w:rsidRPr="00B36D8A" w14:paraId="19D11747" w14:textId="77777777" w:rsidTr="46BBC149">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09810FEC" w14:textId="582749DB" w:rsidR="1D38378D" w:rsidRPr="00B36D8A" w:rsidRDefault="5BA79637" w:rsidP="00B36D8A">
            <w:pPr>
              <w:rPr>
                <w:sz w:val="22"/>
                <w:szCs w:val="22"/>
              </w:rPr>
            </w:pPr>
            <w:r w:rsidRPr="00B36D8A">
              <w:rPr>
                <w:sz w:val="22"/>
                <w:szCs w:val="22"/>
              </w:rPr>
              <w:t>Version number</w:t>
            </w:r>
          </w:p>
        </w:tc>
        <w:tc>
          <w:tcPr>
            <w:tcW w:w="6150" w:type="dxa"/>
            <w:tcBorders>
              <w:top w:val="single" w:sz="8" w:space="0" w:color="auto"/>
              <w:left w:val="single" w:sz="8" w:space="0" w:color="auto"/>
              <w:bottom w:val="single" w:sz="8" w:space="0" w:color="auto"/>
              <w:right w:val="single" w:sz="8" w:space="0" w:color="auto"/>
            </w:tcBorders>
            <w:tcMar>
              <w:left w:w="108" w:type="dxa"/>
              <w:right w:w="108" w:type="dxa"/>
            </w:tcMar>
          </w:tcPr>
          <w:p w14:paraId="5E813975" w14:textId="08BEDC7E" w:rsidR="1D38378D" w:rsidRPr="00B36D8A" w:rsidRDefault="2FA3F010" w:rsidP="00B36D8A">
            <w:pPr>
              <w:rPr>
                <w:sz w:val="22"/>
                <w:szCs w:val="22"/>
              </w:rPr>
            </w:pPr>
            <w:r w:rsidRPr="00B36D8A">
              <w:rPr>
                <w:sz w:val="22"/>
                <w:szCs w:val="22"/>
              </w:rPr>
              <w:t>2.0</w:t>
            </w:r>
          </w:p>
        </w:tc>
      </w:tr>
      <w:tr w:rsidR="1D38378D" w:rsidRPr="00B36D8A" w14:paraId="0408D69F" w14:textId="77777777" w:rsidTr="46BBC149">
        <w:trPr>
          <w:trHeight w:val="345"/>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39767DE9" w14:textId="46523818" w:rsidR="1D38378D" w:rsidRPr="00B36D8A" w:rsidRDefault="5BA79637" w:rsidP="00B36D8A">
            <w:pPr>
              <w:rPr>
                <w:sz w:val="22"/>
                <w:szCs w:val="22"/>
              </w:rPr>
            </w:pPr>
            <w:r w:rsidRPr="00B36D8A">
              <w:rPr>
                <w:sz w:val="22"/>
                <w:szCs w:val="22"/>
              </w:rPr>
              <w:t xml:space="preserve">Consultation Groups </w:t>
            </w:r>
          </w:p>
        </w:tc>
        <w:tc>
          <w:tcPr>
            <w:tcW w:w="6150" w:type="dxa"/>
            <w:tcBorders>
              <w:top w:val="single" w:sz="8" w:space="0" w:color="auto"/>
              <w:left w:val="single" w:sz="8" w:space="0" w:color="auto"/>
              <w:bottom w:val="single" w:sz="8" w:space="0" w:color="auto"/>
              <w:right w:val="single" w:sz="8" w:space="0" w:color="auto"/>
            </w:tcBorders>
            <w:tcMar>
              <w:left w:w="108" w:type="dxa"/>
              <w:right w:w="108" w:type="dxa"/>
            </w:tcMar>
          </w:tcPr>
          <w:p w14:paraId="61865780" w14:textId="67A1A66A" w:rsidR="1D38378D" w:rsidRPr="00B36D8A" w:rsidRDefault="5BA79637" w:rsidP="00B36D8A">
            <w:pPr>
              <w:rPr>
                <w:sz w:val="22"/>
                <w:szCs w:val="22"/>
              </w:rPr>
            </w:pPr>
            <w:r w:rsidRPr="00B36D8A">
              <w:rPr>
                <w:sz w:val="22"/>
                <w:szCs w:val="22"/>
              </w:rPr>
              <w:t>Nutrition Steering Group</w:t>
            </w:r>
          </w:p>
        </w:tc>
      </w:tr>
      <w:tr w:rsidR="1D38378D" w:rsidRPr="00B36D8A" w14:paraId="4A52F4AF" w14:textId="77777777" w:rsidTr="46BBC149">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50041B30" w14:textId="02AF0859" w:rsidR="1D38378D" w:rsidRPr="00B36D8A" w:rsidRDefault="5BA79637" w:rsidP="00B36D8A">
            <w:pPr>
              <w:rPr>
                <w:sz w:val="22"/>
                <w:szCs w:val="22"/>
              </w:rPr>
            </w:pPr>
            <w:r w:rsidRPr="00B36D8A">
              <w:rPr>
                <w:sz w:val="22"/>
                <w:szCs w:val="22"/>
              </w:rPr>
              <w:t>Approved by (Sponsor Group)</w:t>
            </w:r>
          </w:p>
        </w:tc>
        <w:tc>
          <w:tcPr>
            <w:tcW w:w="6150" w:type="dxa"/>
            <w:tcBorders>
              <w:top w:val="single" w:sz="8" w:space="0" w:color="auto"/>
              <w:left w:val="single" w:sz="8" w:space="0" w:color="auto"/>
              <w:bottom w:val="single" w:sz="8" w:space="0" w:color="auto"/>
              <w:right w:val="single" w:sz="8" w:space="0" w:color="auto"/>
            </w:tcBorders>
            <w:tcMar>
              <w:left w:w="108" w:type="dxa"/>
              <w:right w:w="108" w:type="dxa"/>
            </w:tcMar>
          </w:tcPr>
          <w:p w14:paraId="033E8E26" w14:textId="3F5680AB" w:rsidR="1D38378D" w:rsidRPr="00B36D8A" w:rsidRDefault="5BA79637" w:rsidP="00B36D8A">
            <w:pPr>
              <w:rPr>
                <w:sz w:val="22"/>
                <w:szCs w:val="22"/>
              </w:rPr>
            </w:pPr>
            <w:r w:rsidRPr="00B36D8A">
              <w:rPr>
                <w:sz w:val="22"/>
                <w:szCs w:val="22"/>
              </w:rPr>
              <w:t>Physical Health Group</w:t>
            </w:r>
          </w:p>
        </w:tc>
      </w:tr>
      <w:tr w:rsidR="001B11A4" w:rsidRPr="00B36D8A" w14:paraId="5CFEAB77" w14:textId="77777777" w:rsidTr="46BBC149">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6C9CB716" w14:textId="30805258" w:rsidR="001B11A4" w:rsidRPr="00B36D8A" w:rsidRDefault="001B11A4" w:rsidP="00B36D8A">
            <w:pPr>
              <w:rPr>
                <w:sz w:val="22"/>
                <w:szCs w:val="22"/>
              </w:rPr>
            </w:pPr>
            <w:r>
              <w:rPr>
                <w:sz w:val="22"/>
                <w:szCs w:val="22"/>
              </w:rPr>
              <w:t>Date approved</w:t>
            </w:r>
          </w:p>
        </w:tc>
        <w:tc>
          <w:tcPr>
            <w:tcW w:w="6150" w:type="dxa"/>
            <w:tcBorders>
              <w:top w:val="single" w:sz="8" w:space="0" w:color="auto"/>
              <w:left w:val="single" w:sz="8" w:space="0" w:color="auto"/>
              <w:bottom w:val="single" w:sz="8" w:space="0" w:color="auto"/>
              <w:right w:val="single" w:sz="8" w:space="0" w:color="auto"/>
            </w:tcBorders>
            <w:tcMar>
              <w:left w:w="108" w:type="dxa"/>
              <w:right w:w="108" w:type="dxa"/>
            </w:tcMar>
          </w:tcPr>
          <w:p w14:paraId="5328BD9A" w14:textId="02CA03BB" w:rsidR="001B11A4" w:rsidRPr="00B36D8A" w:rsidRDefault="001B11A4" w:rsidP="00B36D8A">
            <w:pPr>
              <w:rPr>
                <w:sz w:val="22"/>
                <w:szCs w:val="22"/>
              </w:rPr>
            </w:pPr>
            <w:r>
              <w:rPr>
                <w:sz w:val="22"/>
                <w:szCs w:val="22"/>
              </w:rPr>
              <w:t>10 March 2026</w:t>
            </w:r>
          </w:p>
        </w:tc>
      </w:tr>
      <w:tr w:rsidR="1D38378D" w:rsidRPr="00B36D8A" w14:paraId="59A07530" w14:textId="77777777" w:rsidTr="46BBC149">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29840A75" w14:textId="13B1AA48" w:rsidR="1D38378D" w:rsidRPr="00B36D8A" w:rsidRDefault="5BA79637" w:rsidP="00B36D8A">
            <w:pPr>
              <w:rPr>
                <w:sz w:val="22"/>
                <w:szCs w:val="22"/>
              </w:rPr>
            </w:pPr>
            <w:r w:rsidRPr="00B36D8A">
              <w:rPr>
                <w:sz w:val="22"/>
                <w:szCs w:val="22"/>
              </w:rPr>
              <w:t>Ratified by</w:t>
            </w:r>
          </w:p>
        </w:tc>
        <w:tc>
          <w:tcPr>
            <w:tcW w:w="6150" w:type="dxa"/>
            <w:tcBorders>
              <w:top w:val="single" w:sz="8" w:space="0" w:color="auto"/>
              <w:left w:val="single" w:sz="8" w:space="0" w:color="auto"/>
              <w:bottom w:val="single" w:sz="8" w:space="0" w:color="auto"/>
              <w:right w:val="single" w:sz="8" w:space="0" w:color="auto"/>
            </w:tcBorders>
            <w:tcMar>
              <w:left w:w="108" w:type="dxa"/>
              <w:right w:w="108" w:type="dxa"/>
            </w:tcMar>
          </w:tcPr>
          <w:p w14:paraId="210E2E8B" w14:textId="2EDCDCC1" w:rsidR="1D38378D" w:rsidRPr="00B36D8A" w:rsidRDefault="5BA79637" w:rsidP="00B36D8A">
            <w:pPr>
              <w:rPr>
                <w:sz w:val="22"/>
                <w:szCs w:val="22"/>
              </w:rPr>
            </w:pPr>
            <w:r w:rsidRPr="00B36D8A">
              <w:rPr>
                <w:sz w:val="22"/>
                <w:szCs w:val="22"/>
              </w:rPr>
              <w:t>Quality Committee</w:t>
            </w:r>
          </w:p>
        </w:tc>
      </w:tr>
      <w:tr w:rsidR="1D38378D" w:rsidRPr="00B36D8A" w14:paraId="529E5683" w14:textId="77777777" w:rsidTr="46BBC149">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64805DAA" w14:textId="64F37817" w:rsidR="1D38378D" w:rsidRPr="00B36D8A" w:rsidRDefault="5BA79637" w:rsidP="00B36D8A">
            <w:pPr>
              <w:rPr>
                <w:sz w:val="22"/>
                <w:szCs w:val="22"/>
              </w:rPr>
            </w:pPr>
            <w:r w:rsidRPr="00B36D8A">
              <w:rPr>
                <w:sz w:val="22"/>
                <w:szCs w:val="22"/>
              </w:rPr>
              <w:t>Date ratified</w:t>
            </w:r>
          </w:p>
        </w:tc>
        <w:tc>
          <w:tcPr>
            <w:tcW w:w="6150" w:type="dxa"/>
            <w:tcBorders>
              <w:top w:val="single" w:sz="8" w:space="0" w:color="auto"/>
              <w:left w:val="single" w:sz="8" w:space="0" w:color="auto"/>
              <w:bottom w:val="single" w:sz="8" w:space="0" w:color="auto"/>
              <w:right w:val="single" w:sz="8" w:space="0" w:color="auto"/>
            </w:tcBorders>
            <w:tcMar>
              <w:left w:w="108" w:type="dxa"/>
              <w:right w:w="108" w:type="dxa"/>
            </w:tcMar>
          </w:tcPr>
          <w:p w14:paraId="091E28EC" w14:textId="4F144018" w:rsidR="1D38378D" w:rsidRPr="00B36D8A" w:rsidRDefault="001B11A4" w:rsidP="00B36D8A">
            <w:pPr>
              <w:rPr>
                <w:sz w:val="22"/>
                <w:szCs w:val="22"/>
              </w:rPr>
            </w:pPr>
            <w:r>
              <w:rPr>
                <w:sz w:val="22"/>
                <w:szCs w:val="22"/>
              </w:rPr>
              <w:t>25</w:t>
            </w:r>
            <w:r w:rsidRPr="001B11A4">
              <w:rPr>
                <w:sz w:val="22"/>
                <w:szCs w:val="22"/>
              </w:rPr>
              <w:t xml:space="preserve"> March 2026</w:t>
            </w:r>
          </w:p>
        </w:tc>
      </w:tr>
      <w:tr w:rsidR="1D38378D" w:rsidRPr="00B36D8A" w14:paraId="4552EB9D" w14:textId="77777777" w:rsidTr="46BBC149">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2024953C" w14:textId="0B54BCF6" w:rsidR="1D38378D" w:rsidRPr="00B36D8A" w:rsidRDefault="5BA79637" w:rsidP="00B36D8A">
            <w:pPr>
              <w:rPr>
                <w:sz w:val="22"/>
                <w:szCs w:val="22"/>
              </w:rPr>
            </w:pPr>
            <w:r w:rsidRPr="00B36D8A">
              <w:rPr>
                <w:sz w:val="22"/>
                <w:szCs w:val="22"/>
              </w:rPr>
              <w:t>Name of originator/author</w:t>
            </w:r>
          </w:p>
        </w:tc>
        <w:tc>
          <w:tcPr>
            <w:tcW w:w="6150" w:type="dxa"/>
            <w:tcBorders>
              <w:top w:val="single" w:sz="8" w:space="0" w:color="auto"/>
              <w:left w:val="single" w:sz="8" w:space="0" w:color="auto"/>
              <w:bottom w:val="single" w:sz="8" w:space="0" w:color="auto"/>
              <w:right w:val="single" w:sz="8" w:space="0" w:color="auto"/>
            </w:tcBorders>
            <w:tcMar>
              <w:left w:w="108" w:type="dxa"/>
              <w:right w:w="108" w:type="dxa"/>
            </w:tcMar>
          </w:tcPr>
          <w:p w14:paraId="54815F0E" w14:textId="4B49E656" w:rsidR="1D38378D" w:rsidRPr="00B36D8A" w:rsidRDefault="001B11A4" w:rsidP="00B36D8A">
            <w:pPr>
              <w:rPr>
                <w:sz w:val="22"/>
                <w:szCs w:val="22"/>
              </w:rPr>
            </w:pPr>
            <w:r w:rsidRPr="001B11A4">
              <w:rPr>
                <w:sz w:val="22"/>
                <w:szCs w:val="22"/>
              </w:rPr>
              <w:t>Professional Lead and Development Dietitian Secondment</w:t>
            </w:r>
          </w:p>
        </w:tc>
      </w:tr>
      <w:tr w:rsidR="1D38378D" w:rsidRPr="00B36D8A" w14:paraId="42A9E7AE" w14:textId="77777777" w:rsidTr="46BBC149">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4F14E150" w14:textId="68BEA0DF" w:rsidR="1D38378D" w:rsidRPr="00B36D8A" w:rsidRDefault="001B11A4" w:rsidP="00B36D8A">
            <w:pPr>
              <w:rPr>
                <w:sz w:val="22"/>
                <w:szCs w:val="22"/>
              </w:rPr>
            </w:pPr>
            <w:r w:rsidRPr="001B11A4">
              <w:rPr>
                <w:sz w:val="22"/>
                <w:szCs w:val="22"/>
              </w:rPr>
              <w:t>Executive Director lead:</w:t>
            </w:r>
          </w:p>
        </w:tc>
        <w:tc>
          <w:tcPr>
            <w:tcW w:w="6150" w:type="dxa"/>
            <w:tcBorders>
              <w:top w:val="single" w:sz="8" w:space="0" w:color="auto"/>
              <w:left w:val="single" w:sz="8" w:space="0" w:color="auto"/>
              <w:bottom w:val="single" w:sz="8" w:space="0" w:color="auto"/>
              <w:right w:val="single" w:sz="8" w:space="0" w:color="auto"/>
            </w:tcBorders>
            <w:tcMar>
              <w:left w:w="108" w:type="dxa"/>
              <w:right w:w="108" w:type="dxa"/>
            </w:tcMar>
          </w:tcPr>
          <w:p w14:paraId="7973046B" w14:textId="0ED6F97A" w:rsidR="1D38378D" w:rsidRPr="00B36D8A" w:rsidRDefault="001B11A4" w:rsidP="00B36D8A">
            <w:pPr>
              <w:rPr>
                <w:sz w:val="22"/>
                <w:szCs w:val="22"/>
              </w:rPr>
            </w:pPr>
            <w:r w:rsidRPr="001B11A4">
              <w:rPr>
                <w:sz w:val="22"/>
                <w:szCs w:val="22"/>
              </w:rPr>
              <w:t>Interim Clinical Director</w:t>
            </w:r>
          </w:p>
        </w:tc>
      </w:tr>
      <w:tr w:rsidR="1D38378D" w:rsidRPr="00B36D8A" w14:paraId="698423F8" w14:textId="77777777" w:rsidTr="46BBC149">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1CEC9412" w14:textId="45CB78F6" w:rsidR="1D38378D" w:rsidRPr="00B36D8A" w:rsidRDefault="5BA79637" w:rsidP="00B36D8A">
            <w:pPr>
              <w:rPr>
                <w:sz w:val="22"/>
                <w:szCs w:val="22"/>
              </w:rPr>
            </w:pPr>
            <w:r w:rsidRPr="00B36D8A">
              <w:rPr>
                <w:sz w:val="22"/>
                <w:szCs w:val="22"/>
              </w:rPr>
              <w:t>Implementation Date</w:t>
            </w:r>
          </w:p>
        </w:tc>
        <w:tc>
          <w:tcPr>
            <w:tcW w:w="6150" w:type="dxa"/>
            <w:tcBorders>
              <w:top w:val="single" w:sz="8" w:space="0" w:color="auto"/>
              <w:left w:val="single" w:sz="8" w:space="0" w:color="auto"/>
              <w:bottom w:val="single" w:sz="8" w:space="0" w:color="auto"/>
              <w:right w:val="single" w:sz="8" w:space="0" w:color="auto"/>
            </w:tcBorders>
            <w:tcMar>
              <w:left w:w="108" w:type="dxa"/>
              <w:right w:w="108" w:type="dxa"/>
            </w:tcMar>
          </w:tcPr>
          <w:p w14:paraId="0F576E26" w14:textId="6016E274" w:rsidR="1D38378D" w:rsidRPr="00B36D8A" w:rsidRDefault="001B11A4" w:rsidP="00B36D8A">
            <w:pPr>
              <w:rPr>
                <w:sz w:val="22"/>
                <w:szCs w:val="22"/>
              </w:rPr>
            </w:pPr>
            <w:r w:rsidRPr="001B11A4">
              <w:rPr>
                <w:sz w:val="22"/>
                <w:szCs w:val="22"/>
              </w:rPr>
              <w:t>March 2026</w:t>
            </w:r>
          </w:p>
        </w:tc>
      </w:tr>
      <w:tr w:rsidR="1D38378D" w:rsidRPr="00B36D8A" w14:paraId="13534B71" w14:textId="77777777" w:rsidTr="46BBC149">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77D7B996" w14:textId="3CD69BD3" w:rsidR="1D38378D" w:rsidRPr="00B36D8A" w:rsidRDefault="5BA79637" w:rsidP="00B36D8A">
            <w:pPr>
              <w:rPr>
                <w:sz w:val="22"/>
                <w:szCs w:val="22"/>
              </w:rPr>
            </w:pPr>
            <w:r w:rsidRPr="00B36D8A">
              <w:rPr>
                <w:sz w:val="22"/>
                <w:szCs w:val="22"/>
              </w:rPr>
              <w:t xml:space="preserve">Last Review Date </w:t>
            </w:r>
          </w:p>
        </w:tc>
        <w:tc>
          <w:tcPr>
            <w:tcW w:w="6150" w:type="dxa"/>
            <w:tcBorders>
              <w:top w:val="single" w:sz="8" w:space="0" w:color="auto"/>
              <w:left w:val="single" w:sz="8" w:space="0" w:color="auto"/>
              <w:bottom w:val="single" w:sz="8" w:space="0" w:color="auto"/>
              <w:right w:val="single" w:sz="8" w:space="0" w:color="auto"/>
            </w:tcBorders>
            <w:tcMar>
              <w:left w:w="108" w:type="dxa"/>
              <w:right w:w="108" w:type="dxa"/>
            </w:tcMar>
          </w:tcPr>
          <w:p w14:paraId="44961C3F" w14:textId="4C7E77FF" w:rsidR="1D38378D" w:rsidRPr="00B36D8A" w:rsidRDefault="37969E41" w:rsidP="00B36D8A">
            <w:pPr>
              <w:rPr>
                <w:sz w:val="22"/>
                <w:szCs w:val="22"/>
              </w:rPr>
            </w:pPr>
            <w:r w:rsidRPr="00B36D8A">
              <w:rPr>
                <w:sz w:val="22"/>
                <w:szCs w:val="22"/>
              </w:rPr>
              <w:t>March 2026</w:t>
            </w:r>
          </w:p>
        </w:tc>
      </w:tr>
      <w:tr w:rsidR="1D38378D" w:rsidRPr="00B36D8A" w14:paraId="19FDB3C7" w14:textId="77777777" w:rsidTr="46BBC149">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05C087BC" w14:textId="466BB0BB" w:rsidR="1D38378D" w:rsidRPr="00B36D8A" w:rsidRDefault="5BA79637" w:rsidP="00B36D8A">
            <w:pPr>
              <w:rPr>
                <w:sz w:val="22"/>
                <w:szCs w:val="22"/>
              </w:rPr>
            </w:pPr>
            <w:r w:rsidRPr="00B36D8A">
              <w:rPr>
                <w:sz w:val="22"/>
                <w:szCs w:val="22"/>
              </w:rPr>
              <w:t>Next Review date</w:t>
            </w:r>
          </w:p>
        </w:tc>
        <w:tc>
          <w:tcPr>
            <w:tcW w:w="6150" w:type="dxa"/>
            <w:tcBorders>
              <w:top w:val="single" w:sz="8" w:space="0" w:color="auto"/>
              <w:left w:val="single" w:sz="8" w:space="0" w:color="auto"/>
              <w:bottom w:val="single" w:sz="8" w:space="0" w:color="auto"/>
              <w:right w:val="single" w:sz="8" w:space="0" w:color="auto"/>
            </w:tcBorders>
            <w:tcMar>
              <w:left w:w="108" w:type="dxa"/>
              <w:right w:w="108" w:type="dxa"/>
            </w:tcMar>
          </w:tcPr>
          <w:p w14:paraId="7CA85315" w14:textId="2C8F0ABF" w:rsidR="1D38378D" w:rsidRPr="00B36D8A" w:rsidRDefault="001B11A4" w:rsidP="00B36D8A">
            <w:pPr>
              <w:rPr>
                <w:sz w:val="22"/>
                <w:szCs w:val="22"/>
              </w:rPr>
            </w:pPr>
            <w:r>
              <w:rPr>
                <w:sz w:val="22"/>
                <w:szCs w:val="22"/>
              </w:rPr>
              <w:t>March 202</w:t>
            </w:r>
            <w:r>
              <w:rPr>
                <w:sz w:val="22"/>
                <w:szCs w:val="22"/>
              </w:rPr>
              <w:t>9</w:t>
            </w:r>
          </w:p>
        </w:tc>
      </w:tr>
    </w:tbl>
    <w:p w14:paraId="0CFB6386" w14:textId="4F3C04B9" w:rsidR="71A65E9A" w:rsidRDefault="0E542182" w:rsidP="004443B8">
      <w:r>
        <w:t xml:space="preserve"> </w:t>
      </w:r>
    </w:p>
    <w:p w14:paraId="4A58F8E1" w14:textId="77777777" w:rsidR="001B11A4" w:rsidRDefault="001B11A4" w:rsidP="004443B8"/>
    <w:p w14:paraId="7EC23F30" w14:textId="77777777" w:rsidR="001B11A4" w:rsidRDefault="001B11A4" w:rsidP="004443B8"/>
    <w:p w14:paraId="611265F6" w14:textId="77777777" w:rsidR="001B11A4" w:rsidRDefault="001B11A4" w:rsidP="004443B8"/>
    <w:tbl>
      <w:tblPr>
        <w:tblW w:w="0" w:type="auto"/>
        <w:tblLayout w:type="fixed"/>
        <w:tblLook w:val="04A0" w:firstRow="1" w:lastRow="0" w:firstColumn="1" w:lastColumn="0" w:noHBand="0" w:noVBand="1"/>
      </w:tblPr>
      <w:tblGrid>
        <w:gridCol w:w="2835"/>
        <w:gridCol w:w="6165"/>
      </w:tblGrid>
      <w:tr w:rsidR="1D38378D" w:rsidRPr="00B36D8A" w14:paraId="5FE8A6D8" w14:textId="77777777" w:rsidTr="66992B7B">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5B8442" w14:textId="5C09582D" w:rsidR="1D38378D" w:rsidRPr="00B36D8A" w:rsidRDefault="5BA79637" w:rsidP="00B36D8A">
            <w:pPr>
              <w:rPr>
                <w:sz w:val="22"/>
                <w:szCs w:val="22"/>
              </w:rPr>
            </w:pPr>
            <w:r w:rsidRPr="00B36D8A">
              <w:rPr>
                <w:sz w:val="22"/>
                <w:szCs w:val="22"/>
              </w:rPr>
              <w:t xml:space="preserve">Services </w:t>
            </w:r>
          </w:p>
        </w:tc>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154D1F" w14:textId="5F6717DC" w:rsidR="1D38378D" w:rsidRPr="00B36D8A" w:rsidRDefault="5BA79637" w:rsidP="00B36D8A">
            <w:pPr>
              <w:rPr>
                <w:sz w:val="22"/>
                <w:szCs w:val="22"/>
              </w:rPr>
            </w:pPr>
            <w:r w:rsidRPr="00B36D8A">
              <w:rPr>
                <w:sz w:val="22"/>
                <w:szCs w:val="22"/>
              </w:rPr>
              <w:t xml:space="preserve">Applicable </w:t>
            </w:r>
          </w:p>
        </w:tc>
      </w:tr>
      <w:tr w:rsidR="1D38378D" w:rsidRPr="00B36D8A" w14:paraId="3B5883CC" w14:textId="77777777" w:rsidTr="66992B7B">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11980A" w14:textId="4A6A90FF" w:rsidR="1D38378D" w:rsidRPr="00B36D8A" w:rsidRDefault="5BA79637" w:rsidP="00B36D8A">
            <w:pPr>
              <w:rPr>
                <w:sz w:val="22"/>
                <w:szCs w:val="22"/>
              </w:rPr>
            </w:pPr>
            <w:r w:rsidRPr="00B36D8A">
              <w:rPr>
                <w:sz w:val="22"/>
                <w:szCs w:val="22"/>
              </w:rPr>
              <w:t>Trust</w:t>
            </w:r>
            <w:r w:rsidR="6BF37169" w:rsidRPr="00B36D8A">
              <w:rPr>
                <w:sz w:val="22"/>
                <w:szCs w:val="22"/>
              </w:rPr>
              <w:t xml:space="preserve"> </w:t>
            </w:r>
            <w:r w:rsidRPr="00B36D8A">
              <w:rPr>
                <w:sz w:val="22"/>
                <w:szCs w:val="22"/>
              </w:rPr>
              <w:t>wide</w:t>
            </w:r>
          </w:p>
        </w:tc>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F6574A" w14:textId="7BF6FE1D" w:rsidR="1D38378D" w:rsidRPr="00B36D8A" w:rsidRDefault="5BA79637" w:rsidP="00B36D8A">
            <w:pPr>
              <w:rPr>
                <w:sz w:val="22"/>
                <w:szCs w:val="22"/>
              </w:rPr>
            </w:pPr>
            <w:r w:rsidRPr="00B36D8A">
              <w:rPr>
                <w:sz w:val="22"/>
                <w:szCs w:val="22"/>
              </w:rPr>
              <w:t>Applicable</w:t>
            </w:r>
          </w:p>
        </w:tc>
      </w:tr>
      <w:tr w:rsidR="1D38378D" w:rsidRPr="00B36D8A" w14:paraId="5ECB8E75" w14:textId="77777777" w:rsidTr="66992B7B">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40620B" w14:textId="4F24AA5B" w:rsidR="1D38378D" w:rsidRPr="00B36D8A" w:rsidRDefault="5BA79637" w:rsidP="00B36D8A">
            <w:pPr>
              <w:rPr>
                <w:sz w:val="22"/>
                <w:szCs w:val="22"/>
              </w:rPr>
            </w:pPr>
            <w:r w:rsidRPr="00B36D8A">
              <w:rPr>
                <w:sz w:val="22"/>
                <w:szCs w:val="22"/>
              </w:rPr>
              <w:t xml:space="preserve">Mental Health and LD </w:t>
            </w:r>
          </w:p>
        </w:tc>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66FB93" w14:textId="2C32892C" w:rsidR="1D38378D" w:rsidRPr="00B36D8A" w:rsidRDefault="5BA79637" w:rsidP="00B36D8A">
            <w:pPr>
              <w:rPr>
                <w:sz w:val="22"/>
                <w:szCs w:val="22"/>
              </w:rPr>
            </w:pPr>
            <w:r w:rsidRPr="00B36D8A">
              <w:rPr>
                <w:sz w:val="22"/>
                <w:szCs w:val="22"/>
              </w:rPr>
              <w:t>Applicable</w:t>
            </w:r>
          </w:p>
        </w:tc>
      </w:tr>
      <w:tr w:rsidR="1D38378D" w:rsidRPr="00B36D8A" w14:paraId="7BC3753C" w14:textId="77777777" w:rsidTr="66992B7B">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119CF3" w14:textId="70F63C78" w:rsidR="1D38378D" w:rsidRPr="00B36D8A" w:rsidRDefault="5BA79637" w:rsidP="001B11A4">
            <w:pPr>
              <w:jc w:val="left"/>
              <w:rPr>
                <w:sz w:val="22"/>
                <w:szCs w:val="22"/>
              </w:rPr>
            </w:pPr>
            <w:r w:rsidRPr="00B36D8A">
              <w:rPr>
                <w:sz w:val="22"/>
                <w:szCs w:val="22"/>
              </w:rPr>
              <w:t xml:space="preserve">Community Health Services </w:t>
            </w:r>
          </w:p>
        </w:tc>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C3C279" w14:textId="0C4AEFDE" w:rsidR="1D38378D" w:rsidRPr="00B36D8A" w:rsidRDefault="5BA79637" w:rsidP="00B36D8A">
            <w:pPr>
              <w:rPr>
                <w:sz w:val="22"/>
                <w:szCs w:val="22"/>
              </w:rPr>
            </w:pPr>
            <w:r w:rsidRPr="00B36D8A">
              <w:rPr>
                <w:sz w:val="22"/>
                <w:szCs w:val="22"/>
              </w:rPr>
              <w:t>Applicable</w:t>
            </w:r>
          </w:p>
          <w:p w14:paraId="47D2EA17" w14:textId="2BC05DFE" w:rsidR="1D38378D" w:rsidRPr="00B36D8A" w:rsidRDefault="5BA79637" w:rsidP="00B36D8A">
            <w:pPr>
              <w:rPr>
                <w:sz w:val="22"/>
                <w:szCs w:val="22"/>
              </w:rPr>
            </w:pPr>
            <w:r w:rsidRPr="00B36D8A">
              <w:rPr>
                <w:sz w:val="22"/>
                <w:szCs w:val="22"/>
              </w:rPr>
              <w:t xml:space="preserve"> </w:t>
            </w:r>
          </w:p>
        </w:tc>
      </w:tr>
    </w:tbl>
    <w:p w14:paraId="7D03C4F2" w14:textId="77C9D0F9" w:rsidR="71A65E9A" w:rsidRPr="004443B8" w:rsidRDefault="71A65E9A" w:rsidP="004443B8">
      <w:pPr>
        <w:rPr>
          <w:sz w:val="22"/>
          <w:szCs w:val="22"/>
        </w:rPr>
      </w:pPr>
    </w:p>
    <w:p w14:paraId="1E2B92C8" w14:textId="5D3EB559" w:rsidR="71A65E9A" w:rsidRDefault="71A65E9A" w:rsidP="66992B7B">
      <w:r>
        <w:br w:type="page"/>
      </w:r>
    </w:p>
    <w:p w14:paraId="5CFBD418" w14:textId="025A7318" w:rsidR="71A65E9A" w:rsidRDefault="0E542182" w:rsidP="004443B8">
      <w:r w:rsidRPr="66992B7B">
        <w:lastRenderedPageBreak/>
        <w:t xml:space="preserve"> </w:t>
      </w:r>
    </w:p>
    <w:p w14:paraId="6AD4C9B2" w14:textId="6384BB40" w:rsidR="71A65E9A" w:rsidRPr="004443B8" w:rsidRDefault="65AB41CA" w:rsidP="004443B8">
      <w:pPr>
        <w:jc w:val="center"/>
        <w:rPr>
          <w:b/>
        </w:rPr>
      </w:pPr>
      <w:r w:rsidRPr="004443B8">
        <w:rPr>
          <w:b/>
        </w:rPr>
        <w:t>Version Control Summary</w:t>
      </w:r>
    </w:p>
    <w:tbl>
      <w:tblPr>
        <w:tblW w:w="8985" w:type="dxa"/>
        <w:tblLayout w:type="fixed"/>
        <w:tblLook w:val="06A0" w:firstRow="1" w:lastRow="0" w:firstColumn="1" w:lastColumn="0" w:noHBand="1" w:noVBand="1"/>
      </w:tblPr>
      <w:tblGrid>
        <w:gridCol w:w="983"/>
        <w:gridCol w:w="1417"/>
        <w:gridCol w:w="1559"/>
        <w:gridCol w:w="1134"/>
        <w:gridCol w:w="3892"/>
      </w:tblGrid>
      <w:tr w:rsidR="1D38378D" w:rsidRPr="00B36D8A" w14:paraId="715ABE66" w14:textId="77777777" w:rsidTr="00517414">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823889" w14:textId="6B5FB4ED" w:rsidR="1D38378D" w:rsidRPr="00B36D8A" w:rsidRDefault="2270B264" w:rsidP="00B36D8A">
            <w:pPr>
              <w:rPr>
                <w:sz w:val="22"/>
                <w:szCs w:val="22"/>
              </w:rPr>
            </w:pPr>
            <w:r w:rsidRPr="00B36D8A">
              <w:rPr>
                <w:sz w:val="22"/>
                <w:szCs w:val="22"/>
              </w:rPr>
              <w:t>Version</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240E41" w14:textId="32A61726" w:rsidR="1D38378D" w:rsidRPr="00B36D8A" w:rsidRDefault="2270B264" w:rsidP="00B36D8A">
            <w:pPr>
              <w:rPr>
                <w:sz w:val="22"/>
                <w:szCs w:val="22"/>
              </w:rPr>
            </w:pPr>
            <w:r w:rsidRPr="00B36D8A">
              <w:rPr>
                <w:sz w:val="22"/>
                <w:szCs w:val="22"/>
              </w:rPr>
              <w:t>Date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47F807" w14:textId="54CF6F2E" w:rsidR="1D38378D" w:rsidRPr="00B36D8A" w:rsidRDefault="2270B264" w:rsidP="00B36D8A">
            <w:pPr>
              <w:rPr>
                <w:sz w:val="22"/>
                <w:szCs w:val="22"/>
              </w:rPr>
            </w:pPr>
            <w:r w:rsidRPr="00B36D8A">
              <w:rPr>
                <w:sz w:val="22"/>
                <w:szCs w:val="22"/>
              </w:rPr>
              <w:t>Author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D4FC7" w14:textId="058CD9CB" w:rsidR="1D38378D" w:rsidRPr="00B36D8A" w:rsidRDefault="2270B264" w:rsidP="00B36D8A">
            <w:pPr>
              <w:rPr>
                <w:sz w:val="22"/>
                <w:szCs w:val="22"/>
              </w:rPr>
            </w:pPr>
            <w:r w:rsidRPr="00B36D8A">
              <w:rPr>
                <w:sz w:val="22"/>
                <w:szCs w:val="22"/>
              </w:rPr>
              <w:t>Status</w:t>
            </w:r>
          </w:p>
        </w:tc>
        <w:tc>
          <w:tcPr>
            <w:tcW w:w="3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3CB89D" w14:textId="0391B4D0" w:rsidR="1D38378D" w:rsidRPr="00B36D8A" w:rsidRDefault="2270B264" w:rsidP="00B36D8A">
            <w:pPr>
              <w:rPr>
                <w:sz w:val="22"/>
                <w:szCs w:val="22"/>
              </w:rPr>
            </w:pPr>
            <w:r w:rsidRPr="00B36D8A">
              <w:rPr>
                <w:sz w:val="22"/>
                <w:szCs w:val="22"/>
              </w:rPr>
              <w:t>Comment</w:t>
            </w:r>
          </w:p>
        </w:tc>
      </w:tr>
      <w:tr w:rsidR="1D38378D" w:rsidRPr="00B36D8A" w14:paraId="5D708C9F" w14:textId="77777777" w:rsidTr="00517414">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95720F" w14:textId="1594D7CA" w:rsidR="1D38378D" w:rsidRPr="00B36D8A" w:rsidRDefault="2270B264" w:rsidP="00B36D8A">
            <w:pPr>
              <w:rPr>
                <w:sz w:val="22"/>
                <w:szCs w:val="22"/>
              </w:rPr>
            </w:pPr>
            <w:r w:rsidRPr="00B36D8A">
              <w:rPr>
                <w:sz w:val="22"/>
                <w:szCs w:val="22"/>
              </w:rPr>
              <w:t xml:space="preserve"> </w:t>
            </w:r>
            <w:r w:rsidR="5DD6EF2A" w:rsidRPr="00B36D8A">
              <w:rPr>
                <w:sz w:val="22"/>
                <w:szCs w:val="22"/>
              </w:rPr>
              <w:t>1.0</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28B046" w14:textId="18CF3F35" w:rsidR="1D38378D" w:rsidRPr="00B36D8A" w:rsidRDefault="7F0F6F07" w:rsidP="00B36D8A">
            <w:pPr>
              <w:rPr>
                <w:sz w:val="22"/>
                <w:szCs w:val="22"/>
              </w:rPr>
            </w:pPr>
            <w:r w:rsidRPr="00B36D8A">
              <w:rPr>
                <w:sz w:val="22"/>
                <w:szCs w:val="22"/>
              </w:rPr>
              <w:t>Sept</w:t>
            </w:r>
            <w:r w:rsidR="0ABB19D0" w:rsidRPr="00B36D8A">
              <w:rPr>
                <w:sz w:val="22"/>
                <w:szCs w:val="22"/>
              </w:rPr>
              <w:t>ember</w:t>
            </w:r>
            <w:r w:rsidRPr="00B36D8A">
              <w:rPr>
                <w:sz w:val="22"/>
                <w:szCs w:val="22"/>
              </w:rPr>
              <w:t xml:space="preserve"> 2022</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F58F97" w14:textId="0E805AC3" w:rsidR="1D38378D" w:rsidRPr="00B36D8A" w:rsidRDefault="4AF30810" w:rsidP="00B36D8A">
            <w:pPr>
              <w:rPr>
                <w:sz w:val="22"/>
                <w:szCs w:val="22"/>
              </w:rPr>
            </w:pPr>
            <w:r w:rsidRPr="00B36D8A">
              <w:rPr>
                <w:sz w:val="22"/>
                <w:szCs w:val="22"/>
              </w:rPr>
              <w:t>Professional Lead and Development dietitian</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689021" w14:textId="67762A11" w:rsidR="1D38378D" w:rsidRPr="00B36D8A" w:rsidRDefault="2270B264" w:rsidP="00B36D8A">
            <w:pPr>
              <w:rPr>
                <w:sz w:val="22"/>
                <w:szCs w:val="22"/>
              </w:rPr>
            </w:pPr>
            <w:r w:rsidRPr="00B36D8A">
              <w:rPr>
                <w:sz w:val="22"/>
                <w:szCs w:val="22"/>
              </w:rPr>
              <w:t xml:space="preserve"> </w:t>
            </w:r>
            <w:r w:rsidR="02C8D90B" w:rsidRPr="00B36D8A">
              <w:rPr>
                <w:sz w:val="22"/>
                <w:szCs w:val="22"/>
              </w:rPr>
              <w:t>Final</w:t>
            </w:r>
          </w:p>
        </w:tc>
        <w:tc>
          <w:tcPr>
            <w:tcW w:w="3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AA1887" w14:textId="547BE357" w:rsidR="1D38378D" w:rsidRPr="00B36D8A" w:rsidRDefault="0C5E90A6" w:rsidP="00B36D8A">
            <w:pPr>
              <w:rPr>
                <w:sz w:val="22"/>
                <w:szCs w:val="22"/>
              </w:rPr>
            </w:pPr>
            <w:r w:rsidRPr="00B36D8A">
              <w:rPr>
                <w:sz w:val="22"/>
                <w:szCs w:val="22"/>
              </w:rPr>
              <w:t xml:space="preserve">A new policy developed in line with Trust policy development guidance and national </w:t>
            </w:r>
            <w:r w:rsidR="00517414">
              <w:rPr>
                <w:sz w:val="22"/>
                <w:szCs w:val="22"/>
              </w:rPr>
              <w:t>standards relating to nutrition</w:t>
            </w:r>
            <w:r w:rsidRPr="00B36D8A">
              <w:rPr>
                <w:sz w:val="22"/>
                <w:szCs w:val="22"/>
              </w:rPr>
              <w:t>, including the Health and Social Care Act 2008 (Regulated Activities) Regulations 2014 (Regulation 14), NICE guidance on nutrition support, and NHS England standards for healthcare food and drink.</w:t>
            </w:r>
          </w:p>
        </w:tc>
      </w:tr>
      <w:tr w:rsidR="5311C3E3" w:rsidRPr="00B36D8A" w14:paraId="664B03CB" w14:textId="77777777" w:rsidTr="00517414">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79DDD0" w14:textId="1264E956" w:rsidR="3A94915C" w:rsidRPr="00B36D8A" w:rsidRDefault="3A94915C" w:rsidP="00B36D8A">
            <w:pPr>
              <w:rPr>
                <w:sz w:val="22"/>
                <w:szCs w:val="22"/>
              </w:rPr>
            </w:pPr>
            <w:r w:rsidRPr="00B36D8A">
              <w:rPr>
                <w:sz w:val="22"/>
                <w:szCs w:val="22"/>
              </w:rPr>
              <w:t xml:space="preserve">2.0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2579BD" w14:textId="38379584" w:rsidR="3A94915C" w:rsidRPr="00B36D8A" w:rsidRDefault="3A94915C" w:rsidP="00B36D8A">
            <w:pPr>
              <w:rPr>
                <w:sz w:val="22"/>
                <w:szCs w:val="22"/>
              </w:rPr>
            </w:pPr>
            <w:r w:rsidRPr="00B36D8A">
              <w:rPr>
                <w:sz w:val="22"/>
                <w:szCs w:val="22"/>
              </w:rPr>
              <w:t>April 2026</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C4A412" w14:textId="62F9BF97" w:rsidR="3A94915C" w:rsidRPr="00B36D8A" w:rsidRDefault="3A94915C" w:rsidP="00B36D8A">
            <w:pPr>
              <w:rPr>
                <w:sz w:val="22"/>
                <w:szCs w:val="22"/>
              </w:rPr>
            </w:pPr>
            <w:r w:rsidRPr="00B36D8A">
              <w:rPr>
                <w:sz w:val="22"/>
                <w:szCs w:val="22"/>
              </w:rPr>
              <w:t>Professional Lead and Development dietitian</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41F8CB" w14:textId="4708DA03" w:rsidR="3A94915C" w:rsidRPr="00B36D8A" w:rsidRDefault="3A94915C" w:rsidP="00B36D8A">
            <w:pPr>
              <w:rPr>
                <w:sz w:val="22"/>
                <w:szCs w:val="22"/>
              </w:rPr>
            </w:pPr>
            <w:r w:rsidRPr="00B36D8A">
              <w:rPr>
                <w:sz w:val="22"/>
                <w:szCs w:val="22"/>
              </w:rPr>
              <w:t xml:space="preserve">Revised </w:t>
            </w:r>
          </w:p>
        </w:tc>
        <w:tc>
          <w:tcPr>
            <w:tcW w:w="3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8ABC3C" w14:textId="66FA291E" w:rsidR="014926D3" w:rsidRPr="00B36D8A" w:rsidRDefault="56379E30" w:rsidP="00B36D8A">
            <w:pPr>
              <w:rPr>
                <w:sz w:val="22"/>
                <w:szCs w:val="22"/>
              </w:rPr>
            </w:pPr>
            <w:r w:rsidRPr="00B36D8A">
              <w:rPr>
                <w:sz w:val="22"/>
                <w:szCs w:val="22"/>
              </w:rPr>
              <w:t xml:space="preserve">Scheduled policy review. Policy expanded to include hydration standards and updated to align with NICE guidance and NHS England Hospital Food Standards. Structure revised to strengthen screening, assessment, care planning, monitoring and escalation of nutrition and hydration risk. </w:t>
            </w:r>
          </w:p>
          <w:p w14:paraId="3CA2AF1E" w14:textId="5A80FB93" w:rsidR="014926D3" w:rsidRPr="00B36D8A" w:rsidRDefault="56379E30" w:rsidP="00B36D8A">
            <w:pPr>
              <w:rPr>
                <w:sz w:val="22"/>
                <w:szCs w:val="22"/>
              </w:rPr>
            </w:pPr>
            <w:r w:rsidRPr="00B36D8A">
              <w:rPr>
                <w:sz w:val="22"/>
                <w:szCs w:val="22"/>
              </w:rPr>
              <w:t xml:space="preserve">New sections added on medication-related nutrition risks, obesity management, </w:t>
            </w:r>
            <w:r w:rsidR="00517414" w:rsidRPr="00B36D8A">
              <w:rPr>
                <w:sz w:val="22"/>
                <w:szCs w:val="22"/>
              </w:rPr>
              <w:t>and diabetes</w:t>
            </w:r>
            <w:r w:rsidRPr="00B36D8A">
              <w:rPr>
                <w:sz w:val="22"/>
                <w:szCs w:val="22"/>
              </w:rPr>
              <w:t>, hydration monitoring and artificial nutrition. Governance, training, incident reporting and discharge documentation requirements clarified. Updates also reflect feedback</w:t>
            </w:r>
            <w:r w:rsidR="000A469E" w:rsidRPr="00B36D8A">
              <w:rPr>
                <w:sz w:val="22"/>
                <w:szCs w:val="22"/>
              </w:rPr>
              <w:t xml:space="preserve"> from ELFT Director of nursing</w:t>
            </w:r>
            <w:r w:rsidRPr="00B36D8A">
              <w:rPr>
                <w:sz w:val="22"/>
                <w:szCs w:val="22"/>
              </w:rPr>
              <w:t xml:space="preserve"> </w:t>
            </w:r>
            <w:r w:rsidR="000A469E" w:rsidRPr="00B36D8A">
              <w:rPr>
                <w:sz w:val="22"/>
                <w:szCs w:val="22"/>
              </w:rPr>
              <w:t xml:space="preserve">and deputy director for Infection and Physical Health Lead </w:t>
            </w:r>
            <w:r w:rsidRPr="00B36D8A">
              <w:rPr>
                <w:sz w:val="22"/>
                <w:szCs w:val="22"/>
              </w:rPr>
              <w:t>regarding hydration care planning and learning from a PSII relating to obesity recognition, monitoring and access to specialist support.</w:t>
            </w:r>
          </w:p>
        </w:tc>
      </w:tr>
    </w:tbl>
    <w:p w14:paraId="6031E851" w14:textId="70116D3C" w:rsidR="00B36D8A" w:rsidRDefault="00B36D8A" w:rsidP="004443B8">
      <w:pPr>
        <w:rPr>
          <w:rFonts w:cs="Arial"/>
          <w:color w:val="1F4E79" w:themeColor="accent1" w:themeShade="80"/>
          <w:sz w:val="36"/>
          <w:szCs w:val="36"/>
        </w:rPr>
      </w:pPr>
      <w:r>
        <w:br w:type="page"/>
      </w:r>
    </w:p>
    <w:p w14:paraId="507F96A7" w14:textId="5EA7A355" w:rsidR="3A687708" w:rsidRDefault="3A687708" w:rsidP="66992B7B">
      <w:pPr>
        <w:pStyle w:val="Heading1"/>
        <w:rPr>
          <w:sz w:val="22"/>
          <w:szCs w:val="22"/>
        </w:rPr>
      </w:pPr>
      <w:bookmarkStart w:id="1" w:name="_Toc224651767"/>
      <w:bookmarkStart w:id="2" w:name="_Toc224651992"/>
      <w:bookmarkStart w:id="3" w:name="_Toc227057815"/>
      <w:r>
        <w:lastRenderedPageBreak/>
        <w:t>Executive Summary</w:t>
      </w:r>
      <w:bookmarkEnd w:id="1"/>
      <w:bookmarkEnd w:id="2"/>
      <w:bookmarkEnd w:id="3"/>
    </w:p>
    <w:p w14:paraId="3D432AAF" w14:textId="0FA80F2C" w:rsidR="4D8AE8D5" w:rsidRPr="004443B8" w:rsidRDefault="4D8AE8D5" w:rsidP="004443B8">
      <w:pPr>
        <w:rPr>
          <w:sz w:val="22"/>
          <w:szCs w:val="22"/>
        </w:rPr>
      </w:pPr>
      <w:r w:rsidRPr="004443B8">
        <w:rPr>
          <w:sz w:val="22"/>
          <w:szCs w:val="22"/>
        </w:rPr>
        <w:t>East London NHS Foundation Trust (ELFT) provides community health services and specialist mental health care for children, young people, adults and older adults across the City of London, Hackney, Newham, Tower Hamlets</w:t>
      </w:r>
      <w:r w:rsidR="00110B70" w:rsidRPr="004443B8">
        <w:rPr>
          <w:sz w:val="22"/>
          <w:szCs w:val="22"/>
        </w:rPr>
        <w:t>, Luton</w:t>
      </w:r>
      <w:r w:rsidRPr="004443B8">
        <w:rPr>
          <w:sz w:val="22"/>
          <w:szCs w:val="22"/>
        </w:rPr>
        <w:t xml:space="preserve"> and Bedfordshire. As part of its commitment to improving population health and reducing health inequalities, the Trust recognises that safe and effective nutrition and hydration care are essential components of high-quality healthcare.</w:t>
      </w:r>
    </w:p>
    <w:p w14:paraId="40C2105D" w14:textId="1AA73227" w:rsidR="730FCF52" w:rsidRPr="004443B8" w:rsidRDefault="730FCF52" w:rsidP="004443B8">
      <w:pPr>
        <w:rPr>
          <w:sz w:val="22"/>
          <w:szCs w:val="22"/>
        </w:rPr>
      </w:pPr>
    </w:p>
    <w:p w14:paraId="28888998" w14:textId="6D09E335" w:rsidR="4D8AE8D5" w:rsidRDefault="4D8AE8D5" w:rsidP="32E0C5E7">
      <w:pPr>
        <w:spacing w:before="240" w:after="240"/>
      </w:pPr>
      <w:r w:rsidRPr="730FCF52">
        <w:rPr>
          <w:rFonts w:cs="Arial"/>
          <w:sz w:val="22"/>
          <w:szCs w:val="22"/>
        </w:rPr>
        <w:t>People living with physical and mental health conditions are at increased risk of malnutrition, dehydration and obesity compared with the general population (Public Health England, 2018). People living with severe mental illness</w:t>
      </w:r>
      <w:r w:rsidR="020E5E46" w:rsidRPr="730FCF52">
        <w:rPr>
          <w:rFonts w:cs="Arial"/>
          <w:sz w:val="22"/>
          <w:szCs w:val="22"/>
        </w:rPr>
        <w:t xml:space="preserve"> and/or learning disabilities</w:t>
      </w:r>
      <w:r w:rsidRPr="730FCF52">
        <w:rPr>
          <w:rFonts w:cs="Arial"/>
          <w:sz w:val="22"/>
          <w:szCs w:val="22"/>
        </w:rPr>
        <w:t xml:space="preserve"> experience particularly high rates of physical health conditions and premature mortality associated with diet-related diseases (NHS England, 2019). Preventing and treating </w:t>
      </w:r>
      <w:r w:rsidR="00110B70">
        <w:rPr>
          <w:rFonts w:cs="Arial"/>
          <w:sz w:val="22"/>
          <w:szCs w:val="22"/>
        </w:rPr>
        <w:t>diet-related disease</w:t>
      </w:r>
      <w:r w:rsidR="00110B70" w:rsidRPr="730FCF52">
        <w:rPr>
          <w:rFonts w:cs="Arial"/>
          <w:sz w:val="22"/>
          <w:szCs w:val="22"/>
        </w:rPr>
        <w:t xml:space="preserve"> </w:t>
      </w:r>
      <w:r w:rsidRPr="730FCF52">
        <w:rPr>
          <w:rFonts w:cs="Arial"/>
          <w:sz w:val="22"/>
          <w:szCs w:val="22"/>
        </w:rPr>
        <w:t>improves clinical outcomes, supports recovery and reduces healthcare costs (Malnutrition Taskforce, 2017</w:t>
      </w:r>
      <w:r w:rsidR="000A469E">
        <w:rPr>
          <w:rFonts w:cs="Arial"/>
          <w:sz w:val="22"/>
          <w:szCs w:val="22"/>
        </w:rPr>
        <w:t>; NICE,2012; PHE, 2018</w:t>
      </w:r>
      <w:r w:rsidRPr="730FCF52">
        <w:rPr>
          <w:rFonts w:cs="Arial"/>
          <w:sz w:val="22"/>
          <w:szCs w:val="22"/>
        </w:rPr>
        <w:t>).</w:t>
      </w:r>
    </w:p>
    <w:p w14:paraId="6D143F09" w14:textId="46FB3597" w:rsidR="32E0C5E7" w:rsidRDefault="32E0C5E7" w:rsidP="32E0C5E7">
      <w:pPr>
        <w:spacing w:before="240" w:after="240"/>
        <w:rPr>
          <w:rFonts w:cs="Arial"/>
          <w:b/>
          <w:bCs/>
          <w:sz w:val="22"/>
          <w:szCs w:val="22"/>
        </w:rPr>
      </w:pPr>
    </w:p>
    <w:p w14:paraId="6A7A19AA" w14:textId="1CA9D3FE" w:rsidR="4D8AE8D5" w:rsidRDefault="4D8AE8D5" w:rsidP="32E0C5E7">
      <w:pPr>
        <w:spacing w:before="240" w:after="240"/>
      </w:pPr>
      <w:r w:rsidRPr="32E0C5E7">
        <w:rPr>
          <w:rFonts w:cs="Arial"/>
          <w:b/>
          <w:bCs/>
          <w:sz w:val="22"/>
          <w:szCs w:val="22"/>
        </w:rPr>
        <w:t>Purpose</w:t>
      </w:r>
    </w:p>
    <w:p w14:paraId="7AFBCD7B" w14:textId="2F35BE99" w:rsidR="4D8AE8D5" w:rsidRPr="005C1BF9" w:rsidRDefault="4D8AE8D5" w:rsidP="005C1BF9">
      <w:pPr>
        <w:rPr>
          <w:sz w:val="22"/>
          <w:szCs w:val="22"/>
        </w:rPr>
      </w:pPr>
      <w:r w:rsidRPr="005C1BF9">
        <w:rPr>
          <w:sz w:val="22"/>
          <w:szCs w:val="22"/>
        </w:rPr>
        <w:t xml:space="preserve">The purpose of this policy is to establish consistent Trust-wide standards for identifying, assessing and managing nutrition and hydration needs across ELFT services. The policy supports compliance with the Health and Social Care Act 2008 (Regulated Activities) Regulations 2014, including Regulation 14 relating to meeting service users’ nutritional and hydration needs, and aligns with national guidance including </w:t>
      </w:r>
      <w:r w:rsidR="00110B70" w:rsidRPr="005C1BF9">
        <w:rPr>
          <w:sz w:val="22"/>
          <w:szCs w:val="22"/>
        </w:rPr>
        <w:t xml:space="preserve">relevant </w:t>
      </w:r>
      <w:r w:rsidRPr="005C1BF9">
        <w:rPr>
          <w:sz w:val="22"/>
          <w:szCs w:val="22"/>
        </w:rPr>
        <w:t>NICE guida</w:t>
      </w:r>
      <w:r w:rsidR="00825F2C" w:rsidRPr="005C1BF9">
        <w:rPr>
          <w:sz w:val="22"/>
          <w:szCs w:val="22"/>
        </w:rPr>
        <w:t>nce</w:t>
      </w:r>
      <w:r w:rsidR="00110B70" w:rsidRPr="005C1BF9">
        <w:rPr>
          <w:sz w:val="22"/>
          <w:szCs w:val="22"/>
        </w:rPr>
        <w:t xml:space="preserve">, </w:t>
      </w:r>
      <w:r w:rsidRPr="005C1BF9">
        <w:rPr>
          <w:sz w:val="22"/>
          <w:szCs w:val="22"/>
        </w:rPr>
        <w:t>the NHS England National Standards for Healthcare Food and Drink</w:t>
      </w:r>
      <w:r w:rsidR="00110B70" w:rsidRPr="005C1BF9">
        <w:rPr>
          <w:sz w:val="22"/>
          <w:szCs w:val="22"/>
        </w:rPr>
        <w:t xml:space="preserve"> and BDA Nutrition and Hydration Digest and Mental Health and Learning Disabilities Supplement</w:t>
      </w:r>
      <w:r w:rsidRPr="005C1BF9">
        <w:rPr>
          <w:sz w:val="22"/>
          <w:szCs w:val="22"/>
        </w:rPr>
        <w:t xml:space="preserve"> (NICE, 2006; NHS England, 2022; UK Government, 2014</w:t>
      </w:r>
      <w:r w:rsidR="00110B70" w:rsidRPr="005C1BF9">
        <w:rPr>
          <w:sz w:val="22"/>
          <w:szCs w:val="22"/>
        </w:rPr>
        <w:t>; BDA,</w:t>
      </w:r>
      <w:r w:rsidR="000A469E" w:rsidRPr="005C1BF9">
        <w:rPr>
          <w:sz w:val="22"/>
          <w:szCs w:val="22"/>
        </w:rPr>
        <w:t xml:space="preserve"> </w:t>
      </w:r>
      <w:r w:rsidR="00110B70" w:rsidRPr="005C1BF9">
        <w:rPr>
          <w:sz w:val="22"/>
          <w:szCs w:val="22"/>
        </w:rPr>
        <w:t>2025</w:t>
      </w:r>
      <w:r w:rsidRPr="005C1BF9">
        <w:rPr>
          <w:sz w:val="22"/>
          <w:szCs w:val="22"/>
        </w:rPr>
        <w:t>).</w:t>
      </w:r>
    </w:p>
    <w:p w14:paraId="4DCBFE28" w14:textId="675BAC6F" w:rsidR="32E0C5E7" w:rsidRPr="005C1BF9" w:rsidRDefault="32E0C5E7" w:rsidP="005C1BF9">
      <w:pPr>
        <w:rPr>
          <w:sz w:val="22"/>
          <w:szCs w:val="22"/>
        </w:rPr>
      </w:pPr>
    </w:p>
    <w:p w14:paraId="64D03A43" w14:textId="16263DE1" w:rsidR="4D8AE8D5" w:rsidRDefault="4D8AE8D5" w:rsidP="32E0C5E7">
      <w:pPr>
        <w:spacing w:before="240" w:after="240"/>
      </w:pPr>
      <w:r w:rsidRPr="32E0C5E7">
        <w:rPr>
          <w:rFonts w:cs="Arial"/>
          <w:b/>
          <w:bCs/>
          <w:sz w:val="22"/>
          <w:szCs w:val="22"/>
        </w:rPr>
        <w:t>Key Requirements</w:t>
      </w:r>
    </w:p>
    <w:p w14:paraId="6125990F" w14:textId="0B6711F6" w:rsidR="4D8AE8D5" w:rsidRDefault="4D8AE8D5" w:rsidP="32E0C5E7">
      <w:pPr>
        <w:spacing w:before="240" w:after="240"/>
      </w:pPr>
      <w:r w:rsidRPr="32E0C5E7">
        <w:rPr>
          <w:rFonts w:cs="Arial"/>
          <w:sz w:val="22"/>
          <w:szCs w:val="22"/>
        </w:rPr>
        <w:t>The policy outlines key processes to ensure safe and effective nutrition and hydration care across Trust services. These include:</w:t>
      </w:r>
    </w:p>
    <w:p w14:paraId="6443902E" w14:textId="4084EF4E" w:rsidR="4D8AE8D5" w:rsidRDefault="4D8AE8D5" w:rsidP="32E0C5E7">
      <w:pPr>
        <w:pStyle w:val="ListParagraph"/>
        <w:numPr>
          <w:ilvl w:val="0"/>
          <w:numId w:val="1"/>
        </w:numPr>
        <w:spacing w:before="240" w:after="240"/>
        <w:rPr>
          <w:rFonts w:cs="Arial"/>
          <w:sz w:val="22"/>
          <w:szCs w:val="22"/>
        </w:rPr>
      </w:pPr>
      <w:r w:rsidRPr="32E0C5E7">
        <w:rPr>
          <w:rFonts w:cs="Arial"/>
          <w:sz w:val="22"/>
          <w:szCs w:val="22"/>
        </w:rPr>
        <w:t>Routine nutrition and hydration screening</w:t>
      </w:r>
    </w:p>
    <w:p w14:paraId="3FBB7A5E" w14:textId="2FBB1F29" w:rsidR="4D8AE8D5" w:rsidRDefault="4D8AE8D5" w:rsidP="32E0C5E7">
      <w:pPr>
        <w:pStyle w:val="ListParagraph"/>
        <w:numPr>
          <w:ilvl w:val="0"/>
          <w:numId w:val="1"/>
        </w:numPr>
        <w:spacing w:before="240" w:after="240"/>
        <w:rPr>
          <w:rFonts w:cs="Arial"/>
          <w:sz w:val="22"/>
          <w:szCs w:val="22"/>
        </w:rPr>
      </w:pPr>
      <w:r w:rsidRPr="1D6E3FFF">
        <w:rPr>
          <w:rFonts w:cs="Arial"/>
          <w:sz w:val="22"/>
          <w:szCs w:val="22"/>
        </w:rPr>
        <w:t xml:space="preserve">Clinical assessment of nutritional </w:t>
      </w:r>
      <w:r w:rsidR="00110B70" w:rsidRPr="1D6E3FFF">
        <w:rPr>
          <w:rFonts w:cs="Arial"/>
          <w:sz w:val="22"/>
          <w:szCs w:val="22"/>
        </w:rPr>
        <w:t xml:space="preserve">and hydration </w:t>
      </w:r>
      <w:r w:rsidRPr="1D6E3FFF">
        <w:rPr>
          <w:rFonts w:cs="Arial"/>
          <w:sz w:val="22"/>
          <w:szCs w:val="22"/>
        </w:rPr>
        <w:t>status and</w:t>
      </w:r>
      <w:r w:rsidR="73D3343A" w:rsidRPr="1D6E3FFF">
        <w:rPr>
          <w:rFonts w:cs="Arial"/>
          <w:sz w:val="22"/>
          <w:szCs w:val="22"/>
        </w:rPr>
        <w:t xml:space="preserve"> </w:t>
      </w:r>
      <w:r w:rsidRPr="1D6E3FFF">
        <w:rPr>
          <w:rFonts w:cs="Arial"/>
          <w:sz w:val="22"/>
          <w:szCs w:val="22"/>
        </w:rPr>
        <w:t>risk</w:t>
      </w:r>
    </w:p>
    <w:p w14:paraId="29614D0E" w14:textId="0D9B3127" w:rsidR="4D8AE8D5" w:rsidRDefault="4D8AE8D5" w:rsidP="32E0C5E7">
      <w:pPr>
        <w:pStyle w:val="ListParagraph"/>
        <w:numPr>
          <w:ilvl w:val="0"/>
          <w:numId w:val="1"/>
        </w:numPr>
        <w:spacing w:before="240" w:after="240"/>
        <w:rPr>
          <w:rFonts w:cs="Arial"/>
          <w:sz w:val="22"/>
          <w:szCs w:val="22"/>
        </w:rPr>
      </w:pPr>
      <w:r w:rsidRPr="32E0C5E7">
        <w:rPr>
          <w:rFonts w:cs="Arial"/>
          <w:sz w:val="22"/>
          <w:szCs w:val="22"/>
        </w:rPr>
        <w:t>Development of individualised nutrition and hydration care plans</w:t>
      </w:r>
    </w:p>
    <w:p w14:paraId="0E42B43B" w14:textId="78196389" w:rsidR="4D8AE8D5" w:rsidRDefault="4D8AE8D5" w:rsidP="32E0C5E7">
      <w:pPr>
        <w:pStyle w:val="ListParagraph"/>
        <w:numPr>
          <w:ilvl w:val="0"/>
          <w:numId w:val="1"/>
        </w:numPr>
        <w:spacing w:before="240" w:after="240"/>
        <w:rPr>
          <w:rFonts w:cs="Arial"/>
          <w:sz w:val="22"/>
          <w:szCs w:val="22"/>
        </w:rPr>
      </w:pPr>
      <w:r w:rsidRPr="32E0C5E7">
        <w:rPr>
          <w:rFonts w:cs="Arial"/>
          <w:sz w:val="22"/>
          <w:szCs w:val="22"/>
        </w:rPr>
        <w:t>Monitoring and escalation of clinical risk</w:t>
      </w:r>
    </w:p>
    <w:p w14:paraId="626C8787" w14:textId="0DBDA9AF" w:rsidR="4D8AE8D5" w:rsidRDefault="4D8AE8D5" w:rsidP="32E0C5E7">
      <w:pPr>
        <w:pStyle w:val="ListParagraph"/>
        <w:numPr>
          <w:ilvl w:val="0"/>
          <w:numId w:val="1"/>
        </w:numPr>
        <w:spacing w:before="240" w:after="240"/>
        <w:rPr>
          <w:rFonts w:cs="Arial"/>
          <w:sz w:val="22"/>
          <w:szCs w:val="22"/>
        </w:rPr>
      </w:pPr>
      <w:r w:rsidRPr="32E0C5E7">
        <w:rPr>
          <w:rFonts w:cs="Arial"/>
          <w:sz w:val="22"/>
          <w:szCs w:val="22"/>
        </w:rPr>
        <w:t>Access to specialist support including dietetic, medical and speech and language therapy input where required</w:t>
      </w:r>
    </w:p>
    <w:p w14:paraId="48FA2DF9" w14:textId="0F7B7254" w:rsidR="4D8AE8D5" w:rsidRDefault="4D8AE8D5" w:rsidP="32E0C5E7">
      <w:pPr>
        <w:pStyle w:val="ListParagraph"/>
        <w:numPr>
          <w:ilvl w:val="0"/>
          <w:numId w:val="1"/>
        </w:numPr>
        <w:spacing w:before="240" w:after="240"/>
        <w:rPr>
          <w:rFonts w:cs="Arial"/>
          <w:sz w:val="22"/>
          <w:szCs w:val="22"/>
        </w:rPr>
      </w:pPr>
      <w:r w:rsidRPr="32E0C5E7">
        <w:rPr>
          <w:rFonts w:cs="Arial"/>
          <w:sz w:val="22"/>
          <w:szCs w:val="22"/>
        </w:rPr>
        <w:t>Safe food provision in inpatient settings</w:t>
      </w:r>
    </w:p>
    <w:p w14:paraId="652F7C85" w14:textId="4964A116" w:rsidR="4D8AE8D5" w:rsidRDefault="4D8AE8D5" w:rsidP="32E0C5E7">
      <w:pPr>
        <w:pStyle w:val="ListParagraph"/>
        <w:numPr>
          <w:ilvl w:val="0"/>
          <w:numId w:val="1"/>
        </w:numPr>
        <w:spacing w:before="240" w:after="240"/>
        <w:rPr>
          <w:rFonts w:cs="Arial"/>
          <w:sz w:val="22"/>
          <w:szCs w:val="22"/>
        </w:rPr>
      </w:pPr>
      <w:r w:rsidRPr="32E0C5E7">
        <w:rPr>
          <w:rFonts w:cs="Arial"/>
          <w:sz w:val="22"/>
          <w:szCs w:val="22"/>
        </w:rPr>
        <w:t>Appropriate use of oral nutritional supplements and artificial nutrition where clinically indicated.</w:t>
      </w:r>
    </w:p>
    <w:p w14:paraId="1CA9823F" w14:textId="6CC42279" w:rsidR="4D8AE8D5" w:rsidRDefault="4D8AE8D5" w:rsidP="32E0C5E7">
      <w:pPr>
        <w:spacing w:before="240" w:after="240"/>
      </w:pPr>
      <w:r w:rsidRPr="32E0C5E7">
        <w:rPr>
          <w:rFonts w:cs="Arial"/>
          <w:sz w:val="22"/>
          <w:szCs w:val="22"/>
        </w:rPr>
        <w:t>The policy also provides guidance on the management of conditions such as malnutrition, obesity, diabetes and eating disorders.</w:t>
      </w:r>
    </w:p>
    <w:p w14:paraId="43A42923" w14:textId="46BF8AEA" w:rsidR="32E0C5E7" w:rsidRDefault="32E0C5E7" w:rsidP="32E0C5E7">
      <w:pPr>
        <w:spacing w:before="240" w:after="240"/>
        <w:rPr>
          <w:rFonts w:cs="Arial"/>
          <w:b/>
          <w:bCs/>
          <w:sz w:val="22"/>
          <w:szCs w:val="22"/>
        </w:rPr>
      </w:pPr>
    </w:p>
    <w:p w14:paraId="45DBA0E9" w14:textId="77777777" w:rsidR="00B36D8A" w:rsidRDefault="00B36D8A">
      <w:pPr>
        <w:keepNext w:val="0"/>
        <w:keepLines w:val="0"/>
        <w:spacing w:before="0" w:after="160"/>
        <w:contextualSpacing w:val="0"/>
        <w:jc w:val="left"/>
        <w:outlineLvl w:val="9"/>
        <w:rPr>
          <w:rFonts w:cs="Arial"/>
          <w:b/>
          <w:bCs/>
          <w:sz w:val="22"/>
          <w:szCs w:val="22"/>
        </w:rPr>
      </w:pPr>
      <w:r>
        <w:rPr>
          <w:rFonts w:cs="Arial"/>
          <w:b/>
          <w:bCs/>
          <w:sz w:val="22"/>
          <w:szCs w:val="22"/>
        </w:rPr>
        <w:br w:type="page"/>
      </w:r>
    </w:p>
    <w:p w14:paraId="72B9EF9F" w14:textId="3E28FF6C" w:rsidR="4D8AE8D5" w:rsidRDefault="4D8AE8D5" w:rsidP="32E0C5E7">
      <w:pPr>
        <w:spacing w:before="240" w:after="240"/>
      </w:pPr>
      <w:r w:rsidRPr="32E0C5E7">
        <w:rPr>
          <w:rFonts w:cs="Arial"/>
          <w:b/>
          <w:bCs/>
          <w:sz w:val="22"/>
          <w:szCs w:val="22"/>
        </w:rPr>
        <w:lastRenderedPageBreak/>
        <w:t>Implementation</w:t>
      </w:r>
    </w:p>
    <w:p w14:paraId="5F2538A5" w14:textId="6708E536" w:rsidR="4D8AE8D5" w:rsidRDefault="4D8AE8D5" w:rsidP="32E0C5E7">
      <w:pPr>
        <w:spacing w:before="240" w:after="240"/>
      </w:pPr>
      <w:r w:rsidRPr="32E0C5E7">
        <w:rPr>
          <w:rFonts w:cs="Arial"/>
          <w:sz w:val="22"/>
          <w:szCs w:val="22"/>
        </w:rPr>
        <w:t>Implementation of the policy is supported through multidisciplinary working across clinical teams, governance oversight through the Trust Nutrition Steering Group, and integration with Trust physical health monitoring and clinical governance processes. Nutrition and hydration care is a shared responsibility across the multidisciplinary team and is supported through training resources, clinical guidance and specialist input from registered dietitians where available.</w:t>
      </w:r>
    </w:p>
    <w:p w14:paraId="75761806" w14:textId="6EB28BF5" w:rsidR="32E0C5E7" w:rsidRDefault="32E0C5E7" w:rsidP="32E0C5E7">
      <w:pPr>
        <w:spacing w:before="240" w:after="240"/>
        <w:rPr>
          <w:rFonts w:cs="Arial"/>
          <w:b/>
          <w:bCs/>
          <w:sz w:val="22"/>
          <w:szCs w:val="22"/>
        </w:rPr>
      </w:pPr>
    </w:p>
    <w:p w14:paraId="70072B73" w14:textId="5C3FA925" w:rsidR="4D8AE8D5" w:rsidRDefault="4D8AE8D5" w:rsidP="32E0C5E7">
      <w:pPr>
        <w:spacing w:before="240" w:after="240"/>
        <w:rPr>
          <w:rFonts w:cs="Arial"/>
          <w:b/>
          <w:bCs/>
          <w:sz w:val="22"/>
          <w:szCs w:val="22"/>
        </w:rPr>
      </w:pPr>
      <w:r w:rsidRPr="32E0C5E7">
        <w:rPr>
          <w:rFonts w:cs="Arial"/>
          <w:b/>
          <w:bCs/>
          <w:sz w:val="22"/>
          <w:szCs w:val="22"/>
        </w:rPr>
        <w:t>Benefits</w:t>
      </w:r>
    </w:p>
    <w:p w14:paraId="3AC037A2" w14:textId="77777777" w:rsidR="00B36D8A" w:rsidRDefault="4D8AE8D5" w:rsidP="00B36D8A">
      <w:pPr>
        <w:spacing w:before="240" w:after="240"/>
      </w:pPr>
      <w:r w:rsidRPr="32E0C5E7">
        <w:rPr>
          <w:rFonts w:cs="Arial"/>
          <w:sz w:val="22"/>
          <w:szCs w:val="22"/>
        </w:rPr>
        <w:t>Implementation of this policy supports safe, person-centred nutrition and hydration care across ELFT services. It contributes to improved physical health outcomes, enhanced patient safety, regulatory compliance and the reduction of health inequalities for people using ELFT services</w:t>
      </w:r>
      <w:r w:rsidR="00B36D8A">
        <w:t>.</w:t>
      </w:r>
    </w:p>
    <w:p w14:paraId="3FCF8DC7" w14:textId="3241CAD7" w:rsidR="66992B7B" w:rsidRPr="00B36D8A" w:rsidRDefault="66992B7B" w:rsidP="00B36D8A">
      <w:pPr>
        <w:keepNext w:val="0"/>
        <w:keepLines w:val="0"/>
        <w:spacing w:before="0" w:after="160"/>
        <w:contextualSpacing w:val="0"/>
        <w:jc w:val="left"/>
        <w:outlineLvl w:val="9"/>
      </w:pPr>
      <w:r>
        <w:br w:type="page"/>
      </w:r>
    </w:p>
    <w:p w14:paraId="42743041" w14:textId="2149C2A2" w:rsidR="00DB7ECA" w:rsidRPr="00DB7ECA" w:rsidRDefault="65AB41CA" w:rsidP="00DB7ECA">
      <w:pPr>
        <w:rPr>
          <w:sz w:val="22"/>
          <w:szCs w:val="22"/>
        </w:rPr>
      </w:pPr>
      <w:r w:rsidRPr="5311C3E3">
        <w:rPr>
          <w:rFonts w:cs="Arial"/>
          <w:b/>
        </w:rPr>
        <w:lastRenderedPageBreak/>
        <w:t>Contents</w:t>
      </w:r>
    </w:p>
    <w:p w14:paraId="2411E8BE" w14:textId="104D9B25" w:rsidR="005171D4" w:rsidRDefault="00DB7ECA">
      <w:pPr>
        <w:pStyle w:val="TOC1"/>
        <w:tabs>
          <w:tab w:val="right" w:leader="dot" w:pos="9350"/>
        </w:tabs>
        <w:rPr>
          <w:rFonts w:asciiTheme="minorHAnsi" w:eastAsiaTheme="minorEastAsia" w:hAnsiTheme="minorHAnsi"/>
          <w:noProof/>
          <w:sz w:val="22"/>
          <w:szCs w:val="22"/>
          <w:lang w:eastAsia="en-GB"/>
        </w:rPr>
      </w:pPr>
      <w:r w:rsidRPr="00DB7ECA">
        <w:rPr>
          <w:rFonts w:cs="Arial"/>
          <w:sz w:val="22"/>
          <w:szCs w:val="22"/>
        </w:rPr>
        <w:fldChar w:fldCharType="begin"/>
      </w:r>
      <w:r w:rsidRPr="00517414">
        <w:rPr>
          <w:rFonts w:cs="Arial"/>
          <w:sz w:val="22"/>
          <w:szCs w:val="22"/>
        </w:rPr>
        <w:instrText xml:space="preserve"> TOC \t "Heading 1,1,Heading 2,2,Heading 3,3" </w:instrText>
      </w:r>
      <w:r w:rsidRPr="00DB7ECA">
        <w:rPr>
          <w:rFonts w:cs="Arial"/>
          <w:sz w:val="22"/>
          <w:szCs w:val="22"/>
        </w:rPr>
        <w:fldChar w:fldCharType="separate"/>
      </w:r>
      <w:r w:rsidR="005171D4">
        <w:rPr>
          <w:noProof/>
        </w:rPr>
        <w:t>Executive Summary</w:t>
      </w:r>
      <w:r w:rsidR="005171D4">
        <w:rPr>
          <w:noProof/>
        </w:rPr>
        <w:tab/>
      </w:r>
      <w:r w:rsidR="005171D4">
        <w:rPr>
          <w:noProof/>
        </w:rPr>
        <w:fldChar w:fldCharType="begin"/>
      </w:r>
      <w:r w:rsidR="005171D4">
        <w:rPr>
          <w:noProof/>
        </w:rPr>
        <w:instrText xml:space="preserve"> PAGEREF _Toc227057815 \h </w:instrText>
      </w:r>
      <w:r w:rsidR="005171D4">
        <w:rPr>
          <w:noProof/>
        </w:rPr>
      </w:r>
      <w:r w:rsidR="005171D4">
        <w:rPr>
          <w:noProof/>
        </w:rPr>
        <w:fldChar w:fldCharType="separate"/>
      </w:r>
      <w:r w:rsidR="005171D4">
        <w:rPr>
          <w:noProof/>
        </w:rPr>
        <w:t>3</w:t>
      </w:r>
      <w:r w:rsidR="005171D4">
        <w:rPr>
          <w:noProof/>
        </w:rPr>
        <w:fldChar w:fldCharType="end"/>
      </w:r>
    </w:p>
    <w:p w14:paraId="5E1A807C" w14:textId="662E01D7" w:rsidR="005171D4" w:rsidRDefault="005171D4">
      <w:pPr>
        <w:pStyle w:val="TOC1"/>
        <w:tabs>
          <w:tab w:val="left" w:pos="440"/>
          <w:tab w:val="right" w:leader="dot" w:pos="9350"/>
        </w:tabs>
        <w:rPr>
          <w:rFonts w:asciiTheme="minorHAnsi" w:eastAsiaTheme="minorEastAsia" w:hAnsiTheme="minorHAnsi"/>
          <w:noProof/>
          <w:sz w:val="22"/>
          <w:szCs w:val="22"/>
          <w:lang w:eastAsia="en-GB"/>
        </w:rPr>
      </w:pPr>
      <w:r>
        <w:rPr>
          <w:noProof/>
        </w:rPr>
        <w:t>1</w:t>
      </w:r>
      <w:r>
        <w:rPr>
          <w:rFonts w:asciiTheme="minorHAnsi" w:eastAsiaTheme="minorEastAsia" w:hAnsiTheme="minorHAnsi"/>
          <w:noProof/>
          <w:sz w:val="22"/>
          <w:szCs w:val="22"/>
          <w:lang w:eastAsia="en-GB"/>
        </w:rPr>
        <w:tab/>
      </w:r>
      <w:r>
        <w:rPr>
          <w:noProof/>
        </w:rPr>
        <w:t>Introduction</w:t>
      </w:r>
      <w:r>
        <w:rPr>
          <w:noProof/>
        </w:rPr>
        <w:tab/>
      </w:r>
      <w:r>
        <w:rPr>
          <w:noProof/>
        </w:rPr>
        <w:fldChar w:fldCharType="begin"/>
      </w:r>
      <w:r>
        <w:rPr>
          <w:noProof/>
        </w:rPr>
        <w:instrText xml:space="preserve"> PAGEREF _Toc227057816 \h </w:instrText>
      </w:r>
      <w:r>
        <w:rPr>
          <w:noProof/>
        </w:rPr>
      </w:r>
      <w:r>
        <w:rPr>
          <w:noProof/>
        </w:rPr>
        <w:fldChar w:fldCharType="separate"/>
      </w:r>
      <w:r>
        <w:rPr>
          <w:noProof/>
        </w:rPr>
        <w:t>8</w:t>
      </w:r>
      <w:r>
        <w:rPr>
          <w:noProof/>
        </w:rPr>
        <w:fldChar w:fldCharType="end"/>
      </w:r>
    </w:p>
    <w:p w14:paraId="39C00F7B" w14:textId="1C539BAE" w:rsidR="005171D4" w:rsidRDefault="005171D4">
      <w:pPr>
        <w:pStyle w:val="TOC1"/>
        <w:tabs>
          <w:tab w:val="left" w:pos="440"/>
          <w:tab w:val="right" w:leader="dot" w:pos="9350"/>
        </w:tabs>
        <w:rPr>
          <w:rFonts w:asciiTheme="minorHAnsi" w:eastAsiaTheme="minorEastAsia" w:hAnsiTheme="minorHAnsi"/>
          <w:noProof/>
          <w:sz w:val="22"/>
          <w:szCs w:val="22"/>
          <w:lang w:eastAsia="en-GB"/>
        </w:rPr>
      </w:pPr>
      <w:r>
        <w:rPr>
          <w:noProof/>
        </w:rPr>
        <w:t>2</w:t>
      </w:r>
      <w:r>
        <w:rPr>
          <w:rFonts w:asciiTheme="minorHAnsi" w:eastAsiaTheme="minorEastAsia" w:hAnsiTheme="minorHAnsi"/>
          <w:noProof/>
          <w:sz w:val="22"/>
          <w:szCs w:val="22"/>
          <w:lang w:eastAsia="en-GB"/>
        </w:rPr>
        <w:tab/>
      </w:r>
      <w:r>
        <w:rPr>
          <w:noProof/>
        </w:rPr>
        <w:t>Purpose</w:t>
      </w:r>
      <w:r>
        <w:rPr>
          <w:noProof/>
        </w:rPr>
        <w:tab/>
      </w:r>
      <w:r>
        <w:rPr>
          <w:noProof/>
        </w:rPr>
        <w:fldChar w:fldCharType="begin"/>
      </w:r>
      <w:r>
        <w:rPr>
          <w:noProof/>
        </w:rPr>
        <w:instrText xml:space="preserve"> PAGEREF _Toc227057817 \h </w:instrText>
      </w:r>
      <w:r>
        <w:rPr>
          <w:noProof/>
        </w:rPr>
      </w:r>
      <w:r>
        <w:rPr>
          <w:noProof/>
        </w:rPr>
        <w:fldChar w:fldCharType="separate"/>
      </w:r>
      <w:r>
        <w:rPr>
          <w:noProof/>
        </w:rPr>
        <w:t>8</w:t>
      </w:r>
      <w:r>
        <w:rPr>
          <w:noProof/>
        </w:rPr>
        <w:fldChar w:fldCharType="end"/>
      </w:r>
    </w:p>
    <w:p w14:paraId="181EB3E2" w14:textId="5A29FF44" w:rsidR="005171D4" w:rsidRDefault="005171D4">
      <w:pPr>
        <w:pStyle w:val="TOC1"/>
        <w:tabs>
          <w:tab w:val="left" w:pos="440"/>
          <w:tab w:val="right" w:leader="dot" w:pos="9350"/>
        </w:tabs>
        <w:rPr>
          <w:rFonts w:asciiTheme="minorHAnsi" w:eastAsiaTheme="minorEastAsia" w:hAnsiTheme="minorHAnsi"/>
          <w:noProof/>
          <w:sz w:val="22"/>
          <w:szCs w:val="22"/>
          <w:lang w:eastAsia="en-GB"/>
        </w:rPr>
      </w:pPr>
      <w:r>
        <w:rPr>
          <w:noProof/>
        </w:rPr>
        <w:t>3</w:t>
      </w:r>
      <w:r>
        <w:rPr>
          <w:rFonts w:asciiTheme="minorHAnsi" w:eastAsiaTheme="minorEastAsia" w:hAnsiTheme="minorHAnsi"/>
          <w:noProof/>
          <w:sz w:val="22"/>
          <w:szCs w:val="22"/>
          <w:lang w:eastAsia="en-GB"/>
        </w:rPr>
        <w:tab/>
      </w:r>
      <w:r>
        <w:rPr>
          <w:noProof/>
        </w:rPr>
        <w:t>Duties and Responsibilities</w:t>
      </w:r>
      <w:r>
        <w:rPr>
          <w:noProof/>
        </w:rPr>
        <w:tab/>
      </w:r>
      <w:r>
        <w:rPr>
          <w:noProof/>
        </w:rPr>
        <w:fldChar w:fldCharType="begin"/>
      </w:r>
      <w:r>
        <w:rPr>
          <w:noProof/>
        </w:rPr>
        <w:instrText xml:space="preserve"> PAGEREF _Toc227057818 \h </w:instrText>
      </w:r>
      <w:r>
        <w:rPr>
          <w:noProof/>
        </w:rPr>
      </w:r>
      <w:r>
        <w:rPr>
          <w:noProof/>
        </w:rPr>
        <w:fldChar w:fldCharType="separate"/>
      </w:r>
      <w:r>
        <w:rPr>
          <w:noProof/>
        </w:rPr>
        <w:t>8</w:t>
      </w:r>
      <w:r>
        <w:rPr>
          <w:noProof/>
        </w:rPr>
        <w:fldChar w:fldCharType="end"/>
      </w:r>
    </w:p>
    <w:p w14:paraId="6CE7A28A" w14:textId="6D2F8889" w:rsidR="005171D4" w:rsidRDefault="005171D4">
      <w:pPr>
        <w:pStyle w:val="TOC1"/>
        <w:tabs>
          <w:tab w:val="right" w:leader="dot" w:pos="9350"/>
        </w:tabs>
        <w:rPr>
          <w:rFonts w:asciiTheme="minorHAnsi" w:eastAsiaTheme="minorEastAsia" w:hAnsiTheme="minorHAnsi"/>
          <w:noProof/>
          <w:sz w:val="22"/>
          <w:szCs w:val="22"/>
          <w:lang w:eastAsia="en-GB"/>
        </w:rPr>
      </w:pPr>
      <w:r>
        <w:rPr>
          <w:noProof/>
        </w:rPr>
        <w:t>4 Nutrition and Hydration Screening, Assessment and Care Planning</w:t>
      </w:r>
      <w:r>
        <w:rPr>
          <w:noProof/>
        </w:rPr>
        <w:tab/>
      </w:r>
      <w:r>
        <w:rPr>
          <w:noProof/>
        </w:rPr>
        <w:fldChar w:fldCharType="begin"/>
      </w:r>
      <w:r>
        <w:rPr>
          <w:noProof/>
        </w:rPr>
        <w:instrText xml:space="preserve"> PAGEREF _Toc227057819 \h </w:instrText>
      </w:r>
      <w:r>
        <w:rPr>
          <w:noProof/>
        </w:rPr>
      </w:r>
      <w:r>
        <w:rPr>
          <w:noProof/>
        </w:rPr>
        <w:fldChar w:fldCharType="separate"/>
      </w:r>
      <w:r>
        <w:rPr>
          <w:noProof/>
        </w:rPr>
        <w:t>9</w:t>
      </w:r>
      <w:r>
        <w:rPr>
          <w:noProof/>
        </w:rPr>
        <w:fldChar w:fldCharType="end"/>
      </w:r>
    </w:p>
    <w:p w14:paraId="0D53863E" w14:textId="357B0ACD" w:rsidR="005171D4" w:rsidRDefault="005171D4">
      <w:pPr>
        <w:pStyle w:val="TOC2"/>
        <w:tabs>
          <w:tab w:val="right" w:leader="dot" w:pos="9350"/>
        </w:tabs>
        <w:rPr>
          <w:rFonts w:asciiTheme="minorHAnsi" w:eastAsiaTheme="minorEastAsia" w:hAnsiTheme="minorHAnsi"/>
          <w:noProof/>
          <w:sz w:val="22"/>
          <w:szCs w:val="22"/>
          <w:lang w:eastAsia="en-GB"/>
        </w:rPr>
      </w:pPr>
      <w:r>
        <w:rPr>
          <w:noProof/>
        </w:rPr>
        <w:t>4.1 Key Responsibilities for Staff</w:t>
      </w:r>
      <w:r>
        <w:rPr>
          <w:noProof/>
        </w:rPr>
        <w:tab/>
      </w:r>
      <w:r>
        <w:rPr>
          <w:noProof/>
        </w:rPr>
        <w:fldChar w:fldCharType="begin"/>
      </w:r>
      <w:r>
        <w:rPr>
          <w:noProof/>
        </w:rPr>
        <w:instrText xml:space="preserve"> PAGEREF _Toc227057820 \h </w:instrText>
      </w:r>
      <w:r>
        <w:rPr>
          <w:noProof/>
        </w:rPr>
      </w:r>
      <w:r>
        <w:rPr>
          <w:noProof/>
        </w:rPr>
        <w:fldChar w:fldCharType="separate"/>
      </w:r>
      <w:r>
        <w:rPr>
          <w:noProof/>
        </w:rPr>
        <w:t>9</w:t>
      </w:r>
      <w:r>
        <w:rPr>
          <w:noProof/>
        </w:rPr>
        <w:fldChar w:fldCharType="end"/>
      </w:r>
    </w:p>
    <w:p w14:paraId="5851A09C" w14:textId="391A6F51" w:rsidR="005171D4" w:rsidRDefault="005171D4">
      <w:pPr>
        <w:pStyle w:val="TOC2"/>
        <w:tabs>
          <w:tab w:val="right" w:leader="dot" w:pos="9350"/>
        </w:tabs>
        <w:rPr>
          <w:rFonts w:asciiTheme="minorHAnsi" w:eastAsiaTheme="minorEastAsia" w:hAnsiTheme="minorHAnsi"/>
          <w:noProof/>
          <w:sz w:val="22"/>
          <w:szCs w:val="22"/>
          <w:lang w:eastAsia="en-GB"/>
        </w:rPr>
      </w:pPr>
      <w:r>
        <w:rPr>
          <w:noProof/>
        </w:rPr>
        <w:t>4.2 Identification of Nutrition and Hydration Risk</w:t>
      </w:r>
      <w:r>
        <w:rPr>
          <w:noProof/>
        </w:rPr>
        <w:tab/>
      </w:r>
      <w:r>
        <w:rPr>
          <w:noProof/>
        </w:rPr>
        <w:fldChar w:fldCharType="begin"/>
      </w:r>
      <w:r>
        <w:rPr>
          <w:noProof/>
        </w:rPr>
        <w:instrText xml:space="preserve"> PAGEREF _Toc227057821 \h </w:instrText>
      </w:r>
      <w:r>
        <w:rPr>
          <w:noProof/>
        </w:rPr>
      </w:r>
      <w:r>
        <w:rPr>
          <w:noProof/>
        </w:rPr>
        <w:fldChar w:fldCharType="separate"/>
      </w:r>
      <w:r>
        <w:rPr>
          <w:noProof/>
        </w:rPr>
        <w:t>9</w:t>
      </w:r>
      <w:r>
        <w:rPr>
          <w:noProof/>
        </w:rPr>
        <w:fldChar w:fldCharType="end"/>
      </w:r>
    </w:p>
    <w:p w14:paraId="4E8B6154" w14:textId="51DD845A" w:rsidR="005171D4" w:rsidRDefault="005171D4">
      <w:pPr>
        <w:pStyle w:val="TOC2"/>
        <w:tabs>
          <w:tab w:val="right" w:leader="dot" w:pos="9350"/>
        </w:tabs>
        <w:rPr>
          <w:rFonts w:asciiTheme="minorHAnsi" w:eastAsiaTheme="minorEastAsia" w:hAnsiTheme="minorHAnsi"/>
          <w:noProof/>
          <w:sz w:val="22"/>
          <w:szCs w:val="22"/>
          <w:lang w:eastAsia="en-GB"/>
        </w:rPr>
      </w:pPr>
      <w:r>
        <w:rPr>
          <w:noProof/>
        </w:rPr>
        <w:t>4.3 Nutrition and Hydration Assessment</w:t>
      </w:r>
      <w:r>
        <w:rPr>
          <w:noProof/>
        </w:rPr>
        <w:tab/>
      </w:r>
      <w:r>
        <w:rPr>
          <w:noProof/>
        </w:rPr>
        <w:fldChar w:fldCharType="begin"/>
      </w:r>
      <w:r>
        <w:rPr>
          <w:noProof/>
        </w:rPr>
        <w:instrText xml:space="preserve"> PAGEREF _Toc227057822 \h </w:instrText>
      </w:r>
      <w:r>
        <w:rPr>
          <w:noProof/>
        </w:rPr>
      </w:r>
      <w:r>
        <w:rPr>
          <w:noProof/>
        </w:rPr>
        <w:fldChar w:fldCharType="separate"/>
      </w:r>
      <w:r>
        <w:rPr>
          <w:noProof/>
        </w:rPr>
        <w:t>10</w:t>
      </w:r>
      <w:r>
        <w:rPr>
          <w:noProof/>
        </w:rPr>
        <w:fldChar w:fldCharType="end"/>
      </w:r>
    </w:p>
    <w:p w14:paraId="5421B97E" w14:textId="296160BF" w:rsidR="005171D4" w:rsidRDefault="005171D4">
      <w:pPr>
        <w:pStyle w:val="TOC2"/>
        <w:tabs>
          <w:tab w:val="right" w:leader="dot" w:pos="9350"/>
        </w:tabs>
        <w:rPr>
          <w:rFonts w:asciiTheme="minorHAnsi" w:eastAsiaTheme="minorEastAsia" w:hAnsiTheme="minorHAnsi"/>
          <w:noProof/>
          <w:sz w:val="22"/>
          <w:szCs w:val="22"/>
          <w:lang w:eastAsia="en-GB"/>
        </w:rPr>
      </w:pPr>
      <w:r>
        <w:rPr>
          <w:noProof/>
        </w:rPr>
        <w:t>4.4 Nutrition and Hydration Care Planning and Monitoring</w:t>
      </w:r>
      <w:r>
        <w:rPr>
          <w:noProof/>
        </w:rPr>
        <w:tab/>
      </w:r>
      <w:r>
        <w:rPr>
          <w:noProof/>
        </w:rPr>
        <w:fldChar w:fldCharType="begin"/>
      </w:r>
      <w:r>
        <w:rPr>
          <w:noProof/>
        </w:rPr>
        <w:instrText xml:space="preserve"> PAGEREF _Toc227057823 \h </w:instrText>
      </w:r>
      <w:r>
        <w:rPr>
          <w:noProof/>
        </w:rPr>
      </w:r>
      <w:r>
        <w:rPr>
          <w:noProof/>
        </w:rPr>
        <w:fldChar w:fldCharType="separate"/>
      </w:r>
      <w:r>
        <w:rPr>
          <w:noProof/>
        </w:rPr>
        <w:t>12</w:t>
      </w:r>
      <w:r>
        <w:rPr>
          <w:noProof/>
        </w:rPr>
        <w:fldChar w:fldCharType="end"/>
      </w:r>
    </w:p>
    <w:p w14:paraId="2CD5F8C8" w14:textId="1EF2DFF7" w:rsidR="005171D4" w:rsidRDefault="005171D4">
      <w:pPr>
        <w:pStyle w:val="TOC2"/>
        <w:tabs>
          <w:tab w:val="right" w:leader="dot" w:pos="9350"/>
        </w:tabs>
        <w:rPr>
          <w:rFonts w:asciiTheme="minorHAnsi" w:eastAsiaTheme="minorEastAsia" w:hAnsiTheme="minorHAnsi"/>
          <w:noProof/>
          <w:sz w:val="22"/>
          <w:szCs w:val="22"/>
          <w:lang w:eastAsia="en-GB"/>
        </w:rPr>
      </w:pPr>
      <w:r>
        <w:rPr>
          <w:noProof/>
        </w:rPr>
        <w:t>4.5 Monitoring and Escalation</w:t>
      </w:r>
      <w:r>
        <w:rPr>
          <w:noProof/>
        </w:rPr>
        <w:tab/>
      </w:r>
      <w:r>
        <w:rPr>
          <w:noProof/>
        </w:rPr>
        <w:fldChar w:fldCharType="begin"/>
      </w:r>
      <w:r>
        <w:rPr>
          <w:noProof/>
        </w:rPr>
        <w:instrText xml:space="preserve"> PAGEREF _Toc227057824 \h </w:instrText>
      </w:r>
      <w:r>
        <w:rPr>
          <w:noProof/>
        </w:rPr>
      </w:r>
      <w:r>
        <w:rPr>
          <w:noProof/>
        </w:rPr>
        <w:fldChar w:fldCharType="separate"/>
      </w:r>
      <w:r>
        <w:rPr>
          <w:noProof/>
        </w:rPr>
        <w:t>12</w:t>
      </w:r>
      <w:r>
        <w:rPr>
          <w:noProof/>
        </w:rPr>
        <w:fldChar w:fldCharType="end"/>
      </w:r>
    </w:p>
    <w:p w14:paraId="27B5DA9D" w14:textId="5BE9DAAC" w:rsidR="005171D4" w:rsidRDefault="005171D4">
      <w:pPr>
        <w:pStyle w:val="TOC2"/>
        <w:tabs>
          <w:tab w:val="right" w:leader="dot" w:pos="9350"/>
        </w:tabs>
        <w:rPr>
          <w:rFonts w:asciiTheme="minorHAnsi" w:eastAsiaTheme="minorEastAsia" w:hAnsiTheme="minorHAnsi"/>
          <w:noProof/>
          <w:sz w:val="22"/>
          <w:szCs w:val="22"/>
          <w:lang w:eastAsia="en-GB"/>
        </w:rPr>
      </w:pPr>
      <w:r>
        <w:rPr>
          <w:noProof/>
        </w:rPr>
        <w:t>4.6 Hydration Standards for Inpatient Services</w:t>
      </w:r>
      <w:r>
        <w:rPr>
          <w:noProof/>
        </w:rPr>
        <w:tab/>
      </w:r>
      <w:r>
        <w:rPr>
          <w:noProof/>
        </w:rPr>
        <w:fldChar w:fldCharType="begin"/>
      </w:r>
      <w:r>
        <w:rPr>
          <w:noProof/>
        </w:rPr>
        <w:instrText xml:space="preserve"> PAGEREF _Toc227057825 \h </w:instrText>
      </w:r>
      <w:r>
        <w:rPr>
          <w:noProof/>
        </w:rPr>
      </w:r>
      <w:r>
        <w:rPr>
          <w:noProof/>
        </w:rPr>
        <w:fldChar w:fldCharType="separate"/>
      </w:r>
      <w:r>
        <w:rPr>
          <w:noProof/>
        </w:rPr>
        <w:t>13</w:t>
      </w:r>
      <w:r>
        <w:rPr>
          <w:noProof/>
        </w:rPr>
        <w:fldChar w:fldCharType="end"/>
      </w:r>
    </w:p>
    <w:p w14:paraId="0690773B" w14:textId="2B7ADFCC" w:rsidR="005171D4" w:rsidRDefault="005171D4">
      <w:pPr>
        <w:pStyle w:val="TOC2"/>
        <w:tabs>
          <w:tab w:val="right" w:leader="dot" w:pos="9350"/>
        </w:tabs>
        <w:rPr>
          <w:rFonts w:asciiTheme="minorHAnsi" w:eastAsiaTheme="minorEastAsia" w:hAnsiTheme="minorHAnsi"/>
          <w:noProof/>
          <w:sz w:val="22"/>
          <w:szCs w:val="22"/>
          <w:lang w:eastAsia="en-GB"/>
        </w:rPr>
      </w:pPr>
      <w:r>
        <w:rPr>
          <w:noProof/>
        </w:rPr>
        <w:t>4.7 Community Services</w:t>
      </w:r>
      <w:r>
        <w:rPr>
          <w:noProof/>
        </w:rPr>
        <w:tab/>
      </w:r>
      <w:r>
        <w:rPr>
          <w:noProof/>
        </w:rPr>
        <w:fldChar w:fldCharType="begin"/>
      </w:r>
      <w:r>
        <w:rPr>
          <w:noProof/>
        </w:rPr>
        <w:instrText xml:space="preserve"> PAGEREF _Toc227057826 \h </w:instrText>
      </w:r>
      <w:r>
        <w:rPr>
          <w:noProof/>
        </w:rPr>
      </w:r>
      <w:r>
        <w:rPr>
          <w:noProof/>
        </w:rPr>
        <w:fldChar w:fldCharType="separate"/>
      </w:r>
      <w:r>
        <w:rPr>
          <w:noProof/>
        </w:rPr>
        <w:t>13</w:t>
      </w:r>
      <w:r>
        <w:rPr>
          <w:noProof/>
        </w:rPr>
        <w:fldChar w:fldCharType="end"/>
      </w:r>
    </w:p>
    <w:p w14:paraId="6F3ABCC4" w14:textId="26F25215" w:rsidR="005171D4" w:rsidRDefault="005171D4">
      <w:pPr>
        <w:pStyle w:val="TOC2"/>
        <w:tabs>
          <w:tab w:val="right" w:leader="dot" w:pos="9350"/>
        </w:tabs>
        <w:rPr>
          <w:rFonts w:asciiTheme="minorHAnsi" w:eastAsiaTheme="minorEastAsia" w:hAnsiTheme="minorHAnsi"/>
          <w:noProof/>
          <w:sz w:val="22"/>
          <w:szCs w:val="22"/>
          <w:lang w:eastAsia="en-GB"/>
        </w:rPr>
      </w:pPr>
      <w:r>
        <w:rPr>
          <w:noProof/>
        </w:rPr>
        <w:t>4.8 Capacity, consent and best-interest decisions</w:t>
      </w:r>
      <w:r>
        <w:rPr>
          <w:noProof/>
        </w:rPr>
        <w:tab/>
      </w:r>
      <w:r>
        <w:rPr>
          <w:noProof/>
        </w:rPr>
        <w:fldChar w:fldCharType="begin"/>
      </w:r>
      <w:r>
        <w:rPr>
          <w:noProof/>
        </w:rPr>
        <w:instrText xml:space="preserve"> PAGEREF _Toc227057827 \h </w:instrText>
      </w:r>
      <w:r>
        <w:rPr>
          <w:noProof/>
        </w:rPr>
      </w:r>
      <w:r>
        <w:rPr>
          <w:noProof/>
        </w:rPr>
        <w:fldChar w:fldCharType="separate"/>
      </w:r>
      <w:r>
        <w:rPr>
          <w:noProof/>
        </w:rPr>
        <w:t>13</w:t>
      </w:r>
      <w:r>
        <w:rPr>
          <w:noProof/>
        </w:rPr>
        <w:fldChar w:fldCharType="end"/>
      </w:r>
    </w:p>
    <w:p w14:paraId="3B689D18" w14:textId="7361EE24" w:rsidR="005171D4" w:rsidRDefault="005171D4">
      <w:pPr>
        <w:pStyle w:val="TOC2"/>
        <w:tabs>
          <w:tab w:val="right" w:leader="dot" w:pos="9350"/>
        </w:tabs>
        <w:rPr>
          <w:rFonts w:asciiTheme="minorHAnsi" w:eastAsiaTheme="minorEastAsia" w:hAnsiTheme="minorHAnsi"/>
          <w:noProof/>
          <w:sz w:val="22"/>
          <w:szCs w:val="22"/>
          <w:lang w:eastAsia="en-GB"/>
        </w:rPr>
      </w:pPr>
      <w:r>
        <w:rPr>
          <w:noProof/>
        </w:rPr>
        <w:t>4.9 Impact of medication on nutrition and weight</w:t>
      </w:r>
      <w:r>
        <w:rPr>
          <w:noProof/>
        </w:rPr>
        <w:tab/>
      </w:r>
      <w:r>
        <w:rPr>
          <w:noProof/>
        </w:rPr>
        <w:fldChar w:fldCharType="begin"/>
      </w:r>
      <w:r>
        <w:rPr>
          <w:noProof/>
        </w:rPr>
        <w:instrText xml:space="preserve"> PAGEREF _Toc227057828 \h </w:instrText>
      </w:r>
      <w:r>
        <w:rPr>
          <w:noProof/>
        </w:rPr>
      </w:r>
      <w:r>
        <w:rPr>
          <w:noProof/>
        </w:rPr>
        <w:fldChar w:fldCharType="separate"/>
      </w:r>
      <w:r>
        <w:rPr>
          <w:noProof/>
        </w:rPr>
        <w:t>14</w:t>
      </w:r>
      <w:r>
        <w:rPr>
          <w:noProof/>
        </w:rPr>
        <w:fldChar w:fldCharType="end"/>
      </w:r>
    </w:p>
    <w:p w14:paraId="375F7F28" w14:textId="20C8DD37" w:rsidR="005171D4" w:rsidRDefault="005171D4">
      <w:pPr>
        <w:pStyle w:val="TOC1"/>
        <w:tabs>
          <w:tab w:val="left" w:pos="440"/>
          <w:tab w:val="right" w:leader="dot" w:pos="9350"/>
        </w:tabs>
        <w:rPr>
          <w:rFonts w:asciiTheme="minorHAnsi" w:eastAsiaTheme="minorEastAsia" w:hAnsiTheme="minorHAnsi"/>
          <w:noProof/>
          <w:sz w:val="22"/>
          <w:szCs w:val="22"/>
          <w:lang w:eastAsia="en-GB"/>
        </w:rPr>
      </w:pPr>
      <w:r>
        <w:rPr>
          <w:noProof/>
        </w:rPr>
        <w:t>5</w:t>
      </w:r>
      <w:r>
        <w:rPr>
          <w:rFonts w:asciiTheme="minorHAnsi" w:eastAsiaTheme="minorEastAsia" w:hAnsiTheme="minorHAnsi"/>
          <w:noProof/>
          <w:sz w:val="22"/>
          <w:szCs w:val="22"/>
          <w:lang w:eastAsia="en-GB"/>
        </w:rPr>
        <w:tab/>
      </w:r>
      <w:r>
        <w:rPr>
          <w:noProof/>
        </w:rPr>
        <w:t>Clinical Nutrition Management</w:t>
      </w:r>
      <w:r>
        <w:rPr>
          <w:noProof/>
        </w:rPr>
        <w:tab/>
      </w:r>
      <w:r>
        <w:rPr>
          <w:noProof/>
        </w:rPr>
        <w:fldChar w:fldCharType="begin"/>
      </w:r>
      <w:r>
        <w:rPr>
          <w:noProof/>
        </w:rPr>
        <w:instrText xml:space="preserve"> PAGEREF _Toc227057829 \h </w:instrText>
      </w:r>
      <w:r>
        <w:rPr>
          <w:noProof/>
        </w:rPr>
      </w:r>
      <w:r>
        <w:rPr>
          <w:noProof/>
        </w:rPr>
        <w:fldChar w:fldCharType="separate"/>
      </w:r>
      <w:r>
        <w:rPr>
          <w:noProof/>
        </w:rPr>
        <w:t>16</w:t>
      </w:r>
      <w:r>
        <w:rPr>
          <w:noProof/>
        </w:rPr>
        <w:fldChar w:fldCharType="end"/>
      </w:r>
    </w:p>
    <w:p w14:paraId="659DE869" w14:textId="7C3B6B32" w:rsidR="005171D4" w:rsidRDefault="005171D4" w:rsidP="00666763">
      <w:pPr>
        <w:pStyle w:val="TOC3"/>
        <w:tabs>
          <w:tab w:val="right" w:leader="dot" w:pos="9350"/>
        </w:tabs>
        <w:ind w:left="220"/>
        <w:rPr>
          <w:rFonts w:asciiTheme="minorHAnsi" w:eastAsiaTheme="minorEastAsia" w:hAnsiTheme="minorHAnsi"/>
          <w:noProof/>
          <w:sz w:val="22"/>
          <w:szCs w:val="22"/>
          <w:lang w:eastAsia="en-GB"/>
        </w:rPr>
      </w:pPr>
      <w:r>
        <w:rPr>
          <w:noProof/>
        </w:rPr>
        <w:t>5.1 Mealtime observation and support</w:t>
      </w:r>
      <w:r>
        <w:rPr>
          <w:noProof/>
        </w:rPr>
        <w:tab/>
      </w:r>
      <w:r>
        <w:rPr>
          <w:noProof/>
        </w:rPr>
        <w:fldChar w:fldCharType="begin"/>
      </w:r>
      <w:r>
        <w:rPr>
          <w:noProof/>
        </w:rPr>
        <w:instrText xml:space="preserve"> PAGEREF _Toc227057830 \h </w:instrText>
      </w:r>
      <w:r>
        <w:rPr>
          <w:noProof/>
        </w:rPr>
      </w:r>
      <w:r>
        <w:rPr>
          <w:noProof/>
        </w:rPr>
        <w:fldChar w:fldCharType="separate"/>
      </w:r>
      <w:r>
        <w:rPr>
          <w:noProof/>
        </w:rPr>
        <w:t>16</w:t>
      </w:r>
      <w:r>
        <w:rPr>
          <w:noProof/>
        </w:rPr>
        <w:fldChar w:fldCharType="end"/>
      </w:r>
    </w:p>
    <w:p w14:paraId="75E9FDE6" w14:textId="3793AB97" w:rsidR="005171D4" w:rsidRDefault="005171D4">
      <w:pPr>
        <w:pStyle w:val="TOC2"/>
        <w:tabs>
          <w:tab w:val="right" w:leader="dot" w:pos="9350"/>
        </w:tabs>
        <w:rPr>
          <w:rFonts w:asciiTheme="minorHAnsi" w:eastAsiaTheme="minorEastAsia" w:hAnsiTheme="minorHAnsi"/>
          <w:noProof/>
          <w:sz w:val="22"/>
          <w:szCs w:val="22"/>
          <w:lang w:eastAsia="en-GB"/>
        </w:rPr>
      </w:pPr>
      <w:r>
        <w:rPr>
          <w:noProof/>
        </w:rPr>
        <w:t>5.2 Swallowing and feeding difficulties</w:t>
      </w:r>
      <w:r>
        <w:rPr>
          <w:noProof/>
        </w:rPr>
        <w:tab/>
      </w:r>
      <w:r>
        <w:rPr>
          <w:noProof/>
        </w:rPr>
        <w:fldChar w:fldCharType="begin"/>
      </w:r>
      <w:r>
        <w:rPr>
          <w:noProof/>
        </w:rPr>
        <w:instrText xml:space="preserve"> PAGEREF _Toc227057831 \h </w:instrText>
      </w:r>
      <w:r>
        <w:rPr>
          <w:noProof/>
        </w:rPr>
      </w:r>
      <w:r>
        <w:rPr>
          <w:noProof/>
        </w:rPr>
        <w:fldChar w:fldCharType="separate"/>
      </w:r>
      <w:r>
        <w:rPr>
          <w:noProof/>
        </w:rPr>
        <w:t>17</w:t>
      </w:r>
      <w:r>
        <w:rPr>
          <w:noProof/>
        </w:rPr>
        <w:fldChar w:fldCharType="end"/>
      </w:r>
    </w:p>
    <w:p w14:paraId="2CBE6721" w14:textId="79A1A476" w:rsidR="005171D4" w:rsidRDefault="005171D4">
      <w:pPr>
        <w:pStyle w:val="TOC2"/>
        <w:tabs>
          <w:tab w:val="right" w:leader="dot" w:pos="9350"/>
        </w:tabs>
        <w:rPr>
          <w:rFonts w:asciiTheme="minorHAnsi" w:eastAsiaTheme="minorEastAsia" w:hAnsiTheme="minorHAnsi"/>
          <w:noProof/>
          <w:sz w:val="22"/>
          <w:szCs w:val="22"/>
          <w:lang w:eastAsia="en-GB"/>
        </w:rPr>
      </w:pPr>
      <w:r>
        <w:rPr>
          <w:noProof/>
        </w:rPr>
        <w:t>5.3 Breastfeeding</w:t>
      </w:r>
      <w:r>
        <w:rPr>
          <w:noProof/>
        </w:rPr>
        <w:tab/>
      </w:r>
      <w:r>
        <w:rPr>
          <w:noProof/>
        </w:rPr>
        <w:fldChar w:fldCharType="begin"/>
      </w:r>
      <w:r>
        <w:rPr>
          <w:noProof/>
        </w:rPr>
        <w:instrText xml:space="preserve"> PAGEREF _Toc227057832 \h </w:instrText>
      </w:r>
      <w:r>
        <w:rPr>
          <w:noProof/>
        </w:rPr>
      </w:r>
      <w:r>
        <w:rPr>
          <w:noProof/>
        </w:rPr>
        <w:fldChar w:fldCharType="separate"/>
      </w:r>
      <w:r>
        <w:rPr>
          <w:noProof/>
        </w:rPr>
        <w:t>17</w:t>
      </w:r>
      <w:r>
        <w:rPr>
          <w:noProof/>
        </w:rPr>
        <w:fldChar w:fldCharType="end"/>
      </w:r>
    </w:p>
    <w:p w14:paraId="1F871928" w14:textId="33135365" w:rsidR="005171D4" w:rsidRDefault="005171D4">
      <w:pPr>
        <w:pStyle w:val="TOC2"/>
        <w:tabs>
          <w:tab w:val="right" w:leader="dot" w:pos="9350"/>
        </w:tabs>
        <w:rPr>
          <w:rFonts w:asciiTheme="minorHAnsi" w:eastAsiaTheme="minorEastAsia" w:hAnsiTheme="minorHAnsi"/>
          <w:noProof/>
          <w:sz w:val="22"/>
          <w:szCs w:val="22"/>
          <w:lang w:eastAsia="en-GB"/>
        </w:rPr>
      </w:pPr>
      <w:r>
        <w:rPr>
          <w:noProof/>
        </w:rPr>
        <w:t>5.4 Malnutrition</w:t>
      </w:r>
      <w:r>
        <w:rPr>
          <w:noProof/>
        </w:rPr>
        <w:tab/>
      </w:r>
      <w:r>
        <w:rPr>
          <w:noProof/>
        </w:rPr>
        <w:fldChar w:fldCharType="begin"/>
      </w:r>
      <w:r>
        <w:rPr>
          <w:noProof/>
        </w:rPr>
        <w:instrText xml:space="preserve"> PAGEREF _Toc227057833 \h </w:instrText>
      </w:r>
      <w:r>
        <w:rPr>
          <w:noProof/>
        </w:rPr>
      </w:r>
      <w:r>
        <w:rPr>
          <w:noProof/>
        </w:rPr>
        <w:fldChar w:fldCharType="separate"/>
      </w:r>
      <w:r>
        <w:rPr>
          <w:noProof/>
        </w:rPr>
        <w:t>18</w:t>
      </w:r>
      <w:r>
        <w:rPr>
          <w:noProof/>
        </w:rPr>
        <w:fldChar w:fldCharType="end"/>
      </w:r>
    </w:p>
    <w:p w14:paraId="1CDCE7E7" w14:textId="67970508"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5.4.1 Identifying Risk</w:t>
      </w:r>
      <w:r>
        <w:rPr>
          <w:noProof/>
        </w:rPr>
        <w:tab/>
      </w:r>
      <w:r>
        <w:rPr>
          <w:noProof/>
        </w:rPr>
        <w:fldChar w:fldCharType="begin"/>
      </w:r>
      <w:r>
        <w:rPr>
          <w:noProof/>
        </w:rPr>
        <w:instrText xml:space="preserve"> PAGEREF _Toc227057834 \h </w:instrText>
      </w:r>
      <w:r>
        <w:rPr>
          <w:noProof/>
        </w:rPr>
      </w:r>
      <w:r>
        <w:rPr>
          <w:noProof/>
        </w:rPr>
        <w:fldChar w:fldCharType="separate"/>
      </w:r>
      <w:r>
        <w:rPr>
          <w:noProof/>
        </w:rPr>
        <w:t>18</w:t>
      </w:r>
      <w:r>
        <w:rPr>
          <w:noProof/>
        </w:rPr>
        <w:fldChar w:fldCharType="end"/>
      </w:r>
    </w:p>
    <w:p w14:paraId="61B9509F" w14:textId="18E7652B"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5.4.2 Referrals</w:t>
      </w:r>
      <w:r>
        <w:rPr>
          <w:noProof/>
        </w:rPr>
        <w:tab/>
      </w:r>
      <w:r>
        <w:rPr>
          <w:noProof/>
        </w:rPr>
        <w:fldChar w:fldCharType="begin"/>
      </w:r>
      <w:r>
        <w:rPr>
          <w:noProof/>
        </w:rPr>
        <w:instrText xml:space="preserve"> PAGEREF _Toc227057835 \h </w:instrText>
      </w:r>
      <w:r>
        <w:rPr>
          <w:noProof/>
        </w:rPr>
      </w:r>
      <w:r>
        <w:rPr>
          <w:noProof/>
        </w:rPr>
        <w:fldChar w:fldCharType="separate"/>
      </w:r>
      <w:r>
        <w:rPr>
          <w:noProof/>
        </w:rPr>
        <w:t>18</w:t>
      </w:r>
      <w:r>
        <w:rPr>
          <w:noProof/>
        </w:rPr>
        <w:fldChar w:fldCharType="end"/>
      </w:r>
    </w:p>
    <w:p w14:paraId="1D56DD73" w14:textId="070FEB44"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5.4.3 Management incl. Oral Nutritional Supplements</w:t>
      </w:r>
      <w:r>
        <w:rPr>
          <w:noProof/>
        </w:rPr>
        <w:tab/>
      </w:r>
      <w:r>
        <w:rPr>
          <w:noProof/>
        </w:rPr>
        <w:fldChar w:fldCharType="begin"/>
      </w:r>
      <w:r>
        <w:rPr>
          <w:noProof/>
        </w:rPr>
        <w:instrText xml:space="preserve"> PAGEREF _Toc227057836 \h </w:instrText>
      </w:r>
      <w:r>
        <w:rPr>
          <w:noProof/>
        </w:rPr>
      </w:r>
      <w:r>
        <w:rPr>
          <w:noProof/>
        </w:rPr>
        <w:fldChar w:fldCharType="separate"/>
      </w:r>
      <w:r>
        <w:rPr>
          <w:noProof/>
        </w:rPr>
        <w:t>18</w:t>
      </w:r>
      <w:r>
        <w:rPr>
          <w:noProof/>
        </w:rPr>
        <w:fldChar w:fldCharType="end"/>
      </w:r>
    </w:p>
    <w:p w14:paraId="287A37A8" w14:textId="79BC75F0"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5.4.4 Refeeding Syndrome</w:t>
      </w:r>
      <w:r>
        <w:rPr>
          <w:noProof/>
        </w:rPr>
        <w:tab/>
      </w:r>
      <w:r>
        <w:rPr>
          <w:noProof/>
        </w:rPr>
        <w:fldChar w:fldCharType="begin"/>
      </w:r>
      <w:r>
        <w:rPr>
          <w:noProof/>
        </w:rPr>
        <w:instrText xml:space="preserve"> PAGEREF _Toc227057837 \h </w:instrText>
      </w:r>
      <w:r>
        <w:rPr>
          <w:noProof/>
        </w:rPr>
      </w:r>
      <w:r>
        <w:rPr>
          <w:noProof/>
        </w:rPr>
        <w:fldChar w:fldCharType="separate"/>
      </w:r>
      <w:r>
        <w:rPr>
          <w:noProof/>
        </w:rPr>
        <w:t>19</w:t>
      </w:r>
      <w:r>
        <w:rPr>
          <w:noProof/>
        </w:rPr>
        <w:fldChar w:fldCharType="end"/>
      </w:r>
    </w:p>
    <w:p w14:paraId="73B5E851" w14:textId="40CA327B" w:rsidR="005171D4" w:rsidRDefault="005171D4">
      <w:pPr>
        <w:pStyle w:val="TOC2"/>
        <w:tabs>
          <w:tab w:val="right" w:leader="dot" w:pos="9350"/>
        </w:tabs>
        <w:rPr>
          <w:rFonts w:asciiTheme="minorHAnsi" w:eastAsiaTheme="minorEastAsia" w:hAnsiTheme="minorHAnsi"/>
          <w:noProof/>
          <w:sz w:val="22"/>
          <w:szCs w:val="22"/>
          <w:lang w:eastAsia="en-GB"/>
        </w:rPr>
      </w:pPr>
      <w:r>
        <w:rPr>
          <w:noProof/>
        </w:rPr>
        <w:t>5.5 Overweight and Obesity</w:t>
      </w:r>
      <w:r>
        <w:rPr>
          <w:noProof/>
        </w:rPr>
        <w:tab/>
      </w:r>
      <w:r>
        <w:rPr>
          <w:noProof/>
        </w:rPr>
        <w:fldChar w:fldCharType="begin"/>
      </w:r>
      <w:r>
        <w:rPr>
          <w:noProof/>
        </w:rPr>
        <w:instrText xml:space="preserve"> PAGEREF _Toc227057838 \h </w:instrText>
      </w:r>
      <w:r>
        <w:rPr>
          <w:noProof/>
        </w:rPr>
      </w:r>
      <w:r>
        <w:rPr>
          <w:noProof/>
        </w:rPr>
        <w:fldChar w:fldCharType="separate"/>
      </w:r>
      <w:r>
        <w:rPr>
          <w:noProof/>
        </w:rPr>
        <w:t>19</w:t>
      </w:r>
      <w:r>
        <w:rPr>
          <w:noProof/>
        </w:rPr>
        <w:fldChar w:fldCharType="end"/>
      </w:r>
    </w:p>
    <w:p w14:paraId="249E65C9" w14:textId="0AB75470"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5.5.1 Identifying Risk</w:t>
      </w:r>
      <w:r>
        <w:rPr>
          <w:noProof/>
        </w:rPr>
        <w:tab/>
      </w:r>
      <w:r>
        <w:rPr>
          <w:noProof/>
        </w:rPr>
        <w:fldChar w:fldCharType="begin"/>
      </w:r>
      <w:r>
        <w:rPr>
          <w:noProof/>
        </w:rPr>
        <w:instrText xml:space="preserve"> PAGEREF _Toc227057839 \h </w:instrText>
      </w:r>
      <w:r>
        <w:rPr>
          <w:noProof/>
        </w:rPr>
      </w:r>
      <w:r>
        <w:rPr>
          <w:noProof/>
        </w:rPr>
        <w:fldChar w:fldCharType="separate"/>
      </w:r>
      <w:r>
        <w:rPr>
          <w:noProof/>
        </w:rPr>
        <w:t>19</w:t>
      </w:r>
      <w:r>
        <w:rPr>
          <w:noProof/>
        </w:rPr>
        <w:fldChar w:fldCharType="end"/>
      </w:r>
    </w:p>
    <w:p w14:paraId="6BB39B52" w14:textId="43E9BFA5"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5.5.2 Referrals</w:t>
      </w:r>
      <w:r>
        <w:rPr>
          <w:noProof/>
        </w:rPr>
        <w:tab/>
      </w:r>
      <w:r>
        <w:rPr>
          <w:noProof/>
        </w:rPr>
        <w:fldChar w:fldCharType="begin"/>
      </w:r>
      <w:r>
        <w:rPr>
          <w:noProof/>
        </w:rPr>
        <w:instrText xml:space="preserve"> PAGEREF _Toc227057840 \h </w:instrText>
      </w:r>
      <w:r>
        <w:rPr>
          <w:noProof/>
        </w:rPr>
      </w:r>
      <w:r>
        <w:rPr>
          <w:noProof/>
        </w:rPr>
        <w:fldChar w:fldCharType="separate"/>
      </w:r>
      <w:r>
        <w:rPr>
          <w:noProof/>
        </w:rPr>
        <w:t>20</w:t>
      </w:r>
      <w:r>
        <w:rPr>
          <w:noProof/>
        </w:rPr>
        <w:fldChar w:fldCharType="end"/>
      </w:r>
    </w:p>
    <w:p w14:paraId="645A87AE" w14:textId="72947829"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5.5.3 Management and Monitoring</w:t>
      </w:r>
      <w:r>
        <w:rPr>
          <w:noProof/>
        </w:rPr>
        <w:tab/>
      </w:r>
      <w:r>
        <w:rPr>
          <w:noProof/>
        </w:rPr>
        <w:fldChar w:fldCharType="begin"/>
      </w:r>
      <w:r>
        <w:rPr>
          <w:noProof/>
        </w:rPr>
        <w:instrText xml:space="preserve"> PAGEREF _Toc227057841 \h </w:instrText>
      </w:r>
      <w:r>
        <w:rPr>
          <w:noProof/>
        </w:rPr>
      </w:r>
      <w:r>
        <w:rPr>
          <w:noProof/>
        </w:rPr>
        <w:fldChar w:fldCharType="separate"/>
      </w:r>
      <w:r>
        <w:rPr>
          <w:noProof/>
        </w:rPr>
        <w:t>20</w:t>
      </w:r>
      <w:r>
        <w:rPr>
          <w:noProof/>
        </w:rPr>
        <w:fldChar w:fldCharType="end"/>
      </w:r>
    </w:p>
    <w:p w14:paraId="001417D3" w14:textId="612956CC"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5.5.4 Complex Obesity</w:t>
      </w:r>
      <w:r>
        <w:rPr>
          <w:noProof/>
        </w:rPr>
        <w:tab/>
      </w:r>
      <w:r>
        <w:rPr>
          <w:noProof/>
        </w:rPr>
        <w:fldChar w:fldCharType="begin"/>
      </w:r>
      <w:r>
        <w:rPr>
          <w:noProof/>
        </w:rPr>
        <w:instrText xml:space="preserve"> PAGEREF _Toc227057842 \h </w:instrText>
      </w:r>
      <w:r>
        <w:rPr>
          <w:noProof/>
        </w:rPr>
      </w:r>
      <w:r>
        <w:rPr>
          <w:noProof/>
        </w:rPr>
        <w:fldChar w:fldCharType="separate"/>
      </w:r>
      <w:r>
        <w:rPr>
          <w:noProof/>
        </w:rPr>
        <w:t>21</w:t>
      </w:r>
      <w:r>
        <w:rPr>
          <w:noProof/>
        </w:rPr>
        <w:fldChar w:fldCharType="end"/>
      </w:r>
    </w:p>
    <w:p w14:paraId="1DE2A590" w14:textId="6521B18F"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5.5.5 Maintaining Dignity and Reasonable Adjustments</w:t>
      </w:r>
      <w:r>
        <w:rPr>
          <w:noProof/>
        </w:rPr>
        <w:tab/>
      </w:r>
      <w:r>
        <w:rPr>
          <w:noProof/>
        </w:rPr>
        <w:fldChar w:fldCharType="begin"/>
      </w:r>
      <w:r>
        <w:rPr>
          <w:noProof/>
        </w:rPr>
        <w:instrText xml:space="preserve"> PAGEREF _Toc227057843 \h </w:instrText>
      </w:r>
      <w:r>
        <w:rPr>
          <w:noProof/>
        </w:rPr>
      </w:r>
      <w:r>
        <w:rPr>
          <w:noProof/>
        </w:rPr>
        <w:fldChar w:fldCharType="separate"/>
      </w:r>
      <w:r>
        <w:rPr>
          <w:noProof/>
        </w:rPr>
        <w:t>21</w:t>
      </w:r>
      <w:r>
        <w:rPr>
          <w:noProof/>
        </w:rPr>
        <w:fldChar w:fldCharType="end"/>
      </w:r>
    </w:p>
    <w:p w14:paraId="1AF649BA" w14:textId="6477AD79" w:rsidR="005171D4" w:rsidRDefault="005171D4">
      <w:pPr>
        <w:pStyle w:val="TOC2"/>
        <w:tabs>
          <w:tab w:val="right" w:leader="dot" w:pos="9350"/>
        </w:tabs>
        <w:rPr>
          <w:rFonts w:asciiTheme="minorHAnsi" w:eastAsiaTheme="minorEastAsia" w:hAnsiTheme="minorHAnsi"/>
          <w:noProof/>
          <w:sz w:val="22"/>
          <w:szCs w:val="22"/>
          <w:lang w:eastAsia="en-GB"/>
        </w:rPr>
      </w:pPr>
      <w:r>
        <w:rPr>
          <w:noProof/>
        </w:rPr>
        <w:t>5.6 Diabetes</w:t>
      </w:r>
      <w:r>
        <w:rPr>
          <w:noProof/>
        </w:rPr>
        <w:tab/>
      </w:r>
      <w:r>
        <w:rPr>
          <w:noProof/>
        </w:rPr>
        <w:fldChar w:fldCharType="begin"/>
      </w:r>
      <w:r>
        <w:rPr>
          <w:noProof/>
        </w:rPr>
        <w:instrText xml:space="preserve"> PAGEREF _Toc227057844 \h </w:instrText>
      </w:r>
      <w:r>
        <w:rPr>
          <w:noProof/>
        </w:rPr>
      </w:r>
      <w:r>
        <w:rPr>
          <w:noProof/>
        </w:rPr>
        <w:fldChar w:fldCharType="separate"/>
      </w:r>
      <w:r>
        <w:rPr>
          <w:noProof/>
        </w:rPr>
        <w:t>21</w:t>
      </w:r>
      <w:r>
        <w:rPr>
          <w:noProof/>
        </w:rPr>
        <w:fldChar w:fldCharType="end"/>
      </w:r>
    </w:p>
    <w:p w14:paraId="75771F76" w14:textId="6271D8D6"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5.6.1 Nutrition Provision</w:t>
      </w:r>
      <w:r>
        <w:rPr>
          <w:noProof/>
        </w:rPr>
        <w:tab/>
      </w:r>
      <w:r>
        <w:rPr>
          <w:noProof/>
        </w:rPr>
        <w:fldChar w:fldCharType="begin"/>
      </w:r>
      <w:r>
        <w:rPr>
          <w:noProof/>
        </w:rPr>
        <w:instrText xml:space="preserve"> PAGEREF _Toc227057845 \h </w:instrText>
      </w:r>
      <w:r>
        <w:rPr>
          <w:noProof/>
        </w:rPr>
      </w:r>
      <w:r>
        <w:rPr>
          <w:noProof/>
        </w:rPr>
        <w:fldChar w:fldCharType="separate"/>
      </w:r>
      <w:r>
        <w:rPr>
          <w:noProof/>
        </w:rPr>
        <w:t>22</w:t>
      </w:r>
      <w:r>
        <w:rPr>
          <w:noProof/>
        </w:rPr>
        <w:fldChar w:fldCharType="end"/>
      </w:r>
    </w:p>
    <w:p w14:paraId="75FEE93A" w14:textId="25287D31"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5.6.2 Escalation and Specialist Support</w:t>
      </w:r>
      <w:r>
        <w:rPr>
          <w:noProof/>
        </w:rPr>
        <w:tab/>
      </w:r>
      <w:r>
        <w:rPr>
          <w:noProof/>
        </w:rPr>
        <w:fldChar w:fldCharType="begin"/>
      </w:r>
      <w:r>
        <w:rPr>
          <w:noProof/>
        </w:rPr>
        <w:instrText xml:space="preserve"> PAGEREF _Toc227057846 \h </w:instrText>
      </w:r>
      <w:r>
        <w:rPr>
          <w:noProof/>
        </w:rPr>
      </w:r>
      <w:r>
        <w:rPr>
          <w:noProof/>
        </w:rPr>
        <w:fldChar w:fldCharType="separate"/>
      </w:r>
      <w:r>
        <w:rPr>
          <w:noProof/>
        </w:rPr>
        <w:t>22</w:t>
      </w:r>
      <w:r>
        <w:rPr>
          <w:noProof/>
        </w:rPr>
        <w:fldChar w:fldCharType="end"/>
      </w:r>
    </w:p>
    <w:p w14:paraId="4F463D8C" w14:textId="40DDA4E7" w:rsidR="005171D4" w:rsidRDefault="005171D4">
      <w:pPr>
        <w:pStyle w:val="TOC2"/>
        <w:tabs>
          <w:tab w:val="right" w:leader="dot" w:pos="9350"/>
        </w:tabs>
        <w:rPr>
          <w:rFonts w:asciiTheme="minorHAnsi" w:eastAsiaTheme="minorEastAsia" w:hAnsiTheme="minorHAnsi"/>
          <w:noProof/>
          <w:sz w:val="22"/>
          <w:szCs w:val="22"/>
          <w:lang w:eastAsia="en-GB"/>
        </w:rPr>
      </w:pPr>
      <w:r>
        <w:rPr>
          <w:noProof/>
        </w:rPr>
        <w:t>5.7 Eating Disorders and Disordered Eating</w:t>
      </w:r>
      <w:r>
        <w:rPr>
          <w:noProof/>
        </w:rPr>
        <w:tab/>
      </w:r>
      <w:r>
        <w:rPr>
          <w:noProof/>
        </w:rPr>
        <w:fldChar w:fldCharType="begin"/>
      </w:r>
      <w:r>
        <w:rPr>
          <w:noProof/>
        </w:rPr>
        <w:instrText xml:space="preserve"> PAGEREF _Toc227057847 \h </w:instrText>
      </w:r>
      <w:r>
        <w:rPr>
          <w:noProof/>
        </w:rPr>
      </w:r>
      <w:r>
        <w:rPr>
          <w:noProof/>
        </w:rPr>
        <w:fldChar w:fldCharType="separate"/>
      </w:r>
      <w:r>
        <w:rPr>
          <w:noProof/>
        </w:rPr>
        <w:t>22</w:t>
      </w:r>
      <w:r>
        <w:rPr>
          <w:noProof/>
        </w:rPr>
        <w:fldChar w:fldCharType="end"/>
      </w:r>
    </w:p>
    <w:p w14:paraId="54B3F7DA" w14:textId="72A4C939"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5.7.1 Scope and Definitions</w:t>
      </w:r>
      <w:r>
        <w:rPr>
          <w:noProof/>
        </w:rPr>
        <w:tab/>
      </w:r>
      <w:r>
        <w:rPr>
          <w:noProof/>
        </w:rPr>
        <w:fldChar w:fldCharType="begin"/>
      </w:r>
      <w:r>
        <w:rPr>
          <w:noProof/>
        </w:rPr>
        <w:instrText xml:space="preserve"> PAGEREF _Toc227057848 \h </w:instrText>
      </w:r>
      <w:r>
        <w:rPr>
          <w:noProof/>
        </w:rPr>
      </w:r>
      <w:r>
        <w:rPr>
          <w:noProof/>
        </w:rPr>
        <w:fldChar w:fldCharType="separate"/>
      </w:r>
      <w:r>
        <w:rPr>
          <w:noProof/>
        </w:rPr>
        <w:t>22</w:t>
      </w:r>
      <w:r>
        <w:rPr>
          <w:noProof/>
        </w:rPr>
        <w:fldChar w:fldCharType="end"/>
      </w:r>
    </w:p>
    <w:p w14:paraId="173857CA" w14:textId="477C4D02"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5.7.2 Identification of Risk and Physical Health Monitoring</w:t>
      </w:r>
      <w:r>
        <w:rPr>
          <w:noProof/>
        </w:rPr>
        <w:tab/>
      </w:r>
      <w:r>
        <w:rPr>
          <w:noProof/>
        </w:rPr>
        <w:fldChar w:fldCharType="begin"/>
      </w:r>
      <w:r>
        <w:rPr>
          <w:noProof/>
        </w:rPr>
        <w:instrText xml:space="preserve"> PAGEREF _Toc227057849 \h </w:instrText>
      </w:r>
      <w:r>
        <w:rPr>
          <w:noProof/>
        </w:rPr>
      </w:r>
      <w:r>
        <w:rPr>
          <w:noProof/>
        </w:rPr>
        <w:fldChar w:fldCharType="separate"/>
      </w:r>
      <w:r>
        <w:rPr>
          <w:noProof/>
        </w:rPr>
        <w:t>23</w:t>
      </w:r>
      <w:r>
        <w:rPr>
          <w:noProof/>
        </w:rPr>
        <w:fldChar w:fldCharType="end"/>
      </w:r>
    </w:p>
    <w:p w14:paraId="678CA1F1" w14:textId="3CC7DAC9"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5.7.3 Nutrition and Refeeding Risk</w:t>
      </w:r>
      <w:r>
        <w:rPr>
          <w:noProof/>
        </w:rPr>
        <w:tab/>
      </w:r>
      <w:r>
        <w:rPr>
          <w:noProof/>
        </w:rPr>
        <w:fldChar w:fldCharType="begin"/>
      </w:r>
      <w:r>
        <w:rPr>
          <w:noProof/>
        </w:rPr>
        <w:instrText xml:space="preserve"> PAGEREF _Toc227057850 \h </w:instrText>
      </w:r>
      <w:r>
        <w:rPr>
          <w:noProof/>
        </w:rPr>
      </w:r>
      <w:r>
        <w:rPr>
          <w:noProof/>
        </w:rPr>
        <w:fldChar w:fldCharType="separate"/>
      </w:r>
      <w:r>
        <w:rPr>
          <w:noProof/>
        </w:rPr>
        <w:t>24</w:t>
      </w:r>
      <w:r>
        <w:rPr>
          <w:noProof/>
        </w:rPr>
        <w:fldChar w:fldCharType="end"/>
      </w:r>
    </w:p>
    <w:p w14:paraId="192D9848" w14:textId="44EEF1AC"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5.7.4 Legal and Ethical Considerations</w:t>
      </w:r>
      <w:r>
        <w:rPr>
          <w:noProof/>
        </w:rPr>
        <w:tab/>
      </w:r>
      <w:r>
        <w:rPr>
          <w:noProof/>
        </w:rPr>
        <w:fldChar w:fldCharType="begin"/>
      </w:r>
      <w:r>
        <w:rPr>
          <w:noProof/>
        </w:rPr>
        <w:instrText xml:space="preserve"> PAGEREF _Toc227057851 \h </w:instrText>
      </w:r>
      <w:r>
        <w:rPr>
          <w:noProof/>
        </w:rPr>
      </w:r>
      <w:r>
        <w:rPr>
          <w:noProof/>
        </w:rPr>
        <w:fldChar w:fldCharType="separate"/>
      </w:r>
      <w:r>
        <w:rPr>
          <w:noProof/>
        </w:rPr>
        <w:t>24</w:t>
      </w:r>
      <w:r>
        <w:rPr>
          <w:noProof/>
        </w:rPr>
        <w:fldChar w:fldCharType="end"/>
      </w:r>
    </w:p>
    <w:p w14:paraId="0537D40F" w14:textId="0AA0385F"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5.7.5 Interface with Specialist Eating Disorder Services</w:t>
      </w:r>
      <w:r>
        <w:rPr>
          <w:noProof/>
        </w:rPr>
        <w:tab/>
      </w:r>
      <w:r>
        <w:rPr>
          <w:noProof/>
        </w:rPr>
        <w:fldChar w:fldCharType="begin"/>
      </w:r>
      <w:r>
        <w:rPr>
          <w:noProof/>
        </w:rPr>
        <w:instrText xml:space="preserve"> PAGEREF _Toc227057852 \h </w:instrText>
      </w:r>
      <w:r>
        <w:rPr>
          <w:noProof/>
        </w:rPr>
      </w:r>
      <w:r>
        <w:rPr>
          <w:noProof/>
        </w:rPr>
        <w:fldChar w:fldCharType="separate"/>
      </w:r>
      <w:r>
        <w:rPr>
          <w:noProof/>
        </w:rPr>
        <w:t>24</w:t>
      </w:r>
      <w:r>
        <w:rPr>
          <w:noProof/>
        </w:rPr>
        <w:fldChar w:fldCharType="end"/>
      </w:r>
    </w:p>
    <w:p w14:paraId="49CEE504" w14:textId="5C4BEA13" w:rsidR="005171D4" w:rsidRDefault="005171D4">
      <w:pPr>
        <w:pStyle w:val="TOC3"/>
        <w:tabs>
          <w:tab w:val="right" w:leader="dot" w:pos="9350"/>
        </w:tabs>
        <w:rPr>
          <w:rFonts w:asciiTheme="minorHAnsi" w:eastAsiaTheme="minorEastAsia" w:hAnsiTheme="minorHAnsi"/>
          <w:noProof/>
          <w:sz w:val="22"/>
          <w:szCs w:val="22"/>
          <w:lang w:eastAsia="en-GB"/>
        </w:rPr>
      </w:pPr>
      <w:r>
        <w:rPr>
          <w:noProof/>
        </w:rPr>
        <w:lastRenderedPageBreak/>
        <w:t>5.7.6 Eating Disorder Services</w:t>
      </w:r>
      <w:r>
        <w:rPr>
          <w:noProof/>
        </w:rPr>
        <w:tab/>
      </w:r>
      <w:r>
        <w:rPr>
          <w:noProof/>
        </w:rPr>
        <w:fldChar w:fldCharType="begin"/>
      </w:r>
      <w:r>
        <w:rPr>
          <w:noProof/>
        </w:rPr>
        <w:instrText xml:space="preserve"> PAGEREF _Toc227057853 \h </w:instrText>
      </w:r>
      <w:r>
        <w:rPr>
          <w:noProof/>
        </w:rPr>
      </w:r>
      <w:r>
        <w:rPr>
          <w:noProof/>
        </w:rPr>
        <w:fldChar w:fldCharType="separate"/>
      </w:r>
      <w:r>
        <w:rPr>
          <w:noProof/>
        </w:rPr>
        <w:t>25</w:t>
      </w:r>
      <w:r>
        <w:rPr>
          <w:noProof/>
        </w:rPr>
        <w:fldChar w:fldCharType="end"/>
      </w:r>
    </w:p>
    <w:p w14:paraId="2134B2AE" w14:textId="5D01D611" w:rsidR="005171D4" w:rsidRDefault="005171D4">
      <w:pPr>
        <w:pStyle w:val="TOC2"/>
        <w:tabs>
          <w:tab w:val="right" w:leader="dot" w:pos="9350"/>
        </w:tabs>
        <w:rPr>
          <w:rFonts w:asciiTheme="minorHAnsi" w:eastAsiaTheme="minorEastAsia" w:hAnsiTheme="minorHAnsi"/>
          <w:noProof/>
          <w:sz w:val="22"/>
          <w:szCs w:val="22"/>
          <w:lang w:eastAsia="en-GB"/>
        </w:rPr>
      </w:pPr>
      <w:r>
        <w:rPr>
          <w:noProof/>
        </w:rPr>
        <w:t>5.8 Nutrition Equipment and Resources</w:t>
      </w:r>
      <w:r>
        <w:rPr>
          <w:noProof/>
        </w:rPr>
        <w:tab/>
      </w:r>
      <w:r>
        <w:rPr>
          <w:noProof/>
        </w:rPr>
        <w:fldChar w:fldCharType="begin"/>
      </w:r>
      <w:r>
        <w:rPr>
          <w:noProof/>
        </w:rPr>
        <w:instrText xml:space="preserve"> PAGEREF _Toc227057854 \h </w:instrText>
      </w:r>
      <w:r>
        <w:rPr>
          <w:noProof/>
        </w:rPr>
      </w:r>
      <w:r>
        <w:rPr>
          <w:noProof/>
        </w:rPr>
        <w:fldChar w:fldCharType="separate"/>
      </w:r>
      <w:r>
        <w:rPr>
          <w:noProof/>
        </w:rPr>
        <w:t>25</w:t>
      </w:r>
      <w:r>
        <w:rPr>
          <w:noProof/>
        </w:rPr>
        <w:fldChar w:fldCharType="end"/>
      </w:r>
    </w:p>
    <w:p w14:paraId="7DB78A15" w14:textId="44DC57C1"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5.8.1 Weighing and Measuring Equipment</w:t>
      </w:r>
      <w:r>
        <w:rPr>
          <w:noProof/>
        </w:rPr>
        <w:tab/>
      </w:r>
      <w:r>
        <w:rPr>
          <w:noProof/>
        </w:rPr>
        <w:fldChar w:fldCharType="begin"/>
      </w:r>
      <w:r>
        <w:rPr>
          <w:noProof/>
        </w:rPr>
        <w:instrText xml:space="preserve"> PAGEREF _Toc227057855 \h </w:instrText>
      </w:r>
      <w:r>
        <w:rPr>
          <w:noProof/>
        </w:rPr>
      </w:r>
      <w:r>
        <w:rPr>
          <w:noProof/>
        </w:rPr>
        <w:fldChar w:fldCharType="separate"/>
      </w:r>
      <w:r>
        <w:rPr>
          <w:noProof/>
        </w:rPr>
        <w:t>25</w:t>
      </w:r>
      <w:r>
        <w:rPr>
          <w:noProof/>
        </w:rPr>
        <w:fldChar w:fldCharType="end"/>
      </w:r>
    </w:p>
    <w:p w14:paraId="053955C6" w14:textId="5210EB3C"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5.8.2 Assistive Feeding Equipment</w:t>
      </w:r>
      <w:r>
        <w:rPr>
          <w:noProof/>
        </w:rPr>
        <w:tab/>
      </w:r>
      <w:r>
        <w:rPr>
          <w:noProof/>
        </w:rPr>
        <w:fldChar w:fldCharType="begin"/>
      </w:r>
      <w:r>
        <w:rPr>
          <w:noProof/>
        </w:rPr>
        <w:instrText xml:space="preserve"> PAGEREF _Toc227057856 \h </w:instrText>
      </w:r>
      <w:r>
        <w:rPr>
          <w:noProof/>
        </w:rPr>
      </w:r>
      <w:r>
        <w:rPr>
          <w:noProof/>
        </w:rPr>
        <w:fldChar w:fldCharType="separate"/>
      </w:r>
      <w:r>
        <w:rPr>
          <w:noProof/>
        </w:rPr>
        <w:t>26</w:t>
      </w:r>
      <w:r>
        <w:rPr>
          <w:noProof/>
        </w:rPr>
        <w:fldChar w:fldCharType="end"/>
      </w:r>
    </w:p>
    <w:p w14:paraId="039C3013" w14:textId="7413225F"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5.8.3 Equipment Governance and Escalation</w:t>
      </w:r>
      <w:r>
        <w:rPr>
          <w:noProof/>
        </w:rPr>
        <w:tab/>
      </w:r>
      <w:r>
        <w:rPr>
          <w:noProof/>
        </w:rPr>
        <w:fldChar w:fldCharType="begin"/>
      </w:r>
      <w:r>
        <w:rPr>
          <w:noProof/>
        </w:rPr>
        <w:instrText xml:space="preserve"> PAGEREF _Toc227057857 \h </w:instrText>
      </w:r>
      <w:r>
        <w:rPr>
          <w:noProof/>
        </w:rPr>
      </w:r>
      <w:r>
        <w:rPr>
          <w:noProof/>
        </w:rPr>
        <w:fldChar w:fldCharType="separate"/>
      </w:r>
      <w:r>
        <w:rPr>
          <w:noProof/>
        </w:rPr>
        <w:t>27</w:t>
      </w:r>
      <w:r>
        <w:rPr>
          <w:noProof/>
        </w:rPr>
        <w:fldChar w:fldCharType="end"/>
      </w:r>
    </w:p>
    <w:p w14:paraId="19ED03A6" w14:textId="1FE6BE4C" w:rsidR="005171D4" w:rsidRDefault="005171D4">
      <w:pPr>
        <w:pStyle w:val="TOC3"/>
        <w:tabs>
          <w:tab w:val="right" w:leader="dot" w:pos="9350"/>
        </w:tabs>
        <w:rPr>
          <w:rFonts w:asciiTheme="minorHAnsi" w:eastAsiaTheme="minorEastAsia" w:hAnsiTheme="minorHAnsi"/>
          <w:noProof/>
          <w:sz w:val="22"/>
          <w:szCs w:val="22"/>
          <w:lang w:eastAsia="en-GB"/>
        </w:rPr>
      </w:pPr>
      <w:r>
        <w:rPr>
          <w:noProof/>
        </w:rPr>
        <w:t>5.8.4 Discharge and Transfer between Services</w:t>
      </w:r>
      <w:r>
        <w:rPr>
          <w:noProof/>
        </w:rPr>
        <w:tab/>
      </w:r>
      <w:r>
        <w:rPr>
          <w:noProof/>
        </w:rPr>
        <w:fldChar w:fldCharType="begin"/>
      </w:r>
      <w:r>
        <w:rPr>
          <w:noProof/>
        </w:rPr>
        <w:instrText xml:space="preserve"> PAGEREF _Toc227057858 \h </w:instrText>
      </w:r>
      <w:r>
        <w:rPr>
          <w:noProof/>
        </w:rPr>
      </w:r>
      <w:r>
        <w:rPr>
          <w:noProof/>
        </w:rPr>
        <w:fldChar w:fldCharType="separate"/>
      </w:r>
      <w:r>
        <w:rPr>
          <w:noProof/>
        </w:rPr>
        <w:t>27</w:t>
      </w:r>
      <w:r>
        <w:rPr>
          <w:noProof/>
        </w:rPr>
        <w:fldChar w:fldCharType="end"/>
      </w:r>
    </w:p>
    <w:p w14:paraId="34B1BA5E" w14:textId="33C78BD2" w:rsidR="005171D4" w:rsidRDefault="005171D4">
      <w:pPr>
        <w:pStyle w:val="TOC1"/>
        <w:tabs>
          <w:tab w:val="right" w:leader="dot" w:pos="9350"/>
        </w:tabs>
        <w:rPr>
          <w:rFonts w:asciiTheme="minorHAnsi" w:eastAsiaTheme="minorEastAsia" w:hAnsiTheme="minorHAnsi"/>
          <w:noProof/>
          <w:sz w:val="22"/>
          <w:szCs w:val="22"/>
          <w:lang w:eastAsia="en-GB"/>
        </w:rPr>
      </w:pPr>
      <w:r>
        <w:rPr>
          <w:noProof/>
        </w:rPr>
        <w:t>6 Artificial Nutrition and Thickeners</w:t>
      </w:r>
      <w:r>
        <w:rPr>
          <w:noProof/>
        </w:rPr>
        <w:tab/>
      </w:r>
      <w:r>
        <w:rPr>
          <w:noProof/>
        </w:rPr>
        <w:fldChar w:fldCharType="begin"/>
      </w:r>
      <w:r>
        <w:rPr>
          <w:noProof/>
        </w:rPr>
        <w:instrText xml:space="preserve"> PAGEREF _Toc227057859 \h </w:instrText>
      </w:r>
      <w:r>
        <w:rPr>
          <w:noProof/>
        </w:rPr>
      </w:r>
      <w:r>
        <w:rPr>
          <w:noProof/>
        </w:rPr>
        <w:fldChar w:fldCharType="separate"/>
      </w:r>
      <w:r>
        <w:rPr>
          <w:noProof/>
        </w:rPr>
        <w:t>28</w:t>
      </w:r>
      <w:r>
        <w:rPr>
          <w:noProof/>
        </w:rPr>
        <w:fldChar w:fldCharType="end"/>
      </w:r>
    </w:p>
    <w:p w14:paraId="2147716E" w14:textId="3D496929" w:rsidR="005171D4" w:rsidRDefault="005171D4" w:rsidP="00666763">
      <w:pPr>
        <w:pStyle w:val="TOC3"/>
        <w:tabs>
          <w:tab w:val="right" w:leader="dot" w:pos="9350"/>
        </w:tabs>
        <w:ind w:left="220"/>
        <w:rPr>
          <w:rFonts w:asciiTheme="minorHAnsi" w:eastAsiaTheme="minorEastAsia" w:hAnsiTheme="minorHAnsi"/>
          <w:noProof/>
          <w:sz w:val="22"/>
          <w:szCs w:val="22"/>
          <w:lang w:eastAsia="en-GB"/>
        </w:rPr>
      </w:pPr>
      <w:r>
        <w:rPr>
          <w:noProof/>
        </w:rPr>
        <w:t>6.1 Oral Nutritional Supplements</w:t>
      </w:r>
      <w:r>
        <w:rPr>
          <w:noProof/>
        </w:rPr>
        <w:tab/>
      </w:r>
      <w:r>
        <w:rPr>
          <w:noProof/>
        </w:rPr>
        <w:fldChar w:fldCharType="begin"/>
      </w:r>
      <w:r>
        <w:rPr>
          <w:noProof/>
        </w:rPr>
        <w:instrText xml:space="preserve"> PAGEREF _Toc227057860 \h </w:instrText>
      </w:r>
      <w:r>
        <w:rPr>
          <w:noProof/>
        </w:rPr>
      </w:r>
      <w:r>
        <w:rPr>
          <w:noProof/>
        </w:rPr>
        <w:fldChar w:fldCharType="separate"/>
      </w:r>
      <w:r>
        <w:rPr>
          <w:noProof/>
        </w:rPr>
        <w:t>28</w:t>
      </w:r>
      <w:r>
        <w:rPr>
          <w:noProof/>
        </w:rPr>
        <w:fldChar w:fldCharType="end"/>
      </w:r>
    </w:p>
    <w:p w14:paraId="4CD7552A" w14:textId="69874501" w:rsidR="005171D4" w:rsidRDefault="005171D4">
      <w:pPr>
        <w:pStyle w:val="TOC2"/>
        <w:tabs>
          <w:tab w:val="right" w:leader="dot" w:pos="9350"/>
        </w:tabs>
        <w:rPr>
          <w:rFonts w:asciiTheme="minorHAnsi" w:eastAsiaTheme="minorEastAsia" w:hAnsiTheme="minorHAnsi"/>
          <w:noProof/>
          <w:sz w:val="22"/>
          <w:szCs w:val="22"/>
          <w:lang w:eastAsia="en-GB"/>
        </w:rPr>
      </w:pPr>
      <w:r>
        <w:rPr>
          <w:noProof/>
        </w:rPr>
        <w:t>6.2 Thickening Agents and Texture Modification</w:t>
      </w:r>
      <w:r>
        <w:rPr>
          <w:noProof/>
        </w:rPr>
        <w:tab/>
      </w:r>
      <w:r>
        <w:rPr>
          <w:noProof/>
        </w:rPr>
        <w:fldChar w:fldCharType="begin"/>
      </w:r>
      <w:r>
        <w:rPr>
          <w:noProof/>
        </w:rPr>
        <w:instrText xml:space="preserve"> PAGEREF _Toc227057861 \h </w:instrText>
      </w:r>
      <w:r>
        <w:rPr>
          <w:noProof/>
        </w:rPr>
      </w:r>
      <w:r>
        <w:rPr>
          <w:noProof/>
        </w:rPr>
        <w:fldChar w:fldCharType="separate"/>
      </w:r>
      <w:r>
        <w:rPr>
          <w:noProof/>
        </w:rPr>
        <w:t>29</w:t>
      </w:r>
      <w:r>
        <w:rPr>
          <w:noProof/>
        </w:rPr>
        <w:fldChar w:fldCharType="end"/>
      </w:r>
    </w:p>
    <w:p w14:paraId="7BEAFBAE" w14:textId="12B9F522" w:rsidR="005171D4" w:rsidRDefault="005171D4">
      <w:pPr>
        <w:pStyle w:val="TOC2"/>
        <w:tabs>
          <w:tab w:val="right" w:leader="dot" w:pos="9350"/>
        </w:tabs>
        <w:rPr>
          <w:rFonts w:asciiTheme="minorHAnsi" w:eastAsiaTheme="minorEastAsia" w:hAnsiTheme="minorHAnsi"/>
          <w:noProof/>
          <w:sz w:val="22"/>
          <w:szCs w:val="22"/>
          <w:lang w:eastAsia="en-GB"/>
        </w:rPr>
      </w:pPr>
      <w:r>
        <w:rPr>
          <w:noProof/>
        </w:rPr>
        <w:t>6.3 Enteral Nutrition</w:t>
      </w:r>
      <w:r>
        <w:rPr>
          <w:noProof/>
        </w:rPr>
        <w:tab/>
      </w:r>
      <w:r>
        <w:rPr>
          <w:noProof/>
        </w:rPr>
        <w:fldChar w:fldCharType="begin"/>
      </w:r>
      <w:r>
        <w:rPr>
          <w:noProof/>
        </w:rPr>
        <w:instrText xml:space="preserve"> PAGEREF _Toc227057862 \h </w:instrText>
      </w:r>
      <w:r>
        <w:rPr>
          <w:noProof/>
        </w:rPr>
      </w:r>
      <w:r>
        <w:rPr>
          <w:noProof/>
        </w:rPr>
        <w:fldChar w:fldCharType="separate"/>
      </w:r>
      <w:r>
        <w:rPr>
          <w:noProof/>
        </w:rPr>
        <w:t>30</w:t>
      </w:r>
      <w:r>
        <w:rPr>
          <w:noProof/>
        </w:rPr>
        <w:fldChar w:fldCharType="end"/>
      </w:r>
    </w:p>
    <w:p w14:paraId="00C630BC" w14:textId="5DBEB1A7" w:rsidR="005171D4" w:rsidRDefault="005171D4">
      <w:pPr>
        <w:pStyle w:val="TOC2"/>
        <w:tabs>
          <w:tab w:val="right" w:leader="dot" w:pos="9350"/>
        </w:tabs>
        <w:rPr>
          <w:rFonts w:asciiTheme="minorHAnsi" w:eastAsiaTheme="minorEastAsia" w:hAnsiTheme="minorHAnsi"/>
          <w:noProof/>
          <w:sz w:val="22"/>
          <w:szCs w:val="22"/>
          <w:lang w:eastAsia="en-GB"/>
        </w:rPr>
      </w:pPr>
      <w:r>
        <w:rPr>
          <w:noProof/>
        </w:rPr>
        <w:t>6.4 Management of Enteral Feeding in ELFT Services</w:t>
      </w:r>
      <w:r>
        <w:rPr>
          <w:noProof/>
        </w:rPr>
        <w:tab/>
      </w:r>
      <w:r>
        <w:rPr>
          <w:noProof/>
        </w:rPr>
        <w:fldChar w:fldCharType="begin"/>
      </w:r>
      <w:r>
        <w:rPr>
          <w:noProof/>
        </w:rPr>
        <w:instrText xml:space="preserve"> PAGEREF _Toc227057863 \h </w:instrText>
      </w:r>
      <w:r>
        <w:rPr>
          <w:noProof/>
        </w:rPr>
      </w:r>
      <w:r>
        <w:rPr>
          <w:noProof/>
        </w:rPr>
        <w:fldChar w:fldCharType="separate"/>
      </w:r>
      <w:r>
        <w:rPr>
          <w:noProof/>
        </w:rPr>
        <w:t>30</w:t>
      </w:r>
      <w:r>
        <w:rPr>
          <w:noProof/>
        </w:rPr>
        <w:fldChar w:fldCharType="end"/>
      </w:r>
    </w:p>
    <w:p w14:paraId="4E484CC6" w14:textId="0A46745F" w:rsidR="005171D4" w:rsidRDefault="005171D4">
      <w:pPr>
        <w:pStyle w:val="TOC2"/>
        <w:tabs>
          <w:tab w:val="right" w:leader="dot" w:pos="9350"/>
        </w:tabs>
        <w:rPr>
          <w:rFonts w:asciiTheme="minorHAnsi" w:eastAsiaTheme="minorEastAsia" w:hAnsiTheme="minorHAnsi"/>
          <w:noProof/>
          <w:sz w:val="22"/>
          <w:szCs w:val="22"/>
          <w:lang w:eastAsia="en-GB"/>
        </w:rPr>
      </w:pPr>
      <w:r>
        <w:rPr>
          <w:noProof/>
        </w:rPr>
        <w:t>6.5 Nasogastric Feeding</w:t>
      </w:r>
      <w:r>
        <w:rPr>
          <w:noProof/>
        </w:rPr>
        <w:tab/>
      </w:r>
      <w:r>
        <w:rPr>
          <w:noProof/>
        </w:rPr>
        <w:fldChar w:fldCharType="begin"/>
      </w:r>
      <w:r>
        <w:rPr>
          <w:noProof/>
        </w:rPr>
        <w:instrText xml:space="preserve"> PAGEREF _Toc227057864 \h </w:instrText>
      </w:r>
      <w:r>
        <w:rPr>
          <w:noProof/>
        </w:rPr>
      </w:r>
      <w:r>
        <w:rPr>
          <w:noProof/>
        </w:rPr>
        <w:fldChar w:fldCharType="separate"/>
      </w:r>
      <w:r>
        <w:rPr>
          <w:noProof/>
        </w:rPr>
        <w:t>31</w:t>
      </w:r>
      <w:r>
        <w:rPr>
          <w:noProof/>
        </w:rPr>
        <w:fldChar w:fldCharType="end"/>
      </w:r>
    </w:p>
    <w:p w14:paraId="46B635C7" w14:textId="127C38D4" w:rsidR="005171D4" w:rsidRDefault="005171D4">
      <w:pPr>
        <w:pStyle w:val="TOC2"/>
        <w:tabs>
          <w:tab w:val="right" w:leader="dot" w:pos="9350"/>
        </w:tabs>
        <w:rPr>
          <w:rFonts w:asciiTheme="minorHAnsi" w:eastAsiaTheme="minorEastAsia" w:hAnsiTheme="minorHAnsi"/>
          <w:noProof/>
          <w:sz w:val="22"/>
          <w:szCs w:val="22"/>
          <w:lang w:eastAsia="en-GB"/>
        </w:rPr>
      </w:pPr>
      <w:r>
        <w:rPr>
          <w:noProof/>
        </w:rPr>
        <w:t>6.6 Enteral Feeding in Eating Disorder Services</w:t>
      </w:r>
      <w:r>
        <w:rPr>
          <w:noProof/>
        </w:rPr>
        <w:tab/>
      </w:r>
      <w:r>
        <w:rPr>
          <w:noProof/>
        </w:rPr>
        <w:fldChar w:fldCharType="begin"/>
      </w:r>
      <w:r>
        <w:rPr>
          <w:noProof/>
        </w:rPr>
        <w:instrText xml:space="preserve"> PAGEREF _Toc227057865 \h </w:instrText>
      </w:r>
      <w:r>
        <w:rPr>
          <w:noProof/>
        </w:rPr>
      </w:r>
      <w:r>
        <w:rPr>
          <w:noProof/>
        </w:rPr>
        <w:fldChar w:fldCharType="separate"/>
      </w:r>
      <w:r>
        <w:rPr>
          <w:noProof/>
        </w:rPr>
        <w:t>31</w:t>
      </w:r>
      <w:r>
        <w:rPr>
          <w:noProof/>
        </w:rPr>
        <w:fldChar w:fldCharType="end"/>
      </w:r>
    </w:p>
    <w:p w14:paraId="5739DD2C" w14:textId="17A364AB" w:rsidR="005171D4" w:rsidRDefault="005171D4">
      <w:pPr>
        <w:pStyle w:val="TOC1"/>
        <w:tabs>
          <w:tab w:val="right" w:leader="dot" w:pos="9350"/>
        </w:tabs>
        <w:rPr>
          <w:rFonts w:asciiTheme="minorHAnsi" w:eastAsiaTheme="minorEastAsia" w:hAnsiTheme="minorHAnsi"/>
          <w:noProof/>
          <w:sz w:val="22"/>
          <w:szCs w:val="22"/>
          <w:lang w:eastAsia="en-GB"/>
        </w:rPr>
      </w:pPr>
      <w:r>
        <w:rPr>
          <w:noProof/>
        </w:rPr>
        <w:t>7. Public Health Nutrition and Health Promotion</w:t>
      </w:r>
      <w:r>
        <w:rPr>
          <w:noProof/>
        </w:rPr>
        <w:tab/>
      </w:r>
      <w:r>
        <w:rPr>
          <w:noProof/>
        </w:rPr>
        <w:fldChar w:fldCharType="begin"/>
      </w:r>
      <w:r>
        <w:rPr>
          <w:noProof/>
        </w:rPr>
        <w:instrText xml:space="preserve"> PAGEREF _Toc227057866 \h </w:instrText>
      </w:r>
      <w:r>
        <w:rPr>
          <w:noProof/>
        </w:rPr>
      </w:r>
      <w:r>
        <w:rPr>
          <w:noProof/>
        </w:rPr>
        <w:fldChar w:fldCharType="separate"/>
      </w:r>
      <w:r>
        <w:rPr>
          <w:noProof/>
        </w:rPr>
        <w:t>32</w:t>
      </w:r>
      <w:r>
        <w:rPr>
          <w:noProof/>
        </w:rPr>
        <w:fldChar w:fldCharType="end"/>
      </w:r>
    </w:p>
    <w:p w14:paraId="61E6BE91" w14:textId="76EC4E51" w:rsidR="005171D4" w:rsidRDefault="005171D4">
      <w:pPr>
        <w:pStyle w:val="TOC1"/>
        <w:tabs>
          <w:tab w:val="right" w:leader="dot" w:pos="9350"/>
        </w:tabs>
        <w:rPr>
          <w:rFonts w:asciiTheme="minorHAnsi" w:eastAsiaTheme="minorEastAsia" w:hAnsiTheme="minorHAnsi"/>
          <w:noProof/>
          <w:sz w:val="22"/>
          <w:szCs w:val="22"/>
          <w:lang w:eastAsia="en-GB"/>
        </w:rPr>
      </w:pPr>
      <w:r>
        <w:rPr>
          <w:noProof/>
        </w:rPr>
        <w:t>8. Catering and Food Provision</w:t>
      </w:r>
      <w:r>
        <w:rPr>
          <w:noProof/>
        </w:rPr>
        <w:tab/>
      </w:r>
      <w:r>
        <w:rPr>
          <w:noProof/>
        </w:rPr>
        <w:fldChar w:fldCharType="begin"/>
      </w:r>
      <w:r>
        <w:rPr>
          <w:noProof/>
        </w:rPr>
        <w:instrText xml:space="preserve"> PAGEREF _Toc227057867 \h </w:instrText>
      </w:r>
      <w:r>
        <w:rPr>
          <w:noProof/>
        </w:rPr>
      </w:r>
      <w:r>
        <w:rPr>
          <w:noProof/>
        </w:rPr>
        <w:fldChar w:fldCharType="separate"/>
      </w:r>
      <w:r>
        <w:rPr>
          <w:noProof/>
        </w:rPr>
        <w:t>33</w:t>
      </w:r>
      <w:r>
        <w:rPr>
          <w:noProof/>
        </w:rPr>
        <w:fldChar w:fldCharType="end"/>
      </w:r>
    </w:p>
    <w:p w14:paraId="6C29BBDB" w14:textId="34617534" w:rsidR="005171D4" w:rsidRDefault="005171D4">
      <w:pPr>
        <w:pStyle w:val="TOC2"/>
        <w:tabs>
          <w:tab w:val="right" w:leader="dot" w:pos="9350"/>
        </w:tabs>
        <w:rPr>
          <w:rFonts w:asciiTheme="minorHAnsi" w:eastAsiaTheme="minorEastAsia" w:hAnsiTheme="minorHAnsi"/>
          <w:noProof/>
          <w:sz w:val="22"/>
          <w:szCs w:val="22"/>
          <w:lang w:eastAsia="en-GB"/>
        </w:rPr>
      </w:pPr>
      <w:r>
        <w:rPr>
          <w:noProof/>
        </w:rPr>
        <w:t>8.1 Menu Provision and Dietary Requirements</w:t>
      </w:r>
      <w:r>
        <w:rPr>
          <w:noProof/>
        </w:rPr>
        <w:tab/>
      </w:r>
      <w:r>
        <w:rPr>
          <w:noProof/>
        </w:rPr>
        <w:fldChar w:fldCharType="begin"/>
      </w:r>
      <w:r>
        <w:rPr>
          <w:noProof/>
        </w:rPr>
        <w:instrText xml:space="preserve"> PAGEREF _Toc227057868 \h </w:instrText>
      </w:r>
      <w:r>
        <w:rPr>
          <w:noProof/>
        </w:rPr>
      </w:r>
      <w:r>
        <w:rPr>
          <w:noProof/>
        </w:rPr>
        <w:fldChar w:fldCharType="separate"/>
      </w:r>
      <w:r>
        <w:rPr>
          <w:noProof/>
        </w:rPr>
        <w:t>33</w:t>
      </w:r>
      <w:r>
        <w:rPr>
          <w:noProof/>
        </w:rPr>
        <w:fldChar w:fldCharType="end"/>
      </w:r>
    </w:p>
    <w:p w14:paraId="1818B214" w14:textId="5F95F7BC" w:rsidR="005171D4" w:rsidRDefault="005171D4" w:rsidP="00666763">
      <w:pPr>
        <w:pStyle w:val="TOC3"/>
        <w:tabs>
          <w:tab w:val="right" w:leader="dot" w:pos="9350"/>
        </w:tabs>
        <w:ind w:left="220"/>
        <w:rPr>
          <w:rFonts w:asciiTheme="minorHAnsi" w:eastAsiaTheme="minorEastAsia" w:hAnsiTheme="minorHAnsi"/>
          <w:noProof/>
          <w:sz w:val="22"/>
          <w:szCs w:val="22"/>
          <w:lang w:eastAsia="en-GB"/>
        </w:rPr>
      </w:pPr>
      <w:r>
        <w:rPr>
          <w:noProof/>
        </w:rPr>
        <w:t>8.2 Mealtime Environment and Support</w:t>
      </w:r>
      <w:r>
        <w:rPr>
          <w:noProof/>
        </w:rPr>
        <w:tab/>
      </w:r>
      <w:r>
        <w:rPr>
          <w:noProof/>
        </w:rPr>
        <w:fldChar w:fldCharType="begin"/>
      </w:r>
      <w:r>
        <w:rPr>
          <w:noProof/>
        </w:rPr>
        <w:instrText xml:space="preserve"> PAGEREF _Toc227057869 \h </w:instrText>
      </w:r>
      <w:r>
        <w:rPr>
          <w:noProof/>
        </w:rPr>
      </w:r>
      <w:r>
        <w:rPr>
          <w:noProof/>
        </w:rPr>
        <w:fldChar w:fldCharType="separate"/>
      </w:r>
      <w:r>
        <w:rPr>
          <w:noProof/>
        </w:rPr>
        <w:t>34</w:t>
      </w:r>
      <w:r>
        <w:rPr>
          <w:noProof/>
        </w:rPr>
        <w:fldChar w:fldCharType="end"/>
      </w:r>
    </w:p>
    <w:p w14:paraId="067463F0" w14:textId="202A6888" w:rsidR="005171D4" w:rsidRDefault="005171D4">
      <w:pPr>
        <w:pStyle w:val="TOC1"/>
        <w:tabs>
          <w:tab w:val="right" w:leader="dot" w:pos="9350"/>
        </w:tabs>
        <w:rPr>
          <w:rFonts w:asciiTheme="minorHAnsi" w:eastAsiaTheme="minorEastAsia" w:hAnsiTheme="minorHAnsi"/>
          <w:noProof/>
          <w:sz w:val="22"/>
          <w:szCs w:val="22"/>
          <w:lang w:eastAsia="en-GB"/>
        </w:rPr>
      </w:pPr>
      <w:r>
        <w:rPr>
          <w:noProof/>
        </w:rPr>
        <w:t>9. Staff training and competency</w:t>
      </w:r>
      <w:r>
        <w:rPr>
          <w:noProof/>
        </w:rPr>
        <w:tab/>
      </w:r>
      <w:r>
        <w:rPr>
          <w:noProof/>
        </w:rPr>
        <w:fldChar w:fldCharType="begin"/>
      </w:r>
      <w:r>
        <w:rPr>
          <w:noProof/>
        </w:rPr>
        <w:instrText xml:space="preserve"> PAGEREF _Toc227057870 \h </w:instrText>
      </w:r>
      <w:r>
        <w:rPr>
          <w:noProof/>
        </w:rPr>
      </w:r>
      <w:r>
        <w:rPr>
          <w:noProof/>
        </w:rPr>
        <w:fldChar w:fldCharType="separate"/>
      </w:r>
      <w:r>
        <w:rPr>
          <w:noProof/>
        </w:rPr>
        <w:t>35</w:t>
      </w:r>
      <w:r>
        <w:rPr>
          <w:noProof/>
        </w:rPr>
        <w:fldChar w:fldCharType="end"/>
      </w:r>
    </w:p>
    <w:p w14:paraId="3A2AAA48" w14:textId="0963A313" w:rsidR="005171D4" w:rsidRPr="00666763" w:rsidRDefault="005171D4" w:rsidP="00666763">
      <w:pPr>
        <w:pStyle w:val="TOC2"/>
        <w:tabs>
          <w:tab w:val="right" w:leader="dot" w:pos="9350"/>
        </w:tabs>
        <w:ind w:left="0"/>
        <w:rPr>
          <w:rFonts w:asciiTheme="minorHAnsi" w:eastAsiaTheme="minorEastAsia" w:hAnsiTheme="minorHAnsi"/>
          <w:noProof/>
          <w:color w:val="000000" w:themeColor="text1"/>
          <w:sz w:val="22"/>
          <w:szCs w:val="22"/>
          <w:lang w:eastAsia="en-GB"/>
        </w:rPr>
      </w:pPr>
      <w:r w:rsidRPr="00666763">
        <w:rPr>
          <w:rFonts w:cs="Arial"/>
          <w:noProof/>
          <w:color w:val="000000" w:themeColor="text1"/>
        </w:rPr>
        <w:t>10. Governance and Stakeholder Oversight</w:t>
      </w:r>
      <w:r w:rsidRPr="00666763">
        <w:rPr>
          <w:noProof/>
          <w:color w:val="000000" w:themeColor="text1"/>
        </w:rPr>
        <w:tab/>
      </w:r>
      <w:r w:rsidRPr="00666763">
        <w:rPr>
          <w:noProof/>
          <w:color w:val="000000" w:themeColor="text1"/>
        </w:rPr>
        <w:fldChar w:fldCharType="begin"/>
      </w:r>
      <w:r w:rsidRPr="00666763">
        <w:rPr>
          <w:noProof/>
          <w:color w:val="000000" w:themeColor="text1"/>
        </w:rPr>
        <w:instrText xml:space="preserve"> PAGEREF _Toc227057871 \h </w:instrText>
      </w:r>
      <w:r w:rsidRPr="00666763">
        <w:rPr>
          <w:noProof/>
          <w:color w:val="000000" w:themeColor="text1"/>
        </w:rPr>
      </w:r>
      <w:r w:rsidRPr="00666763">
        <w:rPr>
          <w:noProof/>
          <w:color w:val="000000" w:themeColor="text1"/>
        </w:rPr>
        <w:fldChar w:fldCharType="separate"/>
      </w:r>
      <w:r>
        <w:rPr>
          <w:noProof/>
          <w:color w:val="000000" w:themeColor="text1"/>
        </w:rPr>
        <w:t>36</w:t>
      </w:r>
      <w:r w:rsidRPr="00666763">
        <w:rPr>
          <w:noProof/>
          <w:color w:val="000000" w:themeColor="text1"/>
        </w:rPr>
        <w:fldChar w:fldCharType="end"/>
      </w:r>
    </w:p>
    <w:p w14:paraId="11D3598F" w14:textId="4CCFF2BE" w:rsidR="005171D4" w:rsidRDefault="005171D4" w:rsidP="00666763">
      <w:pPr>
        <w:pStyle w:val="TOC2"/>
        <w:tabs>
          <w:tab w:val="right" w:leader="dot" w:pos="9350"/>
        </w:tabs>
        <w:ind w:left="0"/>
        <w:rPr>
          <w:rFonts w:asciiTheme="minorHAnsi" w:eastAsiaTheme="minorEastAsia" w:hAnsiTheme="minorHAnsi"/>
          <w:noProof/>
          <w:sz w:val="22"/>
          <w:szCs w:val="22"/>
          <w:lang w:eastAsia="en-GB"/>
        </w:rPr>
      </w:pPr>
      <w:r w:rsidRPr="00666763">
        <w:rPr>
          <w:rFonts w:cs="Arial"/>
          <w:noProof/>
          <w:color w:val="000000" w:themeColor="text1"/>
        </w:rPr>
        <w:t>11. Monitoring Compliance and Audit</w:t>
      </w:r>
      <w:r w:rsidRPr="00666763">
        <w:rPr>
          <w:noProof/>
          <w:color w:val="000000" w:themeColor="text1"/>
        </w:rPr>
        <w:tab/>
      </w:r>
      <w:r w:rsidRPr="00666763">
        <w:rPr>
          <w:noProof/>
          <w:color w:val="000000" w:themeColor="text1"/>
        </w:rPr>
        <w:fldChar w:fldCharType="begin"/>
      </w:r>
      <w:r w:rsidRPr="00666763">
        <w:rPr>
          <w:noProof/>
          <w:color w:val="000000" w:themeColor="text1"/>
        </w:rPr>
        <w:instrText xml:space="preserve"> PAGEREF _Toc227057872 \h </w:instrText>
      </w:r>
      <w:r w:rsidRPr="00666763">
        <w:rPr>
          <w:noProof/>
          <w:color w:val="000000" w:themeColor="text1"/>
        </w:rPr>
      </w:r>
      <w:r w:rsidRPr="00666763">
        <w:rPr>
          <w:noProof/>
          <w:color w:val="000000" w:themeColor="text1"/>
        </w:rPr>
        <w:fldChar w:fldCharType="separate"/>
      </w:r>
      <w:r>
        <w:rPr>
          <w:noProof/>
          <w:color w:val="000000" w:themeColor="text1"/>
        </w:rPr>
        <w:t>37</w:t>
      </w:r>
      <w:r w:rsidRPr="00666763">
        <w:rPr>
          <w:noProof/>
          <w:color w:val="000000" w:themeColor="text1"/>
        </w:rPr>
        <w:fldChar w:fldCharType="end"/>
      </w:r>
    </w:p>
    <w:p w14:paraId="741F8EC6" w14:textId="7EDE555C" w:rsidR="005171D4" w:rsidRDefault="005171D4">
      <w:pPr>
        <w:pStyle w:val="TOC1"/>
        <w:tabs>
          <w:tab w:val="right" w:leader="dot" w:pos="9350"/>
        </w:tabs>
        <w:rPr>
          <w:rFonts w:asciiTheme="minorHAnsi" w:eastAsiaTheme="minorEastAsia" w:hAnsiTheme="minorHAnsi"/>
          <w:noProof/>
          <w:sz w:val="22"/>
          <w:szCs w:val="22"/>
          <w:lang w:eastAsia="en-GB"/>
        </w:rPr>
      </w:pPr>
      <w:r>
        <w:rPr>
          <w:noProof/>
        </w:rPr>
        <w:t>12. Sustainability</w:t>
      </w:r>
      <w:r>
        <w:rPr>
          <w:noProof/>
        </w:rPr>
        <w:tab/>
      </w:r>
      <w:r>
        <w:rPr>
          <w:noProof/>
        </w:rPr>
        <w:fldChar w:fldCharType="begin"/>
      </w:r>
      <w:r>
        <w:rPr>
          <w:noProof/>
        </w:rPr>
        <w:instrText xml:space="preserve"> PAGEREF _Toc227057873 \h </w:instrText>
      </w:r>
      <w:r>
        <w:rPr>
          <w:noProof/>
        </w:rPr>
      </w:r>
      <w:r>
        <w:rPr>
          <w:noProof/>
        </w:rPr>
        <w:fldChar w:fldCharType="separate"/>
      </w:r>
      <w:r>
        <w:rPr>
          <w:noProof/>
        </w:rPr>
        <w:t>37</w:t>
      </w:r>
      <w:r>
        <w:rPr>
          <w:noProof/>
        </w:rPr>
        <w:fldChar w:fldCharType="end"/>
      </w:r>
    </w:p>
    <w:p w14:paraId="79B53B3C" w14:textId="17360E43" w:rsidR="005171D4" w:rsidRDefault="005171D4">
      <w:pPr>
        <w:pStyle w:val="TOC1"/>
        <w:tabs>
          <w:tab w:val="right" w:leader="dot" w:pos="9350"/>
        </w:tabs>
        <w:rPr>
          <w:rFonts w:asciiTheme="minorHAnsi" w:eastAsiaTheme="minorEastAsia" w:hAnsiTheme="minorHAnsi"/>
          <w:noProof/>
          <w:sz w:val="22"/>
          <w:szCs w:val="22"/>
          <w:lang w:eastAsia="en-GB"/>
        </w:rPr>
      </w:pPr>
      <w:r>
        <w:rPr>
          <w:noProof/>
        </w:rPr>
        <w:t>13. Document Development and Acknowledgements</w:t>
      </w:r>
      <w:r>
        <w:rPr>
          <w:noProof/>
        </w:rPr>
        <w:tab/>
      </w:r>
      <w:r>
        <w:rPr>
          <w:noProof/>
        </w:rPr>
        <w:fldChar w:fldCharType="begin"/>
      </w:r>
      <w:r>
        <w:rPr>
          <w:noProof/>
        </w:rPr>
        <w:instrText xml:space="preserve"> PAGEREF _Toc227057874 \h </w:instrText>
      </w:r>
      <w:r>
        <w:rPr>
          <w:noProof/>
        </w:rPr>
      </w:r>
      <w:r>
        <w:rPr>
          <w:noProof/>
        </w:rPr>
        <w:fldChar w:fldCharType="separate"/>
      </w:r>
      <w:r>
        <w:rPr>
          <w:noProof/>
        </w:rPr>
        <w:t>37</w:t>
      </w:r>
      <w:r>
        <w:rPr>
          <w:noProof/>
        </w:rPr>
        <w:fldChar w:fldCharType="end"/>
      </w:r>
    </w:p>
    <w:p w14:paraId="38AE6FFF" w14:textId="65FBEDD4" w:rsidR="005171D4" w:rsidRDefault="005171D4">
      <w:pPr>
        <w:pStyle w:val="TOC1"/>
        <w:tabs>
          <w:tab w:val="right" w:leader="dot" w:pos="9350"/>
        </w:tabs>
        <w:rPr>
          <w:rFonts w:asciiTheme="minorHAnsi" w:eastAsiaTheme="minorEastAsia" w:hAnsiTheme="minorHAnsi"/>
          <w:noProof/>
          <w:sz w:val="22"/>
          <w:szCs w:val="22"/>
          <w:lang w:eastAsia="en-GB"/>
        </w:rPr>
      </w:pPr>
      <w:r>
        <w:rPr>
          <w:noProof/>
        </w:rPr>
        <w:t>14. References</w:t>
      </w:r>
      <w:r>
        <w:rPr>
          <w:noProof/>
        </w:rPr>
        <w:tab/>
      </w:r>
      <w:r>
        <w:rPr>
          <w:noProof/>
        </w:rPr>
        <w:fldChar w:fldCharType="begin"/>
      </w:r>
      <w:r>
        <w:rPr>
          <w:noProof/>
        </w:rPr>
        <w:instrText xml:space="preserve"> PAGEREF _Toc227057875 \h </w:instrText>
      </w:r>
      <w:r>
        <w:rPr>
          <w:noProof/>
        </w:rPr>
      </w:r>
      <w:r>
        <w:rPr>
          <w:noProof/>
        </w:rPr>
        <w:fldChar w:fldCharType="separate"/>
      </w:r>
      <w:r>
        <w:rPr>
          <w:noProof/>
        </w:rPr>
        <w:t>38</w:t>
      </w:r>
      <w:r>
        <w:rPr>
          <w:noProof/>
        </w:rPr>
        <w:fldChar w:fldCharType="end"/>
      </w:r>
    </w:p>
    <w:p w14:paraId="170B6594" w14:textId="017CD19E" w:rsidR="005171D4" w:rsidRDefault="005171D4">
      <w:pPr>
        <w:pStyle w:val="TOC1"/>
        <w:tabs>
          <w:tab w:val="right" w:leader="dot" w:pos="9350"/>
        </w:tabs>
        <w:rPr>
          <w:rFonts w:asciiTheme="minorHAnsi" w:eastAsiaTheme="minorEastAsia" w:hAnsiTheme="minorHAnsi"/>
          <w:noProof/>
          <w:sz w:val="22"/>
          <w:szCs w:val="22"/>
          <w:lang w:eastAsia="en-GB"/>
        </w:rPr>
      </w:pPr>
      <w:r>
        <w:rPr>
          <w:noProof/>
        </w:rPr>
        <w:t>15. Associated documents</w:t>
      </w:r>
      <w:r>
        <w:rPr>
          <w:noProof/>
        </w:rPr>
        <w:tab/>
      </w:r>
      <w:r>
        <w:rPr>
          <w:noProof/>
        </w:rPr>
        <w:fldChar w:fldCharType="begin"/>
      </w:r>
      <w:r>
        <w:rPr>
          <w:noProof/>
        </w:rPr>
        <w:instrText xml:space="preserve"> PAGEREF _Toc227057876 \h </w:instrText>
      </w:r>
      <w:r>
        <w:rPr>
          <w:noProof/>
        </w:rPr>
      </w:r>
      <w:r>
        <w:rPr>
          <w:noProof/>
        </w:rPr>
        <w:fldChar w:fldCharType="separate"/>
      </w:r>
      <w:r>
        <w:rPr>
          <w:noProof/>
        </w:rPr>
        <w:t>41</w:t>
      </w:r>
      <w:r>
        <w:rPr>
          <w:noProof/>
        </w:rPr>
        <w:fldChar w:fldCharType="end"/>
      </w:r>
    </w:p>
    <w:p w14:paraId="2B448D5F" w14:textId="1D8800D6" w:rsidR="005171D4" w:rsidRDefault="005171D4">
      <w:pPr>
        <w:pStyle w:val="TOC1"/>
        <w:tabs>
          <w:tab w:val="right" w:leader="dot" w:pos="9350"/>
        </w:tabs>
        <w:rPr>
          <w:rFonts w:asciiTheme="minorHAnsi" w:eastAsiaTheme="minorEastAsia" w:hAnsiTheme="minorHAnsi"/>
          <w:noProof/>
          <w:sz w:val="22"/>
          <w:szCs w:val="22"/>
          <w:lang w:eastAsia="en-GB"/>
        </w:rPr>
      </w:pPr>
      <w:r>
        <w:rPr>
          <w:noProof/>
        </w:rPr>
        <w:t>Appendix 1</w:t>
      </w:r>
      <w:r>
        <w:rPr>
          <w:noProof/>
        </w:rPr>
        <w:tab/>
      </w:r>
      <w:r>
        <w:rPr>
          <w:noProof/>
        </w:rPr>
        <w:fldChar w:fldCharType="begin"/>
      </w:r>
      <w:r>
        <w:rPr>
          <w:noProof/>
        </w:rPr>
        <w:instrText xml:space="preserve"> PAGEREF _Toc227057877 \h </w:instrText>
      </w:r>
      <w:r>
        <w:rPr>
          <w:noProof/>
        </w:rPr>
      </w:r>
      <w:r>
        <w:rPr>
          <w:noProof/>
        </w:rPr>
        <w:fldChar w:fldCharType="separate"/>
      </w:r>
      <w:r>
        <w:rPr>
          <w:noProof/>
        </w:rPr>
        <w:t>42</w:t>
      </w:r>
      <w:r>
        <w:rPr>
          <w:noProof/>
        </w:rPr>
        <w:fldChar w:fldCharType="end"/>
      </w:r>
    </w:p>
    <w:p w14:paraId="7FF04E99" w14:textId="38E1659F" w:rsidR="005171D4" w:rsidRDefault="005171D4">
      <w:pPr>
        <w:pStyle w:val="TOC2"/>
        <w:tabs>
          <w:tab w:val="right" w:leader="dot" w:pos="9350"/>
        </w:tabs>
        <w:rPr>
          <w:rFonts w:asciiTheme="minorHAnsi" w:eastAsiaTheme="minorEastAsia" w:hAnsiTheme="minorHAnsi"/>
          <w:noProof/>
          <w:sz w:val="22"/>
          <w:szCs w:val="22"/>
          <w:lang w:eastAsia="en-GB"/>
        </w:rPr>
      </w:pPr>
      <w:r>
        <w:rPr>
          <w:noProof/>
        </w:rPr>
        <w:t>Equality Impact Assessment</w:t>
      </w:r>
      <w:r>
        <w:rPr>
          <w:noProof/>
        </w:rPr>
        <w:tab/>
      </w:r>
      <w:r>
        <w:rPr>
          <w:noProof/>
        </w:rPr>
        <w:fldChar w:fldCharType="begin"/>
      </w:r>
      <w:r>
        <w:rPr>
          <w:noProof/>
        </w:rPr>
        <w:instrText xml:space="preserve"> PAGEREF _Toc227057878 \h </w:instrText>
      </w:r>
      <w:r>
        <w:rPr>
          <w:noProof/>
        </w:rPr>
      </w:r>
      <w:r>
        <w:rPr>
          <w:noProof/>
        </w:rPr>
        <w:fldChar w:fldCharType="separate"/>
      </w:r>
      <w:r>
        <w:rPr>
          <w:noProof/>
        </w:rPr>
        <w:t>42</w:t>
      </w:r>
      <w:r>
        <w:rPr>
          <w:noProof/>
        </w:rPr>
        <w:fldChar w:fldCharType="end"/>
      </w:r>
    </w:p>
    <w:p w14:paraId="63D72CCA" w14:textId="6B32CD4D" w:rsidR="71A65E9A" w:rsidRPr="00011486" w:rsidRDefault="00DB7ECA" w:rsidP="00011486">
      <w:pPr>
        <w:rPr>
          <w:sz w:val="22"/>
          <w:szCs w:val="22"/>
        </w:rPr>
      </w:pPr>
      <w:r w:rsidRPr="00DB7ECA">
        <w:rPr>
          <w:rFonts w:cs="Arial"/>
          <w:sz w:val="22"/>
          <w:szCs w:val="22"/>
        </w:rPr>
        <w:fldChar w:fldCharType="end"/>
      </w:r>
    </w:p>
    <w:p w14:paraId="18AC0A09" w14:textId="77777777" w:rsidR="00011486" w:rsidRDefault="00011486">
      <w:pPr>
        <w:keepNext w:val="0"/>
        <w:keepLines w:val="0"/>
        <w:spacing w:before="0" w:after="160"/>
        <w:contextualSpacing w:val="0"/>
        <w:jc w:val="left"/>
        <w:outlineLvl w:val="9"/>
        <w:rPr>
          <w:rFonts w:cs="Arial"/>
          <w:b/>
          <w:bCs/>
          <w:sz w:val="22"/>
          <w:szCs w:val="22"/>
        </w:rPr>
      </w:pPr>
      <w:r>
        <w:rPr>
          <w:rFonts w:cs="Arial"/>
          <w:b/>
          <w:bCs/>
          <w:sz w:val="22"/>
          <w:szCs w:val="22"/>
        </w:rPr>
        <w:br w:type="page"/>
      </w:r>
    </w:p>
    <w:p w14:paraId="62973888" w14:textId="72072F3C" w:rsidR="71A65E9A" w:rsidRDefault="65AB41CA" w:rsidP="5311C3E3">
      <w:pPr>
        <w:spacing w:after="240"/>
        <w:jc w:val="center"/>
        <w:rPr>
          <w:rFonts w:cs="Arial"/>
          <w:b/>
          <w:bCs/>
          <w:sz w:val="22"/>
          <w:szCs w:val="22"/>
        </w:rPr>
      </w:pPr>
      <w:r w:rsidRPr="5311C3E3">
        <w:rPr>
          <w:rFonts w:cs="Arial"/>
          <w:b/>
          <w:bCs/>
          <w:sz w:val="22"/>
          <w:szCs w:val="22"/>
        </w:rPr>
        <w:lastRenderedPageBreak/>
        <w:t>Abbreviations, Terms, Definitions</w:t>
      </w:r>
    </w:p>
    <w:tbl>
      <w:tblPr>
        <w:tblW w:w="5000" w:type="pct"/>
        <w:jc w:val="center"/>
        <w:tblLook w:val="06A0" w:firstRow="1" w:lastRow="0" w:firstColumn="1" w:lastColumn="0" w:noHBand="1" w:noVBand="1"/>
      </w:tblPr>
      <w:tblGrid>
        <w:gridCol w:w="1838"/>
        <w:gridCol w:w="7502"/>
      </w:tblGrid>
      <w:tr w:rsidR="1D38378D" w:rsidRPr="00011486" w14:paraId="5D982C6B"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vAlign w:val="center"/>
          </w:tcPr>
          <w:p w14:paraId="36B9AC27" w14:textId="7380643A" w:rsidR="1D38378D" w:rsidRPr="00011486" w:rsidRDefault="5BA79637" w:rsidP="00011486">
            <w:pPr>
              <w:pStyle w:val="NoSpacing"/>
              <w:spacing w:before="0" w:after="0"/>
              <w:rPr>
                <w:b/>
                <w:bCs/>
              </w:rPr>
            </w:pPr>
            <w:bookmarkStart w:id="4" w:name="_Toc224651768"/>
            <w:r w:rsidRPr="00011486">
              <w:t>Abbreviation</w:t>
            </w:r>
            <w:bookmarkEnd w:id="4"/>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vAlign w:val="center"/>
          </w:tcPr>
          <w:p w14:paraId="3292FFDB" w14:textId="2C4D18E0" w:rsidR="1D38378D" w:rsidRPr="00011486" w:rsidRDefault="5BA79637" w:rsidP="00011486">
            <w:pPr>
              <w:pStyle w:val="NoSpacing"/>
              <w:spacing w:before="0" w:after="0"/>
              <w:rPr>
                <w:b/>
                <w:bCs/>
              </w:rPr>
            </w:pPr>
            <w:bookmarkStart w:id="5" w:name="_Toc224651769"/>
            <w:r w:rsidRPr="00011486">
              <w:t>Definition</w:t>
            </w:r>
            <w:bookmarkEnd w:id="5"/>
          </w:p>
        </w:tc>
      </w:tr>
      <w:tr w:rsidR="1D38378D" w:rsidRPr="00011486" w14:paraId="36649338"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5BFC51" w14:textId="056D8824" w:rsidR="1D38378D" w:rsidRPr="00011486" w:rsidRDefault="5BA79637" w:rsidP="00011486">
            <w:pPr>
              <w:pStyle w:val="NoSpacing"/>
              <w:spacing w:before="0" w:after="0"/>
            </w:pPr>
            <w:bookmarkStart w:id="6" w:name="_Toc224651770"/>
            <w:r w:rsidRPr="00011486">
              <w:t>ACBS</w:t>
            </w:r>
            <w:bookmarkEnd w:id="6"/>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C346C54" w14:textId="339E4096" w:rsidR="1D38378D" w:rsidRPr="00011486" w:rsidRDefault="5BA79637" w:rsidP="00011486">
            <w:pPr>
              <w:pStyle w:val="NoSpacing"/>
              <w:spacing w:before="0" w:after="0"/>
            </w:pPr>
            <w:bookmarkStart w:id="7" w:name="_Toc224651771"/>
            <w:r w:rsidRPr="00011486">
              <w:t>Advisory Committee on Borderline Substances</w:t>
            </w:r>
            <w:bookmarkEnd w:id="7"/>
          </w:p>
        </w:tc>
      </w:tr>
      <w:tr w:rsidR="1D38378D" w:rsidRPr="00011486" w14:paraId="33554DB1"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43401D" w14:textId="0112A092" w:rsidR="1D38378D" w:rsidRPr="00011486" w:rsidRDefault="5BA79637" w:rsidP="00011486">
            <w:pPr>
              <w:pStyle w:val="NoSpacing"/>
              <w:spacing w:before="0" w:after="0"/>
            </w:pPr>
            <w:bookmarkStart w:id="8" w:name="_Toc224651772"/>
            <w:r w:rsidRPr="00011486">
              <w:t>AHP</w:t>
            </w:r>
            <w:bookmarkEnd w:id="8"/>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42A8DA0" w14:textId="09859C09" w:rsidR="1D38378D" w:rsidRPr="00011486" w:rsidRDefault="5BA79637" w:rsidP="00011486">
            <w:pPr>
              <w:pStyle w:val="NoSpacing"/>
              <w:spacing w:before="0" w:after="0"/>
            </w:pPr>
            <w:bookmarkStart w:id="9" w:name="_Toc224651773"/>
            <w:r w:rsidRPr="00011486">
              <w:t>Allied Health Professionals</w:t>
            </w:r>
            <w:bookmarkEnd w:id="9"/>
          </w:p>
        </w:tc>
      </w:tr>
      <w:tr w:rsidR="1D38378D" w:rsidRPr="00011486" w14:paraId="7D85FFF1"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407E48" w14:textId="34A65BC6" w:rsidR="1D38378D" w:rsidRPr="00011486" w:rsidRDefault="5BA79637" w:rsidP="00011486">
            <w:pPr>
              <w:pStyle w:val="NoSpacing"/>
              <w:spacing w:before="0" w:after="0"/>
            </w:pPr>
            <w:bookmarkStart w:id="10" w:name="_Toc224651774"/>
            <w:r w:rsidRPr="00011486">
              <w:t>ARFID</w:t>
            </w:r>
            <w:bookmarkEnd w:id="10"/>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8C140A7" w14:textId="6834D3A1" w:rsidR="1D38378D" w:rsidRPr="00011486" w:rsidRDefault="5BA79637" w:rsidP="00011486">
            <w:pPr>
              <w:pStyle w:val="NoSpacing"/>
              <w:spacing w:before="0" w:after="0"/>
            </w:pPr>
            <w:bookmarkStart w:id="11" w:name="_Toc224651775"/>
            <w:r w:rsidRPr="00011486">
              <w:t>Avoidant Restrictive Food Intake Disorder</w:t>
            </w:r>
            <w:bookmarkEnd w:id="11"/>
          </w:p>
        </w:tc>
      </w:tr>
      <w:tr w:rsidR="1D38378D" w:rsidRPr="00011486" w14:paraId="3692A3F1"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78CC4A" w14:textId="4BCC59CA" w:rsidR="1D38378D" w:rsidRPr="00011486" w:rsidRDefault="5BA79637" w:rsidP="00011486">
            <w:pPr>
              <w:pStyle w:val="NoSpacing"/>
              <w:spacing w:before="0" w:after="0"/>
            </w:pPr>
            <w:bookmarkStart w:id="12" w:name="_Toc224651776"/>
            <w:r w:rsidRPr="00011486">
              <w:t>BAPEN</w:t>
            </w:r>
            <w:bookmarkEnd w:id="12"/>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6413CE6" w14:textId="2E50EC14" w:rsidR="1D38378D" w:rsidRPr="00011486" w:rsidRDefault="5BA79637" w:rsidP="00011486">
            <w:pPr>
              <w:pStyle w:val="NoSpacing"/>
              <w:spacing w:before="0" w:after="0"/>
            </w:pPr>
            <w:bookmarkStart w:id="13" w:name="_Toc224651777"/>
            <w:r w:rsidRPr="00011486">
              <w:t>British Association of Parenteral and Enteral Nutrition</w:t>
            </w:r>
            <w:bookmarkEnd w:id="13"/>
          </w:p>
        </w:tc>
      </w:tr>
      <w:tr w:rsidR="1D38378D" w:rsidRPr="00011486" w14:paraId="5C82192F"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BD300C" w14:textId="6CD154D7" w:rsidR="1D38378D" w:rsidRPr="00011486" w:rsidRDefault="5BA79637" w:rsidP="00011486">
            <w:pPr>
              <w:pStyle w:val="NoSpacing"/>
              <w:spacing w:before="0" w:after="0"/>
            </w:pPr>
            <w:bookmarkStart w:id="14" w:name="_Toc224651778"/>
            <w:r w:rsidRPr="00011486">
              <w:t>BMI</w:t>
            </w:r>
            <w:bookmarkEnd w:id="14"/>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CCADC24" w14:textId="327DF99A" w:rsidR="1D38378D" w:rsidRPr="00011486" w:rsidRDefault="5BA79637" w:rsidP="00011486">
            <w:pPr>
              <w:pStyle w:val="NoSpacing"/>
              <w:spacing w:before="0" w:after="0"/>
            </w:pPr>
            <w:bookmarkStart w:id="15" w:name="_Toc224651779"/>
            <w:r w:rsidRPr="00011486">
              <w:t>Body Mass Index</w:t>
            </w:r>
            <w:bookmarkEnd w:id="15"/>
          </w:p>
        </w:tc>
      </w:tr>
      <w:tr w:rsidR="1D38378D" w:rsidRPr="00011486" w14:paraId="7A8A5958"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0A24D4" w14:textId="5A7E8482" w:rsidR="1D38378D" w:rsidRPr="00011486" w:rsidRDefault="5BA79637" w:rsidP="00011486">
            <w:pPr>
              <w:pStyle w:val="NoSpacing"/>
              <w:spacing w:before="0" w:after="0"/>
            </w:pPr>
            <w:bookmarkStart w:id="16" w:name="_Toc224651780"/>
            <w:r w:rsidRPr="00011486">
              <w:t>CAMHS</w:t>
            </w:r>
            <w:bookmarkEnd w:id="16"/>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ABC6864" w14:textId="2EE6588E" w:rsidR="1D38378D" w:rsidRPr="00011486" w:rsidRDefault="5BA79637" w:rsidP="00011486">
            <w:pPr>
              <w:pStyle w:val="NoSpacing"/>
              <w:spacing w:before="0" w:after="0"/>
            </w:pPr>
            <w:bookmarkStart w:id="17" w:name="_Toc224651781"/>
            <w:r w:rsidRPr="00011486">
              <w:t>Children and Adolescent Mental Health Services</w:t>
            </w:r>
            <w:bookmarkEnd w:id="17"/>
          </w:p>
        </w:tc>
      </w:tr>
      <w:tr w:rsidR="1D38378D" w:rsidRPr="00011486" w14:paraId="1E886F17"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224A5B" w14:textId="5F7E69A6" w:rsidR="1D38378D" w:rsidRPr="00011486" w:rsidRDefault="5BA79637" w:rsidP="00011486">
            <w:pPr>
              <w:pStyle w:val="NoSpacing"/>
              <w:spacing w:before="0" w:after="0"/>
            </w:pPr>
            <w:bookmarkStart w:id="18" w:name="_Toc224651782"/>
            <w:r w:rsidRPr="00011486">
              <w:t>CEDS</w:t>
            </w:r>
            <w:bookmarkEnd w:id="18"/>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48806D4" w14:textId="37357C1D" w:rsidR="1D38378D" w:rsidRPr="00011486" w:rsidRDefault="5BA79637" w:rsidP="00011486">
            <w:pPr>
              <w:pStyle w:val="NoSpacing"/>
              <w:spacing w:before="0" w:after="0"/>
            </w:pPr>
            <w:bookmarkStart w:id="19" w:name="_Toc224651783"/>
            <w:r w:rsidRPr="00011486">
              <w:t>Community Eating Disorder Service</w:t>
            </w:r>
            <w:bookmarkEnd w:id="19"/>
          </w:p>
        </w:tc>
      </w:tr>
      <w:tr w:rsidR="1D38378D" w:rsidRPr="00011486" w14:paraId="535FAD6F"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F8D1A1" w14:textId="77EA767E" w:rsidR="1D38378D" w:rsidRPr="00011486" w:rsidRDefault="5BA79637" w:rsidP="00011486">
            <w:pPr>
              <w:pStyle w:val="NoSpacing"/>
              <w:spacing w:before="0" w:after="0"/>
            </w:pPr>
            <w:bookmarkStart w:id="20" w:name="_Toc224651784"/>
            <w:r w:rsidRPr="00011486">
              <w:t>CNS</w:t>
            </w:r>
            <w:bookmarkEnd w:id="20"/>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DD3C6D0" w14:textId="4A3DB6BB" w:rsidR="1D38378D" w:rsidRPr="00011486" w:rsidRDefault="5BA79637" w:rsidP="00011486">
            <w:pPr>
              <w:pStyle w:val="NoSpacing"/>
              <w:spacing w:before="0" w:after="0"/>
            </w:pPr>
            <w:bookmarkStart w:id="21" w:name="_Toc224651785"/>
            <w:r w:rsidRPr="00011486">
              <w:t>Clinical Nurse Specialist</w:t>
            </w:r>
            <w:bookmarkEnd w:id="21"/>
          </w:p>
        </w:tc>
      </w:tr>
      <w:tr w:rsidR="1D38378D" w:rsidRPr="00011486" w14:paraId="67B27154"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51B4C5" w14:textId="4C25987D" w:rsidR="1D38378D" w:rsidRPr="00011486" w:rsidRDefault="5BA79637" w:rsidP="00011486">
            <w:pPr>
              <w:pStyle w:val="NoSpacing"/>
              <w:spacing w:before="0" w:after="0"/>
            </w:pPr>
            <w:bookmarkStart w:id="22" w:name="_Toc224651786"/>
            <w:r w:rsidRPr="00011486">
              <w:t>CYP</w:t>
            </w:r>
            <w:bookmarkEnd w:id="22"/>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19B184A" w14:textId="687ECC1E" w:rsidR="1D38378D" w:rsidRPr="00011486" w:rsidRDefault="5BA79637" w:rsidP="00011486">
            <w:pPr>
              <w:pStyle w:val="NoSpacing"/>
              <w:spacing w:before="0" w:after="0"/>
            </w:pPr>
            <w:bookmarkStart w:id="23" w:name="_Toc224651787"/>
            <w:r w:rsidRPr="00011486">
              <w:t>Children and Young People</w:t>
            </w:r>
            <w:bookmarkEnd w:id="23"/>
          </w:p>
        </w:tc>
      </w:tr>
      <w:tr w:rsidR="1D38378D" w:rsidRPr="00011486" w14:paraId="5E5B01D5"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2DEC27" w14:textId="090B486B" w:rsidR="1D38378D" w:rsidRPr="00011486" w:rsidRDefault="5BA79637" w:rsidP="00011486">
            <w:pPr>
              <w:pStyle w:val="NoSpacing"/>
              <w:spacing w:before="0" w:after="0"/>
            </w:pPr>
            <w:bookmarkStart w:id="24" w:name="_Toc224651788"/>
            <w:r w:rsidRPr="00011486">
              <w:t>ELFT</w:t>
            </w:r>
            <w:bookmarkEnd w:id="24"/>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2E96FC0" w14:textId="2C6E066B" w:rsidR="1D38378D" w:rsidRPr="00011486" w:rsidRDefault="5BA79637" w:rsidP="00011486">
            <w:pPr>
              <w:pStyle w:val="NoSpacing"/>
              <w:spacing w:before="0" w:after="0"/>
            </w:pPr>
            <w:bookmarkStart w:id="25" w:name="_Toc224651789"/>
            <w:r w:rsidRPr="00011486">
              <w:t>East London NHS Foundation Trust</w:t>
            </w:r>
            <w:bookmarkEnd w:id="25"/>
          </w:p>
        </w:tc>
      </w:tr>
      <w:tr w:rsidR="5311C3E3" w:rsidRPr="00011486" w14:paraId="50346F8D"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43460D" w14:textId="0F804096" w:rsidR="6DF315D3" w:rsidRPr="00011486" w:rsidRDefault="15E3B4FD" w:rsidP="00011486">
            <w:pPr>
              <w:pStyle w:val="NoSpacing"/>
              <w:spacing w:before="0" w:after="0"/>
            </w:pPr>
            <w:bookmarkStart w:id="26" w:name="_Toc224651790"/>
            <w:r w:rsidRPr="00011486">
              <w:t>Enteral Feeding</w:t>
            </w:r>
            <w:bookmarkEnd w:id="26"/>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B0FEEAE" w14:textId="3D1D3935" w:rsidR="6DF315D3" w:rsidRPr="00011486" w:rsidRDefault="15E3B4FD" w:rsidP="00011486">
            <w:pPr>
              <w:pStyle w:val="NoSpacing"/>
              <w:spacing w:before="0" w:after="0"/>
            </w:pPr>
            <w:bookmarkStart w:id="27" w:name="_Toc224651791"/>
            <w:r w:rsidRPr="00011486">
              <w:t>A method of supplying nutrients directly into the gastrointestinal tract</w:t>
            </w:r>
            <w:bookmarkEnd w:id="27"/>
          </w:p>
        </w:tc>
      </w:tr>
      <w:tr w:rsidR="1D38378D" w:rsidRPr="00011486" w14:paraId="6C0CC6AB"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2F0425" w14:textId="2C749A2A" w:rsidR="1D38378D" w:rsidRPr="00011486" w:rsidRDefault="5BA79637" w:rsidP="00011486">
            <w:pPr>
              <w:pStyle w:val="NoSpacing"/>
              <w:spacing w:before="0" w:after="0"/>
            </w:pPr>
            <w:bookmarkStart w:id="28" w:name="_Toc224651792"/>
            <w:r w:rsidRPr="00011486">
              <w:t>FREED</w:t>
            </w:r>
            <w:bookmarkEnd w:id="28"/>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DF39299" w14:textId="1687D280" w:rsidR="1D38378D" w:rsidRPr="00011486" w:rsidRDefault="5BA79637" w:rsidP="00011486">
            <w:pPr>
              <w:pStyle w:val="NoSpacing"/>
              <w:spacing w:before="0" w:after="0"/>
            </w:pPr>
            <w:bookmarkStart w:id="29" w:name="_Toc224651793"/>
            <w:r w:rsidRPr="00011486">
              <w:t>First Episode Rapid Early Intervention for Eating Disorders</w:t>
            </w:r>
            <w:bookmarkEnd w:id="29"/>
          </w:p>
        </w:tc>
      </w:tr>
      <w:tr w:rsidR="2E0AB19A" w:rsidRPr="00011486" w14:paraId="0183DF86"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5ABAF1" w14:textId="744CC671" w:rsidR="4CD00519" w:rsidRPr="00011486" w:rsidRDefault="4C8AD222" w:rsidP="00011486">
            <w:pPr>
              <w:pStyle w:val="NoSpacing"/>
              <w:spacing w:before="0" w:after="0"/>
            </w:pPr>
            <w:bookmarkStart w:id="30" w:name="_Toc224651794"/>
            <w:r w:rsidRPr="00011486">
              <w:t>Food First</w:t>
            </w:r>
            <w:bookmarkEnd w:id="30"/>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224EAAA" w14:textId="6D15F2D6" w:rsidR="1E716965" w:rsidRPr="00011486" w:rsidRDefault="35B37982" w:rsidP="00011486">
            <w:pPr>
              <w:pStyle w:val="NoSpacing"/>
              <w:spacing w:before="0" w:after="0"/>
            </w:pPr>
            <w:bookmarkStart w:id="31" w:name="_Toc224651795"/>
            <w:r w:rsidRPr="00011486">
              <w:t>A nutritional strategy that prioritizes using whole foods, fortified dishes, and nourishing snacks to meet the body's needs before resorting to dietary supplements or other therapeutic interventions</w:t>
            </w:r>
            <w:bookmarkEnd w:id="31"/>
          </w:p>
        </w:tc>
      </w:tr>
      <w:tr w:rsidR="2E0AB19A" w:rsidRPr="00011486" w14:paraId="0CA9DB50"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AE0E8D" w14:textId="2670C2EF" w:rsidR="1E716965" w:rsidRPr="00011486" w:rsidRDefault="35B37982" w:rsidP="00011486">
            <w:pPr>
              <w:pStyle w:val="NoSpacing"/>
              <w:spacing w:before="0" w:after="0"/>
            </w:pPr>
            <w:bookmarkStart w:id="32" w:name="_Toc224651796"/>
            <w:r w:rsidRPr="00011486">
              <w:t>Food fortification/ enrichment</w:t>
            </w:r>
            <w:bookmarkEnd w:id="32"/>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656D59B" w14:textId="664A6566" w:rsidR="1E716965" w:rsidRPr="00011486" w:rsidRDefault="35B37982" w:rsidP="00011486">
            <w:pPr>
              <w:pStyle w:val="NoSpacing"/>
              <w:spacing w:before="0" w:after="0"/>
            </w:pPr>
            <w:bookmarkStart w:id="33" w:name="_Toc224651797"/>
            <w:r w:rsidRPr="00011486">
              <w:t xml:space="preserve">Involves using everyday food items to enrich a </w:t>
            </w:r>
            <w:r w:rsidR="00011486" w:rsidRPr="00011486">
              <w:t>person’s</w:t>
            </w:r>
            <w:r w:rsidRPr="00011486">
              <w:t xml:space="preserve"> diet with energy and protein to increase energy and protein content of food and drink.</w:t>
            </w:r>
            <w:bookmarkEnd w:id="33"/>
            <w:r w:rsidRPr="00011486">
              <w:t xml:space="preserve"> </w:t>
            </w:r>
          </w:p>
        </w:tc>
      </w:tr>
      <w:tr w:rsidR="1D38378D" w:rsidRPr="00011486" w14:paraId="12383841"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80C4E0" w14:textId="1FC87DF7" w:rsidR="1D38378D" w:rsidRPr="00011486" w:rsidRDefault="5BA79637" w:rsidP="00011486">
            <w:pPr>
              <w:pStyle w:val="NoSpacing"/>
              <w:spacing w:before="0" w:after="0"/>
            </w:pPr>
            <w:bookmarkStart w:id="34" w:name="_Toc224651798"/>
            <w:r w:rsidRPr="00011486">
              <w:t>GP</w:t>
            </w:r>
            <w:bookmarkEnd w:id="34"/>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44D6D44" w14:textId="252C3884" w:rsidR="1D38378D" w:rsidRPr="00011486" w:rsidRDefault="5BA79637" w:rsidP="00011486">
            <w:pPr>
              <w:pStyle w:val="NoSpacing"/>
              <w:spacing w:before="0" w:after="0"/>
            </w:pPr>
            <w:bookmarkStart w:id="35" w:name="_Toc224651799"/>
            <w:r w:rsidRPr="00011486">
              <w:t>General Practitioner</w:t>
            </w:r>
            <w:bookmarkEnd w:id="35"/>
          </w:p>
        </w:tc>
      </w:tr>
      <w:tr w:rsidR="2E0AB19A" w:rsidRPr="00011486" w14:paraId="33578B07"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E6E7E1" w14:textId="108A9E93" w:rsidR="32DCB095" w:rsidRPr="00011486" w:rsidRDefault="0126D7AF" w:rsidP="00011486">
            <w:pPr>
              <w:pStyle w:val="NoSpacing"/>
              <w:spacing w:before="0" w:after="0"/>
            </w:pPr>
            <w:bookmarkStart w:id="36" w:name="_Toc224651800"/>
            <w:r w:rsidRPr="00011486">
              <w:t>Healthy Eating</w:t>
            </w:r>
            <w:bookmarkEnd w:id="36"/>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1907E2E" w14:textId="4D733EDF" w:rsidR="32DCB095" w:rsidRPr="00011486" w:rsidRDefault="0126D7AF" w:rsidP="00011486">
            <w:pPr>
              <w:pStyle w:val="NoSpacing"/>
              <w:spacing w:before="0" w:after="0"/>
            </w:pPr>
            <w:bookmarkStart w:id="37" w:name="_Toc224651801"/>
            <w:r w:rsidRPr="00011486">
              <w:t>Balancing five food groups (The Eat</w:t>
            </w:r>
            <w:r w:rsidR="1FDD0389" w:rsidRPr="00011486">
              <w:t>well Guide)</w:t>
            </w:r>
            <w:r w:rsidRPr="00011486">
              <w:t>: fruits/veg (at least 5 a day), starchy carbohydrates (wholegrain where possible), dairy/alternatives, protein (animal or plant based), and small amounts of unsaturated oils/spreads, plus 6-8 glasses of no added sugar, non-alcoholic fluids daily, while limiting foods high in fat, salt, and sugar.</w:t>
            </w:r>
            <w:bookmarkEnd w:id="37"/>
          </w:p>
        </w:tc>
      </w:tr>
      <w:tr w:rsidR="1D38378D" w:rsidRPr="00011486" w14:paraId="5C65B744"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1A2354" w14:textId="1CD4C42B" w:rsidR="1D38378D" w:rsidRPr="00011486" w:rsidRDefault="5BA79637" w:rsidP="00011486">
            <w:pPr>
              <w:pStyle w:val="NoSpacing"/>
              <w:spacing w:before="0" w:after="0"/>
            </w:pPr>
            <w:bookmarkStart w:id="38" w:name="_Toc224651802"/>
            <w:r w:rsidRPr="00011486">
              <w:t>IDDSI</w:t>
            </w:r>
            <w:bookmarkEnd w:id="38"/>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F5C35A7" w14:textId="1922D347" w:rsidR="1D38378D" w:rsidRPr="00011486" w:rsidRDefault="5BA79637" w:rsidP="00011486">
            <w:pPr>
              <w:pStyle w:val="NoSpacing"/>
              <w:spacing w:before="0" w:after="0"/>
            </w:pPr>
            <w:bookmarkStart w:id="39" w:name="_Toc224651803"/>
            <w:r w:rsidRPr="00011486">
              <w:t>International Dysphagia Diets Standardisation Initiative</w:t>
            </w:r>
            <w:bookmarkEnd w:id="39"/>
            <w:r w:rsidRPr="00011486">
              <w:t xml:space="preserve"> </w:t>
            </w:r>
          </w:p>
        </w:tc>
      </w:tr>
      <w:tr w:rsidR="1D38378D" w:rsidRPr="00011486" w14:paraId="4D232107"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788E14" w14:textId="144CB696" w:rsidR="1D38378D" w:rsidRPr="00011486" w:rsidRDefault="5BA79637" w:rsidP="00011486">
            <w:pPr>
              <w:pStyle w:val="NoSpacing"/>
              <w:spacing w:before="0" w:after="0"/>
            </w:pPr>
            <w:bookmarkStart w:id="40" w:name="_Toc224651804"/>
            <w:r w:rsidRPr="00011486">
              <w:t>MDT</w:t>
            </w:r>
            <w:bookmarkEnd w:id="40"/>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0CD67B5" w14:textId="57284C9A" w:rsidR="1D38378D" w:rsidRPr="00011486" w:rsidRDefault="5BA79637" w:rsidP="00011486">
            <w:pPr>
              <w:pStyle w:val="NoSpacing"/>
              <w:spacing w:before="0" w:after="0"/>
            </w:pPr>
            <w:bookmarkStart w:id="41" w:name="_Toc224651805"/>
            <w:r w:rsidRPr="00011486">
              <w:t>Multi-Disciplinary Team</w:t>
            </w:r>
            <w:bookmarkEnd w:id="41"/>
          </w:p>
        </w:tc>
      </w:tr>
      <w:tr w:rsidR="1D38378D" w:rsidRPr="00011486" w14:paraId="760659CE"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9DAF02" w14:textId="6821CD4E" w:rsidR="1D38378D" w:rsidRPr="00011486" w:rsidRDefault="5BA79637" w:rsidP="00011486">
            <w:pPr>
              <w:pStyle w:val="NoSpacing"/>
              <w:spacing w:before="0" w:after="0"/>
            </w:pPr>
            <w:bookmarkStart w:id="42" w:name="_Toc224651806"/>
            <w:r w:rsidRPr="00011486">
              <w:t>MEED</w:t>
            </w:r>
            <w:bookmarkEnd w:id="42"/>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EBFFD9E" w14:textId="725FC492" w:rsidR="1D38378D" w:rsidRPr="00011486" w:rsidRDefault="5BA79637" w:rsidP="00011486">
            <w:pPr>
              <w:pStyle w:val="NoSpacing"/>
              <w:spacing w:before="0" w:after="0"/>
            </w:pPr>
            <w:bookmarkStart w:id="43" w:name="_Toc224651807"/>
            <w:r w:rsidRPr="00011486">
              <w:t>Medical Emergencies in Eating Disorders</w:t>
            </w:r>
            <w:bookmarkEnd w:id="43"/>
          </w:p>
        </w:tc>
      </w:tr>
      <w:tr w:rsidR="1D38378D" w:rsidRPr="00011486" w14:paraId="6E55D1AB"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85B125" w14:textId="3DC12A98" w:rsidR="1D38378D" w:rsidRPr="00011486" w:rsidRDefault="5BA79637" w:rsidP="00011486">
            <w:pPr>
              <w:pStyle w:val="NoSpacing"/>
              <w:spacing w:before="0" w:after="0"/>
            </w:pPr>
            <w:bookmarkStart w:id="44" w:name="_Toc224651808"/>
            <w:r w:rsidRPr="00011486">
              <w:t>MUST</w:t>
            </w:r>
            <w:bookmarkEnd w:id="44"/>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E2B8984" w14:textId="1A0B2A41" w:rsidR="1D38378D" w:rsidRPr="00011486" w:rsidRDefault="5BA79637" w:rsidP="00011486">
            <w:pPr>
              <w:pStyle w:val="NoSpacing"/>
              <w:spacing w:before="0" w:after="0"/>
            </w:pPr>
            <w:bookmarkStart w:id="45" w:name="_Toc224651809"/>
            <w:r w:rsidRPr="00011486">
              <w:t>Malnutrition Universal Screening Tool</w:t>
            </w:r>
            <w:bookmarkEnd w:id="45"/>
          </w:p>
        </w:tc>
      </w:tr>
      <w:tr w:rsidR="1D38378D" w:rsidRPr="00011486" w14:paraId="07AAD840"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0B1EB9" w14:textId="254C5455" w:rsidR="1D38378D" w:rsidRPr="00011486" w:rsidRDefault="5BA79637" w:rsidP="00011486">
            <w:pPr>
              <w:pStyle w:val="NoSpacing"/>
              <w:spacing w:before="0" w:after="0"/>
            </w:pPr>
            <w:bookmarkStart w:id="46" w:name="_Toc224651810"/>
            <w:r w:rsidRPr="00011486">
              <w:t>NICE</w:t>
            </w:r>
            <w:bookmarkEnd w:id="46"/>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D3FB499" w14:textId="15132CDB" w:rsidR="1D38378D" w:rsidRPr="00011486" w:rsidRDefault="5BA79637" w:rsidP="00011486">
            <w:pPr>
              <w:pStyle w:val="NoSpacing"/>
              <w:spacing w:before="0" w:after="0"/>
            </w:pPr>
            <w:bookmarkStart w:id="47" w:name="_Toc224651811"/>
            <w:r w:rsidRPr="00011486">
              <w:t>National Institute of Clinical Excellence</w:t>
            </w:r>
            <w:bookmarkEnd w:id="47"/>
          </w:p>
        </w:tc>
      </w:tr>
      <w:tr w:rsidR="1D38378D" w:rsidRPr="00011486" w14:paraId="717C5431"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E7E7FC" w14:textId="243F8606" w:rsidR="1D38378D" w:rsidRPr="00011486" w:rsidRDefault="5BA79637" w:rsidP="00011486">
            <w:pPr>
              <w:pStyle w:val="NoSpacing"/>
              <w:spacing w:before="0" w:after="0"/>
            </w:pPr>
            <w:bookmarkStart w:id="48" w:name="_Toc224651812"/>
            <w:r w:rsidRPr="00011486">
              <w:t>NSG</w:t>
            </w:r>
            <w:bookmarkEnd w:id="48"/>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828B664" w14:textId="61FF2511" w:rsidR="1D38378D" w:rsidRPr="00011486" w:rsidRDefault="5BA79637" w:rsidP="00011486">
            <w:pPr>
              <w:pStyle w:val="NoSpacing"/>
              <w:spacing w:before="0" w:after="0"/>
            </w:pPr>
            <w:bookmarkStart w:id="49" w:name="_Toc224651813"/>
            <w:r w:rsidRPr="00011486">
              <w:t>Nutrition Steering Group</w:t>
            </w:r>
            <w:bookmarkEnd w:id="49"/>
          </w:p>
        </w:tc>
      </w:tr>
      <w:tr w:rsidR="48EC1FC0" w:rsidRPr="00011486" w14:paraId="7979DB24"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DEB477" w14:textId="18D14336" w:rsidR="01BDA64F" w:rsidRPr="00011486" w:rsidRDefault="3EDF6C4E" w:rsidP="00011486">
            <w:pPr>
              <w:pStyle w:val="NoSpacing"/>
              <w:spacing w:before="0" w:after="0"/>
            </w:pPr>
            <w:bookmarkStart w:id="50" w:name="_Toc224651814"/>
            <w:r w:rsidRPr="00011486">
              <w:t>PLACE</w:t>
            </w:r>
            <w:bookmarkEnd w:id="50"/>
            <w:r w:rsidRPr="00011486">
              <w:t xml:space="preserve"> </w:t>
            </w:r>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FC7FA25" w14:textId="0C737286" w:rsidR="01BDA64F" w:rsidRPr="00011486" w:rsidRDefault="3EDF6C4E" w:rsidP="00011486">
            <w:pPr>
              <w:pStyle w:val="NoSpacing"/>
              <w:spacing w:before="0" w:after="0"/>
            </w:pPr>
            <w:bookmarkStart w:id="51" w:name="_Toc224651815"/>
            <w:r w:rsidRPr="00011486">
              <w:t>Patient-Led Assessments of the Care Environment</w:t>
            </w:r>
            <w:bookmarkEnd w:id="51"/>
          </w:p>
        </w:tc>
      </w:tr>
      <w:tr w:rsidR="1D38378D" w:rsidRPr="00011486" w14:paraId="2EF4D6B0"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EF49DE" w14:textId="38E02148" w:rsidR="1D38378D" w:rsidRPr="00011486" w:rsidRDefault="5BA79637" w:rsidP="00011486">
            <w:pPr>
              <w:pStyle w:val="NoSpacing"/>
              <w:spacing w:before="0" w:after="0"/>
            </w:pPr>
            <w:bookmarkStart w:id="52" w:name="_Toc224651816"/>
            <w:r w:rsidRPr="00011486">
              <w:t>RD</w:t>
            </w:r>
            <w:bookmarkEnd w:id="52"/>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FF3273A" w14:textId="05313CAF" w:rsidR="1D38378D" w:rsidRPr="00011486" w:rsidRDefault="5BA79637" w:rsidP="00011486">
            <w:pPr>
              <w:pStyle w:val="NoSpacing"/>
              <w:spacing w:before="0" w:after="0"/>
            </w:pPr>
            <w:bookmarkStart w:id="53" w:name="_Toc224651817"/>
            <w:r w:rsidRPr="00011486">
              <w:t>Registered Dietitian</w:t>
            </w:r>
            <w:bookmarkEnd w:id="53"/>
          </w:p>
        </w:tc>
      </w:tr>
      <w:tr w:rsidR="1D38378D" w:rsidRPr="00011486" w14:paraId="0F02CCA1"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2D5594" w14:textId="6E261D5F" w:rsidR="1D38378D" w:rsidRPr="00011486" w:rsidRDefault="5BA79637" w:rsidP="00011486">
            <w:pPr>
              <w:pStyle w:val="NoSpacing"/>
              <w:spacing w:before="0" w:after="0"/>
            </w:pPr>
            <w:bookmarkStart w:id="54" w:name="_Toc224651818"/>
            <w:r w:rsidRPr="00011486">
              <w:t>SMI</w:t>
            </w:r>
            <w:bookmarkEnd w:id="54"/>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49B7E36" w14:textId="5C112133" w:rsidR="1D38378D" w:rsidRPr="00011486" w:rsidRDefault="5BA79637" w:rsidP="00011486">
            <w:pPr>
              <w:pStyle w:val="NoSpacing"/>
              <w:spacing w:before="0" w:after="0"/>
            </w:pPr>
            <w:bookmarkStart w:id="55" w:name="_Toc224651819"/>
            <w:r w:rsidRPr="00011486">
              <w:t>Severe Mental Illness</w:t>
            </w:r>
            <w:bookmarkEnd w:id="55"/>
          </w:p>
        </w:tc>
      </w:tr>
      <w:tr w:rsidR="1D38378D" w:rsidRPr="00011486" w14:paraId="3E91E93F"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A70DAE" w14:textId="5F2E3FAB" w:rsidR="1D38378D" w:rsidRPr="00011486" w:rsidRDefault="5BA79637" w:rsidP="00011486">
            <w:pPr>
              <w:pStyle w:val="NoSpacing"/>
              <w:spacing w:before="0" w:after="0"/>
            </w:pPr>
            <w:bookmarkStart w:id="56" w:name="_Toc224651820"/>
            <w:r w:rsidRPr="00011486">
              <w:t>SANSI</w:t>
            </w:r>
            <w:bookmarkEnd w:id="56"/>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2C167EC" w14:textId="28E2DB9B" w:rsidR="1D38378D" w:rsidRPr="00011486" w:rsidRDefault="5BA79637" w:rsidP="00011486">
            <w:pPr>
              <w:pStyle w:val="NoSpacing"/>
              <w:spacing w:before="0" w:after="0"/>
            </w:pPr>
            <w:bookmarkStart w:id="57" w:name="_Toc224651821"/>
            <w:r w:rsidRPr="00011486">
              <w:t>St Andrew’s Nutrition Screening Instrument</w:t>
            </w:r>
            <w:bookmarkEnd w:id="57"/>
          </w:p>
        </w:tc>
      </w:tr>
      <w:tr w:rsidR="1D38378D" w:rsidRPr="00011486" w14:paraId="2EC6D43F"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A25A0B" w14:textId="324B14B8" w:rsidR="1D38378D" w:rsidRPr="00011486" w:rsidRDefault="5BA79637" w:rsidP="00011486">
            <w:pPr>
              <w:pStyle w:val="NoSpacing"/>
              <w:spacing w:before="0" w:after="0"/>
            </w:pPr>
            <w:bookmarkStart w:id="58" w:name="_Toc224651822"/>
            <w:r w:rsidRPr="00011486">
              <w:t>SEDU</w:t>
            </w:r>
            <w:bookmarkEnd w:id="58"/>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94E1E7E" w14:textId="481C7847" w:rsidR="1D38378D" w:rsidRPr="00011486" w:rsidRDefault="5BA79637" w:rsidP="00011486">
            <w:pPr>
              <w:pStyle w:val="NoSpacing"/>
              <w:spacing w:before="0" w:after="0"/>
            </w:pPr>
            <w:bookmarkStart w:id="59" w:name="_Toc224651823"/>
            <w:r w:rsidRPr="00011486">
              <w:t>Specialist Eating Disorder Unit</w:t>
            </w:r>
            <w:bookmarkEnd w:id="59"/>
          </w:p>
        </w:tc>
      </w:tr>
      <w:tr w:rsidR="1D38378D" w:rsidRPr="00011486" w14:paraId="12740D05"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DF3455" w14:textId="25C7B9A3" w:rsidR="1D38378D" w:rsidRPr="00011486" w:rsidRDefault="5BA79637" w:rsidP="00011486">
            <w:pPr>
              <w:pStyle w:val="NoSpacing"/>
              <w:spacing w:before="0" w:after="0"/>
            </w:pPr>
            <w:bookmarkStart w:id="60" w:name="_Toc224651824"/>
            <w:r w:rsidRPr="00011486">
              <w:t>SLT</w:t>
            </w:r>
            <w:bookmarkEnd w:id="60"/>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A0CD7CB" w14:textId="7B7E898E" w:rsidR="1D38378D" w:rsidRPr="00011486" w:rsidRDefault="5BA79637" w:rsidP="00011486">
            <w:pPr>
              <w:pStyle w:val="NoSpacing"/>
              <w:spacing w:before="0" w:after="0"/>
            </w:pPr>
            <w:bookmarkStart w:id="61" w:name="_Toc224651825"/>
            <w:r w:rsidRPr="00011486">
              <w:t>Speech and Language Therapist</w:t>
            </w:r>
            <w:bookmarkEnd w:id="61"/>
          </w:p>
        </w:tc>
      </w:tr>
      <w:tr w:rsidR="1D38378D" w:rsidRPr="00011486" w14:paraId="1CBCCE40"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3BE8A9" w14:textId="005817D7" w:rsidR="1D38378D" w:rsidRPr="00011486" w:rsidRDefault="5BA79637" w:rsidP="00011486">
            <w:pPr>
              <w:pStyle w:val="NoSpacing"/>
              <w:spacing w:before="0" w:after="0"/>
            </w:pPr>
            <w:bookmarkStart w:id="62" w:name="_Toc224651826"/>
            <w:r w:rsidRPr="00011486">
              <w:t>STAMP</w:t>
            </w:r>
            <w:bookmarkEnd w:id="62"/>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4694F76" w14:textId="1A5D5608" w:rsidR="1D38378D" w:rsidRPr="00011486" w:rsidRDefault="5BA79637" w:rsidP="00011486">
            <w:pPr>
              <w:pStyle w:val="NoSpacing"/>
              <w:spacing w:before="0" w:after="0"/>
            </w:pPr>
            <w:bookmarkStart w:id="63" w:name="_Toc224651827"/>
            <w:r w:rsidRPr="00011486">
              <w:t>Screening Tool for the Assessment of Malnutrition in Paediatrics</w:t>
            </w:r>
            <w:bookmarkEnd w:id="63"/>
          </w:p>
        </w:tc>
      </w:tr>
      <w:tr w:rsidR="1D38378D" w:rsidRPr="00011486" w14:paraId="1A29C52A" w14:textId="77777777" w:rsidTr="00011486">
        <w:trPr>
          <w:trHeight w:val="300"/>
          <w:jc w:val="center"/>
        </w:trPr>
        <w:tc>
          <w:tcPr>
            <w:tcW w:w="9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BFE9AB" w14:textId="201AD9E0" w:rsidR="1D38378D" w:rsidRPr="00011486" w:rsidRDefault="5BA79637" w:rsidP="00011486">
            <w:pPr>
              <w:pStyle w:val="NoSpacing"/>
              <w:spacing w:before="0" w:after="0"/>
            </w:pPr>
            <w:bookmarkStart w:id="64" w:name="_Toc224651828"/>
            <w:r w:rsidRPr="00011486">
              <w:t>Supporters</w:t>
            </w:r>
            <w:bookmarkEnd w:id="64"/>
          </w:p>
        </w:tc>
        <w:tc>
          <w:tcPr>
            <w:tcW w:w="40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7C3A0A" w14:textId="12460C02" w:rsidR="1D38378D" w:rsidRPr="00011486" w:rsidRDefault="43ED6145" w:rsidP="00011486">
            <w:pPr>
              <w:pStyle w:val="NoSpacing"/>
              <w:spacing w:before="0" w:after="0"/>
            </w:pPr>
            <w:bookmarkStart w:id="65" w:name="_Toc224651829"/>
            <w:r w:rsidRPr="00011486">
              <w:t xml:space="preserve">Ward staff and other health and social care professionals, </w:t>
            </w:r>
            <w:r w:rsidR="1AE09295" w:rsidRPr="00011486">
              <w:t xml:space="preserve">service users </w:t>
            </w:r>
            <w:r w:rsidRPr="00011486">
              <w:t>Family, Friends, and Partners.</w:t>
            </w:r>
            <w:bookmarkEnd w:id="65"/>
          </w:p>
        </w:tc>
      </w:tr>
    </w:tbl>
    <w:p w14:paraId="2A8BAB49" w14:textId="5859EAB3" w:rsidR="5311C3E3" w:rsidRDefault="65AB41CA" w:rsidP="00B36D8A">
      <w:pPr>
        <w:pStyle w:val="Heading1"/>
        <w:rPr>
          <w:sz w:val="22"/>
          <w:szCs w:val="22"/>
        </w:rPr>
      </w:pPr>
      <w:bookmarkStart w:id="66" w:name="_Toc224651830"/>
      <w:bookmarkStart w:id="67" w:name="_Toc224651993"/>
      <w:bookmarkStart w:id="68" w:name="_Toc227057816"/>
      <w:r>
        <w:lastRenderedPageBreak/>
        <w:t>1</w:t>
      </w:r>
      <w:r w:rsidR="71A65E9A">
        <w:tab/>
      </w:r>
      <w:r>
        <w:t>Introduction</w:t>
      </w:r>
      <w:bookmarkEnd w:id="66"/>
      <w:bookmarkEnd w:id="67"/>
      <w:bookmarkEnd w:id="68"/>
    </w:p>
    <w:p w14:paraId="4DE4928D" w14:textId="464AF3F4" w:rsidR="71A65E9A" w:rsidRPr="00B36D8A" w:rsidRDefault="3F55308A" w:rsidP="00B36D8A">
      <w:pPr>
        <w:rPr>
          <w:sz w:val="22"/>
          <w:szCs w:val="22"/>
        </w:rPr>
      </w:pPr>
      <w:r w:rsidRPr="00B36D8A">
        <w:rPr>
          <w:sz w:val="22"/>
          <w:szCs w:val="22"/>
        </w:rPr>
        <w:t>This policy supports the ELFT strategy</w:t>
      </w:r>
      <w:r w:rsidR="000A469E" w:rsidRPr="00B36D8A">
        <w:rPr>
          <w:sz w:val="22"/>
          <w:szCs w:val="22"/>
        </w:rPr>
        <w:t xml:space="preserve"> 2022 -</w:t>
      </w:r>
      <w:r w:rsidR="004468BC" w:rsidRPr="00B36D8A">
        <w:rPr>
          <w:sz w:val="22"/>
          <w:szCs w:val="22"/>
        </w:rPr>
        <w:t xml:space="preserve"> </w:t>
      </w:r>
      <w:r w:rsidR="000A469E" w:rsidRPr="00B36D8A">
        <w:rPr>
          <w:sz w:val="22"/>
          <w:szCs w:val="22"/>
        </w:rPr>
        <w:t>2027</w:t>
      </w:r>
      <w:r w:rsidR="004468BC" w:rsidRPr="00B36D8A">
        <w:rPr>
          <w:sz w:val="22"/>
          <w:szCs w:val="22"/>
        </w:rPr>
        <w:t xml:space="preserve"> (2022)</w:t>
      </w:r>
      <w:r w:rsidRPr="00B36D8A">
        <w:rPr>
          <w:sz w:val="22"/>
          <w:szCs w:val="22"/>
        </w:rPr>
        <w:t xml:space="preserve"> and the NHS Long Term Plan (2019), which aim to improve care quality, population health and value. </w:t>
      </w:r>
      <w:r w:rsidR="0E542182" w:rsidRPr="00B36D8A">
        <w:rPr>
          <w:sz w:val="22"/>
          <w:szCs w:val="22"/>
        </w:rPr>
        <w:t xml:space="preserve">The NHS Long Term Plan </w:t>
      </w:r>
      <w:r w:rsidR="00622E5C" w:rsidRPr="00B36D8A">
        <w:rPr>
          <w:sz w:val="22"/>
          <w:szCs w:val="22"/>
        </w:rPr>
        <w:t xml:space="preserve">specifically </w:t>
      </w:r>
      <w:r w:rsidR="0E542182" w:rsidRPr="00B36D8A">
        <w:rPr>
          <w:sz w:val="22"/>
          <w:szCs w:val="22"/>
        </w:rPr>
        <w:t>focuses on better access to mental health services, preventing malnutrition, managing weight, preventing diabetes and early support for eating disorders</w:t>
      </w:r>
      <w:r w:rsidR="1FCC13CE" w:rsidRPr="00B36D8A">
        <w:rPr>
          <w:sz w:val="22"/>
          <w:szCs w:val="22"/>
        </w:rPr>
        <w:t xml:space="preserve"> </w:t>
      </w:r>
      <w:sdt>
        <w:sdtPr>
          <w:rPr>
            <w:sz w:val="22"/>
            <w:szCs w:val="22"/>
          </w:rPr>
          <w:tag w:val="MENDELEY_CITATION_v3_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"/>
          <w:id w:val="1380478467"/>
          <w:placeholder>
            <w:docPart w:val="DefaultPlaceholder_-1854013440"/>
          </w:placeholder>
        </w:sdtPr>
        <w:sdtEndPr/>
        <w:sdtContent>
          <w:r w:rsidR="05DF0126" w:rsidRPr="00B36D8A">
            <w:rPr>
              <w:sz w:val="22"/>
              <w:szCs w:val="22"/>
            </w:rPr>
            <w:t>(NHS England, 2019)</w:t>
          </w:r>
        </w:sdtContent>
      </w:sdt>
    </w:p>
    <w:p w14:paraId="6F9DD581" w14:textId="3AB7410E" w:rsidR="71A65E9A" w:rsidRPr="00B36D8A" w:rsidRDefault="0E542182" w:rsidP="00B36D8A">
      <w:pPr>
        <w:rPr>
          <w:sz w:val="22"/>
          <w:szCs w:val="22"/>
        </w:rPr>
      </w:pPr>
      <w:r w:rsidRPr="00B36D8A">
        <w:rPr>
          <w:sz w:val="22"/>
          <w:szCs w:val="22"/>
        </w:rPr>
        <w:t xml:space="preserve"> </w:t>
      </w:r>
    </w:p>
    <w:p w14:paraId="2E12C2A4" w14:textId="43C25336" w:rsidR="41C5DAEF" w:rsidRPr="00B36D8A" w:rsidRDefault="7FF48132" w:rsidP="00B36D8A">
      <w:pPr>
        <w:rPr>
          <w:sz w:val="22"/>
          <w:szCs w:val="22"/>
        </w:rPr>
      </w:pPr>
      <w:r w:rsidRPr="00B36D8A">
        <w:rPr>
          <w:sz w:val="22"/>
          <w:szCs w:val="22"/>
        </w:rPr>
        <w:t>The Nutrition Steering Group</w:t>
      </w:r>
      <w:r w:rsidR="00622E5C" w:rsidRPr="00B36D8A">
        <w:rPr>
          <w:sz w:val="22"/>
          <w:szCs w:val="22"/>
        </w:rPr>
        <w:t xml:space="preserve"> (NSG)</w:t>
      </w:r>
      <w:r w:rsidRPr="00B36D8A">
        <w:rPr>
          <w:sz w:val="22"/>
          <w:szCs w:val="22"/>
        </w:rPr>
        <w:t xml:space="preserve"> provides oversight of nutrition and hydration practice across the Trust and supports implementation of this policy.</w:t>
      </w:r>
    </w:p>
    <w:p w14:paraId="2674D17D" w14:textId="0544500E" w:rsidR="71A65E9A" w:rsidRPr="00B36D8A" w:rsidRDefault="65AB41CA" w:rsidP="00B36D8A">
      <w:pPr>
        <w:pStyle w:val="Heading1"/>
        <w:rPr>
          <w:sz w:val="22"/>
          <w:szCs w:val="22"/>
        </w:rPr>
      </w:pPr>
      <w:bookmarkStart w:id="69" w:name="_Toc224651831"/>
      <w:bookmarkStart w:id="70" w:name="_Toc224651994"/>
      <w:bookmarkStart w:id="71" w:name="_Toc227057817"/>
      <w:r>
        <w:t>2</w:t>
      </w:r>
      <w:r w:rsidR="2E5BA385">
        <w:tab/>
      </w:r>
      <w:r>
        <w:t>Purpose</w:t>
      </w:r>
      <w:bookmarkEnd w:id="69"/>
      <w:bookmarkEnd w:id="70"/>
      <w:bookmarkEnd w:id="71"/>
    </w:p>
    <w:p w14:paraId="6902C685" w14:textId="07822255" w:rsidR="71A65E9A" w:rsidRPr="00B36D8A" w:rsidRDefault="73ED4B0E" w:rsidP="00B36D8A">
      <w:pPr>
        <w:rPr>
          <w:sz w:val="22"/>
          <w:szCs w:val="22"/>
        </w:rPr>
      </w:pPr>
      <w:r w:rsidRPr="00B36D8A">
        <w:rPr>
          <w:sz w:val="22"/>
          <w:szCs w:val="22"/>
        </w:rPr>
        <w:t>ELFT is committed to providing effective nutrition</w:t>
      </w:r>
      <w:r w:rsidR="2129C52F" w:rsidRPr="00B36D8A">
        <w:rPr>
          <w:sz w:val="22"/>
          <w:szCs w:val="22"/>
        </w:rPr>
        <w:t>al</w:t>
      </w:r>
      <w:r w:rsidRPr="00B36D8A">
        <w:rPr>
          <w:sz w:val="22"/>
          <w:szCs w:val="22"/>
        </w:rPr>
        <w:t xml:space="preserve"> care. </w:t>
      </w:r>
      <w:r w:rsidR="3EBFD062" w:rsidRPr="00B36D8A">
        <w:rPr>
          <w:sz w:val="22"/>
          <w:szCs w:val="22"/>
        </w:rPr>
        <w:t>Every service user must have access to suitable food, drink or artificial nutrition where clinically indicated.</w:t>
      </w:r>
      <w:r w:rsidRPr="00B36D8A">
        <w:rPr>
          <w:sz w:val="22"/>
          <w:szCs w:val="22"/>
        </w:rPr>
        <w:t xml:space="preserve"> </w:t>
      </w:r>
    </w:p>
    <w:p w14:paraId="3E28EFBA" w14:textId="403947B9" w:rsidR="64E3CC02" w:rsidRPr="00B36D8A" w:rsidRDefault="64E3CC02" w:rsidP="00B36D8A">
      <w:pPr>
        <w:rPr>
          <w:sz w:val="22"/>
          <w:szCs w:val="22"/>
        </w:rPr>
      </w:pPr>
      <w:r w:rsidRPr="00B36D8A">
        <w:rPr>
          <w:sz w:val="22"/>
          <w:szCs w:val="22"/>
        </w:rPr>
        <w:t>Nutrition and hydration must be delivered safely, respectfully and in a timely</w:t>
      </w:r>
      <w:r w:rsidR="00622E5C" w:rsidRPr="00B36D8A">
        <w:rPr>
          <w:sz w:val="22"/>
          <w:szCs w:val="22"/>
        </w:rPr>
        <w:t xml:space="preserve"> manner</w:t>
      </w:r>
      <w:r w:rsidRPr="00B36D8A">
        <w:rPr>
          <w:sz w:val="22"/>
          <w:szCs w:val="22"/>
        </w:rPr>
        <w:t xml:space="preserve"> to support health and wellbeing.</w:t>
      </w:r>
    </w:p>
    <w:p w14:paraId="1BD2E3D7" w14:textId="32F9EDE6" w:rsidR="2E0AB19A" w:rsidRPr="00B36D8A" w:rsidRDefault="2E0AB19A" w:rsidP="00B36D8A">
      <w:pPr>
        <w:rPr>
          <w:rFonts w:cs="Arial"/>
          <w:sz w:val="22"/>
          <w:szCs w:val="22"/>
        </w:rPr>
      </w:pPr>
    </w:p>
    <w:p w14:paraId="2D83A499" w14:textId="3EB25B3E" w:rsidR="71A65E9A" w:rsidRPr="00B36D8A" w:rsidRDefault="0CE548AD" w:rsidP="00B36D8A">
      <w:pPr>
        <w:rPr>
          <w:rFonts w:cs="Arial"/>
          <w:sz w:val="22"/>
          <w:szCs w:val="22"/>
          <w:highlight w:val="yellow"/>
        </w:rPr>
      </w:pPr>
      <w:r w:rsidRPr="00B36D8A">
        <w:rPr>
          <w:rFonts w:cs="Arial"/>
          <w:sz w:val="22"/>
          <w:szCs w:val="22"/>
        </w:rPr>
        <w:t xml:space="preserve">The standards in this policy are </w:t>
      </w:r>
      <w:r w:rsidR="004468BC" w:rsidRPr="00B36D8A">
        <w:rPr>
          <w:rFonts w:cs="Arial"/>
          <w:sz w:val="22"/>
          <w:szCs w:val="22"/>
        </w:rPr>
        <w:t xml:space="preserve">evidence </w:t>
      </w:r>
      <w:r w:rsidR="00622E5C" w:rsidRPr="00B36D8A">
        <w:rPr>
          <w:rFonts w:cs="Arial"/>
          <w:sz w:val="22"/>
          <w:szCs w:val="22"/>
        </w:rPr>
        <w:t xml:space="preserve">based </w:t>
      </w:r>
      <w:r w:rsidRPr="00B36D8A">
        <w:rPr>
          <w:rFonts w:cs="Arial"/>
          <w:sz w:val="22"/>
          <w:szCs w:val="22"/>
        </w:rPr>
        <w:t>and follow expert recommendations.</w:t>
      </w:r>
    </w:p>
    <w:p w14:paraId="59454AAD" w14:textId="680ACB73" w:rsidR="2E0AB19A" w:rsidRPr="00B36D8A" w:rsidRDefault="2E0AB19A" w:rsidP="00B36D8A">
      <w:pPr>
        <w:rPr>
          <w:rFonts w:cs="Arial"/>
          <w:sz w:val="22"/>
          <w:szCs w:val="22"/>
        </w:rPr>
      </w:pPr>
    </w:p>
    <w:p w14:paraId="19B06BC9" w14:textId="6CC3D2B2" w:rsidR="71A65E9A" w:rsidRPr="00B36D8A" w:rsidRDefault="7C45F0A7" w:rsidP="00B36D8A">
      <w:pPr>
        <w:rPr>
          <w:rFonts w:cs="Arial"/>
          <w:sz w:val="22"/>
          <w:szCs w:val="22"/>
        </w:rPr>
      </w:pPr>
      <w:r w:rsidRPr="1D6E3FFF">
        <w:rPr>
          <w:rFonts w:cs="Arial"/>
          <w:sz w:val="22"/>
          <w:szCs w:val="22"/>
        </w:rPr>
        <w:t xml:space="preserve">This policy applies to all service users. In some cases, such as </w:t>
      </w:r>
      <w:r w:rsidR="404D09BC" w:rsidRPr="1D6E3FFF">
        <w:rPr>
          <w:rFonts w:cs="Arial"/>
          <w:sz w:val="22"/>
          <w:szCs w:val="22"/>
        </w:rPr>
        <w:t xml:space="preserve">children's and </w:t>
      </w:r>
      <w:r w:rsidRPr="1D6E3FFF">
        <w:rPr>
          <w:rFonts w:cs="Arial"/>
          <w:sz w:val="22"/>
          <w:szCs w:val="22"/>
        </w:rPr>
        <w:t>eating disorder services, local policies may apply instead. Nutrition and catering services will be adapted to meet the specific</w:t>
      </w:r>
      <w:r w:rsidR="521F467B" w:rsidRPr="1D6E3FFF">
        <w:rPr>
          <w:rFonts w:cs="Arial"/>
          <w:sz w:val="22"/>
          <w:szCs w:val="22"/>
        </w:rPr>
        <w:t xml:space="preserve"> nutritional</w:t>
      </w:r>
      <w:r w:rsidRPr="1D6E3FFF">
        <w:rPr>
          <w:rFonts w:cs="Arial"/>
          <w:sz w:val="22"/>
          <w:szCs w:val="22"/>
        </w:rPr>
        <w:t xml:space="preserve"> needs of different service user groups. </w:t>
      </w:r>
    </w:p>
    <w:p w14:paraId="0B80F10A" w14:textId="70AA96B8" w:rsidR="2E0AB19A" w:rsidRPr="00B36D8A" w:rsidRDefault="2E0AB19A" w:rsidP="00B36D8A">
      <w:pPr>
        <w:rPr>
          <w:sz w:val="22"/>
          <w:szCs w:val="22"/>
        </w:rPr>
      </w:pPr>
    </w:p>
    <w:p w14:paraId="3A93BB8F" w14:textId="112773BE" w:rsidR="71A65E9A" w:rsidRPr="00B36D8A" w:rsidRDefault="24E4F8F2" w:rsidP="00B36D8A">
      <w:pPr>
        <w:rPr>
          <w:rFonts w:cs="Arial"/>
          <w:sz w:val="22"/>
          <w:szCs w:val="22"/>
        </w:rPr>
      </w:pPr>
      <w:r w:rsidRPr="00B36D8A">
        <w:rPr>
          <w:rFonts w:cs="Arial"/>
          <w:sz w:val="22"/>
          <w:szCs w:val="22"/>
        </w:rPr>
        <w:t>All ELFT staff who support service users should follow this policy. Registered dietitians can help with</w:t>
      </w:r>
      <w:r w:rsidR="00622E5C" w:rsidRPr="00B36D8A">
        <w:rPr>
          <w:rFonts w:cs="Arial"/>
          <w:sz w:val="22"/>
          <w:szCs w:val="22"/>
        </w:rPr>
        <w:t xml:space="preserve"> policy</w:t>
      </w:r>
      <w:r w:rsidRPr="00B36D8A">
        <w:rPr>
          <w:rFonts w:cs="Arial"/>
          <w:sz w:val="22"/>
          <w:szCs w:val="22"/>
        </w:rPr>
        <w:t xml:space="preserve"> implementation, but service leads are responsible for making sure </w:t>
      </w:r>
      <w:r w:rsidR="4962DC0E" w:rsidRPr="00B36D8A">
        <w:rPr>
          <w:rFonts w:cs="Arial"/>
          <w:sz w:val="22"/>
          <w:szCs w:val="22"/>
        </w:rPr>
        <w:t>the policy is</w:t>
      </w:r>
      <w:r w:rsidRPr="00B36D8A">
        <w:rPr>
          <w:rFonts w:cs="Arial"/>
          <w:sz w:val="22"/>
          <w:szCs w:val="22"/>
        </w:rPr>
        <w:t xml:space="preserve"> followed. </w:t>
      </w:r>
    </w:p>
    <w:p w14:paraId="7BEA9E17" w14:textId="77FB3E3C" w:rsidR="71A65E9A" w:rsidRPr="00B36D8A" w:rsidRDefault="7C45F0A7" w:rsidP="00B36D8A">
      <w:pPr>
        <w:pStyle w:val="Heading1"/>
        <w:rPr>
          <w:sz w:val="22"/>
          <w:szCs w:val="22"/>
        </w:rPr>
      </w:pPr>
      <w:bookmarkStart w:id="72" w:name="_Toc224651832"/>
      <w:bookmarkStart w:id="73" w:name="_Toc224651995"/>
      <w:bookmarkStart w:id="74" w:name="_Toc227057818"/>
      <w:r>
        <w:t>3</w:t>
      </w:r>
      <w:r w:rsidR="71A65E9A">
        <w:tab/>
      </w:r>
      <w:r>
        <w:t>Duties and Responsibilities</w:t>
      </w:r>
      <w:bookmarkEnd w:id="72"/>
      <w:bookmarkEnd w:id="73"/>
      <w:bookmarkEnd w:id="74"/>
    </w:p>
    <w:p w14:paraId="7908395B" w14:textId="4FE4FE76" w:rsidR="71A65E9A" w:rsidRDefault="7C45F0A7" w:rsidP="5311C3E3">
      <w:pPr>
        <w:rPr>
          <w:rFonts w:cs="Arial"/>
          <w:sz w:val="22"/>
          <w:szCs w:val="22"/>
        </w:rPr>
      </w:pPr>
      <w:r w:rsidRPr="46BBC149">
        <w:rPr>
          <w:rFonts w:cs="Arial"/>
          <w:sz w:val="22"/>
          <w:szCs w:val="22"/>
        </w:rPr>
        <w:t xml:space="preserve">The Chief Medical Officer, and Trust Board are responsible for nutrition </w:t>
      </w:r>
      <w:r w:rsidR="45F09402" w:rsidRPr="46BBC149">
        <w:rPr>
          <w:rFonts w:cs="Arial"/>
          <w:sz w:val="22"/>
          <w:szCs w:val="22"/>
        </w:rPr>
        <w:t xml:space="preserve">and hydration </w:t>
      </w:r>
      <w:r w:rsidRPr="46BBC149">
        <w:rPr>
          <w:rFonts w:cs="Arial"/>
          <w:sz w:val="22"/>
          <w:szCs w:val="22"/>
        </w:rPr>
        <w:t xml:space="preserve">care across ELFT. </w:t>
      </w:r>
    </w:p>
    <w:p w14:paraId="4C6E1EA2" w14:textId="4CBAC3F8" w:rsidR="71A65E9A" w:rsidRDefault="7C45F0A7" w:rsidP="5311C3E3">
      <w:pPr>
        <w:rPr>
          <w:rFonts w:cs="Arial"/>
          <w:sz w:val="22"/>
          <w:szCs w:val="22"/>
        </w:rPr>
      </w:pPr>
      <w:r w:rsidRPr="5311C3E3">
        <w:rPr>
          <w:rFonts w:cs="Arial"/>
          <w:sz w:val="22"/>
          <w:szCs w:val="22"/>
        </w:rPr>
        <w:t xml:space="preserve"> </w:t>
      </w:r>
    </w:p>
    <w:p w14:paraId="689B9650" w14:textId="2DD2EC42" w:rsidR="71A65E9A" w:rsidRDefault="69868C8A" w:rsidP="5311C3E3">
      <w:pPr>
        <w:rPr>
          <w:rFonts w:cs="Arial"/>
          <w:sz w:val="22"/>
          <w:szCs w:val="22"/>
        </w:rPr>
      </w:pPr>
      <w:r w:rsidRPr="1D6E3FFF">
        <w:rPr>
          <w:rFonts w:cs="Arial"/>
          <w:sz w:val="22"/>
          <w:szCs w:val="22"/>
        </w:rPr>
        <w:t xml:space="preserve">The </w:t>
      </w:r>
      <w:r w:rsidR="00622E5C" w:rsidRPr="1D6E3FFF">
        <w:rPr>
          <w:rFonts w:cs="Arial"/>
          <w:sz w:val="22"/>
          <w:szCs w:val="22"/>
        </w:rPr>
        <w:t>NSG</w:t>
      </w:r>
      <w:r w:rsidRPr="1D6E3FFF">
        <w:rPr>
          <w:rFonts w:cs="Arial"/>
          <w:sz w:val="22"/>
          <w:szCs w:val="22"/>
        </w:rPr>
        <w:t xml:space="preserve"> will provide advice and recommendations to service management teams</w:t>
      </w:r>
      <w:r w:rsidR="2808B692" w:rsidRPr="1D6E3FFF">
        <w:rPr>
          <w:rFonts w:cs="Arial"/>
          <w:sz w:val="22"/>
          <w:szCs w:val="22"/>
        </w:rPr>
        <w:t>.</w:t>
      </w:r>
      <w:r w:rsidR="24E4F8F2" w:rsidRPr="1D6E3FFF">
        <w:rPr>
          <w:rFonts w:cs="Arial"/>
          <w:sz w:val="22"/>
          <w:szCs w:val="22"/>
        </w:rPr>
        <w:t xml:space="preserve"> Actions will be led locally with support from </w:t>
      </w:r>
      <w:r w:rsidR="4184E9A1" w:rsidRPr="1D6E3FFF">
        <w:rPr>
          <w:rFonts w:cs="Arial"/>
          <w:sz w:val="22"/>
          <w:szCs w:val="22"/>
        </w:rPr>
        <w:t xml:space="preserve">registered </w:t>
      </w:r>
      <w:r w:rsidR="24E4F8F2" w:rsidRPr="1D6E3FFF">
        <w:rPr>
          <w:rFonts w:cs="Arial"/>
          <w:sz w:val="22"/>
          <w:szCs w:val="22"/>
        </w:rPr>
        <w:t>dietitians</w:t>
      </w:r>
      <w:r w:rsidR="1202918F" w:rsidRPr="1D6E3FFF">
        <w:rPr>
          <w:rFonts w:cs="Arial"/>
          <w:sz w:val="22"/>
          <w:szCs w:val="22"/>
        </w:rPr>
        <w:t xml:space="preserve"> where available</w:t>
      </w:r>
      <w:r w:rsidR="6B7F3DF3" w:rsidRPr="1D6E3FFF">
        <w:rPr>
          <w:rFonts w:cs="Arial"/>
          <w:sz w:val="22"/>
          <w:szCs w:val="22"/>
        </w:rPr>
        <w:t>.</w:t>
      </w:r>
    </w:p>
    <w:p w14:paraId="32302404" w14:textId="6881B26D" w:rsidR="71A65E9A" w:rsidRDefault="7C45F0A7" w:rsidP="5311C3E3">
      <w:pPr>
        <w:rPr>
          <w:rFonts w:cs="Arial"/>
          <w:sz w:val="22"/>
          <w:szCs w:val="22"/>
        </w:rPr>
      </w:pPr>
      <w:r w:rsidRPr="5311C3E3">
        <w:rPr>
          <w:rFonts w:cs="Arial"/>
          <w:sz w:val="22"/>
          <w:szCs w:val="22"/>
        </w:rPr>
        <w:t xml:space="preserve"> </w:t>
      </w:r>
    </w:p>
    <w:p w14:paraId="677981B4" w14:textId="6B64D15A" w:rsidR="71A65E9A" w:rsidRDefault="7C45F0A7" w:rsidP="5311C3E3">
      <w:pPr>
        <w:rPr>
          <w:rFonts w:cs="Arial"/>
          <w:sz w:val="22"/>
          <w:szCs w:val="22"/>
        </w:rPr>
      </w:pPr>
      <w:r w:rsidRPr="5311C3E3">
        <w:rPr>
          <w:rFonts w:cs="Arial"/>
          <w:sz w:val="22"/>
          <w:szCs w:val="22"/>
        </w:rPr>
        <w:t>In inpatient settings, the Estates and Facilities team is responsible for food services. The clinical team is responsible for nutrition</w:t>
      </w:r>
      <w:r w:rsidR="354816AE" w:rsidRPr="5311C3E3">
        <w:rPr>
          <w:rFonts w:cs="Arial"/>
          <w:sz w:val="22"/>
          <w:szCs w:val="22"/>
        </w:rPr>
        <w:t xml:space="preserve"> and hydration</w:t>
      </w:r>
      <w:r w:rsidRPr="5311C3E3">
        <w:rPr>
          <w:rFonts w:cs="Arial"/>
          <w:sz w:val="22"/>
          <w:szCs w:val="22"/>
        </w:rPr>
        <w:t xml:space="preserve"> care plans. </w:t>
      </w:r>
    </w:p>
    <w:p w14:paraId="0C8A57C5" w14:textId="60F70D8C" w:rsidR="71A65E9A" w:rsidRDefault="7C45F0A7" w:rsidP="5311C3E3">
      <w:pPr>
        <w:rPr>
          <w:rFonts w:cs="Arial"/>
          <w:sz w:val="22"/>
          <w:szCs w:val="22"/>
        </w:rPr>
      </w:pPr>
      <w:r w:rsidRPr="5311C3E3">
        <w:rPr>
          <w:rFonts w:cs="Arial"/>
          <w:sz w:val="22"/>
          <w:szCs w:val="22"/>
        </w:rPr>
        <w:t xml:space="preserve"> </w:t>
      </w:r>
    </w:p>
    <w:p w14:paraId="3D8BCCB8" w14:textId="794B4D3A" w:rsidR="71A65E9A" w:rsidRDefault="56B7C4EB" w:rsidP="5311C3E3">
      <w:pPr>
        <w:rPr>
          <w:rFonts w:cs="Arial"/>
          <w:color w:val="000000" w:themeColor="text1"/>
          <w:sz w:val="22"/>
          <w:szCs w:val="22"/>
        </w:rPr>
      </w:pPr>
      <w:r w:rsidRPr="5311C3E3">
        <w:rPr>
          <w:rFonts w:cs="Arial"/>
          <w:sz w:val="22"/>
          <w:szCs w:val="22"/>
        </w:rPr>
        <w:t>Each ELFT Directorate is responsible for ensuring this policy is implemented safely and effectively.</w:t>
      </w:r>
    </w:p>
    <w:p w14:paraId="5E2121D1" w14:textId="5463E193" w:rsidR="48EC1FC0" w:rsidRDefault="48EC1FC0" w:rsidP="5311C3E3">
      <w:pPr>
        <w:pStyle w:val="Heading2"/>
        <w:rPr>
          <w:rFonts w:ascii="Arial" w:eastAsia="Arial" w:hAnsi="Arial" w:cs="Arial"/>
          <w:sz w:val="22"/>
          <w:szCs w:val="22"/>
        </w:rPr>
      </w:pPr>
    </w:p>
    <w:p w14:paraId="4CCB664F" w14:textId="77777777" w:rsidR="00011486" w:rsidRDefault="00011486">
      <w:pPr>
        <w:keepNext w:val="0"/>
        <w:keepLines w:val="0"/>
        <w:spacing w:before="0" w:after="160"/>
        <w:contextualSpacing w:val="0"/>
        <w:jc w:val="left"/>
        <w:outlineLvl w:val="9"/>
        <w:rPr>
          <w:rFonts w:cs="Arial"/>
          <w:color w:val="1F4E79" w:themeColor="accent1" w:themeShade="80"/>
          <w:sz w:val="36"/>
          <w:szCs w:val="36"/>
        </w:rPr>
      </w:pPr>
      <w:bookmarkStart w:id="75" w:name="_Toc224651833"/>
      <w:bookmarkStart w:id="76" w:name="_Toc224651996"/>
      <w:r>
        <w:br w:type="page"/>
      </w:r>
    </w:p>
    <w:p w14:paraId="3D8EF30B" w14:textId="427CE78A" w:rsidR="48EC1FC0" w:rsidRDefault="64E05C6C" w:rsidP="66992B7B">
      <w:pPr>
        <w:pStyle w:val="Heading1"/>
        <w:rPr>
          <w:sz w:val="22"/>
          <w:szCs w:val="22"/>
        </w:rPr>
      </w:pPr>
      <w:bookmarkStart w:id="77" w:name="_Toc227057819"/>
      <w:r w:rsidRPr="66992B7B">
        <w:lastRenderedPageBreak/>
        <w:t>4 Nutrition and Hydration Screening, Assessment and Care Planning</w:t>
      </w:r>
      <w:bookmarkEnd w:id="75"/>
      <w:bookmarkEnd w:id="76"/>
      <w:bookmarkEnd w:id="77"/>
    </w:p>
    <w:p w14:paraId="412809FF" w14:textId="045776F4" w:rsidR="48EC1FC0" w:rsidRDefault="64CB15C4" w:rsidP="5311C3E3">
      <w:pPr>
        <w:spacing w:before="240" w:after="240"/>
        <w:rPr>
          <w:rFonts w:cs="Arial"/>
          <w:sz w:val="22"/>
          <w:szCs w:val="22"/>
        </w:rPr>
      </w:pPr>
      <w:r w:rsidRPr="1D6E3FFF">
        <w:rPr>
          <w:rFonts w:cs="Arial"/>
          <w:sz w:val="22"/>
          <w:szCs w:val="22"/>
        </w:rPr>
        <w:t>All service users must receive safe, sufficient and appropriate nutrition and hydration in accordance with Regulation 14 of the Health and Social Care Act 2008 (Regulated Activities) Regulations 2014, NICE guidance on nutrition support (CG32; QS24), the NHS England National Standards for Healthcare Food and Drink (NHS England, 2022; NICE, 2006)</w:t>
      </w:r>
      <w:r w:rsidR="00E0647B" w:rsidRPr="1D6E3FFF">
        <w:rPr>
          <w:rFonts w:cs="Arial"/>
          <w:sz w:val="22"/>
          <w:szCs w:val="22"/>
        </w:rPr>
        <w:t>, and relevant trust policies i.e. Physical Healthcare Policy, Clinical Risk assessment and Management and Clinical Record Keeping</w:t>
      </w:r>
      <w:r w:rsidR="6A6FD70C" w:rsidRPr="1D6E3FFF">
        <w:rPr>
          <w:rFonts w:cs="Arial"/>
          <w:sz w:val="22"/>
          <w:szCs w:val="22"/>
        </w:rPr>
        <w:t>.</w:t>
      </w:r>
    </w:p>
    <w:p w14:paraId="2C1E493E" w14:textId="20AF9CC7" w:rsidR="48EC1FC0" w:rsidRDefault="48EC1FC0" w:rsidP="5311C3E3">
      <w:pPr>
        <w:spacing w:before="240" w:after="240"/>
        <w:rPr>
          <w:rFonts w:cs="Arial"/>
          <w:sz w:val="22"/>
          <w:szCs w:val="22"/>
        </w:rPr>
      </w:pPr>
    </w:p>
    <w:p w14:paraId="13E52121" w14:textId="68A2B6BF" w:rsidR="48EC1FC0" w:rsidRDefault="64CB15C4" w:rsidP="5311C3E3">
      <w:pPr>
        <w:spacing w:before="240" w:after="240"/>
        <w:rPr>
          <w:rFonts w:cs="Arial"/>
          <w:sz w:val="22"/>
          <w:szCs w:val="22"/>
        </w:rPr>
      </w:pPr>
      <w:r w:rsidRPr="5311C3E3">
        <w:rPr>
          <w:rFonts w:cs="Arial"/>
          <w:sz w:val="22"/>
          <w:szCs w:val="22"/>
        </w:rPr>
        <w:t>Nutrition and hydration care is a mandatory component of physical healthcare. Risk must be identified early and managed through appropriate screening, assessment, care planning, monitoring and escalation.</w:t>
      </w:r>
    </w:p>
    <w:p w14:paraId="3366C5DD" w14:textId="17E341AC" w:rsidR="48EC1FC0" w:rsidRDefault="48EC1FC0" w:rsidP="5311C3E3">
      <w:pPr>
        <w:rPr>
          <w:rFonts w:cs="Arial"/>
          <w:sz w:val="22"/>
          <w:szCs w:val="22"/>
        </w:rPr>
      </w:pPr>
    </w:p>
    <w:p w14:paraId="66E00E37" w14:textId="095F4745" w:rsidR="48EC1FC0" w:rsidRDefault="0C7ECF48" w:rsidP="00517414">
      <w:pPr>
        <w:pStyle w:val="Heading2"/>
        <w:spacing w:after="240"/>
        <w:rPr>
          <w:rFonts w:ascii="Arial" w:eastAsia="Arial" w:hAnsi="Arial" w:cs="Arial"/>
          <w:sz w:val="22"/>
          <w:szCs w:val="22"/>
        </w:rPr>
      </w:pPr>
      <w:bookmarkStart w:id="78" w:name="_Toc224651834"/>
      <w:bookmarkStart w:id="79" w:name="_Toc224651997"/>
      <w:bookmarkStart w:id="80" w:name="_Toc227057820"/>
      <w:r w:rsidRPr="730FCF52">
        <w:t xml:space="preserve">4.1 </w:t>
      </w:r>
      <w:r w:rsidR="64CB15C4" w:rsidRPr="730FCF52">
        <w:t>Key Responsibilities for Staff</w:t>
      </w:r>
      <w:bookmarkEnd w:id="78"/>
      <w:bookmarkEnd w:id="79"/>
      <w:bookmarkEnd w:id="80"/>
    </w:p>
    <w:p w14:paraId="1A6CB0AE" w14:textId="654802AE" w:rsidR="7CC2778C" w:rsidRDefault="7CC2778C" w:rsidP="730FCF52">
      <w:pPr>
        <w:pStyle w:val="NoSpacing"/>
      </w:pPr>
      <w:bookmarkStart w:id="81" w:name="_Toc224651835"/>
      <w:r w:rsidRPr="730FCF52">
        <w:t>Nutrition screening must be completed in accordance with Trust requirements regardless of the availability of internal and/or local specialist services. Screening supports early identification of risk and informs monitoring and escalation.</w:t>
      </w:r>
      <w:bookmarkEnd w:id="81"/>
    </w:p>
    <w:p w14:paraId="08718A70" w14:textId="233C88A3" w:rsidR="730FCF52" w:rsidRDefault="730FCF52" w:rsidP="730FCF52">
      <w:pPr>
        <w:pStyle w:val="NoSpacing"/>
      </w:pPr>
    </w:p>
    <w:p w14:paraId="322174CF" w14:textId="3C51285E" w:rsidR="48EC1FC0" w:rsidRDefault="64E05C6C" w:rsidP="66992B7B">
      <w:pPr>
        <w:pStyle w:val="NoSpacing"/>
      </w:pPr>
      <w:bookmarkStart w:id="82" w:name="_Toc224651836"/>
      <w:r w:rsidRPr="66992B7B">
        <w:t>All staff involved in service user care must:</w:t>
      </w:r>
      <w:bookmarkEnd w:id="82"/>
    </w:p>
    <w:p w14:paraId="1609F9B4" w14:textId="3E856EB8" w:rsidR="48EC1FC0" w:rsidRDefault="1D6F156C" w:rsidP="66992B7B">
      <w:pPr>
        <w:pStyle w:val="NoSpacing"/>
        <w:numPr>
          <w:ilvl w:val="0"/>
          <w:numId w:val="2"/>
        </w:numPr>
      </w:pPr>
      <w:bookmarkStart w:id="83" w:name="_Toc224651724"/>
      <w:bookmarkStart w:id="84" w:name="_Toc224651837"/>
      <w:r w:rsidRPr="66992B7B">
        <w:t>C</w:t>
      </w:r>
      <w:r w:rsidR="64E05C6C" w:rsidRPr="66992B7B">
        <w:t>omplete nutrition and hydration screening at admission</w:t>
      </w:r>
      <w:r w:rsidR="00FE5D17">
        <w:t>,</w:t>
      </w:r>
      <w:r w:rsidR="64E05C6C" w:rsidRPr="66992B7B">
        <w:t xml:space="preserve"> </w:t>
      </w:r>
      <w:r w:rsidR="00622E5C">
        <w:t>when there are concerns</w:t>
      </w:r>
      <w:r w:rsidR="64E05C6C" w:rsidRPr="66992B7B">
        <w:t xml:space="preserve"> and at appropriate review intervals</w:t>
      </w:r>
      <w:r w:rsidR="00FE5D17">
        <w:t>, see table one for details.</w:t>
      </w:r>
      <w:bookmarkEnd w:id="83"/>
      <w:bookmarkEnd w:id="84"/>
    </w:p>
    <w:p w14:paraId="5D761D13" w14:textId="30F5CDFD" w:rsidR="48EC1FC0" w:rsidRDefault="73483B04" w:rsidP="66992B7B">
      <w:pPr>
        <w:pStyle w:val="NoSpacing"/>
        <w:numPr>
          <w:ilvl w:val="0"/>
          <w:numId w:val="2"/>
        </w:numPr>
      </w:pPr>
      <w:bookmarkStart w:id="85" w:name="_Toc224651725"/>
      <w:bookmarkStart w:id="86" w:name="_Toc224651838"/>
      <w:r w:rsidRPr="66992B7B">
        <w:t>I</w:t>
      </w:r>
      <w:r w:rsidR="64E05C6C" w:rsidRPr="66992B7B">
        <w:t>dentify and escalate risks relating to malnutrition, dehydration, swallowing difficulties or significant changes in intake, weight or clinical condition</w:t>
      </w:r>
      <w:bookmarkEnd w:id="85"/>
      <w:bookmarkEnd w:id="86"/>
    </w:p>
    <w:p w14:paraId="05CB5137" w14:textId="508393D1" w:rsidR="48EC1FC0" w:rsidRDefault="2B599222" w:rsidP="66992B7B">
      <w:pPr>
        <w:pStyle w:val="NoSpacing"/>
        <w:numPr>
          <w:ilvl w:val="0"/>
          <w:numId w:val="2"/>
        </w:numPr>
      </w:pPr>
      <w:bookmarkStart w:id="87" w:name="_Toc224651726"/>
      <w:bookmarkStart w:id="88" w:name="_Toc224651839"/>
      <w:r w:rsidRPr="66992B7B">
        <w:t>I</w:t>
      </w:r>
      <w:r w:rsidR="64E05C6C" w:rsidRPr="66992B7B">
        <w:t>nitiate and document an individualised nutrition and</w:t>
      </w:r>
      <w:r w:rsidR="00FE5D17">
        <w:t>/or</w:t>
      </w:r>
      <w:r w:rsidR="64E05C6C" w:rsidRPr="66992B7B">
        <w:t xml:space="preserve"> hydration care plan where risk is identified</w:t>
      </w:r>
      <w:bookmarkEnd w:id="87"/>
      <w:bookmarkEnd w:id="88"/>
    </w:p>
    <w:p w14:paraId="3AF95F7F" w14:textId="67EA3431" w:rsidR="48EC1FC0" w:rsidRDefault="1B872FCF" w:rsidP="66992B7B">
      <w:pPr>
        <w:pStyle w:val="NoSpacing"/>
        <w:numPr>
          <w:ilvl w:val="0"/>
          <w:numId w:val="2"/>
        </w:numPr>
      </w:pPr>
      <w:bookmarkStart w:id="89" w:name="_Toc224651727"/>
      <w:bookmarkStart w:id="90" w:name="_Toc224651840"/>
      <w:r w:rsidRPr="66992B7B">
        <w:t>R</w:t>
      </w:r>
      <w:r w:rsidR="64E05C6C" w:rsidRPr="66992B7B">
        <w:t>efer to appropriate professionals such as dietitians, SLT or medical teams where specialist input is required</w:t>
      </w:r>
      <w:bookmarkEnd w:id="89"/>
      <w:bookmarkEnd w:id="90"/>
    </w:p>
    <w:p w14:paraId="32D2E619" w14:textId="0BDFE011" w:rsidR="48EC1FC0" w:rsidRDefault="31843DCC" w:rsidP="66992B7B">
      <w:pPr>
        <w:pStyle w:val="NoSpacing"/>
        <w:numPr>
          <w:ilvl w:val="0"/>
          <w:numId w:val="2"/>
        </w:numPr>
      </w:pPr>
      <w:bookmarkStart w:id="91" w:name="_Toc224651728"/>
      <w:bookmarkStart w:id="92" w:name="_Toc224651841"/>
      <w:r>
        <w:t>E</w:t>
      </w:r>
      <w:r w:rsidR="64E05C6C">
        <w:t>nsure nutrition and hydration needs are communicated within the multidisciplinary team</w:t>
      </w:r>
      <w:r w:rsidR="00FE5D17">
        <w:t>, catering</w:t>
      </w:r>
      <w:r w:rsidR="1C5B4555">
        <w:t xml:space="preserve"> </w:t>
      </w:r>
      <w:r w:rsidR="64E05C6C">
        <w:t>and documented in the electronic patient record</w:t>
      </w:r>
      <w:bookmarkEnd w:id="91"/>
      <w:bookmarkEnd w:id="92"/>
    </w:p>
    <w:p w14:paraId="6981A822" w14:textId="05FD8A36" w:rsidR="48EC1FC0" w:rsidRDefault="48EC1FC0" w:rsidP="5311C3E3">
      <w:pPr>
        <w:rPr>
          <w:rFonts w:cs="Arial"/>
          <w:sz w:val="22"/>
          <w:szCs w:val="22"/>
        </w:rPr>
      </w:pPr>
    </w:p>
    <w:p w14:paraId="730BC389" w14:textId="5437A851" w:rsidR="48EC1FC0" w:rsidRDefault="69CA840E" w:rsidP="5311C3E3">
      <w:pPr>
        <w:pStyle w:val="Heading2"/>
        <w:rPr>
          <w:rFonts w:ascii="Arial" w:eastAsia="Arial" w:hAnsi="Arial" w:cs="Arial"/>
          <w:sz w:val="22"/>
          <w:szCs w:val="22"/>
        </w:rPr>
      </w:pPr>
      <w:bookmarkStart w:id="93" w:name="_Toc224651842"/>
      <w:bookmarkStart w:id="94" w:name="_Toc224651998"/>
      <w:bookmarkStart w:id="95" w:name="_Toc227057821"/>
      <w:r w:rsidRPr="5311C3E3">
        <w:t xml:space="preserve">4.2 </w:t>
      </w:r>
      <w:r w:rsidR="64CB15C4" w:rsidRPr="5311C3E3">
        <w:t>Identification of Nutrition and Hydration Risk</w:t>
      </w:r>
      <w:bookmarkEnd w:id="93"/>
      <w:bookmarkEnd w:id="94"/>
      <w:bookmarkEnd w:id="95"/>
    </w:p>
    <w:p w14:paraId="5C85BA12" w14:textId="19EA2046" w:rsidR="48EC1FC0" w:rsidRDefault="64CB15C4" w:rsidP="5311C3E3">
      <w:pPr>
        <w:spacing w:before="240" w:after="240"/>
        <w:rPr>
          <w:rFonts w:cs="Arial"/>
          <w:sz w:val="22"/>
          <w:szCs w:val="22"/>
        </w:rPr>
      </w:pPr>
      <w:r w:rsidRPr="1D6E3FFF">
        <w:rPr>
          <w:rFonts w:cs="Arial"/>
          <w:sz w:val="22"/>
          <w:szCs w:val="22"/>
        </w:rPr>
        <w:t>Nutrition and hydration screening must be undertaken by trained staff in inpatient and community settings as part of routine physical health assessment, in accordance with NICE guidance and the CQC Fundamental Standards (NICE, 2006; CQC, 2014)</w:t>
      </w:r>
      <w:r w:rsidR="4EAC1678" w:rsidRPr="1D6E3FFF">
        <w:rPr>
          <w:rFonts w:cs="Arial"/>
          <w:sz w:val="22"/>
          <w:szCs w:val="22"/>
        </w:rPr>
        <w:t xml:space="preserve"> and with local standard operating procedures</w:t>
      </w:r>
    </w:p>
    <w:p w14:paraId="5C4C3E72" w14:textId="4AE1FBBB" w:rsidR="48EC1FC0" w:rsidRDefault="48EC1FC0" w:rsidP="5311C3E3">
      <w:pPr>
        <w:spacing w:before="240" w:after="240"/>
        <w:rPr>
          <w:rFonts w:cs="Arial"/>
          <w:sz w:val="22"/>
          <w:szCs w:val="22"/>
        </w:rPr>
      </w:pPr>
    </w:p>
    <w:p w14:paraId="14E7B5B1" w14:textId="555DE935" w:rsidR="48EC1FC0" w:rsidRDefault="64CB15C4" w:rsidP="5311C3E3">
      <w:pPr>
        <w:spacing w:before="240" w:after="240"/>
        <w:rPr>
          <w:rFonts w:cs="Arial"/>
          <w:sz w:val="22"/>
          <w:szCs w:val="22"/>
        </w:rPr>
      </w:pPr>
      <w:r w:rsidRPr="730FCF52">
        <w:rPr>
          <w:rFonts w:cs="Arial"/>
          <w:sz w:val="22"/>
          <w:szCs w:val="22"/>
        </w:rPr>
        <w:t>Screening supports early identification and management of malnutrition, dehydration and associated health risks.</w:t>
      </w:r>
      <w:r w:rsidR="5181A9EF" w:rsidRPr="730FCF52">
        <w:rPr>
          <w:rFonts w:cs="Arial"/>
          <w:sz w:val="22"/>
          <w:szCs w:val="22"/>
        </w:rPr>
        <w:t xml:space="preserve"> </w:t>
      </w:r>
      <w:r w:rsidR="62581AFB" w:rsidRPr="730FCF52">
        <w:rPr>
          <w:rFonts w:cs="Arial"/>
          <w:sz w:val="22"/>
          <w:szCs w:val="22"/>
        </w:rPr>
        <w:t>Obesity and rapid or clinically significant</w:t>
      </w:r>
      <w:r w:rsidR="00FE5D17">
        <w:rPr>
          <w:rFonts w:cs="Arial"/>
          <w:sz w:val="22"/>
          <w:szCs w:val="22"/>
        </w:rPr>
        <w:t>,</w:t>
      </w:r>
      <w:r w:rsidR="00825F2C">
        <w:rPr>
          <w:rFonts w:cs="Arial"/>
          <w:sz w:val="22"/>
          <w:szCs w:val="22"/>
        </w:rPr>
        <w:t xml:space="preserve"> </w:t>
      </w:r>
      <w:r w:rsidR="00FE5D17">
        <w:rPr>
          <w:rFonts w:cs="Arial"/>
          <w:sz w:val="22"/>
          <w:szCs w:val="22"/>
        </w:rPr>
        <w:t>unintended</w:t>
      </w:r>
      <w:r w:rsidR="00011486">
        <w:rPr>
          <w:rFonts w:cs="Arial"/>
          <w:sz w:val="22"/>
          <w:szCs w:val="22"/>
        </w:rPr>
        <w:t xml:space="preserve"> </w:t>
      </w:r>
      <w:r w:rsidR="62581AFB" w:rsidRPr="730FCF52">
        <w:rPr>
          <w:rFonts w:cs="Arial"/>
          <w:sz w:val="22"/>
          <w:szCs w:val="22"/>
        </w:rPr>
        <w:t>weight gain must be recognised as potential indicators of nutrition risk. Where identified, staff must ensure appropriate monitoring, care planning and escalation in line with Trust procedures.</w:t>
      </w:r>
    </w:p>
    <w:p w14:paraId="45871492" w14:textId="7684A2E0" w:rsidR="48EC1FC0" w:rsidRDefault="48EC1FC0" w:rsidP="5311C3E3">
      <w:pPr>
        <w:spacing w:before="240" w:after="240"/>
        <w:rPr>
          <w:rFonts w:cs="Arial"/>
          <w:sz w:val="22"/>
          <w:szCs w:val="22"/>
        </w:rPr>
      </w:pPr>
    </w:p>
    <w:p w14:paraId="0C72B01F" w14:textId="3598904B" w:rsidR="48EC1FC0" w:rsidRDefault="64CB15C4" w:rsidP="5311C3E3">
      <w:pPr>
        <w:spacing w:before="240" w:after="240"/>
        <w:rPr>
          <w:rFonts w:cs="Arial"/>
          <w:sz w:val="22"/>
          <w:szCs w:val="22"/>
        </w:rPr>
      </w:pPr>
      <w:r w:rsidRPr="5311C3E3">
        <w:rPr>
          <w:rFonts w:cs="Arial"/>
          <w:sz w:val="22"/>
          <w:szCs w:val="22"/>
        </w:rPr>
        <w:lastRenderedPageBreak/>
        <w:t>Screening must be conducted in a safe, dignified and person-centred manner.</w:t>
      </w:r>
    </w:p>
    <w:p w14:paraId="2AFF9B58" w14:textId="75D0F125" w:rsidR="48EC1FC0" w:rsidRDefault="48EC1FC0" w:rsidP="5311C3E3">
      <w:pPr>
        <w:spacing w:before="240" w:after="240"/>
        <w:rPr>
          <w:rFonts w:cs="Arial"/>
          <w:sz w:val="22"/>
          <w:szCs w:val="22"/>
        </w:rPr>
      </w:pPr>
    </w:p>
    <w:p w14:paraId="1D217767" w14:textId="34C2DBA9" w:rsidR="48EC1FC0" w:rsidRDefault="64CB15C4" w:rsidP="5311C3E3">
      <w:pPr>
        <w:spacing w:before="240" w:after="240"/>
        <w:rPr>
          <w:rFonts w:cs="Arial"/>
          <w:sz w:val="22"/>
          <w:szCs w:val="22"/>
        </w:rPr>
      </w:pPr>
      <w:r w:rsidRPr="5311C3E3">
        <w:rPr>
          <w:rFonts w:cs="Arial"/>
          <w:sz w:val="22"/>
          <w:szCs w:val="22"/>
        </w:rPr>
        <w:t>Staff must:</w:t>
      </w:r>
    </w:p>
    <w:p w14:paraId="55080343" w14:textId="4561C272" w:rsidR="48EC1FC0" w:rsidRDefault="6170C804" w:rsidP="00825F2C">
      <w:pPr>
        <w:pStyle w:val="ListParagraph"/>
        <w:numPr>
          <w:ilvl w:val="0"/>
          <w:numId w:val="9"/>
        </w:numPr>
        <w:spacing w:before="240" w:after="240"/>
        <w:rPr>
          <w:rFonts w:cs="Arial"/>
          <w:sz w:val="22"/>
          <w:szCs w:val="22"/>
        </w:rPr>
      </w:pPr>
      <w:r w:rsidRPr="1D6E3FFF">
        <w:rPr>
          <w:rFonts w:cs="Arial"/>
          <w:sz w:val="22"/>
          <w:szCs w:val="22"/>
        </w:rPr>
        <w:t>S</w:t>
      </w:r>
      <w:r w:rsidR="64CB15C4" w:rsidRPr="1D6E3FFF">
        <w:rPr>
          <w:rFonts w:cs="Arial"/>
          <w:sz w:val="22"/>
          <w:szCs w:val="22"/>
        </w:rPr>
        <w:t>eek consent before discussing nutrition or hydration or taking anthropometric measurements</w:t>
      </w:r>
      <w:r w:rsidR="2AA14F5D" w:rsidRPr="1D6E3FFF">
        <w:rPr>
          <w:rFonts w:cs="Arial"/>
          <w:sz w:val="22"/>
          <w:szCs w:val="22"/>
        </w:rPr>
        <w:t xml:space="preserve"> </w:t>
      </w:r>
      <w:r w:rsidR="0EEA886D" w:rsidRPr="1D6E3FFF">
        <w:rPr>
          <w:rFonts w:cs="Arial"/>
          <w:sz w:val="22"/>
          <w:szCs w:val="22"/>
        </w:rPr>
        <w:t>(such</w:t>
      </w:r>
      <w:r w:rsidR="2AA14F5D" w:rsidRPr="1D6E3FFF">
        <w:rPr>
          <w:rFonts w:cs="Arial"/>
          <w:sz w:val="22"/>
          <w:szCs w:val="22"/>
        </w:rPr>
        <w:t xml:space="preserve"> as height and weight)</w:t>
      </w:r>
    </w:p>
    <w:p w14:paraId="0A2D6052" w14:textId="0B45261C" w:rsidR="48EC1FC0" w:rsidRDefault="45C3779F" w:rsidP="00825F2C">
      <w:pPr>
        <w:pStyle w:val="ListParagraph"/>
        <w:numPr>
          <w:ilvl w:val="0"/>
          <w:numId w:val="9"/>
        </w:numPr>
        <w:spacing w:before="240" w:after="240"/>
        <w:rPr>
          <w:rFonts w:cs="Arial"/>
          <w:sz w:val="22"/>
          <w:szCs w:val="22"/>
        </w:rPr>
      </w:pPr>
      <w:r w:rsidRPr="730FCF52">
        <w:rPr>
          <w:rFonts w:cs="Arial"/>
          <w:sz w:val="22"/>
          <w:szCs w:val="22"/>
        </w:rPr>
        <w:t>F</w:t>
      </w:r>
      <w:r w:rsidR="64CB15C4" w:rsidRPr="730FCF52">
        <w:rPr>
          <w:rFonts w:cs="Arial"/>
          <w:sz w:val="22"/>
          <w:szCs w:val="22"/>
        </w:rPr>
        <w:t>ocus discussions on intake, hydration status and related health risks</w:t>
      </w:r>
    </w:p>
    <w:p w14:paraId="4EC698BD" w14:textId="510833F8" w:rsidR="48EC1FC0" w:rsidRDefault="09F778F4" w:rsidP="00825F2C">
      <w:pPr>
        <w:pStyle w:val="ListParagraph"/>
        <w:numPr>
          <w:ilvl w:val="0"/>
          <w:numId w:val="9"/>
        </w:numPr>
        <w:spacing w:before="240" w:after="240"/>
        <w:rPr>
          <w:rFonts w:cs="Arial"/>
          <w:sz w:val="22"/>
          <w:szCs w:val="22"/>
        </w:rPr>
      </w:pPr>
      <w:r w:rsidRPr="730FCF52">
        <w:rPr>
          <w:rFonts w:cs="Arial"/>
          <w:sz w:val="22"/>
          <w:szCs w:val="22"/>
        </w:rPr>
        <w:t>A</w:t>
      </w:r>
      <w:r w:rsidR="64CB15C4" w:rsidRPr="730FCF52">
        <w:rPr>
          <w:rFonts w:cs="Arial"/>
          <w:sz w:val="22"/>
          <w:szCs w:val="22"/>
        </w:rPr>
        <w:t>void unnecessary emphasis on weight, body shape or appearance</w:t>
      </w:r>
    </w:p>
    <w:p w14:paraId="2E08B0E0" w14:textId="4E6F35C7" w:rsidR="48EC1FC0" w:rsidRDefault="64CB15C4" w:rsidP="5311C3E3">
      <w:pPr>
        <w:spacing w:before="240" w:after="240"/>
        <w:rPr>
          <w:rFonts w:cs="Arial"/>
          <w:sz w:val="22"/>
          <w:szCs w:val="22"/>
        </w:rPr>
      </w:pPr>
      <w:r w:rsidRPr="5311C3E3">
        <w:rPr>
          <w:rFonts w:cs="Arial"/>
          <w:sz w:val="22"/>
          <w:szCs w:val="22"/>
        </w:rPr>
        <w:t>Communication must be empathetic, respectful and accessible. Reasonable adjustments may include:</w:t>
      </w:r>
    </w:p>
    <w:p w14:paraId="447A9846" w14:textId="6516A980" w:rsidR="00FE5D17" w:rsidRDefault="25C52E66" w:rsidP="00825F2C">
      <w:pPr>
        <w:pStyle w:val="ListParagraph"/>
        <w:numPr>
          <w:ilvl w:val="0"/>
          <w:numId w:val="8"/>
        </w:numPr>
        <w:spacing w:before="240" w:after="240"/>
        <w:rPr>
          <w:rFonts w:cs="Arial"/>
          <w:sz w:val="22"/>
          <w:szCs w:val="22"/>
        </w:rPr>
      </w:pPr>
      <w:r w:rsidRPr="5311C3E3">
        <w:rPr>
          <w:rFonts w:cs="Arial"/>
          <w:sz w:val="22"/>
          <w:szCs w:val="22"/>
        </w:rPr>
        <w:t>C</w:t>
      </w:r>
      <w:r w:rsidR="64CB15C4" w:rsidRPr="5311C3E3">
        <w:rPr>
          <w:rFonts w:cs="Arial"/>
          <w:sz w:val="22"/>
          <w:szCs w:val="22"/>
        </w:rPr>
        <w:t>lear languag</w:t>
      </w:r>
      <w:r w:rsidR="00FE5D17">
        <w:rPr>
          <w:rFonts w:cs="Arial"/>
          <w:sz w:val="22"/>
          <w:szCs w:val="22"/>
        </w:rPr>
        <w:t>e</w:t>
      </w:r>
      <w:r w:rsidR="64CB15C4" w:rsidRPr="5311C3E3">
        <w:rPr>
          <w:rFonts w:cs="Arial"/>
          <w:sz w:val="22"/>
          <w:szCs w:val="22"/>
        </w:rPr>
        <w:t xml:space="preserve"> </w:t>
      </w:r>
    </w:p>
    <w:p w14:paraId="52454791" w14:textId="1BFCB77D" w:rsidR="48EC1FC0" w:rsidRPr="00825F2C" w:rsidRDefault="00FE5D17" w:rsidP="00825F2C">
      <w:pPr>
        <w:pStyle w:val="ListParagraph"/>
        <w:numPr>
          <w:ilvl w:val="0"/>
          <w:numId w:val="8"/>
        </w:numPr>
        <w:spacing w:before="240" w:after="240"/>
        <w:rPr>
          <w:rFonts w:cs="Arial"/>
          <w:sz w:val="22"/>
          <w:szCs w:val="22"/>
        </w:rPr>
      </w:pPr>
      <w:r>
        <w:rPr>
          <w:rFonts w:cs="Arial"/>
          <w:sz w:val="22"/>
          <w:szCs w:val="22"/>
        </w:rPr>
        <w:t>E</w:t>
      </w:r>
      <w:r w:rsidR="64CB15C4" w:rsidRPr="00825F2C">
        <w:rPr>
          <w:rFonts w:cs="Arial"/>
          <w:sz w:val="22"/>
          <w:szCs w:val="22"/>
        </w:rPr>
        <w:t>asy-read information</w:t>
      </w:r>
    </w:p>
    <w:p w14:paraId="672BCC5A" w14:textId="1110DAF4" w:rsidR="48EC1FC0" w:rsidRDefault="18D23121" w:rsidP="00825F2C">
      <w:pPr>
        <w:pStyle w:val="ListParagraph"/>
        <w:numPr>
          <w:ilvl w:val="0"/>
          <w:numId w:val="8"/>
        </w:numPr>
        <w:spacing w:before="240" w:after="240"/>
        <w:rPr>
          <w:rFonts w:cs="Arial"/>
          <w:sz w:val="22"/>
          <w:szCs w:val="22"/>
        </w:rPr>
      </w:pPr>
      <w:r w:rsidRPr="5311C3E3">
        <w:rPr>
          <w:rFonts w:cs="Arial"/>
          <w:sz w:val="22"/>
          <w:szCs w:val="22"/>
        </w:rPr>
        <w:t>A</w:t>
      </w:r>
      <w:r w:rsidR="64CB15C4" w:rsidRPr="5311C3E3">
        <w:rPr>
          <w:rFonts w:cs="Arial"/>
          <w:sz w:val="22"/>
          <w:szCs w:val="22"/>
        </w:rPr>
        <w:t>llowing additional time for discussion</w:t>
      </w:r>
    </w:p>
    <w:p w14:paraId="4A1EFCC5" w14:textId="5AF91F47" w:rsidR="48EC1FC0" w:rsidRDefault="19CEDEBF" w:rsidP="00825F2C">
      <w:pPr>
        <w:pStyle w:val="ListParagraph"/>
        <w:numPr>
          <w:ilvl w:val="0"/>
          <w:numId w:val="8"/>
        </w:numPr>
        <w:spacing w:before="240" w:after="240"/>
        <w:rPr>
          <w:rFonts w:cs="Arial"/>
          <w:sz w:val="22"/>
          <w:szCs w:val="22"/>
        </w:rPr>
      </w:pPr>
      <w:r w:rsidRPr="5311C3E3">
        <w:rPr>
          <w:rFonts w:cs="Arial"/>
          <w:sz w:val="22"/>
          <w:szCs w:val="22"/>
        </w:rPr>
        <w:t>I</w:t>
      </w:r>
      <w:r w:rsidR="64CB15C4" w:rsidRPr="5311C3E3">
        <w:rPr>
          <w:rFonts w:cs="Arial"/>
          <w:sz w:val="22"/>
          <w:szCs w:val="22"/>
        </w:rPr>
        <w:t>nvolving carers, family members or advocates where appropriate</w:t>
      </w:r>
    </w:p>
    <w:p w14:paraId="7FA2EEAA" w14:textId="61E48845" w:rsidR="48EC1FC0" w:rsidRDefault="00825F2C" w:rsidP="00825F2C">
      <w:pPr>
        <w:spacing w:before="240" w:after="240"/>
        <w:rPr>
          <w:rFonts w:cs="Arial"/>
          <w:sz w:val="22"/>
          <w:szCs w:val="22"/>
        </w:rPr>
      </w:pPr>
      <w:r w:rsidRPr="46BBC149">
        <w:rPr>
          <w:rFonts w:cs="Arial"/>
          <w:sz w:val="22"/>
          <w:szCs w:val="22"/>
        </w:rPr>
        <w:t>Where a person presents with signs or symptoms suggestive of an eating disorder, or there is a current or</w:t>
      </w:r>
      <w:r w:rsidR="6132C9FC" w:rsidRPr="46BBC149">
        <w:rPr>
          <w:rFonts w:cs="Arial"/>
          <w:sz w:val="22"/>
          <w:szCs w:val="22"/>
        </w:rPr>
        <w:t xml:space="preserve"> past</w:t>
      </w:r>
      <w:r w:rsidRPr="46BBC149">
        <w:rPr>
          <w:rFonts w:cs="Arial"/>
          <w:sz w:val="22"/>
          <w:szCs w:val="22"/>
        </w:rPr>
        <w:t xml:space="preserve"> </w:t>
      </w:r>
      <w:r w:rsidR="18B279BA" w:rsidRPr="46BBC149">
        <w:rPr>
          <w:rFonts w:cs="Arial"/>
          <w:sz w:val="22"/>
          <w:szCs w:val="22"/>
        </w:rPr>
        <w:t>history</w:t>
      </w:r>
      <w:r w:rsidRPr="46BBC149">
        <w:rPr>
          <w:rFonts w:cs="Arial"/>
          <w:sz w:val="22"/>
          <w:szCs w:val="22"/>
        </w:rPr>
        <w:t>, screening must be undertaken as a physical health and safety assessment. Staff must avoid comments on weight, body shape or appearance and instead focus on medical risk, nutritional adequacy and physiological stability. Referral to specialist eating disorder services must follow local pathways and occur promptly where concerns are identified.</w:t>
      </w:r>
    </w:p>
    <w:p w14:paraId="7A5F6D1F" w14:textId="5F52C060" w:rsidR="48EC1FC0" w:rsidRDefault="26EF74F4" w:rsidP="5311C3E3">
      <w:pPr>
        <w:pStyle w:val="Heading2"/>
        <w:rPr>
          <w:rFonts w:ascii="Arial" w:eastAsia="Arial" w:hAnsi="Arial" w:cs="Arial"/>
          <w:sz w:val="22"/>
          <w:szCs w:val="22"/>
        </w:rPr>
      </w:pPr>
      <w:bookmarkStart w:id="96" w:name="_Toc224651843"/>
      <w:bookmarkStart w:id="97" w:name="_Toc224651999"/>
      <w:bookmarkStart w:id="98" w:name="_Toc227057822"/>
      <w:r w:rsidRPr="5311C3E3">
        <w:t xml:space="preserve">4.3 </w:t>
      </w:r>
      <w:r w:rsidR="64CB15C4" w:rsidRPr="5311C3E3">
        <w:t>Nutrition and Hydration Assessment</w:t>
      </w:r>
      <w:bookmarkEnd w:id="96"/>
      <w:bookmarkEnd w:id="97"/>
      <w:bookmarkEnd w:id="98"/>
    </w:p>
    <w:p w14:paraId="190F2D3A" w14:textId="2AC2B0E3" w:rsidR="48EC1FC0" w:rsidRDefault="64CB15C4" w:rsidP="5311C3E3">
      <w:pPr>
        <w:spacing w:before="240" w:after="240"/>
        <w:rPr>
          <w:rFonts w:cs="Arial"/>
          <w:sz w:val="22"/>
          <w:szCs w:val="22"/>
        </w:rPr>
      </w:pPr>
      <w:r w:rsidRPr="1D6E3FFF">
        <w:rPr>
          <w:rFonts w:cs="Arial"/>
          <w:sz w:val="22"/>
          <w:szCs w:val="22"/>
        </w:rPr>
        <w:t>Where screening identifies risk, staff must complete further assessment of nutritional</w:t>
      </w:r>
      <w:r w:rsidR="1A9BC0B3" w:rsidRPr="1D6E3FFF">
        <w:rPr>
          <w:rFonts w:cs="Arial"/>
          <w:sz w:val="22"/>
          <w:szCs w:val="22"/>
        </w:rPr>
        <w:t xml:space="preserve"> </w:t>
      </w:r>
      <w:r w:rsidRPr="1D6E3FFF">
        <w:rPr>
          <w:rFonts w:cs="Arial"/>
          <w:sz w:val="22"/>
          <w:szCs w:val="22"/>
        </w:rPr>
        <w:t>intake, hydration status and relevant clinical indicators</w:t>
      </w:r>
      <w:r w:rsidR="16E6BBA8" w:rsidRPr="1D6E3FFF">
        <w:rPr>
          <w:rFonts w:cs="Arial"/>
          <w:sz w:val="22"/>
          <w:szCs w:val="22"/>
        </w:rPr>
        <w:t xml:space="preserve"> </w:t>
      </w:r>
      <w:sdt>
        <w:sdtPr>
          <w:rPr>
            <w:rFonts w:cs="Arial"/>
            <w:color w:val="000000" w:themeColor="text1"/>
            <w:sz w:val="22"/>
            <w:szCs w:val="22"/>
          </w:rPr>
          <w:tag w:val="MENDELEY_CITATION_v3_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"/>
          <w:id w:val="193446207"/>
          <w:placeholder>
            <w:docPart w:val="DefaultPlaceholder_-1854013440"/>
          </w:placeholder>
        </w:sdtPr>
        <w:sdtEndPr/>
        <w:sdtContent>
          <w:r w:rsidR="5311C3E3" w:rsidRPr="1D6E3FFF">
            <w:rPr>
              <w:rFonts w:cs="Arial"/>
              <w:color w:val="000000" w:themeColor="text1"/>
              <w:sz w:val="22"/>
              <w:szCs w:val="22"/>
            </w:rPr>
            <w:t>(Hooper, 2015</w:t>
          </w:r>
        </w:sdtContent>
      </w:sdt>
      <w:r w:rsidR="6D79FC49" w:rsidRPr="1D6E3FFF">
        <w:rPr>
          <w:rFonts w:cs="Arial"/>
          <w:sz w:val="22"/>
          <w:szCs w:val="22"/>
        </w:rPr>
        <w:t>).</w:t>
      </w:r>
    </w:p>
    <w:p w14:paraId="4490A5E2" w14:textId="3A1F4BFB" w:rsidR="48EC1FC0" w:rsidRDefault="48EC1FC0" w:rsidP="5311C3E3">
      <w:pPr>
        <w:spacing w:before="240" w:after="240"/>
        <w:rPr>
          <w:rFonts w:cs="Arial"/>
          <w:sz w:val="22"/>
          <w:szCs w:val="22"/>
        </w:rPr>
      </w:pPr>
    </w:p>
    <w:p w14:paraId="02F94712" w14:textId="680E13C8" w:rsidR="48EC1FC0" w:rsidRDefault="64CB15C4" w:rsidP="5311C3E3">
      <w:pPr>
        <w:spacing w:before="240" w:after="240"/>
        <w:rPr>
          <w:rFonts w:cs="Arial"/>
          <w:sz w:val="22"/>
          <w:szCs w:val="22"/>
        </w:rPr>
      </w:pPr>
      <w:r w:rsidRPr="730FCF52">
        <w:rPr>
          <w:rFonts w:cs="Arial"/>
          <w:sz w:val="22"/>
          <w:szCs w:val="22"/>
        </w:rPr>
        <w:t xml:space="preserve">Assessment should </w:t>
      </w:r>
      <w:r w:rsidR="6644F6AF" w:rsidRPr="730FCF52">
        <w:rPr>
          <w:rFonts w:cs="Arial"/>
          <w:sz w:val="22"/>
          <w:szCs w:val="22"/>
        </w:rPr>
        <w:t>consider</w:t>
      </w:r>
      <w:r w:rsidRPr="730FCF52">
        <w:rPr>
          <w:rFonts w:cs="Arial"/>
          <w:sz w:val="22"/>
          <w:szCs w:val="22"/>
        </w:rPr>
        <w:t>:</w:t>
      </w:r>
    </w:p>
    <w:p w14:paraId="59652859" w14:textId="52144307" w:rsidR="48EC1FC0" w:rsidRDefault="489D4DB7" w:rsidP="00825F2C">
      <w:pPr>
        <w:pStyle w:val="ListParagraph"/>
        <w:numPr>
          <w:ilvl w:val="0"/>
          <w:numId w:val="7"/>
        </w:numPr>
        <w:spacing w:before="240" w:after="240"/>
        <w:rPr>
          <w:rFonts w:cs="Arial"/>
          <w:sz w:val="22"/>
          <w:szCs w:val="22"/>
        </w:rPr>
      </w:pPr>
      <w:r w:rsidRPr="5311C3E3">
        <w:rPr>
          <w:rFonts w:cs="Arial"/>
          <w:sz w:val="22"/>
          <w:szCs w:val="22"/>
        </w:rPr>
        <w:t>D</w:t>
      </w:r>
      <w:r w:rsidR="64CB15C4" w:rsidRPr="5311C3E3">
        <w:rPr>
          <w:rFonts w:cs="Arial"/>
          <w:sz w:val="22"/>
          <w:szCs w:val="22"/>
        </w:rPr>
        <w:t>ietary intake and meal patterns</w:t>
      </w:r>
    </w:p>
    <w:p w14:paraId="7723E22A" w14:textId="6C7FDD1B" w:rsidR="48EC1FC0" w:rsidRDefault="6ED8F27C" w:rsidP="00825F2C">
      <w:pPr>
        <w:pStyle w:val="ListParagraph"/>
        <w:numPr>
          <w:ilvl w:val="0"/>
          <w:numId w:val="7"/>
        </w:numPr>
        <w:spacing w:before="240" w:after="240"/>
        <w:rPr>
          <w:rFonts w:cs="Arial"/>
          <w:sz w:val="22"/>
          <w:szCs w:val="22"/>
        </w:rPr>
      </w:pPr>
      <w:r w:rsidRPr="5311C3E3">
        <w:rPr>
          <w:rFonts w:cs="Arial"/>
          <w:sz w:val="22"/>
          <w:szCs w:val="22"/>
        </w:rPr>
        <w:t>F</w:t>
      </w:r>
      <w:r w:rsidR="64CB15C4" w:rsidRPr="5311C3E3">
        <w:rPr>
          <w:rFonts w:cs="Arial"/>
          <w:sz w:val="22"/>
          <w:szCs w:val="22"/>
        </w:rPr>
        <w:t>luid intake and hydration status</w:t>
      </w:r>
    </w:p>
    <w:p w14:paraId="76171F10" w14:textId="6B6B75A0" w:rsidR="48EC1FC0" w:rsidRDefault="3A9DF3DE" w:rsidP="00825F2C">
      <w:pPr>
        <w:pStyle w:val="ListParagraph"/>
        <w:numPr>
          <w:ilvl w:val="0"/>
          <w:numId w:val="7"/>
        </w:numPr>
        <w:spacing w:before="240" w:after="240"/>
        <w:rPr>
          <w:rFonts w:cs="Arial"/>
          <w:sz w:val="22"/>
          <w:szCs w:val="22"/>
        </w:rPr>
      </w:pPr>
      <w:r w:rsidRPr="5311C3E3">
        <w:rPr>
          <w:rFonts w:cs="Arial"/>
          <w:sz w:val="22"/>
          <w:szCs w:val="22"/>
        </w:rPr>
        <w:t>W</w:t>
      </w:r>
      <w:r w:rsidR="64CB15C4" w:rsidRPr="5311C3E3">
        <w:rPr>
          <w:rFonts w:cs="Arial"/>
          <w:sz w:val="22"/>
          <w:szCs w:val="22"/>
        </w:rPr>
        <w:t>eight history and recent weight change</w:t>
      </w:r>
    </w:p>
    <w:p w14:paraId="6803A23A" w14:textId="71BB1A65" w:rsidR="48EC1FC0" w:rsidRDefault="21667E39" w:rsidP="00825F2C">
      <w:pPr>
        <w:pStyle w:val="ListParagraph"/>
        <w:numPr>
          <w:ilvl w:val="0"/>
          <w:numId w:val="7"/>
        </w:numPr>
        <w:spacing w:before="240" w:after="240"/>
        <w:rPr>
          <w:rFonts w:cs="Arial"/>
          <w:sz w:val="22"/>
          <w:szCs w:val="22"/>
        </w:rPr>
      </w:pPr>
      <w:r w:rsidRPr="5311C3E3">
        <w:rPr>
          <w:rFonts w:cs="Arial"/>
          <w:sz w:val="22"/>
          <w:szCs w:val="22"/>
        </w:rPr>
        <w:t>C</w:t>
      </w:r>
      <w:r w:rsidR="64CB15C4" w:rsidRPr="5311C3E3">
        <w:rPr>
          <w:rFonts w:cs="Arial"/>
          <w:sz w:val="22"/>
          <w:szCs w:val="22"/>
        </w:rPr>
        <w:t>linical signs of dehydration or malnutrition</w:t>
      </w:r>
      <w:r w:rsidR="00FE5D17">
        <w:rPr>
          <w:rFonts w:cs="Arial"/>
          <w:sz w:val="22"/>
          <w:szCs w:val="22"/>
        </w:rPr>
        <w:t xml:space="preserve"> or obesity</w:t>
      </w:r>
    </w:p>
    <w:p w14:paraId="1695092B" w14:textId="4B5B95B6" w:rsidR="48EC1FC0" w:rsidRDefault="10D720AC" w:rsidP="00825F2C">
      <w:pPr>
        <w:pStyle w:val="ListParagraph"/>
        <w:numPr>
          <w:ilvl w:val="0"/>
          <w:numId w:val="7"/>
        </w:numPr>
        <w:spacing w:before="240" w:after="240"/>
        <w:rPr>
          <w:rFonts w:cs="Arial"/>
          <w:sz w:val="22"/>
          <w:szCs w:val="22"/>
        </w:rPr>
      </w:pPr>
      <w:r w:rsidRPr="5311C3E3">
        <w:rPr>
          <w:rFonts w:cs="Arial"/>
          <w:sz w:val="22"/>
          <w:szCs w:val="22"/>
        </w:rPr>
        <w:t>R</w:t>
      </w:r>
      <w:r w:rsidR="64CB15C4" w:rsidRPr="5311C3E3">
        <w:rPr>
          <w:rFonts w:cs="Arial"/>
          <w:sz w:val="22"/>
          <w:szCs w:val="22"/>
        </w:rPr>
        <w:t>elevant physical health indicators</w:t>
      </w:r>
    </w:p>
    <w:p w14:paraId="58100CDB" w14:textId="4026FA29" w:rsidR="48EC1FC0" w:rsidRDefault="7F6E3D8D" w:rsidP="00825F2C">
      <w:pPr>
        <w:pStyle w:val="ListParagraph"/>
        <w:numPr>
          <w:ilvl w:val="0"/>
          <w:numId w:val="7"/>
        </w:numPr>
        <w:spacing w:before="240" w:after="240"/>
        <w:rPr>
          <w:rFonts w:cs="Arial"/>
          <w:sz w:val="22"/>
          <w:szCs w:val="22"/>
        </w:rPr>
      </w:pPr>
      <w:r w:rsidRPr="5311C3E3">
        <w:rPr>
          <w:rFonts w:cs="Arial"/>
          <w:sz w:val="22"/>
          <w:szCs w:val="22"/>
        </w:rPr>
        <w:t>R</w:t>
      </w:r>
      <w:r w:rsidR="64CB15C4" w:rsidRPr="5311C3E3">
        <w:rPr>
          <w:rFonts w:cs="Arial"/>
          <w:sz w:val="22"/>
          <w:szCs w:val="22"/>
        </w:rPr>
        <w:t>eview of blood results where clinically indicated</w:t>
      </w:r>
    </w:p>
    <w:p w14:paraId="3AF46B3F" w14:textId="77777777" w:rsidR="00FD1109" w:rsidRDefault="0BBBC39C" w:rsidP="5311C3E3">
      <w:pPr>
        <w:pStyle w:val="ListParagraph"/>
        <w:numPr>
          <w:ilvl w:val="0"/>
          <w:numId w:val="7"/>
        </w:numPr>
        <w:spacing w:before="240" w:after="240"/>
        <w:rPr>
          <w:rFonts w:cs="Arial"/>
          <w:sz w:val="22"/>
          <w:szCs w:val="22"/>
        </w:rPr>
      </w:pPr>
      <w:r w:rsidRPr="5311C3E3">
        <w:rPr>
          <w:rFonts w:cs="Arial"/>
          <w:sz w:val="22"/>
          <w:szCs w:val="22"/>
        </w:rPr>
        <w:t>S</w:t>
      </w:r>
      <w:r w:rsidR="64CB15C4" w:rsidRPr="5311C3E3">
        <w:rPr>
          <w:rFonts w:cs="Arial"/>
          <w:sz w:val="22"/>
          <w:szCs w:val="22"/>
        </w:rPr>
        <w:t>wallowing safety where appropriate</w:t>
      </w:r>
    </w:p>
    <w:p w14:paraId="2AF2FB39" w14:textId="4474CDEC" w:rsidR="00FD1109" w:rsidRPr="00011486" w:rsidRDefault="00D34551" w:rsidP="00FD1109">
      <w:pPr>
        <w:pStyle w:val="ListParagraph"/>
        <w:numPr>
          <w:ilvl w:val="0"/>
          <w:numId w:val="7"/>
        </w:numPr>
        <w:spacing w:before="240" w:after="240"/>
        <w:rPr>
          <w:rFonts w:cs="Arial"/>
          <w:sz w:val="22"/>
          <w:szCs w:val="22"/>
        </w:rPr>
      </w:pPr>
      <w:r w:rsidRPr="00FD1109">
        <w:rPr>
          <w:rFonts w:cs="Arial"/>
          <w:sz w:val="22"/>
          <w:szCs w:val="22"/>
        </w:rPr>
        <w:t>Bowel function, including risk of constipation</w:t>
      </w:r>
    </w:p>
    <w:p w14:paraId="7AA2B423" w14:textId="6EA78054" w:rsidR="48EC1FC0" w:rsidRPr="00FD1109" w:rsidRDefault="64CB15C4" w:rsidP="00FD1109">
      <w:pPr>
        <w:spacing w:before="240" w:after="240"/>
        <w:rPr>
          <w:rFonts w:cs="Arial"/>
          <w:sz w:val="22"/>
          <w:szCs w:val="22"/>
        </w:rPr>
      </w:pPr>
      <w:r w:rsidRPr="00FD1109">
        <w:rPr>
          <w:rFonts w:cs="Arial"/>
          <w:sz w:val="22"/>
          <w:szCs w:val="22"/>
        </w:rPr>
        <w:t>Hydration risk should also be considered where service users have:</w:t>
      </w:r>
    </w:p>
    <w:p w14:paraId="746C3BD1" w14:textId="33CCE06B" w:rsidR="48EC1FC0" w:rsidRDefault="7331ED3B" w:rsidP="00825F2C">
      <w:pPr>
        <w:pStyle w:val="ListParagraph"/>
        <w:numPr>
          <w:ilvl w:val="0"/>
          <w:numId w:val="6"/>
        </w:numPr>
        <w:spacing w:before="240" w:after="240"/>
        <w:rPr>
          <w:rFonts w:cs="Arial"/>
          <w:sz w:val="22"/>
          <w:szCs w:val="22"/>
        </w:rPr>
      </w:pPr>
      <w:r w:rsidRPr="5311C3E3">
        <w:rPr>
          <w:rFonts w:cs="Arial"/>
          <w:sz w:val="22"/>
          <w:szCs w:val="22"/>
        </w:rPr>
        <w:t>R</w:t>
      </w:r>
      <w:r w:rsidR="64CB15C4" w:rsidRPr="5311C3E3">
        <w:rPr>
          <w:rFonts w:cs="Arial"/>
          <w:sz w:val="22"/>
          <w:szCs w:val="22"/>
        </w:rPr>
        <w:t>educed oral intake</w:t>
      </w:r>
    </w:p>
    <w:p w14:paraId="23EC512F" w14:textId="37BB3BCE" w:rsidR="48EC1FC0" w:rsidRDefault="7C360862" w:rsidP="00825F2C">
      <w:pPr>
        <w:pStyle w:val="ListParagraph"/>
        <w:numPr>
          <w:ilvl w:val="0"/>
          <w:numId w:val="6"/>
        </w:numPr>
        <w:spacing w:before="240" w:after="240"/>
        <w:rPr>
          <w:rFonts w:cs="Arial"/>
          <w:sz w:val="22"/>
          <w:szCs w:val="22"/>
        </w:rPr>
      </w:pPr>
      <w:r w:rsidRPr="5311C3E3">
        <w:rPr>
          <w:rFonts w:cs="Arial"/>
          <w:sz w:val="22"/>
          <w:szCs w:val="22"/>
        </w:rPr>
        <w:t>S</w:t>
      </w:r>
      <w:r w:rsidR="64CB15C4" w:rsidRPr="5311C3E3">
        <w:rPr>
          <w:rFonts w:cs="Arial"/>
          <w:sz w:val="22"/>
          <w:szCs w:val="22"/>
        </w:rPr>
        <w:t>wallowing difficulties</w:t>
      </w:r>
    </w:p>
    <w:p w14:paraId="7AC3B113" w14:textId="76028247" w:rsidR="48EC1FC0" w:rsidRDefault="29331E9D" w:rsidP="00825F2C">
      <w:pPr>
        <w:pStyle w:val="ListParagraph"/>
        <w:numPr>
          <w:ilvl w:val="0"/>
          <w:numId w:val="6"/>
        </w:numPr>
        <w:spacing w:before="240" w:after="240"/>
        <w:rPr>
          <w:rFonts w:cs="Arial"/>
          <w:sz w:val="22"/>
          <w:szCs w:val="22"/>
        </w:rPr>
      </w:pPr>
      <w:r w:rsidRPr="5311C3E3">
        <w:rPr>
          <w:rFonts w:cs="Arial"/>
          <w:sz w:val="22"/>
          <w:szCs w:val="22"/>
        </w:rPr>
        <w:t>M</w:t>
      </w:r>
      <w:r w:rsidR="64CB15C4" w:rsidRPr="5311C3E3">
        <w:rPr>
          <w:rFonts w:cs="Arial"/>
          <w:sz w:val="22"/>
          <w:szCs w:val="22"/>
        </w:rPr>
        <w:t>edications affecting fluid balance</w:t>
      </w:r>
    </w:p>
    <w:p w14:paraId="0AB05711" w14:textId="7CA342E1" w:rsidR="48EC1FC0" w:rsidRDefault="6BBA19B6" w:rsidP="00825F2C">
      <w:pPr>
        <w:pStyle w:val="ListParagraph"/>
        <w:numPr>
          <w:ilvl w:val="0"/>
          <w:numId w:val="6"/>
        </w:numPr>
        <w:spacing w:before="240" w:after="240"/>
        <w:rPr>
          <w:rFonts w:cs="Arial"/>
          <w:sz w:val="22"/>
          <w:szCs w:val="22"/>
        </w:rPr>
      </w:pPr>
      <w:r w:rsidRPr="730FCF52">
        <w:rPr>
          <w:rFonts w:cs="Arial"/>
          <w:sz w:val="22"/>
          <w:szCs w:val="22"/>
        </w:rPr>
        <w:t>B</w:t>
      </w:r>
      <w:r w:rsidR="64CB15C4" w:rsidRPr="730FCF52">
        <w:rPr>
          <w:rFonts w:cs="Arial"/>
          <w:sz w:val="22"/>
          <w:szCs w:val="22"/>
        </w:rPr>
        <w:t>ehavioural risks such as</w:t>
      </w:r>
      <w:r w:rsidR="72A6C6DD" w:rsidRPr="730FCF52">
        <w:rPr>
          <w:rFonts w:cs="Arial"/>
          <w:sz w:val="22"/>
          <w:szCs w:val="22"/>
        </w:rPr>
        <w:t xml:space="preserve"> excessive fluid intake (</w:t>
      </w:r>
      <w:r w:rsidR="64CB15C4" w:rsidRPr="730FCF52">
        <w:rPr>
          <w:rFonts w:cs="Arial"/>
          <w:sz w:val="22"/>
          <w:szCs w:val="22"/>
        </w:rPr>
        <w:t>psychogenic polydipsia</w:t>
      </w:r>
      <w:r w:rsidR="218B78FE" w:rsidRPr="730FCF52">
        <w:rPr>
          <w:rFonts w:cs="Arial"/>
          <w:sz w:val="22"/>
          <w:szCs w:val="22"/>
        </w:rPr>
        <w:t>)</w:t>
      </w:r>
      <w:r w:rsidR="64CB15C4" w:rsidRPr="730FCF52">
        <w:rPr>
          <w:rFonts w:cs="Arial"/>
          <w:sz w:val="22"/>
          <w:szCs w:val="22"/>
        </w:rPr>
        <w:t xml:space="preserve"> or fluid restriction</w:t>
      </w:r>
    </w:p>
    <w:p w14:paraId="15D6F605" w14:textId="3D48508B" w:rsidR="48EC1FC0" w:rsidRDefault="14F4AB3B" w:rsidP="00825F2C">
      <w:pPr>
        <w:pStyle w:val="ListParagraph"/>
        <w:numPr>
          <w:ilvl w:val="0"/>
          <w:numId w:val="6"/>
        </w:numPr>
        <w:spacing w:before="240" w:after="240"/>
        <w:rPr>
          <w:rFonts w:cs="Arial"/>
          <w:sz w:val="22"/>
          <w:szCs w:val="22"/>
        </w:rPr>
      </w:pPr>
      <w:r w:rsidRPr="5311C3E3">
        <w:rPr>
          <w:rFonts w:cs="Arial"/>
          <w:sz w:val="22"/>
          <w:szCs w:val="22"/>
        </w:rPr>
        <w:t>A</w:t>
      </w:r>
      <w:r w:rsidR="64CB15C4" w:rsidRPr="5311C3E3">
        <w:rPr>
          <w:rFonts w:cs="Arial"/>
          <w:sz w:val="22"/>
          <w:szCs w:val="22"/>
        </w:rPr>
        <w:t>cute illness or conditions associated with dehydration</w:t>
      </w:r>
    </w:p>
    <w:p w14:paraId="79489410" w14:textId="6A3F1732" w:rsidR="48EC1FC0" w:rsidRDefault="64CB15C4" w:rsidP="5311C3E3">
      <w:pPr>
        <w:spacing w:before="240" w:after="240"/>
        <w:rPr>
          <w:rFonts w:cs="Arial"/>
          <w:sz w:val="22"/>
          <w:szCs w:val="22"/>
        </w:rPr>
      </w:pPr>
      <w:r w:rsidRPr="5311C3E3">
        <w:rPr>
          <w:rFonts w:cs="Arial"/>
          <w:sz w:val="22"/>
          <w:szCs w:val="22"/>
        </w:rPr>
        <w:lastRenderedPageBreak/>
        <w:t>Guidance and tools supporting assessment are available on the Nutrition and Dietetics intranet page.</w:t>
      </w:r>
    </w:p>
    <w:p w14:paraId="490A0104" w14:textId="4AC7A0AE" w:rsidR="48EC1FC0" w:rsidRDefault="48EC1FC0" w:rsidP="5311C3E3">
      <w:pPr>
        <w:spacing w:before="240" w:after="240"/>
        <w:rPr>
          <w:rFonts w:cs="Arial"/>
          <w:sz w:val="22"/>
          <w:szCs w:val="22"/>
        </w:rPr>
      </w:pPr>
    </w:p>
    <w:p w14:paraId="59151AF7" w14:textId="5D384761" w:rsidR="48EC1FC0" w:rsidRDefault="64CB15C4" w:rsidP="5311C3E3">
      <w:pPr>
        <w:rPr>
          <w:rStyle w:val="Heading3Char"/>
          <w:rFonts w:ascii="Arial" w:eastAsia="Arial" w:hAnsi="Arial" w:cs="Arial"/>
          <w:sz w:val="22"/>
          <w:szCs w:val="22"/>
        </w:rPr>
      </w:pPr>
      <w:r w:rsidRPr="5311C3E3">
        <w:rPr>
          <w:sz w:val="22"/>
          <w:szCs w:val="22"/>
        </w:rPr>
        <w:t>Table 1</w:t>
      </w:r>
      <w:r w:rsidR="282F81A5" w:rsidRPr="5311C3E3">
        <w:rPr>
          <w:sz w:val="22"/>
          <w:szCs w:val="22"/>
        </w:rPr>
        <w:t xml:space="preserve">. </w:t>
      </w:r>
      <w:r w:rsidRPr="5311C3E3">
        <w:rPr>
          <w:sz w:val="22"/>
          <w:szCs w:val="22"/>
        </w:rPr>
        <w:t>Nutrition Screening Tools and Frequency</w:t>
      </w:r>
    </w:p>
    <w:tbl>
      <w:tblPr>
        <w:tblW w:w="0" w:type="auto"/>
        <w:tblLook w:val="06A0" w:firstRow="1" w:lastRow="0" w:firstColumn="1" w:lastColumn="0" w:noHBand="1" w:noVBand="1"/>
      </w:tblPr>
      <w:tblGrid>
        <w:gridCol w:w="1302"/>
        <w:gridCol w:w="1243"/>
        <w:gridCol w:w="2205"/>
        <w:gridCol w:w="1813"/>
        <w:gridCol w:w="2777"/>
      </w:tblGrid>
      <w:tr w:rsidR="5311C3E3" w14:paraId="4A4FC561" w14:textId="77777777" w:rsidTr="00011486">
        <w:trPr>
          <w:trHeight w:val="300"/>
        </w:trPr>
        <w:tc>
          <w:tcPr>
            <w:tcW w:w="13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CE9655C" w14:textId="11A6BC3D" w:rsidR="5311C3E3" w:rsidRDefault="5311C3E3" w:rsidP="5311C3E3">
            <w:pPr>
              <w:spacing w:before="0"/>
              <w:jc w:val="center"/>
            </w:pPr>
            <w:r w:rsidRPr="5311C3E3">
              <w:rPr>
                <w:rFonts w:cs="Arial"/>
                <w:b/>
                <w:bCs/>
                <w:sz w:val="22"/>
                <w:szCs w:val="22"/>
              </w:rPr>
              <w:t>Setting</w:t>
            </w:r>
          </w:p>
        </w:tc>
        <w:tc>
          <w:tcPr>
            <w:tcW w:w="124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67E293D" w14:textId="0250C11D" w:rsidR="5311C3E3" w:rsidRDefault="5311C3E3" w:rsidP="5311C3E3">
            <w:pPr>
              <w:spacing w:before="0"/>
              <w:jc w:val="center"/>
            </w:pPr>
            <w:r w:rsidRPr="5311C3E3">
              <w:rPr>
                <w:rFonts w:cs="Arial"/>
                <w:b/>
                <w:bCs/>
                <w:sz w:val="22"/>
                <w:szCs w:val="22"/>
              </w:rPr>
              <w:t>Who to screen</w:t>
            </w:r>
          </w:p>
        </w:tc>
        <w:tc>
          <w:tcPr>
            <w:tcW w:w="22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10EAB21" w14:textId="6465B61F" w:rsidR="5311C3E3" w:rsidRDefault="5311C3E3" w:rsidP="5311C3E3">
            <w:pPr>
              <w:spacing w:before="0"/>
              <w:jc w:val="center"/>
            </w:pPr>
            <w:r w:rsidRPr="5311C3E3">
              <w:rPr>
                <w:rFonts w:cs="Arial"/>
                <w:b/>
                <w:bCs/>
                <w:sz w:val="22"/>
                <w:szCs w:val="22"/>
              </w:rPr>
              <w:t>When to screen</w:t>
            </w:r>
          </w:p>
        </w:tc>
        <w:tc>
          <w:tcPr>
            <w:tcW w:w="181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0DBD64F" w14:textId="57118107" w:rsidR="5311C3E3" w:rsidRDefault="5311C3E3" w:rsidP="5311C3E3">
            <w:pPr>
              <w:spacing w:before="0"/>
              <w:jc w:val="center"/>
            </w:pPr>
            <w:r w:rsidRPr="5311C3E3">
              <w:rPr>
                <w:rFonts w:cs="Arial"/>
                <w:b/>
                <w:bCs/>
                <w:sz w:val="22"/>
                <w:szCs w:val="22"/>
              </w:rPr>
              <w:t>Screening tool</w:t>
            </w:r>
          </w:p>
        </w:tc>
        <w:tc>
          <w:tcPr>
            <w:tcW w:w="27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637CE21" w14:textId="50B4D159" w:rsidR="5311C3E3" w:rsidRDefault="5311C3E3" w:rsidP="5311C3E3">
            <w:pPr>
              <w:spacing w:before="0"/>
              <w:jc w:val="center"/>
            </w:pPr>
            <w:r w:rsidRPr="5311C3E3">
              <w:rPr>
                <w:rFonts w:cs="Arial"/>
                <w:b/>
                <w:bCs/>
                <w:sz w:val="22"/>
                <w:szCs w:val="22"/>
              </w:rPr>
              <w:t>Screening frequency</w:t>
            </w:r>
          </w:p>
        </w:tc>
      </w:tr>
      <w:tr w:rsidR="5311C3E3" w14:paraId="1F01325E" w14:textId="77777777" w:rsidTr="00011486">
        <w:trPr>
          <w:trHeight w:val="300"/>
        </w:trPr>
        <w:tc>
          <w:tcPr>
            <w:tcW w:w="13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95ACE7F" w14:textId="5FD47F3C" w:rsidR="5311C3E3" w:rsidRDefault="5311C3E3" w:rsidP="5311C3E3">
            <w:pPr>
              <w:spacing w:before="0"/>
            </w:pPr>
            <w:r w:rsidRPr="5311C3E3">
              <w:rPr>
                <w:rFonts w:cs="Arial"/>
                <w:sz w:val="22"/>
                <w:szCs w:val="22"/>
              </w:rPr>
              <w:t>Adult inpatient services</w:t>
            </w:r>
          </w:p>
        </w:tc>
        <w:tc>
          <w:tcPr>
            <w:tcW w:w="124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EF7E8E8" w14:textId="62858BFA" w:rsidR="5311C3E3" w:rsidRDefault="5311C3E3" w:rsidP="5311C3E3">
            <w:pPr>
              <w:spacing w:before="0"/>
            </w:pPr>
            <w:r w:rsidRPr="5311C3E3">
              <w:rPr>
                <w:rFonts w:cs="Arial"/>
                <w:sz w:val="22"/>
                <w:szCs w:val="22"/>
              </w:rPr>
              <w:t>Adults ≥18 years</w:t>
            </w:r>
          </w:p>
        </w:tc>
        <w:tc>
          <w:tcPr>
            <w:tcW w:w="22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75F671" w14:textId="2FB619D9" w:rsidR="5311C3E3" w:rsidRDefault="5311C3E3" w:rsidP="5311C3E3">
            <w:pPr>
              <w:spacing w:before="0"/>
            </w:pPr>
            <w:r w:rsidRPr="5311C3E3">
              <w:rPr>
                <w:rFonts w:cs="Arial"/>
                <w:sz w:val="22"/>
                <w:szCs w:val="22"/>
              </w:rPr>
              <w:t>Within 48 hours of admission</w:t>
            </w:r>
          </w:p>
        </w:tc>
        <w:tc>
          <w:tcPr>
            <w:tcW w:w="181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D8B262B" w14:textId="5D5D8DEC" w:rsidR="5311C3E3" w:rsidRDefault="5311C3E3" w:rsidP="5311C3E3">
            <w:pPr>
              <w:spacing w:before="0"/>
            </w:pPr>
            <w:r w:rsidRPr="5311C3E3">
              <w:rPr>
                <w:rFonts w:cs="Arial"/>
                <w:sz w:val="22"/>
                <w:szCs w:val="22"/>
              </w:rPr>
              <w:t>SANSI; MUST where indicated</w:t>
            </w:r>
          </w:p>
        </w:tc>
        <w:tc>
          <w:tcPr>
            <w:tcW w:w="27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830B671" w14:textId="40CDEE44" w:rsidR="5311C3E3" w:rsidRDefault="5311C3E3" w:rsidP="5311C3E3">
            <w:pPr>
              <w:spacing w:before="0"/>
            </w:pPr>
            <w:r w:rsidRPr="5311C3E3">
              <w:rPr>
                <w:rFonts w:cs="Arial"/>
                <w:sz w:val="22"/>
                <w:szCs w:val="22"/>
              </w:rPr>
              <w:t>Weekly unless advised otherwise</w:t>
            </w:r>
          </w:p>
        </w:tc>
      </w:tr>
      <w:tr w:rsidR="5311C3E3" w14:paraId="25057C64" w14:textId="77777777" w:rsidTr="00011486">
        <w:trPr>
          <w:trHeight w:val="300"/>
        </w:trPr>
        <w:tc>
          <w:tcPr>
            <w:tcW w:w="13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47C340D" w14:textId="26901361" w:rsidR="5311C3E3" w:rsidRDefault="5311C3E3" w:rsidP="5311C3E3">
            <w:pPr>
              <w:spacing w:before="0"/>
            </w:pPr>
            <w:r w:rsidRPr="5311C3E3">
              <w:rPr>
                <w:rFonts w:cs="Arial"/>
                <w:sz w:val="22"/>
                <w:szCs w:val="22"/>
              </w:rPr>
              <w:t>Forensic inpatient services</w:t>
            </w:r>
          </w:p>
        </w:tc>
        <w:tc>
          <w:tcPr>
            <w:tcW w:w="124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A362C0" w14:textId="5901309D" w:rsidR="5311C3E3" w:rsidRDefault="5311C3E3" w:rsidP="5311C3E3">
            <w:pPr>
              <w:spacing w:before="0"/>
            </w:pPr>
            <w:r w:rsidRPr="5311C3E3">
              <w:rPr>
                <w:rFonts w:cs="Arial"/>
                <w:sz w:val="22"/>
                <w:szCs w:val="22"/>
              </w:rPr>
              <w:t>Adults ≥18 years</w:t>
            </w:r>
          </w:p>
        </w:tc>
        <w:tc>
          <w:tcPr>
            <w:tcW w:w="22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7C094DB" w14:textId="15E667C9" w:rsidR="5311C3E3" w:rsidRDefault="5311C3E3" w:rsidP="5311C3E3">
            <w:pPr>
              <w:spacing w:before="0"/>
            </w:pPr>
            <w:r w:rsidRPr="5311C3E3">
              <w:rPr>
                <w:rFonts w:cs="Arial"/>
                <w:sz w:val="22"/>
                <w:szCs w:val="22"/>
              </w:rPr>
              <w:t>Within 48 hours of admission</w:t>
            </w:r>
          </w:p>
        </w:tc>
        <w:tc>
          <w:tcPr>
            <w:tcW w:w="181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A19CF23" w14:textId="3B48F2A5" w:rsidR="5311C3E3" w:rsidRDefault="5311C3E3" w:rsidP="5311C3E3">
            <w:pPr>
              <w:spacing w:before="0"/>
            </w:pPr>
            <w:r w:rsidRPr="5311C3E3">
              <w:rPr>
                <w:rFonts w:cs="Arial"/>
                <w:sz w:val="22"/>
                <w:szCs w:val="22"/>
              </w:rPr>
              <w:t>SANSI; MUST where indicated</w:t>
            </w:r>
          </w:p>
        </w:tc>
        <w:tc>
          <w:tcPr>
            <w:tcW w:w="27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A76445C" w14:textId="4945428F" w:rsidR="5311C3E3" w:rsidRDefault="5311C3E3" w:rsidP="5311C3E3">
            <w:pPr>
              <w:spacing w:before="0"/>
            </w:pPr>
            <w:r w:rsidRPr="5311C3E3">
              <w:rPr>
                <w:rFonts w:cs="Arial"/>
                <w:sz w:val="22"/>
                <w:szCs w:val="22"/>
              </w:rPr>
              <w:t>Monthly unless advised otherwise</w:t>
            </w:r>
          </w:p>
        </w:tc>
      </w:tr>
      <w:tr w:rsidR="5311C3E3" w14:paraId="4225D57C" w14:textId="77777777" w:rsidTr="00011486">
        <w:trPr>
          <w:trHeight w:val="300"/>
        </w:trPr>
        <w:tc>
          <w:tcPr>
            <w:tcW w:w="13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726D60C" w14:textId="685E471D" w:rsidR="5311C3E3" w:rsidRDefault="5311C3E3" w:rsidP="5311C3E3">
            <w:pPr>
              <w:spacing w:before="0"/>
            </w:pPr>
            <w:r w:rsidRPr="5311C3E3">
              <w:rPr>
                <w:rFonts w:cs="Arial"/>
                <w:sz w:val="22"/>
                <w:szCs w:val="22"/>
              </w:rPr>
              <w:t>Adult community services</w:t>
            </w:r>
          </w:p>
        </w:tc>
        <w:tc>
          <w:tcPr>
            <w:tcW w:w="124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C00F929" w14:textId="37B6CEF6" w:rsidR="5311C3E3" w:rsidRDefault="5311C3E3" w:rsidP="5311C3E3">
            <w:pPr>
              <w:spacing w:before="0"/>
            </w:pPr>
            <w:r w:rsidRPr="5311C3E3">
              <w:rPr>
                <w:rFonts w:cs="Arial"/>
                <w:sz w:val="22"/>
                <w:szCs w:val="22"/>
              </w:rPr>
              <w:t>Adults ≥18 years</w:t>
            </w:r>
          </w:p>
        </w:tc>
        <w:tc>
          <w:tcPr>
            <w:tcW w:w="22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8AC8517" w14:textId="5FCA50EC" w:rsidR="5311C3E3" w:rsidRDefault="5311C3E3" w:rsidP="5311C3E3">
            <w:pPr>
              <w:spacing w:before="0"/>
            </w:pPr>
            <w:r w:rsidRPr="5311C3E3">
              <w:rPr>
                <w:rFonts w:cs="Arial"/>
                <w:sz w:val="22"/>
                <w:szCs w:val="22"/>
              </w:rPr>
              <w:t>At routine physical health review or when concerns arise</w:t>
            </w:r>
          </w:p>
        </w:tc>
        <w:tc>
          <w:tcPr>
            <w:tcW w:w="181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66A044D" w14:textId="42F949A8" w:rsidR="5311C3E3" w:rsidRDefault="5311C3E3" w:rsidP="5311C3E3">
            <w:pPr>
              <w:spacing w:before="0"/>
            </w:pPr>
            <w:r w:rsidRPr="5311C3E3">
              <w:rPr>
                <w:rFonts w:cs="Arial"/>
                <w:sz w:val="22"/>
                <w:szCs w:val="22"/>
              </w:rPr>
              <w:t>SANSI</w:t>
            </w:r>
          </w:p>
        </w:tc>
        <w:tc>
          <w:tcPr>
            <w:tcW w:w="27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F121C38" w14:textId="679FC901" w:rsidR="5311C3E3" w:rsidRDefault="5311C3E3" w:rsidP="5311C3E3">
            <w:pPr>
              <w:spacing w:before="0"/>
            </w:pPr>
            <w:r w:rsidRPr="5311C3E3">
              <w:rPr>
                <w:rFonts w:cs="Arial"/>
                <w:sz w:val="22"/>
                <w:szCs w:val="22"/>
              </w:rPr>
              <w:t>Low risk:</w:t>
            </w:r>
            <w:r w:rsidR="00CB0588">
              <w:rPr>
                <w:rFonts w:cs="Arial"/>
                <w:sz w:val="22"/>
                <w:szCs w:val="22"/>
              </w:rPr>
              <w:t xml:space="preserve"> At routine PH review or when concerns arise</w:t>
            </w:r>
            <w:r w:rsidRPr="5311C3E3">
              <w:rPr>
                <w:rFonts w:cs="Arial"/>
                <w:sz w:val="22"/>
                <w:szCs w:val="22"/>
              </w:rPr>
              <w:t>; Medium risk: every 2–3 months; High risk: monthly</w:t>
            </w:r>
          </w:p>
        </w:tc>
      </w:tr>
      <w:tr w:rsidR="5311C3E3" w14:paraId="7EAA9D42" w14:textId="77777777" w:rsidTr="00011486">
        <w:trPr>
          <w:trHeight w:val="300"/>
        </w:trPr>
        <w:tc>
          <w:tcPr>
            <w:tcW w:w="13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2B36DA6" w14:textId="66CBBCCA" w:rsidR="5311C3E3" w:rsidRDefault="5311C3E3" w:rsidP="5311C3E3">
            <w:pPr>
              <w:spacing w:before="0"/>
            </w:pPr>
            <w:r w:rsidRPr="5311C3E3">
              <w:rPr>
                <w:rFonts w:cs="Arial"/>
                <w:sz w:val="22"/>
                <w:szCs w:val="22"/>
              </w:rPr>
              <w:t>CAMHS inpatient services</w:t>
            </w:r>
          </w:p>
        </w:tc>
        <w:tc>
          <w:tcPr>
            <w:tcW w:w="124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8C3B876" w14:textId="69F1DC5F" w:rsidR="5311C3E3" w:rsidRDefault="5311C3E3" w:rsidP="5311C3E3">
            <w:pPr>
              <w:spacing w:before="0"/>
            </w:pPr>
            <w:r w:rsidRPr="5311C3E3">
              <w:rPr>
                <w:rFonts w:cs="Arial"/>
                <w:sz w:val="22"/>
                <w:szCs w:val="22"/>
              </w:rPr>
              <w:t>CYP aged 2–18 years</w:t>
            </w:r>
          </w:p>
        </w:tc>
        <w:tc>
          <w:tcPr>
            <w:tcW w:w="22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01CBAB3" w14:textId="34F358A5" w:rsidR="5311C3E3" w:rsidRDefault="5311C3E3" w:rsidP="5311C3E3">
            <w:pPr>
              <w:spacing w:before="0"/>
            </w:pPr>
            <w:r w:rsidRPr="5311C3E3">
              <w:rPr>
                <w:rFonts w:cs="Arial"/>
                <w:sz w:val="22"/>
                <w:szCs w:val="22"/>
              </w:rPr>
              <w:t>Within 48 hours of admission</w:t>
            </w:r>
          </w:p>
        </w:tc>
        <w:tc>
          <w:tcPr>
            <w:tcW w:w="181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85897B8" w14:textId="7EF29876" w:rsidR="5311C3E3" w:rsidRDefault="5311C3E3" w:rsidP="5311C3E3">
            <w:pPr>
              <w:spacing w:before="0"/>
            </w:pPr>
            <w:r w:rsidRPr="5311C3E3">
              <w:rPr>
                <w:rFonts w:cs="Arial"/>
                <w:sz w:val="22"/>
                <w:szCs w:val="22"/>
              </w:rPr>
              <w:t>STAMP and BMI centile charts</w:t>
            </w:r>
          </w:p>
        </w:tc>
        <w:tc>
          <w:tcPr>
            <w:tcW w:w="27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17020D9" w14:textId="361745B3" w:rsidR="5311C3E3" w:rsidRDefault="5311C3E3" w:rsidP="5311C3E3">
            <w:pPr>
              <w:spacing w:before="0"/>
            </w:pPr>
            <w:r w:rsidRPr="5311C3E3">
              <w:rPr>
                <w:rFonts w:cs="Arial"/>
                <w:sz w:val="22"/>
                <w:szCs w:val="22"/>
              </w:rPr>
              <w:t>Weekly</w:t>
            </w:r>
          </w:p>
        </w:tc>
      </w:tr>
      <w:tr w:rsidR="5311C3E3" w14:paraId="3EFBC5F7" w14:textId="77777777" w:rsidTr="00011486">
        <w:trPr>
          <w:trHeight w:val="300"/>
        </w:trPr>
        <w:tc>
          <w:tcPr>
            <w:tcW w:w="13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2CB6C8E" w14:textId="73344C06" w:rsidR="5311C3E3" w:rsidRDefault="5311C3E3" w:rsidP="5311C3E3">
            <w:pPr>
              <w:spacing w:before="0"/>
            </w:pPr>
            <w:r w:rsidRPr="5311C3E3">
              <w:rPr>
                <w:rFonts w:cs="Arial"/>
                <w:sz w:val="22"/>
                <w:szCs w:val="22"/>
              </w:rPr>
              <w:t>CAMHS community services</w:t>
            </w:r>
          </w:p>
        </w:tc>
        <w:tc>
          <w:tcPr>
            <w:tcW w:w="124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47EB6DF" w14:textId="7CD884C6" w:rsidR="5311C3E3" w:rsidRDefault="5311C3E3" w:rsidP="5311C3E3">
            <w:pPr>
              <w:spacing w:before="0"/>
            </w:pPr>
            <w:r w:rsidRPr="5311C3E3">
              <w:rPr>
                <w:rFonts w:cs="Arial"/>
                <w:sz w:val="22"/>
                <w:szCs w:val="22"/>
              </w:rPr>
              <w:t>CYP aged 2–18 years</w:t>
            </w:r>
          </w:p>
        </w:tc>
        <w:tc>
          <w:tcPr>
            <w:tcW w:w="22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1DD9C64" w14:textId="576D869C" w:rsidR="5311C3E3" w:rsidRDefault="5311C3E3" w:rsidP="5311C3E3">
            <w:pPr>
              <w:spacing w:before="0"/>
            </w:pPr>
            <w:r w:rsidRPr="5311C3E3">
              <w:rPr>
                <w:rFonts w:cs="Arial"/>
                <w:sz w:val="22"/>
                <w:szCs w:val="22"/>
              </w:rPr>
              <w:t>At routine review or when concerns arise</w:t>
            </w:r>
          </w:p>
        </w:tc>
        <w:tc>
          <w:tcPr>
            <w:tcW w:w="181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03CFD30" w14:textId="005B23C6" w:rsidR="5311C3E3" w:rsidRDefault="5311C3E3" w:rsidP="5311C3E3">
            <w:pPr>
              <w:spacing w:before="0"/>
            </w:pPr>
            <w:r w:rsidRPr="5311C3E3">
              <w:rPr>
                <w:rFonts w:cs="Arial"/>
                <w:sz w:val="22"/>
                <w:szCs w:val="22"/>
              </w:rPr>
              <w:t>STAMP and BMI centile charts</w:t>
            </w:r>
          </w:p>
        </w:tc>
        <w:tc>
          <w:tcPr>
            <w:tcW w:w="27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7602F9A" w14:textId="6F6329D4" w:rsidR="5311C3E3" w:rsidRDefault="5311C3E3" w:rsidP="5311C3E3">
            <w:pPr>
              <w:spacing w:before="0"/>
            </w:pPr>
            <w:r w:rsidRPr="5311C3E3">
              <w:rPr>
                <w:rFonts w:cs="Arial"/>
                <w:sz w:val="22"/>
                <w:szCs w:val="22"/>
              </w:rPr>
              <w:t>As clinically indicated</w:t>
            </w:r>
          </w:p>
        </w:tc>
      </w:tr>
    </w:tbl>
    <w:p w14:paraId="14735DED" w14:textId="74FA4D03" w:rsidR="48EC1FC0" w:rsidRDefault="48EC1FC0" w:rsidP="5311C3E3">
      <w:pPr>
        <w:rPr>
          <w:rFonts w:cs="Arial"/>
          <w:sz w:val="22"/>
          <w:szCs w:val="22"/>
        </w:rPr>
      </w:pPr>
    </w:p>
    <w:p w14:paraId="77738C0C" w14:textId="049682D8" w:rsidR="48EC1FC0" w:rsidRDefault="64CB15C4" w:rsidP="5311C3E3">
      <w:pPr>
        <w:rPr>
          <w:rFonts w:cs="Arial"/>
          <w:sz w:val="22"/>
          <w:szCs w:val="22"/>
        </w:rPr>
      </w:pPr>
      <w:r w:rsidRPr="5311C3E3">
        <w:rPr>
          <w:sz w:val="22"/>
          <w:szCs w:val="22"/>
        </w:rPr>
        <w:t>Table 2</w:t>
      </w:r>
      <w:r w:rsidR="3DDCC5A5" w:rsidRPr="5311C3E3">
        <w:rPr>
          <w:sz w:val="22"/>
          <w:szCs w:val="22"/>
        </w:rPr>
        <w:t xml:space="preserve">. </w:t>
      </w:r>
      <w:r w:rsidRPr="5311C3E3">
        <w:rPr>
          <w:sz w:val="22"/>
          <w:szCs w:val="22"/>
        </w:rPr>
        <w:t>Hydration Risk Factors and Required Action</w:t>
      </w:r>
    </w:p>
    <w:tbl>
      <w:tblPr>
        <w:tblW w:w="0" w:type="auto"/>
        <w:tblLook w:val="06A0" w:firstRow="1" w:lastRow="0" w:firstColumn="1" w:lastColumn="0" w:noHBand="1" w:noVBand="1"/>
      </w:tblPr>
      <w:tblGrid>
        <w:gridCol w:w="2400"/>
        <w:gridCol w:w="3439"/>
        <w:gridCol w:w="3501"/>
      </w:tblGrid>
      <w:tr w:rsidR="5311C3E3" w14:paraId="245E5909" w14:textId="77777777" w:rsidTr="00825F2C">
        <w:trPr>
          <w:trHeight w:val="300"/>
        </w:trPr>
        <w:tc>
          <w:tcPr>
            <w:tcW w:w="24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596CE5" w14:textId="26484B05" w:rsidR="5311C3E3" w:rsidRDefault="5311C3E3" w:rsidP="5311C3E3">
            <w:pPr>
              <w:spacing w:before="0"/>
              <w:jc w:val="center"/>
            </w:pPr>
            <w:r w:rsidRPr="5311C3E3">
              <w:rPr>
                <w:rFonts w:cs="Arial"/>
                <w:b/>
                <w:bCs/>
                <w:sz w:val="22"/>
                <w:szCs w:val="22"/>
              </w:rPr>
              <w:t>Risk Category</w:t>
            </w:r>
          </w:p>
        </w:tc>
        <w:tc>
          <w:tcPr>
            <w:tcW w:w="343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04A0184" w14:textId="497C7C3E" w:rsidR="5311C3E3" w:rsidRDefault="5311C3E3" w:rsidP="5311C3E3">
            <w:pPr>
              <w:spacing w:before="0"/>
              <w:jc w:val="center"/>
            </w:pPr>
            <w:r w:rsidRPr="5311C3E3">
              <w:rPr>
                <w:rFonts w:cs="Arial"/>
                <w:b/>
                <w:bCs/>
                <w:sz w:val="22"/>
                <w:szCs w:val="22"/>
              </w:rPr>
              <w:t>Examples</w:t>
            </w:r>
          </w:p>
        </w:tc>
        <w:tc>
          <w:tcPr>
            <w:tcW w:w="35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E39F472" w14:textId="65EEC21F" w:rsidR="5311C3E3" w:rsidRDefault="5311C3E3" w:rsidP="5311C3E3">
            <w:pPr>
              <w:spacing w:before="0"/>
              <w:jc w:val="center"/>
            </w:pPr>
            <w:r w:rsidRPr="5311C3E3">
              <w:rPr>
                <w:rFonts w:cs="Arial"/>
                <w:b/>
                <w:bCs/>
                <w:sz w:val="22"/>
                <w:szCs w:val="22"/>
              </w:rPr>
              <w:t>Required Action</w:t>
            </w:r>
          </w:p>
        </w:tc>
      </w:tr>
      <w:tr w:rsidR="5311C3E3" w14:paraId="1BEF0C4B" w14:textId="77777777" w:rsidTr="00825F2C">
        <w:trPr>
          <w:trHeight w:val="300"/>
        </w:trPr>
        <w:tc>
          <w:tcPr>
            <w:tcW w:w="24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7869D5" w14:textId="790272B1" w:rsidR="5311C3E3" w:rsidRDefault="5311C3E3" w:rsidP="5311C3E3">
            <w:pPr>
              <w:spacing w:before="0"/>
            </w:pPr>
            <w:r w:rsidRPr="5311C3E3">
              <w:rPr>
                <w:rFonts w:cs="Arial"/>
                <w:sz w:val="22"/>
                <w:szCs w:val="22"/>
              </w:rPr>
              <w:t>Clinical vulnerability</w:t>
            </w:r>
          </w:p>
        </w:tc>
        <w:tc>
          <w:tcPr>
            <w:tcW w:w="343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140A521" w14:textId="1566E3E1" w:rsidR="5311C3E3" w:rsidRDefault="5311C3E3" w:rsidP="5311C3E3">
            <w:pPr>
              <w:spacing w:before="0"/>
            </w:pPr>
            <w:r w:rsidRPr="5311C3E3">
              <w:rPr>
                <w:rFonts w:cs="Arial"/>
                <w:sz w:val="22"/>
                <w:szCs w:val="22"/>
              </w:rPr>
              <w:t>Older adults, infection, fever</w:t>
            </w:r>
          </w:p>
        </w:tc>
        <w:tc>
          <w:tcPr>
            <w:tcW w:w="35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6BBD48" w14:textId="369D153C" w:rsidR="5311C3E3" w:rsidRDefault="5311C3E3" w:rsidP="5311C3E3">
            <w:pPr>
              <w:spacing w:before="0"/>
            </w:pPr>
            <w:r w:rsidRPr="5311C3E3">
              <w:rPr>
                <w:rFonts w:cs="Arial"/>
                <w:sz w:val="22"/>
                <w:szCs w:val="22"/>
              </w:rPr>
              <w:t>Assess hydration status and monitor intake</w:t>
            </w:r>
          </w:p>
        </w:tc>
      </w:tr>
      <w:tr w:rsidR="5311C3E3" w14:paraId="52BA9ABA" w14:textId="77777777" w:rsidTr="00825F2C">
        <w:trPr>
          <w:trHeight w:val="300"/>
        </w:trPr>
        <w:tc>
          <w:tcPr>
            <w:tcW w:w="24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04DBB4A" w14:textId="789E4819" w:rsidR="5311C3E3" w:rsidRDefault="5311C3E3" w:rsidP="5311C3E3">
            <w:pPr>
              <w:spacing w:before="0"/>
            </w:pPr>
            <w:r w:rsidRPr="5311C3E3">
              <w:rPr>
                <w:rFonts w:cs="Arial"/>
                <w:sz w:val="22"/>
                <w:szCs w:val="22"/>
              </w:rPr>
              <w:t>Mental health-related</w:t>
            </w:r>
          </w:p>
        </w:tc>
        <w:tc>
          <w:tcPr>
            <w:tcW w:w="343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F9B09C3" w14:textId="4A76F411" w:rsidR="5311C3E3" w:rsidRDefault="5311C3E3" w:rsidP="5311C3E3">
            <w:pPr>
              <w:spacing w:before="0"/>
            </w:pPr>
            <w:r w:rsidRPr="5311C3E3">
              <w:rPr>
                <w:rFonts w:cs="Arial"/>
                <w:sz w:val="22"/>
                <w:szCs w:val="22"/>
              </w:rPr>
              <w:t>Severe mental illness, eating disorders, learning disability</w:t>
            </w:r>
          </w:p>
        </w:tc>
        <w:tc>
          <w:tcPr>
            <w:tcW w:w="35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E9C6015" w14:textId="6B877D25" w:rsidR="5311C3E3" w:rsidRDefault="5311C3E3" w:rsidP="5311C3E3">
            <w:pPr>
              <w:spacing w:before="0"/>
            </w:pPr>
            <w:r w:rsidRPr="5311C3E3">
              <w:rPr>
                <w:rFonts w:cs="Arial"/>
                <w:sz w:val="22"/>
                <w:szCs w:val="22"/>
              </w:rPr>
              <w:t>Monitor intake and MDT review</w:t>
            </w:r>
          </w:p>
        </w:tc>
      </w:tr>
      <w:tr w:rsidR="5311C3E3" w14:paraId="0912275D" w14:textId="77777777" w:rsidTr="00825F2C">
        <w:trPr>
          <w:trHeight w:val="300"/>
        </w:trPr>
        <w:tc>
          <w:tcPr>
            <w:tcW w:w="24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5A9993" w14:textId="3182AEE6" w:rsidR="5311C3E3" w:rsidRDefault="5311C3E3" w:rsidP="5311C3E3">
            <w:pPr>
              <w:spacing w:before="0"/>
            </w:pPr>
            <w:r w:rsidRPr="5311C3E3">
              <w:rPr>
                <w:rFonts w:cs="Arial"/>
                <w:sz w:val="22"/>
                <w:szCs w:val="22"/>
              </w:rPr>
              <w:t>Medication-related</w:t>
            </w:r>
          </w:p>
        </w:tc>
        <w:tc>
          <w:tcPr>
            <w:tcW w:w="343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B24FF1D" w14:textId="1D7B6957" w:rsidR="5311C3E3" w:rsidRDefault="5311C3E3" w:rsidP="5311C3E3">
            <w:pPr>
              <w:spacing w:before="0"/>
            </w:pPr>
            <w:r w:rsidRPr="5311C3E3">
              <w:rPr>
                <w:rFonts w:cs="Arial"/>
                <w:sz w:val="22"/>
                <w:szCs w:val="22"/>
              </w:rPr>
              <w:t>Lithium, diuretics, clozapine</w:t>
            </w:r>
          </w:p>
        </w:tc>
        <w:tc>
          <w:tcPr>
            <w:tcW w:w="35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D355019" w14:textId="34C0C39B" w:rsidR="5311C3E3" w:rsidRDefault="5311C3E3" w:rsidP="5311C3E3">
            <w:pPr>
              <w:spacing w:before="0"/>
            </w:pPr>
            <w:r w:rsidRPr="5311C3E3">
              <w:rPr>
                <w:rFonts w:cs="Arial"/>
                <w:sz w:val="22"/>
                <w:szCs w:val="22"/>
              </w:rPr>
              <w:t>Monitor hydration and U&amp;Es</w:t>
            </w:r>
          </w:p>
        </w:tc>
      </w:tr>
      <w:tr w:rsidR="5311C3E3" w14:paraId="2AD35BF7" w14:textId="77777777" w:rsidTr="00825F2C">
        <w:trPr>
          <w:trHeight w:val="300"/>
        </w:trPr>
        <w:tc>
          <w:tcPr>
            <w:tcW w:w="24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3C8C998" w14:textId="0F41308B" w:rsidR="5311C3E3" w:rsidRDefault="5311C3E3" w:rsidP="5311C3E3">
            <w:pPr>
              <w:spacing w:before="0"/>
            </w:pPr>
            <w:r w:rsidRPr="5311C3E3">
              <w:rPr>
                <w:rFonts w:cs="Arial"/>
                <w:sz w:val="22"/>
                <w:szCs w:val="22"/>
              </w:rPr>
              <w:t>Swallowing risk</w:t>
            </w:r>
          </w:p>
        </w:tc>
        <w:tc>
          <w:tcPr>
            <w:tcW w:w="343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B33BCFC" w14:textId="012BAD66" w:rsidR="5311C3E3" w:rsidRDefault="5311C3E3" w:rsidP="5311C3E3">
            <w:pPr>
              <w:spacing w:before="0"/>
            </w:pPr>
            <w:r w:rsidRPr="5311C3E3">
              <w:rPr>
                <w:rFonts w:cs="Arial"/>
                <w:sz w:val="22"/>
                <w:szCs w:val="22"/>
              </w:rPr>
              <w:t>Dysphagia, IDDSI requirements</w:t>
            </w:r>
          </w:p>
        </w:tc>
        <w:tc>
          <w:tcPr>
            <w:tcW w:w="35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522838C" w14:textId="6B317171" w:rsidR="5311C3E3" w:rsidRDefault="5311C3E3" w:rsidP="5311C3E3">
            <w:pPr>
              <w:spacing w:before="0"/>
            </w:pPr>
            <w:r w:rsidRPr="5311C3E3">
              <w:rPr>
                <w:rFonts w:cs="Arial"/>
                <w:sz w:val="22"/>
                <w:szCs w:val="22"/>
              </w:rPr>
              <w:t>Refer to SLT and implement recommendations</w:t>
            </w:r>
          </w:p>
        </w:tc>
      </w:tr>
      <w:tr w:rsidR="5311C3E3" w14:paraId="4E0F946D" w14:textId="77777777" w:rsidTr="00825F2C">
        <w:trPr>
          <w:trHeight w:val="300"/>
        </w:trPr>
        <w:tc>
          <w:tcPr>
            <w:tcW w:w="24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B2432BA" w14:textId="7749CE34" w:rsidR="5311C3E3" w:rsidRDefault="5311C3E3" w:rsidP="5311C3E3">
            <w:pPr>
              <w:spacing w:before="0"/>
            </w:pPr>
            <w:r w:rsidRPr="5311C3E3">
              <w:rPr>
                <w:rFonts w:cs="Arial"/>
                <w:sz w:val="22"/>
                <w:szCs w:val="22"/>
              </w:rPr>
              <w:t>Behavioural risk</w:t>
            </w:r>
          </w:p>
        </w:tc>
        <w:tc>
          <w:tcPr>
            <w:tcW w:w="343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65A5AB5" w14:textId="27635901" w:rsidR="5311C3E3" w:rsidRDefault="5311C3E3" w:rsidP="5311C3E3">
            <w:pPr>
              <w:spacing w:before="0"/>
            </w:pPr>
            <w:r w:rsidRPr="5311C3E3">
              <w:rPr>
                <w:rFonts w:cs="Arial"/>
                <w:sz w:val="22"/>
                <w:szCs w:val="22"/>
              </w:rPr>
              <w:t>Psychogenic polydipsia, fluid restriction</w:t>
            </w:r>
          </w:p>
        </w:tc>
        <w:tc>
          <w:tcPr>
            <w:tcW w:w="35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AA0A332" w14:textId="2E1E0AB8" w:rsidR="5311C3E3" w:rsidRDefault="5311C3E3" w:rsidP="5311C3E3">
            <w:pPr>
              <w:spacing w:before="0"/>
            </w:pPr>
            <w:r w:rsidRPr="5311C3E3">
              <w:rPr>
                <w:rFonts w:cs="Arial"/>
                <w:sz w:val="22"/>
                <w:szCs w:val="22"/>
              </w:rPr>
              <w:t>Initiate monitoring and clinical review</w:t>
            </w:r>
          </w:p>
        </w:tc>
      </w:tr>
    </w:tbl>
    <w:p w14:paraId="2A26AD7A" w14:textId="75CCC9D4" w:rsidR="48EC1FC0" w:rsidRDefault="48EC1FC0" w:rsidP="5311C3E3">
      <w:pPr>
        <w:spacing w:before="240" w:after="240"/>
        <w:rPr>
          <w:rFonts w:cs="Arial"/>
          <w:sz w:val="22"/>
          <w:szCs w:val="22"/>
        </w:rPr>
      </w:pPr>
    </w:p>
    <w:p w14:paraId="57FD68AC" w14:textId="3C690EBD" w:rsidR="48EC1FC0" w:rsidRDefault="64CB15C4" w:rsidP="5311C3E3">
      <w:pPr>
        <w:spacing w:before="240" w:after="240"/>
        <w:rPr>
          <w:rFonts w:cs="Arial"/>
          <w:sz w:val="22"/>
          <w:szCs w:val="22"/>
        </w:rPr>
      </w:pPr>
      <w:r w:rsidRPr="5311C3E3">
        <w:rPr>
          <w:rFonts w:cs="Arial"/>
          <w:sz w:val="22"/>
          <w:szCs w:val="22"/>
        </w:rPr>
        <w:t>Restrictive practices relating to fluid management must comply with the Mental Capacity Act 2005 and relevant Trust policies.</w:t>
      </w:r>
    </w:p>
    <w:p w14:paraId="28E58E0A" w14:textId="05E78622" w:rsidR="48EC1FC0" w:rsidRDefault="48EC1FC0" w:rsidP="5311C3E3">
      <w:pPr>
        <w:rPr>
          <w:rFonts w:cs="Arial"/>
          <w:sz w:val="22"/>
          <w:szCs w:val="22"/>
        </w:rPr>
      </w:pPr>
    </w:p>
    <w:p w14:paraId="7A574B67" w14:textId="77777777" w:rsidR="00011486" w:rsidRDefault="00011486">
      <w:pPr>
        <w:keepNext w:val="0"/>
        <w:keepLines w:val="0"/>
        <w:spacing w:before="0" w:after="160"/>
        <w:contextualSpacing w:val="0"/>
        <w:jc w:val="left"/>
        <w:outlineLvl w:val="9"/>
        <w:rPr>
          <w:rFonts w:asciiTheme="majorHAnsi" w:eastAsiaTheme="majorEastAsia" w:hAnsiTheme="majorHAnsi" w:cstheme="majorBidi"/>
          <w:color w:val="2E74B5" w:themeColor="accent1" w:themeShade="BF"/>
          <w:sz w:val="32"/>
          <w:szCs w:val="32"/>
        </w:rPr>
      </w:pPr>
      <w:bookmarkStart w:id="99" w:name="_Toc224651844"/>
      <w:bookmarkStart w:id="100" w:name="_Toc224652000"/>
      <w:r>
        <w:br w:type="page"/>
      </w:r>
    </w:p>
    <w:p w14:paraId="7AF2C5D4" w14:textId="5D6EAFB3" w:rsidR="48EC1FC0" w:rsidRDefault="616C8F6B" w:rsidP="5311C3E3">
      <w:pPr>
        <w:pStyle w:val="Heading2"/>
        <w:rPr>
          <w:rStyle w:val="Heading3Char"/>
          <w:rFonts w:ascii="Arial" w:eastAsia="Arial" w:hAnsi="Arial" w:cs="Arial"/>
          <w:sz w:val="22"/>
          <w:szCs w:val="22"/>
        </w:rPr>
      </w:pPr>
      <w:bookmarkStart w:id="101" w:name="_Toc227057823"/>
      <w:r w:rsidRPr="5311C3E3">
        <w:lastRenderedPageBreak/>
        <w:t xml:space="preserve">4.4 </w:t>
      </w:r>
      <w:r w:rsidR="64CB15C4" w:rsidRPr="5311C3E3">
        <w:t>Nutrition and Hydration Care Planning and Monitoring</w:t>
      </w:r>
      <w:bookmarkEnd w:id="99"/>
      <w:bookmarkEnd w:id="100"/>
      <w:bookmarkEnd w:id="101"/>
    </w:p>
    <w:p w14:paraId="26BF7C58" w14:textId="14BA5A4F" w:rsidR="48EC1FC0" w:rsidRDefault="64CB15C4" w:rsidP="5311C3E3">
      <w:pPr>
        <w:spacing w:before="240" w:after="240"/>
        <w:rPr>
          <w:rFonts w:cs="Arial"/>
          <w:sz w:val="22"/>
          <w:szCs w:val="22"/>
        </w:rPr>
      </w:pPr>
      <w:r w:rsidRPr="5311C3E3">
        <w:rPr>
          <w:rFonts w:cs="Arial"/>
          <w:sz w:val="22"/>
          <w:szCs w:val="22"/>
        </w:rPr>
        <w:t xml:space="preserve">Where a service user is identified as at medium or high </w:t>
      </w:r>
      <w:r w:rsidR="00CB0588">
        <w:rPr>
          <w:rFonts w:cs="Arial"/>
          <w:sz w:val="22"/>
          <w:szCs w:val="22"/>
        </w:rPr>
        <w:t xml:space="preserve">nutritional </w:t>
      </w:r>
      <w:r w:rsidRPr="5311C3E3">
        <w:rPr>
          <w:rFonts w:cs="Arial"/>
          <w:sz w:val="22"/>
          <w:szCs w:val="22"/>
        </w:rPr>
        <w:t xml:space="preserve">risk </w:t>
      </w:r>
      <w:r w:rsidR="00CB0588">
        <w:rPr>
          <w:rFonts w:cs="Arial"/>
          <w:sz w:val="22"/>
          <w:szCs w:val="22"/>
        </w:rPr>
        <w:t>and/</w:t>
      </w:r>
      <w:r w:rsidRPr="5311C3E3">
        <w:rPr>
          <w:rFonts w:cs="Arial"/>
          <w:sz w:val="22"/>
          <w:szCs w:val="22"/>
        </w:rPr>
        <w:t xml:space="preserve">or dehydration, staff must initiate an individualised nutrition and hydration care plan </w:t>
      </w:r>
      <w:r w:rsidR="00CB0588">
        <w:rPr>
          <w:rFonts w:cs="Arial"/>
          <w:sz w:val="22"/>
          <w:szCs w:val="22"/>
        </w:rPr>
        <w:t>immediately</w:t>
      </w:r>
      <w:r w:rsidRPr="5311C3E3">
        <w:rPr>
          <w:rFonts w:cs="Arial"/>
          <w:sz w:val="22"/>
          <w:szCs w:val="22"/>
        </w:rPr>
        <w:t>.</w:t>
      </w:r>
    </w:p>
    <w:p w14:paraId="28E02C5A" w14:textId="7AA9774D" w:rsidR="48EC1FC0" w:rsidRDefault="48EC1FC0" w:rsidP="5311C3E3">
      <w:pPr>
        <w:spacing w:before="240" w:after="240"/>
        <w:rPr>
          <w:rFonts w:cs="Arial"/>
          <w:sz w:val="22"/>
          <w:szCs w:val="22"/>
        </w:rPr>
      </w:pPr>
    </w:p>
    <w:p w14:paraId="0F4146B3" w14:textId="22202FC9" w:rsidR="48EC1FC0" w:rsidRDefault="64CB15C4" w:rsidP="5311C3E3">
      <w:pPr>
        <w:spacing w:before="240" w:after="240"/>
        <w:rPr>
          <w:rFonts w:cs="Arial"/>
          <w:sz w:val="22"/>
          <w:szCs w:val="22"/>
        </w:rPr>
      </w:pPr>
      <w:r w:rsidRPr="5311C3E3">
        <w:rPr>
          <w:rFonts w:cs="Arial"/>
          <w:sz w:val="22"/>
          <w:szCs w:val="22"/>
        </w:rPr>
        <w:t>Care plans must be documented in the electronic patient record and reviewed regularly.</w:t>
      </w:r>
    </w:p>
    <w:p w14:paraId="4A7ABE90" w14:textId="2C972553" w:rsidR="48EC1FC0" w:rsidRDefault="48EC1FC0" w:rsidP="5311C3E3">
      <w:pPr>
        <w:spacing w:before="240" w:after="240"/>
        <w:rPr>
          <w:rFonts w:cs="Arial"/>
          <w:sz w:val="22"/>
          <w:szCs w:val="22"/>
        </w:rPr>
      </w:pPr>
    </w:p>
    <w:p w14:paraId="37FE6D71" w14:textId="3279AD3A" w:rsidR="48EC1FC0" w:rsidRDefault="64CB15C4" w:rsidP="5311C3E3">
      <w:pPr>
        <w:spacing w:before="240" w:after="240"/>
        <w:rPr>
          <w:rFonts w:cs="Arial"/>
          <w:sz w:val="22"/>
          <w:szCs w:val="22"/>
        </w:rPr>
      </w:pPr>
      <w:r w:rsidRPr="730FCF52">
        <w:rPr>
          <w:rFonts w:cs="Arial"/>
          <w:sz w:val="22"/>
          <w:szCs w:val="22"/>
        </w:rPr>
        <w:t xml:space="preserve">Service users </w:t>
      </w:r>
      <w:r w:rsidR="12846B0B" w:rsidRPr="730FCF52">
        <w:rPr>
          <w:rFonts w:cs="Arial"/>
          <w:sz w:val="22"/>
          <w:szCs w:val="22"/>
        </w:rPr>
        <w:t>must</w:t>
      </w:r>
      <w:r w:rsidRPr="730FCF52">
        <w:rPr>
          <w:rFonts w:cs="Arial"/>
          <w:sz w:val="22"/>
          <w:szCs w:val="22"/>
        </w:rPr>
        <w:t xml:space="preserve"> be involved in care planning wherever possible, with carers or advocates included where appropriate.</w:t>
      </w:r>
    </w:p>
    <w:p w14:paraId="0A07B636" w14:textId="1BF1C7FD" w:rsidR="48EC1FC0" w:rsidRDefault="48EC1FC0" w:rsidP="5311C3E3">
      <w:pPr>
        <w:spacing w:before="240" w:after="240"/>
        <w:rPr>
          <w:rFonts w:cs="Arial"/>
          <w:sz w:val="22"/>
          <w:szCs w:val="22"/>
        </w:rPr>
      </w:pPr>
    </w:p>
    <w:p w14:paraId="797953F3" w14:textId="6F2EE9A1" w:rsidR="48EC1FC0" w:rsidRDefault="64CB15C4" w:rsidP="5311C3E3">
      <w:pPr>
        <w:spacing w:before="240" w:after="240"/>
        <w:rPr>
          <w:rFonts w:cs="Arial"/>
          <w:sz w:val="22"/>
          <w:szCs w:val="22"/>
        </w:rPr>
      </w:pPr>
      <w:r w:rsidRPr="5311C3E3">
        <w:rPr>
          <w:rFonts w:cs="Arial"/>
          <w:sz w:val="22"/>
          <w:szCs w:val="22"/>
        </w:rPr>
        <w:t>Care plans should include:</w:t>
      </w:r>
    </w:p>
    <w:p w14:paraId="638C94E3" w14:textId="36C7A6EA" w:rsidR="48EC1FC0" w:rsidRDefault="3582B7C3" w:rsidP="00825F2C">
      <w:pPr>
        <w:pStyle w:val="ListParagraph"/>
        <w:numPr>
          <w:ilvl w:val="0"/>
          <w:numId w:val="5"/>
        </w:numPr>
        <w:spacing w:before="240" w:after="240"/>
        <w:rPr>
          <w:rFonts w:cs="Arial"/>
          <w:sz w:val="22"/>
          <w:szCs w:val="22"/>
        </w:rPr>
      </w:pPr>
      <w:r w:rsidRPr="5311C3E3">
        <w:rPr>
          <w:rFonts w:cs="Arial"/>
          <w:sz w:val="22"/>
          <w:szCs w:val="22"/>
        </w:rPr>
        <w:t>N</w:t>
      </w:r>
      <w:r w:rsidR="64CB15C4" w:rsidRPr="5311C3E3">
        <w:rPr>
          <w:rFonts w:cs="Arial"/>
          <w:sz w:val="22"/>
          <w:szCs w:val="22"/>
        </w:rPr>
        <w:t>utrition and hydration requirements</w:t>
      </w:r>
    </w:p>
    <w:p w14:paraId="112B413A" w14:textId="354F8D9F" w:rsidR="48EC1FC0" w:rsidRDefault="43B80EAD" w:rsidP="00825F2C">
      <w:pPr>
        <w:pStyle w:val="ListParagraph"/>
        <w:numPr>
          <w:ilvl w:val="0"/>
          <w:numId w:val="5"/>
        </w:numPr>
        <w:spacing w:before="240" w:after="240"/>
        <w:rPr>
          <w:rFonts w:cs="Arial"/>
          <w:sz w:val="22"/>
          <w:szCs w:val="22"/>
        </w:rPr>
      </w:pPr>
      <w:r w:rsidRPr="5311C3E3">
        <w:rPr>
          <w:rFonts w:cs="Arial"/>
          <w:sz w:val="22"/>
          <w:szCs w:val="22"/>
        </w:rPr>
        <w:t>A</w:t>
      </w:r>
      <w:r w:rsidR="64CB15C4" w:rsidRPr="5311C3E3">
        <w:rPr>
          <w:rFonts w:cs="Arial"/>
          <w:sz w:val="22"/>
          <w:szCs w:val="22"/>
        </w:rPr>
        <w:t>ssistance required with eating or drinking</w:t>
      </w:r>
    </w:p>
    <w:p w14:paraId="24C7BD2D" w14:textId="726FA449" w:rsidR="48EC1FC0" w:rsidRDefault="620BD7DA" w:rsidP="00825F2C">
      <w:pPr>
        <w:pStyle w:val="ListParagraph"/>
        <w:numPr>
          <w:ilvl w:val="0"/>
          <w:numId w:val="5"/>
        </w:numPr>
        <w:spacing w:before="240" w:after="240"/>
        <w:rPr>
          <w:rFonts w:cs="Arial"/>
          <w:sz w:val="22"/>
          <w:szCs w:val="22"/>
        </w:rPr>
      </w:pPr>
      <w:r w:rsidRPr="5311C3E3">
        <w:rPr>
          <w:rFonts w:cs="Arial"/>
          <w:sz w:val="22"/>
          <w:szCs w:val="22"/>
        </w:rPr>
        <w:t>F</w:t>
      </w:r>
      <w:r w:rsidR="64CB15C4" w:rsidRPr="5311C3E3">
        <w:rPr>
          <w:rFonts w:cs="Arial"/>
          <w:sz w:val="22"/>
          <w:szCs w:val="22"/>
        </w:rPr>
        <w:t>ood preferences and cultural considerations</w:t>
      </w:r>
    </w:p>
    <w:p w14:paraId="4BCB41E8" w14:textId="72A39205" w:rsidR="48EC1FC0" w:rsidRDefault="100B6182" w:rsidP="00825F2C">
      <w:pPr>
        <w:pStyle w:val="ListParagraph"/>
        <w:numPr>
          <w:ilvl w:val="0"/>
          <w:numId w:val="5"/>
        </w:numPr>
        <w:spacing w:before="240" w:after="240"/>
        <w:rPr>
          <w:rFonts w:cs="Arial"/>
          <w:sz w:val="22"/>
          <w:szCs w:val="22"/>
        </w:rPr>
      </w:pPr>
      <w:r w:rsidRPr="5311C3E3">
        <w:rPr>
          <w:rFonts w:cs="Arial"/>
          <w:sz w:val="22"/>
          <w:szCs w:val="22"/>
        </w:rPr>
        <w:t>F</w:t>
      </w:r>
      <w:r w:rsidR="64CB15C4" w:rsidRPr="5311C3E3">
        <w:rPr>
          <w:rFonts w:cs="Arial"/>
          <w:sz w:val="22"/>
          <w:szCs w:val="22"/>
        </w:rPr>
        <w:t>luid requirements where clinically indicated</w:t>
      </w:r>
    </w:p>
    <w:p w14:paraId="0091A436" w14:textId="58EB54D0" w:rsidR="48EC1FC0" w:rsidRDefault="64CB15C4" w:rsidP="00825F2C">
      <w:pPr>
        <w:pStyle w:val="ListParagraph"/>
        <w:numPr>
          <w:ilvl w:val="0"/>
          <w:numId w:val="5"/>
        </w:numPr>
        <w:spacing w:before="240" w:after="240"/>
        <w:rPr>
          <w:rFonts w:cs="Arial"/>
          <w:sz w:val="22"/>
          <w:szCs w:val="22"/>
        </w:rPr>
      </w:pPr>
      <w:r w:rsidRPr="5311C3E3">
        <w:rPr>
          <w:rFonts w:cs="Arial"/>
          <w:sz w:val="22"/>
          <w:szCs w:val="22"/>
        </w:rPr>
        <w:t>IDDSI level where applicable</w:t>
      </w:r>
    </w:p>
    <w:p w14:paraId="76A8C060" w14:textId="4D63671C" w:rsidR="48EC1FC0" w:rsidRDefault="3A2908F7" w:rsidP="00825F2C">
      <w:pPr>
        <w:pStyle w:val="ListParagraph"/>
        <w:numPr>
          <w:ilvl w:val="0"/>
          <w:numId w:val="5"/>
        </w:numPr>
        <w:spacing w:before="240" w:after="240"/>
        <w:rPr>
          <w:rFonts w:cs="Arial"/>
          <w:sz w:val="22"/>
          <w:szCs w:val="22"/>
        </w:rPr>
      </w:pPr>
      <w:r w:rsidRPr="5311C3E3">
        <w:rPr>
          <w:rFonts w:cs="Arial"/>
          <w:sz w:val="22"/>
          <w:szCs w:val="22"/>
        </w:rPr>
        <w:t>M</w:t>
      </w:r>
      <w:r w:rsidR="64CB15C4" w:rsidRPr="5311C3E3">
        <w:rPr>
          <w:rFonts w:cs="Arial"/>
          <w:sz w:val="22"/>
          <w:szCs w:val="22"/>
        </w:rPr>
        <w:t>onitoring frequency</w:t>
      </w:r>
    </w:p>
    <w:p w14:paraId="0E4CEDBE" w14:textId="760F4073" w:rsidR="48EC1FC0" w:rsidRDefault="03759B94" w:rsidP="00825F2C">
      <w:pPr>
        <w:pStyle w:val="ListParagraph"/>
        <w:numPr>
          <w:ilvl w:val="0"/>
          <w:numId w:val="5"/>
        </w:numPr>
        <w:spacing w:before="240" w:after="240"/>
        <w:rPr>
          <w:rFonts w:cs="Arial"/>
          <w:sz w:val="22"/>
          <w:szCs w:val="22"/>
        </w:rPr>
      </w:pPr>
      <w:r w:rsidRPr="5311C3E3">
        <w:rPr>
          <w:rFonts w:cs="Arial"/>
          <w:sz w:val="22"/>
          <w:szCs w:val="22"/>
        </w:rPr>
        <w:t>E</w:t>
      </w:r>
      <w:r w:rsidR="64CB15C4" w:rsidRPr="5311C3E3">
        <w:rPr>
          <w:rFonts w:cs="Arial"/>
          <w:sz w:val="22"/>
          <w:szCs w:val="22"/>
        </w:rPr>
        <w:t>scalation plan</w:t>
      </w:r>
    </w:p>
    <w:p w14:paraId="42286294" w14:textId="05F9BEF5" w:rsidR="00CB0588" w:rsidRDefault="00CB0588" w:rsidP="00825F2C">
      <w:pPr>
        <w:pStyle w:val="ListParagraph"/>
        <w:numPr>
          <w:ilvl w:val="0"/>
          <w:numId w:val="5"/>
        </w:numPr>
        <w:spacing w:before="240" w:after="240"/>
        <w:rPr>
          <w:rFonts w:cs="Arial"/>
          <w:sz w:val="22"/>
          <w:szCs w:val="22"/>
        </w:rPr>
      </w:pPr>
      <w:r>
        <w:rPr>
          <w:rFonts w:cs="Arial"/>
          <w:sz w:val="22"/>
          <w:szCs w:val="22"/>
        </w:rPr>
        <w:t>Food allergies and intolerances</w:t>
      </w:r>
    </w:p>
    <w:p w14:paraId="7DC6A3DE" w14:textId="7F0AE75E" w:rsidR="48EC1FC0" w:rsidRDefault="00CB0588" w:rsidP="5311C3E3">
      <w:pPr>
        <w:spacing w:before="240" w:after="240"/>
        <w:rPr>
          <w:rFonts w:cs="Arial"/>
          <w:sz w:val="22"/>
          <w:szCs w:val="22"/>
        </w:rPr>
      </w:pPr>
      <w:r>
        <w:rPr>
          <w:rFonts w:cs="Arial"/>
          <w:sz w:val="22"/>
          <w:szCs w:val="22"/>
        </w:rPr>
        <w:t>All service users should be provided with a</w:t>
      </w:r>
      <w:r w:rsidR="64CB15C4" w:rsidRPr="5311C3E3">
        <w:rPr>
          <w:rFonts w:cs="Arial"/>
          <w:sz w:val="22"/>
          <w:szCs w:val="22"/>
        </w:rPr>
        <w:t>ccessible information and first-line advice to support understanding and self-management.</w:t>
      </w:r>
    </w:p>
    <w:p w14:paraId="1F1D47DC" w14:textId="0C6EEC01" w:rsidR="48EC1FC0" w:rsidRDefault="48EC1FC0" w:rsidP="5311C3E3">
      <w:pPr>
        <w:spacing w:before="240" w:after="240"/>
        <w:rPr>
          <w:rFonts w:cs="Arial"/>
          <w:sz w:val="22"/>
          <w:szCs w:val="22"/>
        </w:rPr>
      </w:pPr>
    </w:p>
    <w:p w14:paraId="1A3E894C" w14:textId="7E31A851" w:rsidR="48EC1FC0" w:rsidRDefault="64CB15C4" w:rsidP="5311C3E3">
      <w:pPr>
        <w:spacing w:before="240" w:after="240"/>
        <w:rPr>
          <w:rFonts w:cs="Arial"/>
          <w:sz w:val="22"/>
          <w:szCs w:val="22"/>
        </w:rPr>
      </w:pPr>
      <w:r w:rsidRPr="5311C3E3">
        <w:rPr>
          <w:rFonts w:cs="Arial"/>
          <w:sz w:val="22"/>
          <w:szCs w:val="22"/>
        </w:rPr>
        <w:t>Where risk does not reduce within an appropriate timeframe, or where complexity exceeds local competence, referral to a dietitian or other specialist service must be considered and discussed within the multidisciplinary team.</w:t>
      </w:r>
    </w:p>
    <w:p w14:paraId="1B95BFF4" w14:textId="79F2156A" w:rsidR="48EC1FC0" w:rsidRDefault="48EC1FC0" w:rsidP="5311C3E3">
      <w:pPr>
        <w:spacing w:before="240" w:after="240"/>
        <w:rPr>
          <w:rFonts w:cs="Arial"/>
          <w:sz w:val="22"/>
          <w:szCs w:val="22"/>
        </w:rPr>
      </w:pPr>
    </w:p>
    <w:p w14:paraId="74D8C736" w14:textId="63756DED" w:rsidR="48EC1FC0" w:rsidRDefault="64CB15C4" w:rsidP="5311C3E3">
      <w:pPr>
        <w:spacing w:before="240" w:after="240"/>
        <w:rPr>
          <w:rFonts w:cs="Arial"/>
          <w:sz w:val="22"/>
          <w:szCs w:val="22"/>
        </w:rPr>
      </w:pPr>
      <w:r w:rsidRPr="5311C3E3">
        <w:rPr>
          <w:rFonts w:cs="Arial"/>
          <w:sz w:val="22"/>
          <w:szCs w:val="22"/>
        </w:rPr>
        <w:t>Children and young people with complex physical health needs and high malnutrition risk must be referred to paediatric dietitians in accordance with local protocols.</w:t>
      </w:r>
    </w:p>
    <w:p w14:paraId="75F2B68D" w14:textId="3CA996F3" w:rsidR="48EC1FC0" w:rsidRDefault="48EC1FC0" w:rsidP="5311C3E3">
      <w:pPr>
        <w:rPr>
          <w:rFonts w:cs="Arial"/>
          <w:sz w:val="22"/>
          <w:szCs w:val="22"/>
        </w:rPr>
      </w:pPr>
    </w:p>
    <w:p w14:paraId="1F49254D" w14:textId="55CB6206" w:rsidR="48EC1FC0" w:rsidRDefault="3362E29D" w:rsidP="5311C3E3">
      <w:pPr>
        <w:pStyle w:val="Heading2"/>
        <w:rPr>
          <w:rFonts w:ascii="Arial" w:eastAsia="Arial" w:hAnsi="Arial" w:cs="Arial"/>
          <w:sz w:val="22"/>
          <w:szCs w:val="22"/>
        </w:rPr>
      </w:pPr>
      <w:r w:rsidRPr="5311C3E3">
        <w:t xml:space="preserve"> </w:t>
      </w:r>
      <w:bookmarkStart w:id="102" w:name="_Toc224651845"/>
      <w:bookmarkStart w:id="103" w:name="_Toc224652001"/>
      <w:bookmarkStart w:id="104" w:name="_Toc227057824"/>
      <w:r w:rsidR="7683C367" w:rsidRPr="5311C3E3">
        <w:t xml:space="preserve">4.5 </w:t>
      </w:r>
      <w:r w:rsidR="64CB15C4" w:rsidRPr="5311C3E3">
        <w:t>Monitoring and Escalation</w:t>
      </w:r>
      <w:bookmarkEnd w:id="102"/>
      <w:bookmarkEnd w:id="103"/>
      <w:bookmarkEnd w:id="104"/>
    </w:p>
    <w:p w14:paraId="4CC8F5EF" w14:textId="00355D42" w:rsidR="48EC1FC0" w:rsidRDefault="00E0647B" w:rsidP="5311C3E3">
      <w:pPr>
        <w:spacing w:before="240" w:after="240"/>
        <w:rPr>
          <w:rFonts w:cs="Arial"/>
          <w:sz w:val="22"/>
          <w:szCs w:val="22"/>
        </w:rPr>
      </w:pPr>
      <w:r w:rsidRPr="1D6E3FFF">
        <w:rPr>
          <w:rFonts w:cs="Arial"/>
          <w:sz w:val="22"/>
          <w:szCs w:val="22"/>
        </w:rPr>
        <w:t xml:space="preserve">Escalation must align with the Trust Physical Healthcare Policy and relevant clinical escalation procedures, including the management of the deteriorating patient. </w:t>
      </w:r>
      <w:r w:rsidR="64CB15C4" w:rsidRPr="1D6E3FFF">
        <w:rPr>
          <w:rFonts w:cs="Arial"/>
          <w:sz w:val="22"/>
          <w:szCs w:val="22"/>
        </w:rPr>
        <w:t xml:space="preserve">Where clinically indicated, </w:t>
      </w:r>
      <w:r w:rsidR="00CB0588" w:rsidRPr="1D6E3FFF">
        <w:rPr>
          <w:rFonts w:cs="Arial"/>
          <w:sz w:val="22"/>
          <w:szCs w:val="22"/>
        </w:rPr>
        <w:t xml:space="preserve">staff must initiate food and fluid records and/or </w:t>
      </w:r>
      <w:r w:rsidR="64CB15C4" w:rsidRPr="1D6E3FFF">
        <w:rPr>
          <w:rFonts w:cs="Arial"/>
          <w:sz w:val="22"/>
          <w:szCs w:val="22"/>
        </w:rPr>
        <w:t xml:space="preserve">a 24-hour fluid balance </w:t>
      </w:r>
      <w:r w:rsidR="32A050EE" w:rsidRPr="1D6E3FFF">
        <w:rPr>
          <w:rFonts w:cs="Arial"/>
          <w:sz w:val="22"/>
          <w:szCs w:val="22"/>
        </w:rPr>
        <w:t>chart.</w:t>
      </w:r>
      <w:r w:rsidR="00CB0588" w:rsidRPr="1D6E3FFF">
        <w:rPr>
          <w:rFonts w:cs="Arial"/>
          <w:sz w:val="22"/>
          <w:szCs w:val="22"/>
        </w:rPr>
        <w:t xml:space="preserve"> Templates and staff resources are available on the ELFT Nutrition and Dietetics Intranet page.</w:t>
      </w:r>
    </w:p>
    <w:p w14:paraId="0CBDFC20" w14:textId="25F93EE1" w:rsidR="48EC1FC0" w:rsidRDefault="48EC1FC0" w:rsidP="5311C3E3">
      <w:pPr>
        <w:spacing w:before="240" w:after="240"/>
        <w:rPr>
          <w:rFonts w:cs="Arial"/>
          <w:sz w:val="22"/>
          <w:szCs w:val="22"/>
        </w:rPr>
      </w:pPr>
    </w:p>
    <w:p w14:paraId="1D2E93E3" w14:textId="666CD4E9" w:rsidR="48EC1FC0" w:rsidRDefault="64CB15C4" w:rsidP="5311C3E3">
      <w:pPr>
        <w:rPr>
          <w:rFonts w:cs="Arial"/>
          <w:sz w:val="22"/>
          <w:szCs w:val="22"/>
        </w:rPr>
      </w:pPr>
      <w:r w:rsidRPr="5311C3E3">
        <w:rPr>
          <w:sz w:val="22"/>
          <w:szCs w:val="22"/>
        </w:rPr>
        <w:t>Table 3</w:t>
      </w:r>
      <w:r w:rsidR="5DA4C4A4" w:rsidRPr="5311C3E3">
        <w:rPr>
          <w:sz w:val="22"/>
          <w:szCs w:val="22"/>
        </w:rPr>
        <w:t xml:space="preserve">. </w:t>
      </w:r>
      <w:r w:rsidRPr="5311C3E3">
        <w:rPr>
          <w:sz w:val="22"/>
          <w:szCs w:val="22"/>
        </w:rPr>
        <w:t xml:space="preserve">Indications for </w:t>
      </w:r>
      <w:r w:rsidR="00CB0588">
        <w:rPr>
          <w:sz w:val="22"/>
          <w:szCs w:val="22"/>
        </w:rPr>
        <w:t>Food and Fluid</w:t>
      </w:r>
      <w:r w:rsidRPr="5311C3E3">
        <w:rPr>
          <w:sz w:val="22"/>
          <w:szCs w:val="22"/>
        </w:rPr>
        <w:t xml:space="preserve"> Monitoring</w:t>
      </w:r>
    </w:p>
    <w:tbl>
      <w:tblPr>
        <w:tblW w:w="0" w:type="auto"/>
        <w:tblLook w:val="06A0" w:firstRow="1" w:lastRow="0" w:firstColumn="1" w:lastColumn="0" w:noHBand="1" w:noVBand="1"/>
      </w:tblPr>
      <w:tblGrid>
        <w:gridCol w:w="2684"/>
        <w:gridCol w:w="3827"/>
        <w:gridCol w:w="2829"/>
      </w:tblGrid>
      <w:tr w:rsidR="5311C3E3" w14:paraId="3109E2AB" w14:textId="77777777" w:rsidTr="00825F2C">
        <w:trPr>
          <w:trHeight w:val="300"/>
        </w:trPr>
        <w:tc>
          <w:tcPr>
            <w:tcW w:w="26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430DB7B" w14:textId="665E5B91" w:rsidR="5311C3E3" w:rsidRDefault="5311C3E3" w:rsidP="5311C3E3">
            <w:pPr>
              <w:spacing w:before="0"/>
              <w:jc w:val="center"/>
            </w:pPr>
            <w:r w:rsidRPr="5311C3E3">
              <w:rPr>
                <w:rFonts w:cs="Arial"/>
                <w:b/>
                <w:bCs/>
                <w:sz w:val="22"/>
                <w:szCs w:val="22"/>
              </w:rPr>
              <w:t>Clinical Indicator</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A121DC7" w14:textId="5DCAED84" w:rsidR="5311C3E3" w:rsidRDefault="5311C3E3" w:rsidP="5311C3E3">
            <w:pPr>
              <w:spacing w:before="0"/>
              <w:jc w:val="center"/>
            </w:pPr>
            <w:r w:rsidRPr="5311C3E3">
              <w:rPr>
                <w:rFonts w:cs="Arial"/>
                <w:b/>
                <w:bCs/>
                <w:sz w:val="22"/>
                <w:szCs w:val="22"/>
              </w:rPr>
              <w:t>Required Action</w:t>
            </w:r>
          </w:p>
        </w:tc>
        <w:tc>
          <w:tcPr>
            <w:tcW w:w="28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8426B10" w14:textId="1F85D3E2" w:rsidR="5311C3E3" w:rsidRDefault="5311C3E3" w:rsidP="5311C3E3">
            <w:pPr>
              <w:spacing w:before="0"/>
              <w:jc w:val="center"/>
            </w:pPr>
            <w:r w:rsidRPr="5311C3E3">
              <w:rPr>
                <w:rFonts w:cs="Arial"/>
                <w:b/>
                <w:bCs/>
                <w:sz w:val="22"/>
                <w:szCs w:val="22"/>
              </w:rPr>
              <w:t>Escalation</w:t>
            </w:r>
          </w:p>
        </w:tc>
      </w:tr>
      <w:tr w:rsidR="5311C3E3" w14:paraId="362E39AA" w14:textId="77777777" w:rsidTr="00825F2C">
        <w:trPr>
          <w:trHeight w:val="300"/>
        </w:trPr>
        <w:tc>
          <w:tcPr>
            <w:tcW w:w="26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F6027A2" w14:textId="1B982E80" w:rsidR="5311C3E3" w:rsidRDefault="5311C3E3" w:rsidP="5311C3E3">
            <w:pPr>
              <w:spacing w:before="0"/>
            </w:pPr>
            <w:r w:rsidRPr="5311C3E3">
              <w:rPr>
                <w:rFonts w:cs="Arial"/>
                <w:sz w:val="22"/>
                <w:szCs w:val="22"/>
              </w:rPr>
              <w:t>Poor oral intake</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FC29B7" w14:textId="06B70B2C" w:rsidR="5311C3E3" w:rsidRDefault="5311C3E3" w:rsidP="5311C3E3">
            <w:pPr>
              <w:spacing w:before="0"/>
            </w:pPr>
            <w:r w:rsidRPr="5311C3E3">
              <w:rPr>
                <w:rFonts w:cs="Arial"/>
                <w:sz w:val="22"/>
                <w:szCs w:val="22"/>
              </w:rPr>
              <w:t>Initiate food and fluid record</w:t>
            </w:r>
          </w:p>
        </w:tc>
        <w:tc>
          <w:tcPr>
            <w:tcW w:w="28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6C0D35F" w14:textId="72336E4B" w:rsidR="5311C3E3" w:rsidRDefault="5311C3E3" w:rsidP="5311C3E3">
            <w:pPr>
              <w:spacing w:before="0"/>
            </w:pPr>
            <w:r w:rsidRPr="5311C3E3">
              <w:rPr>
                <w:rFonts w:cs="Arial"/>
                <w:sz w:val="22"/>
                <w:szCs w:val="22"/>
              </w:rPr>
              <w:t>Inform nurse in charge</w:t>
            </w:r>
          </w:p>
        </w:tc>
      </w:tr>
      <w:tr w:rsidR="00BF331E" w14:paraId="6869014A" w14:textId="77777777" w:rsidTr="00094E32">
        <w:trPr>
          <w:trHeight w:val="300"/>
        </w:trPr>
        <w:tc>
          <w:tcPr>
            <w:tcW w:w="26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59A1D55" w14:textId="5173F6B2" w:rsidR="00BF331E" w:rsidRDefault="00BF331E" w:rsidP="5311C3E3">
            <w:pPr>
              <w:spacing w:before="0"/>
            </w:pPr>
            <w:r w:rsidRPr="5311C3E3">
              <w:rPr>
                <w:rFonts w:cs="Arial"/>
                <w:sz w:val="22"/>
                <w:szCs w:val="22"/>
              </w:rPr>
              <w:t>Suspected dehydration</w:t>
            </w:r>
          </w:p>
        </w:tc>
        <w:tc>
          <w:tcPr>
            <w:tcW w:w="3827"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tcMar>
              <w:left w:w="108" w:type="dxa"/>
              <w:right w:w="108" w:type="dxa"/>
            </w:tcMar>
          </w:tcPr>
          <w:p w14:paraId="78970631" w14:textId="77777777" w:rsidR="00BF331E" w:rsidRDefault="00BF331E" w:rsidP="5311C3E3">
            <w:pPr>
              <w:spacing w:before="0"/>
            </w:pPr>
            <w:r w:rsidRPr="5311C3E3">
              <w:rPr>
                <w:rFonts w:cs="Arial"/>
                <w:sz w:val="22"/>
                <w:szCs w:val="22"/>
              </w:rPr>
              <w:t>Initiate 24hr fluid balance monitoring</w:t>
            </w:r>
          </w:p>
          <w:p w14:paraId="5A511EB7" w14:textId="11DD1E82" w:rsidR="00BF331E" w:rsidRDefault="00BF331E" w:rsidP="5311C3E3">
            <w:pPr>
              <w:spacing w:before="0"/>
            </w:pPr>
          </w:p>
        </w:tc>
        <w:tc>
          <w:tcPr>
            <w:tcW w:w="28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46B5512" w14:textId="7FFA3494" w:rsidR="00BF331E" w:rsidRDefault="00BF331E" w:rsidP="5311C3E3">
            <w:pPr>
              <w:spacing w:before="0"/>
            </w:pPr>
            <w:r w:rsidRPr="5311C3E3">
              <w:rPr>
                <w:rFonts w:cs="Arial"/>
                <w:sz w:val="22"/>
                <w:szCs w:val="22"/>
              </w:rPr>
              <w:t>Medical review if persistent</w:t>
            </w:r>
          </w:p>
        </w:tc>
      </w:tr>
      <w:tr w:rsidR="00BF331E" w14:paraId="223D3F60" w14:textId="77777777" w:rsidTr="00094E32">
        <w:trPr>
          <w:trHeight w:val="300"/>
        </w:trPr>
        <w:tc>
          <w:tcPr>
            <w:tcW w:w="26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14FABF6" w14:textId="76CECD1B" w:rsidR="00BF331E" w:rsidRDefault="00BF331E" w:rsidP="5311C3E3">
            <w:pPr>
              <w:spacing w:before="0"/>
            </w:pPr>
            <w:r w:rsidRPr="5311C3E3">
              <w:rPr>
                <w:rFonts w:cs="Arial"/>
                <w:sz w:val="22"/>
                <w:szCs w:val="22"/>
              </w:rPr>
              <w:t>Fluid restriction</w:t>
            </w:r>
          </w:p>
        </w:tc>
        <w:tc>
          <w:tcPr>
            <w:tcW w:w="3827" w:type="dxa"/>
            <w:vMerge/>
            <w:tcBorders>
              <w:left w:val="single" w:sz="8" w:space="0" w:color="BFBFBF" w:themeColor="background1" w:themeShade="BF"/>
              <w:right w:val="single" w:sz="8" w:space="0" w:color="BFBFBF" w:themeColor="background1" w:themeShade="BF"/>
            </w:tcBorders>
            <w:tcMar>
              <w:left w:w="108" w:type="dxa"/>
              <w:right w:w="108" w:type="dxa"/>
            </w:tcMar>
          </w:tcPr>
          <w:p w14:paraId="3517386A" w14:textId="74B90238" w:rsidR="00BF331E" w:rsidRDefault="00BF331E" w:rsidP="5311C3E3">
            <w:pPr>
              <w:spacing w:before="0"/>
            </w:pPr>
          </w:p>
        </w:tc>
        <w:tc>
          <w:tcPr>
            <w:tcW w:w="28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8230CE6" w14:textId="28860425" w:rsidR="00BF331E" w:rsidRDefault="00BF331E" w:rsidP="5311C3E3">
            <w:pPr>
              <w:spacing w:before="0"/>
            </w:pPr>
            <w:r w:rsidRPr="5311C3E3">
              <w:rPr>
                <w:rFonts w:cs="Arial"/>
                <w:sz w:val="22"/>
                <w:szCs w:val="22"/>
              </w:rPr>
              <w:t>MDT oversight</w:t>
            </w:r>
          </w:p>
        </w:tc>
      </w:tr>
      <w:tr w:rsidR="00BF331E" w14:paraId="569B0F35" w14:textId="77777777" w:rsidTr="00094E32">
        <w:trPr>
          <w:trHeight w:val="300"/>
        </w:trPr>
        <w:tc>
          <w:tcPr>
            <w:tcW w:w="26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A06035C" w14:textId="0C047563" w:rsidR="00BF331E" w:rsidRDefault="00BF331E" w:rsidP="5311C3E3">
            <w:pPr>
              <w:spacing w:before="0"/>
            </w:pPr>
            <w:r w:rsidRPr="5311C3E3">
              <w:rPr>
                <w:rFonts w:cs="Arial"/>
                <w:sz w:val="22"/>
                <w:szCs w:val="22"/>
              </w:rPr>
              <w:t>Risk of water intoxication</w:t>
            </w:r>
          </w:p>
        </w:tc>
        <w:tc>
          <w:tcPr>
            <w:tcW w:w="3827"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4866980" w14:textId="5C7DEE0B" w:rsidR="00BF331E" w:rsidRDefault="00BF331E" w:rsidP="5311C3E3">
            <w:pPr>
              <w:spacing w:before="0"/>
            </w:pPr>
          </w:p>
        </w:tc>
        <w:tc>
          <w:tcPr>
            <w:tcW w:w="28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7C32864" w14:textId="3DC62A39" w:rsidR="00BF331E" w:rsidRDefault="00BF331E" w:rsidP="5311C3E3">
            <w:pPr>
              <w:spacing w:before="0"/>
            </w:pPr>
            <w:r w:rsidRPr="5311C3E3">
              <w:rPr>
                <w:rFonts w:cs="Arial"/>
                <w:sz w:val="22"/>
                <w:szCs w:val="22"/>
              </w:rPr>
              <w:t>Urgent medical review</w:t>
            </w:r>
          </w:p>
        </w:tc>
      </w:tr>
      <w:tr w:rsidR="5311C3E3" w14:paraId="3EB2BE85" w14:textId="77777777" w:rsidTr="00825F2C">
        <w:trPr>
          <w:trHeight w:val="300"/>
        </w:trPr>
        <w:tc>
          <w:tcPr>
            <w:tcW w:w="26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2BBB780" w14:textId="2423DA2E" w:rsidR="5311C3E3" w:rsidRDefault="5311C3E3" w:rsidP="5311C3E3">
            <w:pPr>
              <w:spacing w:before="0"/>
            </w:pPr>
            <w:r w:rsidRPr="5311C3E3">
              <w:rPr>
                <w:rFonts w:cs="Arial"/>
                <w:sz w:val="22"/>
                <w:szCs w:val="22"/>
              </w:rPr>
              <w:t>Enteral feeding</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C75CE8F" w14:textId="4296D813" w:rsidR="5311C3E3" w:rsidRDefault="5311C3E3" w:rsidP="5311C3E3">
            <w:pPr>
              <w:spacing w:before="0"/>
            </w:pPr>
            <w:r w:rsidRPr="5311C3E3">
              <w:rPr>
                <w:rFonts w:cs="Arial"/>
                <w:sz w:val="22"/>
                <w:szCs w:val="22"/>
              </w:rPr>
              <w:t>Record intake as advised</w:t>
            </w:r>
          </w:p>
        </w:tc>
        <w:tc>
          <w:tcPr>
            <w:tcW w:w="28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7883F4" w14:textId="0D671A58" w:rsidR="5311C3E3" w:rsidRDefault="5311C3E3" w:rsidP="5311C3E3">
            <w:pPr>
              <w:spacing w:before="0"/>
            </w:pPr>
            <w:r w:rsidRPr="5311C3E3">
              <w:rPr>
                <w:rFonts w:cs="Arial"/>
                <w:sz w:val="22"/>
                <w:szCs w:val="22"/>
              </w:rPr>
              <w:t xml:space="preserve">Dietetic review </w:t>
            </w:r>
          </w:p>
        </w:tc>
      </w:tr>
    </w:tbl>
    <w:p w14:paraId="437B53BB" w14:textId="6EFDC4A3" w:rsidR="48EC1FC0" w:rsidRDefault="00BF331E" w:rsidP="5311C3E3">
      <w:pPr>
        <w:spacing w:before="240" w:after="240"/>
        <w:rPr>
          <w:rFonts w:cs="Arial"/>
          <w:sz w:val="22"/>
          <w:szCs w:val="22"/>
        </w:rPr>
      </w:pPr>
      <w:r>
        <w:rPr>
          <w:rFonts w:cs="Arial"/>
          <w:sz w:val="22"/>
          <w:szCs w:val="22"/>
        </w:rPr>
        <w:lastRenderedPageBreak/>
        <w:t xml:space="preserve">24hr </w:t>
      </w:r>
      <w:r w:rsidR="64CB15C4" w:rsidRPr="5311C3E3">
        <w:rPr>
          <w:rFonts w:cs="Arial"/>
          <w:sz w:val="22"/>
          <w:szCs w:val="22"/>
        </w:rPr>
        <w:t xml:space="preserve">Fluid </w:t>
      </w:r>
      <w:r>
        <w:rPr>
          <w:rFonts w:cs="Arial"/>
          <w:sz w:val="22"/>
          <w:szCs w:val="22"/>
        </w:rPr>
        <w:t xml:space="preserve">balance </w:t>
      </w:r>
      <w:r w:rsidR="64CB15C4" w:rsidRPr="5311C3E3">
        <w:rPr>
          <w:rFonts w:cs="Arial"/>
          <w:sz w:val="22"/>
          <w:szCs w:val="22"/>
        </w:rPr>
        <w:t>charts must:</w:t>
      </w:r>
    </w:p>
    <w:p w14:paraId="1C6624B0" w14:textId="133B3E17" w:rsidR="48EC1FC0" w:rsidRDefault="5780501E" w:rsidP="00825F2C">
      <w:pPr>
        <w:pStyle w:val="ListParagraph"/>
        <w:numPr>
          <w:ilvl w:val="0"/>
          <w:numId w:val="4"/>
        </w:numPr>
        <w:spacing w:before="240" w:after="240"/>
        <w:rPr>
          <w:rFonts w:cs="Arial"/>
          <w:sz w:val="22"/>
          <w:szCs w:val="22"/>
        </w:rPr>
      </w:pPr>
      <w:r w:rsidRPr="5311C3E3">
        <w:rPr>
          <w:rFonts w:cs="Arial"/>
          <w:sz w:val="22"/>
          <w:szCs w:val="22"/>
        </w:rPr>
        <w:t>B</w:t>
      </w:r>
      <w:r w:rsidR="64CB15C4" w:rsidRPr="5311C3E3">
        <w:rPr>
          <w:rFonts w:cs="Arial"/>
          <w:sz w:val="22"/>
          <w:szCs w:val="22"/>
        </w:rPr>
        <w:t>e totalled every 24 hours</w:t>
      </w:r>
    </w:p>
    <w:p w14:paraId="2AAF726C" w14:textId="7301C394" w:rsidR="48EC1FC0" w:rsidRDefault="26F720DF" w:rsidP="00825F2C">
      <w:pPr>
        <w:pStyle w:val="ListParagraph"/>
        <w:numPr>
          <w:ilvl w:val="0"/>
          <w:numId w:val="4"/>
        </w:numPr>
        <w:spacing w:before="240" w:after="240"/>
        <w:rPr>
          <w:rFonts w:cs="Arial"/>
          <w:sz w:val="22"/>
          <w:szCs w:val="22"/>
        </w:rPr>
      </w:pPr>
      <w:r w:rsidRPr="5311C3E3">
        <w:rPr>
          <w:rFonts w:cs="Arial"/>
          <w:sz w:val="22"/>
          <w:szCs w:val="22"/>
        </w:rPr>
        <w:t>B</w:t>
      </w:r>
      <w:r w:rsidR="64CB15C4" w:rsidRPr="5311C3E3">
        <w:rPr>
          <w:rFonts w:cs="Arial"/>
          <w:sz w:val="22"/>
          <w:szCs w:val="22"/>
        </w:rPr>
        <w:t>e reviewed daily in inpatient settings</w:t>
      </w:r>
    </w:p>
    <w:p w14:paraId="2FC5E06A" w14:textId="73315B7F" w:rsidR="48EC1FC0" w:rsidRDefault="09F6663B" w:rsidP="00825F2C">
      <w:pPr>
        <w:pStyle w:val="ListParagraph"/>
        <w:numPr>
          <w:ilvl w:val="0"/>
          <w:numId w:val="4"/>
        </w:numPr>
        <w:spacing w:before="240" w:after="240"/>
        <w:rPr>
          <w:rFonts w:cs="Arial"/>
          <w:sz w:val="22"/>
          <w:szCs w:val="22"/>
        </w:rPr>
      </w:pPr>
      <w:r w:rsidRPr="5311C3E3">
        <w:rPr>
          <w:rFonts w:cs="Arial"/>
          <w:sz w:val="22"/>
          <w:szCs w:val="22"/>
        </w:rPr>
        <w:t>B</w:t>
      </w:r>
      <w:r w:rsidR="64CB15C4" w:rsidRPr="5311C3E3">
        <w:rPr>
          <w:rFonts w:cs="Arial"/>
          <w:sz w:val="22"/>
          <w:szCs w:val="22"/>
        </w:rPr>
        <w:t>e documented electronically where possible</w:t>
      </w:r>
    </w:p>
    <w:p w14:paraId="6DE09550" w14:textId="2DD98535" w:rsidR="48EC1FC0" w:rsidRDefault="00FD1109" w:rsidP="5311C3E3">
      <w:pPr>
        <w:spacing w:before="240" w:after="240"/>
        <w:rPr>
          <w:rFonts w:cs="Arial"/>
          <w:sz w:val="22"/>
          <w:szCs w:val="22"/>
        </w:rPr>
      </w:pPr>
      <w:r w:rsidRPr="00FD1109">
        <w:rPr>
          <w:rFonts w:cs="Arial"/>
          <w:sz w:val="22"/>
          <w:szCs w:val="22"/>
        </w:rPr>
        <w:t>Abnormal findings on food and fluid records, fluid balance monitoring or changes in bowel function (including constipation) must trigger clinical review and escalation through the multidisciplinary team.</w:t>
      </w:r>
      <w:r>
        <w:rPr>
          <w:rFonts w:cs="Arial"/>
          <w:sz w:val="22"/>
          <w:szCs w:val="22"/>
        </w:rPr>
        <w:t xml:space="preserve"> </w:t>
      </w:r>
      <w:r w:rsidR="64CB15C4" w:rsidRPr="5311C3E3">
        <w:rPr>
          <w:rFonts w:cs="Arial"/>
          <w:sz w:val="22"/>
          <w:szCs w:val="22"/>
        </w:rPr>
        <w:t>In inpatient services, nutrition and hydration care plans must be reviewed at least weekly</w:t>
      </w:r>
      <w:r w:rsidR="00BF331E">
        <w:rPr>
          <w:rFonts w:cs="Arial"/>
          <w:sz w:val="22"/>
          <w:szCs w:val="22"/>
        </w:rPr>
        <w:t xml:space="preserve"> or as advised</w:t>
      </w:r>
      <w:r w:rsidR="64CB15C4" w:rsidRPr="5311C3E3">
        <w:rPr>
          <w:rFonts w:cs="Arial"/>
          <w:sz w:val="22"/>
          <w:szCs w:val="22"/>
        </w:rPr>
        <w:t>.</w:t>
      </w:r>
      <w:r w:rsidR="31B28C3E" w:rsidRPr="5311C3E3">
        <w:rPr>
          <w:rFonts w:cs="Arial"/>
          <w:sz w:val="22"/>
          <w:szCs w:val="22"/>
        </w:rPr>
        <w:t xml:space="preserve"> </w:t>
      </w:r>
      <w:r w:rsidR="64CB15C4" w:rsidRPr="5311C3E3">
        <w:rPr>
          <w:rFonts w:cs="Arial"/>
          <w:sz w:val="22"/>
          <w:szCs w:val="22"/>
        </w:rPr>
        <w:t>In community services, review should occur at routine clinical review or when concerns arise.</w:t>
      </w:r>
    </w:p>
    <w:p w14:paraId="5C3DAFC1" w14:textId="483559A0" w:rsidR="48EC1FC0" w:rsidRDefault="48EC1FC0" w:rsidP="5311C3E3">
      <w:pPr>
        <w:rPr>
          <w:rFonts w:cs="Arial"/>
          <w:sz w:val="22"/>
          <w:szCs w:val="22"/>
        </w:rPr>
      </w:pPr>
    </w:p>
    <w:p w14:paraId="11CAC866" w14:textId="7D414676" w:rsidR="48EC1FC0" w:rsidRDefault="379F42BD" w:rsidP="5311C3E3">
      <w:pPr>
        <w:pStyle w:val="Heading2"/>
        <w:rPr>
          <w:rFonts w:ascii="Arial" w:eastAsia="Arial" w:hAnsi="Arial" w:cs="Arial"/>
          <w:sz w:val="22"/>
          <w:szCs w:val="22"/>
        </w:rPr>
      </w:pPr>
      <w:bookmarkStart w:id="105" w:name="_Toc224651846"/>
      <w:bookmarkStart w:id="106" w:name="_Toc224652002"/>
      <w:bookmarkStart w:id="107" w:name="_Toc227057825"/>
      <w:r w:rsidRPr="5311C3E3">
        <w:t xml:space="preserve">4.6 </w:t>
      </w:r>
      <w:r w:rsidR="64CB15C4" w:rsidRPr="5311C3E3">
        <w:t>Hydration Standards for Inpatient Services</w:t>
      </w:r>
      <w:bookmarkEnd w:id="105"/>
      <w:bookmarkEnd w:id="106"/>
      <w:bookmarkEnd w:id="107"/>
    </w:p>
    <w:p w14:paraId="6C60550F" w14:textId="47FF9B43" w:rsidR="48EC1FC0" w:rsidRDefault="64CB15C4" w:rsidP="5311C3E3">
      <w:pPr>
        <w:spacing w:before="240" w:after="240"/>
        <w:rPr>
          <w:rFonts w:cs="Arial"/>
          <w:sz w:val="22"/>
          <w:szCs w:val="22"/>
        </w:rPr>
      </w:pPr>
      <w:r w:rsidRPr="5311C3E3">
        <w:rPr>
          <w:rFonts w:cs="Arial"/>
          <w:sz w:val="22"/>
          <w:szCs w:val="22"/>
        </w:rPr>
        <w:t>Inpatients must have access to fluids in accordance with the NHS England National Standards for Healthcare Food and Drink, the BDA Nutrition and Hydration Digest and PLACE standards (NHS England, 2022; BDA, 2023).</w:t>
      </w:r>
    </w:p>
    <w:p w14:paraId="4C8FFEF3" w14:textId="0239D3D9" w:rsidR="48EC1FC0" w:rsidRDefault="48EC1FC0" w:rsidP="5311C3E3">
      <w:pPr>
        <w:spacing w:before="240" w:after="240"/>
        <w:rPr>
          <w:rFonts w:cs="Arial"/>
          <w:sz w:val="22"/>
          <w:szCs w:val="22"/>
        </w:rPr>
      </w:pPr>
    </w:p>
    <w:p w14:paraId="061C1DF1" w14:textId="28C24287" w:rsidR="48EC1FC0" w:rsidRDefault="64CB15C4" w:rsidP="5311C3E3">
      <w:pPr>
        <w:rPr>
          <w:rFonts w:cs="Arial"/>
          <w:sz w:val="22"/>
          <w:szCs w:val="22"/>
        </w:rPr>
      </w:pPr>
      <w:r w:rsidRPr="5311C3E3">
        <w:rPr>
          <w:sz w:val="22"/>
          <w:szCs w:val="22"/>
        </w:rPr>
        <w:t>Table 4</w:t>
      </w:r>
      <w:r w:rsidR="158F021C" w:rsidRPr="5311C3E3">
        <w:rPr>
          <w:sz w:val="22"/>
          <w:szCs w:val="22"/>
        </w:rPr>
        <w:t xml:space="preserve">. </w:t>
      </w:r>
      <w:r w:rsidRPr="5311C3E3">
        <w:rPr>
          <w:sz w:val="22"/>
          <w:szCs w:val="22"/>
        </w:rPr>
        <w:t>Inpatient Hydration Standards</w:t>
      </w:r>
    </w:p>
    <w:tbl>
      <w:tblPr>
        <w:tblW w:w="0" w:type="auto"/>
        <w:tblLook w:val="06A0" w:firstRow="1" w:lastRow="0" w:firstColumn="1" w:lastColumn="0" w:noHBand="1" w:noVBand="1"/>
      </w:tblPr>
      <w:tblGrid>
        <w:gridCol w:w="2767"/>
        <w:gridCol w:w="6573"/>
      </w:tblGrid>
      <w:tr w:rsidR="5311C3E3" w14:paraId="5BC11E5D" w14:textId="77777777" w:rsidTr="5311C3E3">
        <w:trPr>
          <w:trHeight w:val="300"/>
        </w:trPr>
        <w:tc>
          <w:tcPr>
            <w:tcW w:w="27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51D7259" w14:textId="69E5BC60" w:rsidR="5311C3E3" w:rsidRDefault="5311C3E3" w:rsidP="5311C3E3">
            <w:pPr>
              <w:spacing w:before="0"/>
              <w:jc w:val="center"/>
            </w:pPr>
            <w:r w:rsidRPr="5311C3E3">
              <w:rPr>
                <w:rFonts w:cs="Arial"/>
                <w:b/>
                <w:bCs/>
                <w:sz w:val="22"/>
                <w:szCs w:val="22"/>
              </w:rPr>
              <w:t>Standard</w:t>
            </w:r>
          </w:p>
        </w:tc>
        <w:tc>
          <w:tcPr>
            <w:tcW w:w="65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EC18300" w14:textId="1405A45E" w:rsidR="5311C3E3" w:rsidRDefault="5311C3E3" w:rsidP="5311C3E3">
            <w:pPr>
              <w:spacing w:before="0"/>
              <w:jc w:val="center"/>
            </w:pPr>
            <w:r w:rsidRPr="5311C3E3">
              <w:rPr>
                <w:rFonts w:cs="Arial"/>
                <w:b/>
                <w:bCs/>
                <w:sz w:val="22"/>
                <w:szCs w:val="22"/>
              </w:rPr>
              <w:t>Requirement</w:t>
            </w:r>
          </w:p>
        </w:tc>
      </w:tr>
      <w:tr w:rsidR="5311C3E3" w14:paraId="099F1B19" w14:textId="77777777" w:rsidTr="5311C3E3">
        <w:trPr>
          <w:trHeight w:val="300"/>
        </w:trPr>
        <w:tc>
          <w:tcPr>
            <w:tcW w:w="27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B4ADB0E" w14:textId="1A2C749E" w:rsidR="5311C3E3" w:rsidRDefault="5311C3E3" w:rsidP="5311C3E3">
            <w:pPr>
              <w:spacing w:before="0"/>
            </w:pPr>
            <w:r w:rsidRPr="5311C3E3">
              <w:rPr>
                <w:rFonts w:cs="Arial"/>
                <w:sz w:val="22"/>
                <w:szCs w:val="22"/>
              </w:rPr>
              <w:t>Access to water</w:t>
            </w:r>
          </w:p>
        </w:tc>
        <w:tc>
          <w:tcPr>
            <w:tcW w:w="65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C2B4544" w14:textId="75A8129A" w:rsidR="5311C3E3" w:rsidRDefault="5311C3E3" w:rsidP="5311C3E3">
            <w:pPr>
              <w:spacing w:before="0"/>
            </w:pPr>
            <w:r w:rsidRPr="5311C3E3">
              <w:rPr>
                <w:rFonts w:cs="Arial"/>
                <w:sz w:val="22"/>
                <w:szCs w:val="22"/>
              </w:rPr>
              <w:t>Available at all times</w:t>
            </w:r>
          </w:p>
        </w:tc>
      </w:tr>
      <w:tr w:rsidR="5311C3E3" w14:paraId="640BEB6B" w14:textId="77777777" w:rsidTr="5311C3E3">
        <w:trPr>
          <w:trHeight w:val="300"/>
        </w:trPr>
        <w:tc>
          <w:tcPr>
            <w:tcW w:w="27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4F8FE38" w14:textId="25B67CF1" w:rsidR="5311C3E3" w:rsidRDefault="5311C3E3" w:rsidP="5311C3E3">
            <w:pPr>
              <w:spacing w:before="0"/>
            </w:pPr>
            <w:r w:rsidRPr="5311C3E3">
              <w:rPr>
                <w:rFonts w:cs="Arial"/>
                <w:sz w:val="22"/>
                <w:szCs w:val="22"/>
              </w:rPr>
              <w:t>Drink provision</w:t>
            </w:r>
          </w:p>
        </w:tc>
        <w:tc>
          <w:tcPr>
            <w:tcW w:w="65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51E17FC" w14:textId="48417981" w:rsidR="5311C3E3" w:rsidRDefault="5311C3E3" w:rsidP="5311C3E3">
            <w:pPr>
              <w:spacing w:before="0"/>
            </w:pPr>
            <w:r w:rsidRPr="5311C3E3">
              <w:rPr>
                <w:rFonts w:cs="Arial"/>
                <w:sz w:val="22"/>
                <w:szCs w:val="22"/>
              </w:rPr>
              <w:t>Drinks offered regularly throughout the day and evening</w:t>
            </w:r>
          </w:p>
        </w:tc>
      </w:tr>
      <w:tr w:rsidR="5311C3E3" w14:paraId="00413EA5" w14:textId="77777777" w:rsidTr="5311C3E3">
        <w:trPr>
          <w:trHeight w:val="300"/>
        </w:trPr>
        <w:tc>
          <w:tcPr>
            <w:tcW w:w="27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A619920" w14:textId="0C7C335F" w:rsidR="5311C3E3" w:rsidRDefault="5311C3E3" w:rsidP="5311C3E3">
            <w:pPr>
              <w:spacing w:before="0"/>
            </w:pPr>
            <w:r w:rsidRPr="5311C3E3">
              <w:rPr>
                <w:rFonts w:cs="Arial"/>
                <w:sz w:val="22"/>
                <w:szCs w:val="22"/>
              </w:rPr>
              <w:t>Decaffeinated options</w:t>
            </w:r>
          </w:p>
        </w:tc>
        <w:tc>
          <w:tcPr>
            <w:tcW w:w="65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35246C" w14:textId="1BAB2B99" w:rsidR="5311C3E3" w:rsidRDefault="5311C3E3" w:rsidP="5311C3E3">
            <w:pPr>
              <w:spacing w:before="0"/>
            </w:pPr>
            <w:r w:rsidRPr="5311C3E3">
              <w:rPr>
                <w:rFonts w:cs="Arial"/>
                <w:sz w:val="22"/>
                <w:szCs w:val="22"/>
              </w:rPr>
              <w:t>Available</w:t>
            </w:r>
          </w:p>
        </w:tc>
      </w:tr>
      <w:tr w:rsidR="5311C3E3" w14:paraId="50C8BE97" w14:textId="77777777" w:rsidTr="5311C3E3">
        <w:trPr>
          <w:trHeight w:val="300"/>
        </w:trPr>
        <w:tc>
          <w:tcPr>
            <w:tcW w:w="27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19CD3BC" w14:textId="57F203FE" w:rsidR="5311C3E3" w:rsidRDefault="5311C3E3" w:rsidP="5311C3E3">
            <w:pPr>
              <w:spacing w:before="0"/>
            </w:pPr>
            <w:r w:rsidRPr="5311C3E3">
              <w:rPr>
                <w:rFonts w:cs="Arial"/>
                <w:sz w:val="22"/>
                <w:szCs w:val="22"/>
              </w:rPr>
              <w:t>High-caffeine drinks</w:t>
            </w:r>
          </w:p>
        </w:tc>
        <w:tc>
          <w:tcPr>
            <w:tcW w:w="65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B6EFF5D" w14:textId="266C72C5" w:rsidR="5311C3E3" w:rsidRDefault="5311C3E3" w:rsidP="5311C3E3">
            <w:pPr>
              <w:spacing w:before="0"/>
            </w:pPr>
            <w:r w:rsidRPr="5311C3E3">
              <w:rPr>
                <w:rFonts w:cs="Arial"/>
                <w:sz w:val="22"/>
                <w:szCs w:val="22"/>
              </w:rPr>
              <w:t>Discouraged</w:t>
            </w:r>
          </w:p>
        </w:tc>
      </w:tr>
      <w:tr w:rsidR="5311C3E3" w14:paraId="7754C735" w14:textId="77777777" w:rsidTr="5311C3E3">
        <w:trPr>
          <w:trHeight w:val="300"/>
        </w:trPr>
        <w:tc>
          <w:tcPr>
            <w:tcW w:w="27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F538348" w14:textId="5C6FC3A7" w:rsidR="5311C3E3" w:rsidRDefault="5311C3E3" w:rsidP="5311C3E3">
            <w:pPr>
              <w:spacing w:before="0"/>
            </w:pPr>
            <w:r w:rsidRPr="5311C3E3">
              <w:rPr>
                <w:rFonts w:cs="Arial"/>
                <w:sz w:val="22"/>
                <w:szCs w:val="22"/>
              </w:rPr>
              <w:t>Assisted hydration</w:t>
            </w:r>
          </w:p>
        </w:tc>
        <w:tc>
          <w:tcPr>
            <w:tcW w:w="65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6CC234A" w14:textId="60C6C7C8" w:rsidR="5311C3E3" w:rsidRDefault="5311C3E3" w:rsidP="5311C3E3">
            <w:pPr>
              <w:spacing w:before="0"/>
            </w:pPr>
            <w:r w:rsidRPr="5311C3E3">
              <w:rPr>
                <w:rFonts w:cs="Arial"/>
                <w:sz w:val="22"/>
                <w:szCs w:val="22"/>
              </w:rPr>
              <w:t>Provided safely and respectfully</w:t>
            </w:r>
            <w:r w:rsidR="00BF331E">
              <w:rPr>
                <w:rFonts w:cs="Arial"/>
                <w:sz w:val="22"/>
                <w:szCs w:val="22"/>
              </w:rPr>
              <w:t xml:space="preserve"> as indicated</w:t>
            </w:r>
          </w:p>
        </w:tc>
      </w:tr>
    </w:tbl>
    <w:p w14:paraId="5906668D" w14:textId="2907EAC5" w:rsidR="48EC1FC0" w:rsidRDefault="48EC1FC0" w:rsidP="5311C3E3">
      <w:pPr>
        <w:rPr>
          <w:rFonts w:cs="Arial"/>
          <w:sz w:val="22"/>
          <w:szCs w:val="22"/>
        </w:rPr>
      </w:pPr>
    </w:p>
    <w:p w14:paraId="5822D2A9" w14:textId="3E0F3063" w:rsidR="48EC1FC0" w:rsidRDefault="3CB33070" w:rsidP="5311C3E3">
      <w:pPr>
        <w:pStyle w:val="Heading2"/>
        <w:rPr>
          <w:rFonts w:ascii="Arial" w:eastAsia="Arial" w:hAnsi="Arial" w:cs="Arial"/>
          <w:sz w:val="22"/>
          <w:szCs w:val="22"/>
        </w:rPr>
      </w:pPr>
      <w:bookmarkStart w:id="108" w:name="_Toc224651847"/>
      <w:bookmarkStart w:id="109" w:name="_Toc224652003"/>
      <w:bookmarkStart w:id="110" w:name="_Toc227057826"/>
      <w:r w:rsidRPr="5311C3E3">
        <w:t xml:space="preserve">4.7 </w:t>
      </w:r>
      <w:r w:rsidR="64CB15C4" w:rsidRPr="5311C3E3">
        <w:t>Community Services</w:t>
      </w:r>
      <w:bookmarkEnd w:id="108"/>
      <w:bookmarkEnd w:id="109"/>
      <w:bookmarkEnd w:id="110"/>
    </w:p>
    <w:p w14:paraId="2EF1C65D" w14:textId="5D5C5E2E" w:rsidR="48EC1FC0" w:rsidRDefault="64CB15C4" w:rsidP="5311C3E3">
      <w:pPr>
        <w:spacing w:before="240" w:after="240"/>
        <w:rPr>
          <w:rFonts w:cs="Arial"/>
          <w:sz w:val="22"/>
          <w:szCs w:val="22"/>
        </w:rPr>
      </w:pPr>
      <w:r w:rsidRPr="5311C3E3">
        <w:rPr>
          <w:rFonts w:cs="Arial"/>
          <w:sz w:val="22"/>
          <w:szCs w:val="22"/>
        </w:rPr>
        <w:t>Community teams must assess nutrition and hydration as part of holistic physical health review and escalate concerns appropriately in accordance with NICE guidance and Trust escalation pathways.</w:t>
      </w:r>
    </w:p>
    <w:p w14:paraId="03B97D4D" w14:textId="434D298C" w:rsidR="48EC1FC0" w:rsidRDefault="48EC1FC0" w:rsidP="5311C3E3">
      <w:pPr>
        <w:rPr>
          <w:rFonts w:cs="Arial"/>
          <w:sz w:val="22"/>
          <w:szCs w:val="22"/>
        </w:rPr>
      </w:pPr>
    </w:p>
    <w:p w14:paraId="71C66F2D" w14:textId="7D1D3E58" w:rsidR="3DBBEBFF" w:rsidRDefault="3DBBEBFF" w:rsidP="5311C3E3">
      <w:pPr>
        <w:pStyle w:val="Heading2"/>
        <w:spacing w:after="240"/>
        <w:rPr>
          <w:rFonts w:ascii="Arial" w:eastAsia="Arial" w:hAnsi="Arial" w:cs="Arial"/>
          <w:sz w:val="22"/>
          <w:szCs w:val="22"/>
        </w:rPr>
      </w:pPr>
      <w:bookmarkStart w:id="111" w:name="_Toc224651848"/>
      <w:bookmarkStart w:id="112" w:name="_Toc224652004"/>
      <w:bookmarkStart w:id="113" w:name="_Toc227057827"/>
      <w:r>
        <w:t xml:space="preserve">4.8 </w:t>
      </w:r>
      <w:r w:rsidR="1B632630">
        <w:t>Capacity, consent and best-interest decisions</w:t>
      </w:r>
      <w:bookmarkEnd w:id="111"/>
      <w:bookmarkEnd w:id="112"/>
      <w:bookmarkEnd w:id="113"/>
    </w:p>
    <w:p w14:paraId="1292AE4D" w14:textId="55CEFA4D" w:rsidR="1B632630" w:rsidRDefault="1B632630" w:rsidP="5311C3E3">
      <w:pPr>
        <w:rPr>
          <w:rFonts w:cs="Arial"/>
          <w:sz w:val="22"/>
          <w:szCs w:val="22"/>
        </w:rPr>
      </w:pPr>
      <w:r w:rsidRPr="5311C3E3">
        <w:rPr>
          <w:rFonts w:cs="Arial"/>
          <w:sz w:val="22"/>
          <w:szCs w:val="22"/>
        </w:rPr>
        <w:t xml:space="preserve">Where there is reason to doubt a service user’s capacity to make decisions about nutrition, hydration, eating or drinking, staff must assess capacity in accordance with the Mental Capacity Act 2005 </w:t>
      </w:r>
      <w:r w:rsidR="00E0647B">
        <w:rPr>
          <w:rFonts w:cs="Arial"/>
          <w:sz w:val="22"/>
          <w:szCs w:val="22"/>
        </w:rPr>
        <w:t xml:space="preserve">and relevant </w:t>
      </w:r>
      <w:r w:rsidR="00E0647B" w:rsidRPr="00E0647B">
        <w:rPr>
          <w:rFonts w:cs="Arial"/>
          <w:sz w:val="22"/>
          <w:szCs w:val="22"/>
        </w:rPr>
        <w:t xml:space="preserve">Trust </w:t>
      </w:r>
      <w:r w:rsidR="00E0647B">
        <w:rPr>
          <w:rFonts w:cs="Arial"/>
          <w:sz w:val="22"/>
          <w:szCs w:val="22"/>
        </w:rPr>
        <w:t xml:space="preserve">polices i.e. </w:t>
      </w:r>
      <w:r w:rsidR="00E0647B" w:rsidRPr="00E0647B">
        <w:rPr>
          <w:rFonts w:cs="Arial"/>
          <w:sz w:val="22"/>
          <w:szCs w:val="22"/>
        </w:rPr>
        <w:t xml:space="preserve">Mental Capacity Policy, Consent to Treatment Policy and Advance Decision to Refuse Treatment </w:t>
      </w:r>
      <w:proofErr w:type="gramStart"/>
      <w:r w:rsidR="00E0647B" w:rsidRPr="00E0647B">
        <w:rPr>
          <w:rFonts w:cs="Arial"/>
          <w:sz w:val="22"/>
          <w:szCs w:val="22"/>
        </w:rPr>
        <w:t>Policy.</w:t>
      </w:r>
      <w:r w:rsidRPr="5311C3E3">
        <w:rPr>
          <w:rFonts w:cs="Arial"/>
          <w:sz w:val="22"/>
          <w:szCs w:val="22"/>
        </w:rPr>
        <w:t>.</w:t>
      </w:r>
      <w:proofErr w:type="gramEnd"/>
      <w:r w:rsidRPr="5311C3E3">
        <w:rPr>
          <w:rFonts w:cs="Arial"/>
          <w:sz w:val="22"/>
          <w:szCs w:val="22"/>
        </w:rPr>
        <w:t xml:space="preserve"> Capacity must be assessed in relation to the specific decision at the time it needs to be made.</w:t>
      </w:r>
    </w:p>
    <w:p w14:paraId="055CE402" w14:textId="0D49CC08" w:rsidR="5311C3E3" w:rsidRDefault="5311C3E3" w:rsidP="5311C3E3">
      <w:pPr>
        <w:rPr>
          <w:rFonts w:cs="Arial"/>
          <w:sz w:val="22"/>
          <w:szCs w:val="22"/>
        </w:rPr>
      </w:pPr>
    </w:p>
    <w:p w14:paraId="2D25D2DF" w14:textId="7E6F7F04" w:rsidR="1B632630" w:rsidRDefault="1B632630" w:rsidP="5311C3E3">
      <w:pPr>
        <w:rPr>
          <w:rFonts w:cs="Arial"/>
          <w:sz w:val="22"/>
          <w:szCs w:val="22"/>
        </w:rPr>
      </w:pPr>
      <w:r w:rsidRPr="1D6E3FFF">
        <w:rPr>
          <w:rFonts w:cs="Arial"/>
          <w:sz w:val="22"/>
          <w:szCs w:val="22"/>
        </w:rPr>
        <w:t>Where a service user is assessed as lacking capacity, a documented best interest decision must be completed. This must involve relevant members of the multidisciplinary team and, where appropriate, carers, parents, family members, advocates or an Independent Mental Capacity Advocate (IMCA).</w:t>
      </w:r>
    </w:p>
    <w:p w14:paraId="096020AD" w14:textId="3073BB15" w:rsidR="5311C3E3" w:rsidRDefault="5311C3E3" w:rsidP="5311C3E3">
      <w:pPr>
        <w:rPr>
          <w:rFonts w:cs="Arial"/>
          <w:sz w:val="22"/>
          <w:szCs w:val="22"/>
        </w:rPr>
      </w:pPr>
    </w:p>
    <w:p w14:paraId="08067802" w14:textId="3C19CC71" w:rsidR="1B632630" w:rsidRDefault="1B632630" w:rsidP="5311C3E3">
      <w:pPr>
        <w:rPr>
          <w:rFonts w:cs="Arial"/>
          <w:sz w:val="22"/>
          <w:szCs w:val="22"/>
        </w:rPr>
      </w:pPr>
      <w:r w:rsidRPr="5311C3E3">
        <w:rPr>
          <w:rFonts w:cs="Arial"/>
          <w:sz w:val="22"/>
          <w:szCs w:val="22"/>
        </w:rPr>
        <w:t>Decisions relating to nutrition, hydration, eating and drinking must be clinically justified, proportionate, and represent the least restrictive option that safely achieves the intended clinical outcome. All decisions must be clearly documented and subject to regular review.</w:t>
      </w:r>
    </w:p>
    <w:p w14:paraId="5D46CE5E" w14:textId="641F093D" w:rsidR="5311C3E3" w:rsidRDefault="5311C3E3" w:rsidP="5311C3E3">
      <w:pPr>
        <w:rPr>
          <w:rFonts w:cs="Arial"/>
          <w:sz w:val="22"/>
          <w:szCs w:val="22"/>
        </w:rPr>
      </w:pPr>
    </w:p>
    <w:p w14:paraId="234EF911" w14:textId="1D8CB8A0" w:rsidR="1B632630" w:rsidRDefault="1B632630" w:rsidP="5311C3E3">
      <w:pPr>
        <w:rPr>
          <w:rFonts w:cs="Arial"/>
          <w:sz w:val="22"/>
          <w:szCs w:val="22"/>
        </w:rPr>
      </w:pPr>
      <w:r w:rsidRPr="5311C3E3">
        <w:rPr>
          <w:rFonts w:cs="Arial"/>
          <w:sz w:val="22"/>
          <w:szCs w:val="22"/>
        </w:rPr>
        <w:t>Where decisions relate to eating, drinking or swallowing safety, SLT must be involved in accordance with national multidisciplinary guidance (RCSLT, 2021).</w:t>
      </w:r>
    </w:p>
    <w:p w14:paraId="16D5C991" w14:textId="31ED7F35" w:rsidR="5311C3E3" w:rsidRDefault="5311C3E3" w:rsidP="5311C3E3">
      <w:pPr>
        <w:rPr>
          <w:rFonts w:cs="Arial"/>
          <w:sz w:val="22"/>
          <w:szCs w:val="22"/>
        </w:rPr>
      </w:pPr>
    </w:p>
    <w:p w14:paraId="7A1483CA" w14:textId="40DBB79C" w:rsidR="1B632630" w:rsidRDefault="1B632630" w:rsidP="5311C3E3">
      <w:pPr>
        <w:rPr>
          <w:rFonts w:cs="Arial"/>
          <w:sz w:val="22"/>
          <w:szCs w:val="22"/>
        </w:rPr>
      </w:pPr>
      <w:r w:rsidRPr="5311C3E3">
        <w:rPr>
          <w:rFonts w:cs="Arial"/>
          <w:sz w:val="22"/>
          <w:szCs w:val="22"/>
        </w:rPr>
        <w:t>Where compulsory treatment is being considered, staff must also consider the Mental Health Act and relevant Trust policies to ensure lawful and proportionate care.</w:t>
      </w:r>
    </w:p>
    <w:p w14:paraId="33E4CF3E" w14:textId="0DA841FE" w:rsidR="5311C3E3" w:rsidRDefault="5311C3E3" w:rsidP="5311C3E3">
      <w:pPr>
        <w:rPr>
          <w:rFonts w:cs="Arial"/>
          <w:sz w:val="22"/>
          <w:szCs w:val="22"/>
        </w:rPr>
      </w:pPr>
    </w:p>
    <w:p w14:paraId="7D299F04" w14:textId="4573242F" w:rsidR="11CD111C" w:rsidRDefault="11CD111C" w:rsidP="5311C3E3">
      <w:pPr>
        <w:pStyle w:val="Heading2"/>
        <w:rPr>
          <w:rFonts w:ascii="Arial" w:eastAsia="Arial" w:hAnsi="Arial" w:cs="Arial"/>
          <w:sz w:val="22"/>
          <w:szCs w:val="22"/>
        </w:rPr>
      </w:pPr>
      <w:bookmarkStart w:id="114" w:name="_Toc224651849"/>
      <w:bookmarkStart w:id="115" w:name="_Toc224652005"/>
      <w:bookmarkStart w:id="116" w:name="_Toc227057828"/>
      <w:r>
        <w:t xml:space="preserve">4.9 </w:t>
      </w:r>
      <w:r w:rsidR="1B632630">
        <w:t>Impact of medication on nutrition and weight</w:t>
      </w:r>
      <w:bookmarkEnd w:id="114"/>
      <w:bookmarkEnd w:id="115"/>
      <w:bookmarkEnd w:id="116"/>
    </w:p>
    <w:p w14:paraId="16AE89AB" w14:textId="1D10AE6D" w:rsidR="1B632630" w:rsidRDefault="1B632630" w:rsidP="5311C3E3">
      <w:pPr>
        <w:spacing w:before="240" w:after="240"/>
        <w:rPr>
          <w:rFonts w:cs="Arial"/>
          <w:sz w:val="22"/>
          <w:szCs w:val="22"/>
        </w:rPr>
      </w:pPr>
      <w:r w:rsidRPr="5311C3E3">
        <w:rPr>
          <w:rFonts w:cs="Arial"/>
          <w:sz w:val="22"/>
          <w:szCs w:val="22"/>
        </w:rPr>
        <w:t>Medication prescribed within ELFT services may significantly affect nutritional status, hydration balance, appetite, weight, metabolic health, gastrointestinal function and swallowing safety</w:t>
      </w:r>
      <w:r w:rsidR="29289452" w:rsidRPr="5311C3E3">
        <w:rPr>
          <w:rFonts w:cs="Arial"/>
          <w:sz w:val="22"/>
          <w:szCs w:val="22"/>
        </w:rPr>
        <w:t xml:space="preserve"> </w:t>
      </w:r>
      <w:sdt>
        <w:sdtPr>
          <w:rPr>
            <w:rFonts w:cs="Arial"/>
            <w:color w:val="000000" w:themeColor="text1"/>
            <w:sz w:val="22"/>
            <w:szCs w:val="22"/>
          </w:rPr>
          <w:tag w:val="MENDELEY_CITATION_v3_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"/>
          <w:id w:val="1117617109"/>
          <w:placeholder>
            <w:docPart w:val="DefaultPlaceholder_-1854013440"/>
          </w:placeholder>
        </w:sdtPr>
        <w:sdtEndPr/>
        <w:sdtContent>
          <w:r w:rsidR="5311C3E3" w:rsidRPr="5311C3E3">
            <w:rPr>
              <w:rFonts w:cs="Arial"/>
              <w:color w:val="000000" w:themeColor="text1"/>
              <w:sz w:val="22"/>
              <w:szCs w:val="22"/>
            </w:rPr>
            <w:t>(De Hert, 2011)</w:t>
          </w:r>
        </w:sdtContent>
      </w:sdt>
      <w:r w:rsidRPr="5311C3E3">
        <w:rPr>
          <w:rFonts w:cs="Arial"/>
          <w:sz w:val="22"/>
          <w:szCs w:val="22"/>
        </w:rPr>
        <w:t>.</w:t>
      </w:r>
    </w:p>
    <w:p w14:paraId="0D5D0354" w14:textId="74D2EEC9" w:rsidR="5311C3E3" w:rsidRDefault="5311C3E3" w:rsidP="5311C3E3">
      <w:pPr>
        <w:spacing w:before="240" w:after="240"/>
        <w:rPr>
          <w:rFonts w:cs="Arial"/>
          <w:sz w:val="22"/>
          <w:szCs w:val="22"/>
        </w:rPr>
      </w:pPr>
    </w:p>
    <w:p w14:paraId="48EDFFC4" w14:textId="5BA8C1BA" w:rsidR="1B632630" w:rsidRDefault="1B632630" w:rsidP="5311C3E3">
      <w:pPr>
        <w:spacing w:before="240" w:after="240"/>
        <w:rPr>
          <w:rFonts w:cs="Arial"/>
          <w:sz w:val="22"/>
          <w:szCs w:val="22"/>
        </w:rPr>
      </w:pPr>
      <w:r w:rsidRPr="730FCF52">
        <w:rPr>
          <w:rFonts w:cs="Arial"/>
          <w:sz w:val="22"/>
          <w:szCs w:val="22"/>
        </w:rPr>
        <w:t>All prescribers and clinical teams must</w:t>
      </w:r>
      <w:r w:rsidR="12C9CEBA" w:rsidRPr="730FCF52">
        <w:rPr>
          <w:rFonts w:cs="Arial"/>
          <w:sz w:val="22"/>
          <w:szCs w:val="22"/>
        </w:rPr>
        <w:t xml:space="preserve"> </w:t>
      </w:r>
      <w:r w:rsidRPr="730FCF52">
        <w:rPr>
          <w:rFonts w:cs="Arial"/>
          <w:sz w:val="22"/>
          <w:szCs w:val="22"/>
        </w:rPr>
        <w:t>consider the nutritional and metabolic impact of medication at initiation, dose adjustment and routine review</w:t>
      </w:r>
      <w:r w:rsidR="6299B6A6" w:rsidRPr="730FCF52">
        <w:rPr>
          <w:rFonts w:cs="Arial"/>
          <w:sz w:val="22"/>
          <w:szCs w:val="22"/>
        </w:rPr>
        <w:t xml:space="preserve"> </w:t>
      </w:r>
      <w:sdt>
        <w:sdtPr>
          <w:rPr>
            <w:rFonts w:cs="Arial"/>
            <w:color w:val="000000" w:themeColor="text1"/>
            <w:sz w:val="22"/>
            <w:szCs w:val="22"/>
          </w:rPr>
          <w:tag w:val="MENDELEY_CITATION_v3_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"/>
          <w:id w:val="1279991191"/>
          <w:placeholder>
            <w:docPart w:val="DefaultPlaceholder_-1854013440"/>
          </w:placeholder>
        </w:sdtPr>
        <w:sdtEndPr/>
        <w:sdtContent>
          <w:r w:rsidR="5311C3E3" w:rsidRPr="730FCF52">
            <w:rPr>
              <w:rFonts w:cs="Arial"/>
              <w:color w:val="000000" w:themeColor="text1"/>
              <w:sz w:val="22"/>
              <w:szCs w:val="22"/>
            </w:rPr>
            <w:t>(Taylor et al., 2021)</w:t>
          </w:r>
        </w:sdtContent>
      </w:sdt>
      <w:r w:rsidRPr="730FCF52">
        <w:rPr>
          <w:rFonts w:cs="Arial"/>
          <w:sz w:val="22"/>
          <w:szCs w:val="22"/>
        </w:rPr>
        <w:t>. Monitoring must be undertaken in accordance with relevant Trust</w:t>
      </w:r>
      <w:r w:rsidR="00E0647B">
        <w:rPr>
          <w:rFonts w:cs="Arial"/>
          <w:sz w:val="22"/>
          <w:szCs w:val="22"/>
        </w:rPr>
        <w:t xml:space="preserve"> policies (i.e.</w:t>
      </w:r>
      <w:r w:rsidR="004468BC">
        <w:rPr>
          <w:rFonts w:cs="Arial"/>
          <w:sz w:val="22"/>
          <w:szCs w:val="22"/>
        </w:rPr>
        <w:t xml:space="preserve"> </w:t>
      </w:r>
      <w:r w:rsidR="00E0647B" w:rsidRPr="00E0647B">
        <w:rPr>
          <w:rFonts w:cs="Arial"/>
          <w:sz w:val="22"/>
          <w:szCs w:val="22"/>
        </w:rPr>
        <w:t>Physical Healthcare Policy, Antipsychotics and Mood Stabilisers Physical Health Monitoring Policy and Policy for the Use of High Dose Antipsychotic Therapy</w:t>
      </w:r>
      <w:r w:rsidR="00E0647B">
        <w:rPr>
          <w:rFonts w:cs="Arial"/>
          <w:sz w:val="22"/>
          <w:szCs w:val="22"/>
        </w:rPr>
        <w:t>)</w:t>
      </w:r>
      <w:r w:rsidRPr="730FCF52">
        <w:rPr>
          <w:rFonts w:cs="Arial"/>
          <w:sz w:val="22"/>
          <w:szCs w:val="22"/>
        </w:rPr>
        <w:t xml:space="preserve"> </w:t>
      </w:r>
      <w:r w:rsidR="00E0647B">
        <w:rPr>
          <w:rFonts w:cs="Arial"/>
          <w:sz w:val="22"/>
          <w:szCs w:val="22"/>
        </w:rPr>
        <w:t>alongside</w:t>
      </w:r>
      <w:r w:rsidRPr="730FCF52">
        <w:rPr>
          <w:rFonts w:cs="Arial"/>
          <w:sz w:val="22"/>
          <w:szCs w:val="22"/>
        </w:rPr>
        <w:t xml:space="preserve"> NICE guidance CG178 (2014). </w:t>
      </w:r>
    </w:p>
    <w:p w14:paraId="62281FCB" w14:textId="7AF8F3FD" w:rsidR="5311C3E3" w:rsidRDefault="5311C3E3" w:rsidP="5311C3E3">
      <w:pPr>
        <w:spacing w:before="240" w:after="240"/>
        <w:rPr>
          <w:rFonts w:cs="Arial"/>
          <w:sz w:val="22"/>
          <w:szCs w:val="22"/>
        </w:rPr>
      </w:pPr>
    </w:p>
    <w:p w14:paraId="0A066CBB" w14:textId="6AF68EA4" w:rsidR="00011486" w:rsidRDefault="1B632630" w:rsidP="5311C3E3">
      <w:pPr>
        <w:spacing w:before="240" w:after="240"/>
        <w:rPr>
          <w:rFonts w:cs="Arial"/>
          <w:sz w:val="22"/>
          <w:szCs w:val="22"/>
        </w:rPr>
      </w:pPr>
      <w:r w:rsidRPr="5311C3E3">
        <w:rPr>
          <w:rFonts w:cs="Arial"/>
          <w:sz w:val="22"/>
          <w:szCs w:val="22"/>
        </w:rPr>
        <w:t>Common medication-related nutri</w:t>
      </w:r>
      <w:r w:rsidR="1785488B" w:rsidRPr="5311C3E3">
        <w:rPr>
          <w:rFonts w:cs="Arial"/>
          <w:sz w:val="22"/>
          <w:szCs w:val="22"/>
        </w:rPr>
        <w:t>tional</w:t>
      </w:r>
      <w:r w:rsidRPr="5311C3E3">
        <w:rPr>
          <w:rFonts w:cs="Arial"/>
          <w:sz w:val="22"/>
          <w:szCs w:val="22"/>
        </w:rPr>
        <w:t xml:space="preserve"> and metabolic risks and associated monitoring requirements are summarised in Table </w:t>
      </w:r>
      <w:r w:rsidR="01B093B8" w:rsidRPr="5311C3E3">
        <w:rPr>
          <w:rFonts w:cs="Arial"/>
          <w:sz w:val="22"/>
          <w:szCs w:val="22"/>
        </w:rPr>
        <w:t>5</w:t>
      </w:r>
      <w:r w:rsidRPr="5311C3E3">
        <w:rPr>
          <w:rFonts w:cs="Arial"/>
          <w:sz w:val="22"/>
          <w:szCs w:val="22"/>
        </w:rPr>
        <w:t>.</w:t>
      </w:r>
    </w:p>
    <w:p w14:paraId="0C049E84" w14:textId="77777777" w:rsidR="00011486" w:rsidRDefault="00011486">
      <w:pPr>
        <w:keepNext w:val="0"/>
        <w:keepLines w:val="0"/>
        <w:spacing w:before="0" w:after="160"/>
        <w:contextualSpacing w:val="0"/>
        <w:jc w:val="left"/>
        <w:outlineLvl w:val="9"/>
        <w:rPr>
          <w:sz w:val="22"/>
          <w:szCs w:val="22"/>
        </w:rPr>
      </w:pPr>
      <w:r>
        <w:rPr>
          <w:sz w:val="22"/>
          <w:szCs w:val="22"/>
        </w:rPr>
        <w:br w:type="page"/>
      </w:r>
    </w:p>
    <w:p w14:paraId="4100CA65" w14:textId="140E84AD" w:rsidR="5ACFDFFD" w:rsidRDefault="5ACFDFFD" w:rsidP="5311C3E3">
      <w:pPr>
        <w:rPr>
          <w:rFonts w:cs="Arial"/>
          <w:b/>
          <w:bCs/>
          <w:sz w:val="22"/>
          <w:szCs w:val="22"/>
        </w:rPr>
      </w:pPr>
      <w:r w:rsidRPr="1F0E8EA4">
        <w:rPr>
          <w:sz w:val="22"/>
          <w:szCs w:val="22"/>
        </w:rPr>
        <w:lastRenderedPageBreak/>
        <w:t xml:space="preserve">Table </w:t>
      </w:r>
      <w:r w:rsidR="66D83433" w:rsidRPr="1F0E8EA4">
        <w:rPr>
          <w:sz w:val="22"/>
          <w:szCs w:val="22"/>
        </w:rPr>
        <w:t>5</w:t>
      </w:r>
      <w:r w:rsidRPr="1F0E8EA4">
        <w:rPr>
          <w:sz w:val="22"/>
          <w:szCs w:val="22"/>
        </w:rPr>
        <w:t>. Medication related Nutrition and Metabolic Risks</w:t>
      </w:r>
    </w:p>
    <w:tbl>
      <w:tblPr>
        <w:tblStyle w:val="TableGrid1"/>
        <w:tblW w:w="0" w:type="auto"/>
        <w:tblLook w:val="06A0" w:firstRow="1" w:lastRow="0" w:firstColumn="1" w:lastColumn="0" w:noHBand="1" w:noVBand="1"/>
      </w:tblPr>
      <w:tblGrid>
        <w:gridCol w:w="1843"/>
        <w:gridCol w:w="1843"/>
        <w:gridCol w:w="1982"/>
        <w:gridCol w:w="3682"/>
      </w:tblGrid>
      <w:tr w:rsidR="5311C3E3" w14:paraId="26B2B2EA" w14:textId="77777777" w:rsidTr="1F0E8EA4">
        <w:trPr>
          <w:trHeight w:val="300"/>
        </w:trPr>
        <w:tc>
          <w:tcPr>
            <w:tcW w:w="1843" w:type="dxa"/>
          </w:tcPr>
          <w:p w14:paraId="2737E19B" w14:textId="2A9F55AC" w:rsidR="5311C3E3" w:rsidRDefault="5311C3E3" w:rsidP="5311C3E3">
            <w:pPr>
              <w:spacing w:before="0" w:line="257" w:lineRule="auto"/>
              <w:jc w:val="center"/>
            </w:pPr>
            <w:r w:rsidRPr="5311C3E3">
              <w:rPr>
                <w:rFonts w:cs="Arial"/>
                <w:b/>
                <w:bCs/>
                <w:sz w:val="22"/>
                <w:szCs w:val="22"/>
              </w:rPr>
              <w:t>Medication Category</w:t>
            </w:r>
          </w:p>
        </w:tc>
        <w:tc>
          <w:tcPr>
            <w:tcW w:w="1843" w:type="dxa"/>
          </w:tcPr>
          <w:p w14:paraId="631B0B84" w14:textId="19E1536C" w:rsidR="5311C3E3" w:rsidRDefault="5311C3E3" w:rsidP="5311C3E3">
            <w:pPr>
              <w:spacing w:before="0" w:line="257" w:lineRule="auto"/>
              <w:jc w:val="center"/>
            </w:pPr>
            <w:r w:rsidRPr="5311C3E3">
              <w:rPr>
                <w:rFonts w:cs="Arial"/>
                <w:b/>
                <w:bCs/>
                <w:sz w:val="22"/>
                <w:szCs w:val="22"/>
              </w:rPr>
              <w:t>Examples</w:t>
            </w:r>
          </w:p>
        </w:tc>
        <w:tc>
          <w:tcPr>
            <w:tcW w:w="1984" w:type="dxa"/>
          </w:tcPr>
          <w:p w14:paraId="752489AA" w14:textId="3413FDAD" w:rsidR="5311C3E3" w:rsidRDefault="5311C3E3" w:rsidP="5311C3E3">
            <w:pPr>
              <w:spacing w:before="0" w:line="257" w:lineRule="auto"/>
              <w:jc w:val="center"/>
            </w:pPr>
            <w:r w:rsidRPr="5311C3E3">
              <w:rPr>
                <w:rFonts w:cs="Arial"/>
                <w:b/>
                <w:bCs/>
                <w:sz w:val="22"/>
                <w:szCs w:val="22"/>
              </w:rPr>
              <w:t>Potential Impact</w:t>
            </w:r>
          </w:p>
        </w:tc>
        <w:tc>
          <w:tcPr>
            <w:tcW w:w="3690" w:type="dxa"/>
          </w:tcPr>
          <w:p w14:paraId="6E8F41B9" w14:textId="123D3A1F" w:rsidR="5311C3E3" w:rsidRDefault="5311C3E3" w:rsidP="5311C3E3">
            <w:pPr>
              <w:spacing w:before="0" w:line="257" w:lineRule="auto"/>
              <w:jc w:val="center"/>
            </w:pPr>
            <w:r w:rsidRPr="5311C3E3">
              <w:rPr>
                <w:rFonts w:cs="Arial"/>
                <w:b/>
                <w:bCs/>
                <w:sz w:val="22"/>
                <w:szCs w:val="22"/>
              </w:rPr>
              <w:t>Required Monitoring</w:t>
            </w:r>
          </w:p>
        </w:tc>
      </w:tr>
      <w:tr w:rsidR="5311C3E3" w14:paraId="05E07FF4" w14:textId="77777777" w:rsidTr="1F0E8EA4">
        <w:trPr>
          <w:trHeight w:val="300"/>
        </w:trPr>
        <w:tc>
          <w:tcPr>
            <w:tcW w:w="1843" w:type="dxa"/>
          </w:tcPr>
          <w:p w14:paraId="5701FCE4" w14:textId="01D9D3FC" w:rsidR="5311C3E3" w:rsidRDefault="5311C3E3" w:rsidP="5311C3E3">
            <w:pPr>
              <w:spacing w:before="0" w:line="257" w:lineRule="auto"/>
            </w:pPr>
            <w:r w:rsidRPr="5311C3E3">
              <w:rPr>
                <w:rFonts w:cs="Arial"/>
                <w:sz w:val="22"/>
                <w:szCs w:val="22"/>
              </w:rPr>
              <w:t>Second-generation antipsychotics</w:t>
            </w:r>
          </w:p>
        </w:tc>
        <w:tc>
          <w:tcPr>
            <w:tcW w:w="1843" w:type="dxa"/>
          </w:tcPr>
          <w:p w14:paraId="22EE3FD7" w14:textId="15193408" w:rsidR="5311C3E3" w:rsidRDefault="5311C3E3" w:rsidP="5311C3E3">
            <w:pPr>
              <w:spacing w:before="0" w:line="257" w:lineRule="auto"/>
            </w:pPr>
            <w:r w:rsidRPr="5311C3E3">
              <w:rPr>
                <w:rFonts w:cs="Arial"/>
                <w:sz w:val="22"/>
                <w:szCs w:val="22"/>
              </w:rPr>
              <w:t>Olanzapine, Clozapine, Quetiapine</w:t>
            </w:r>
          </w:p>
        </w:tc>
        <w:tc>
          <w:tcPr>
            <w:tcW w:w="1984" w:type="dxa"/>
          </w:tcPr>
          <w:p w14:paraId="4F675823" w14:textId="684EA5F6" w:rsidR="5311C3E3" w:rsidRDefault="5311C3E3" w:rsidP="5311C3E3">
            <w:pPr>
              <w:spacing w:before="0" w:line="257" w:lineRule="auto"/>
            </w:pPr>
            <w:r w:rsidRPr="5311C3E3">
              <w:rPr>
                <w:rFonts w:cs="Arial"/>
                <w:sz w:val="22"/>
                <w:szCs w:val="22"/>
              </w:rPr>
              <w:t>Weight gain, metabolic syndrome, insulin resistance</w:t>
            </w:r>
            <w:r w:rsidR="00094E32">
              <w:rPr>
                <w:rFonts w:cs="Arial"/>
                <w:sz w:val="22"/>
                <w:szCs w:val="22"/>
              </w:rPr>
              <w:t>, constipation</w:t>
            </w:r>
          </w:p>
        </w:tc>
        <w:tc>
          <w:tcPr>
            <w:tcW w:w="3690" w:type="dxa"/>
          </w:tcPr>
          <w:p w14:paraId="5321A37C" w14:textId="330C009D" w:rsidR="5311C3E3" w:rsidRDefault="5311C3E3" w:rsidP="5311C3E3">
            <w:pPr>
              <w:spacing w:before="0" w:line="257" w:lineRule="auto"/>
            </w:pPr>
            <w:r w:rsidRPr="5311C3E3">
              <w:rPr>
                <w:rFonts w:cs="Arial"/>
                <w:sz w:val="22"/>
                <w:szCs w:val="22"/>
              </w:rPr>
              <w:t>Baseline and ongoing weight, BMI,, glucose/HbA1c, lipids, BP</w:t>
            </w:r>
            <w:r w:rsidR="00094E32">
              <w:rPr>
                <w:rFonts w:cs="Arial"/>
                <w:sz w:val="22"/>
                <w:szCs w:val="22"/>
              </w:rPr>
              <w:t>, oral intake, Stool assessment</w:t>
            </w:r>
          </w:p>
        </w:tc>
      </w:tr>
      <w:tr w:rsidR="5311C3E3" w14:paraId="1696E369" w14:textId="77777777" w:rsidTr="1F0E8EA4">
        <w:trPr>
          <w:trHeight w:val="300"/>
        </w:trPr>
        <w:tc>
          <w:tcPr>
            <w:tcW w:w="1843" w:type="dxa"/>
          </w:tcPr>
          <w:p w14:paraId="305DA0AF" w14:textId="50FAD6E8" w:rsidR="5311C3E3" w:rsidRDefault="5311C3E3" w:rsidP="5311C3E3">
            <w:pPr>
              <w:spacing w:before="0" w:line="257" w:lineRule="auto"/>
            </w:pPr>
            <w:r w:rsidRPr="5311C3E3">
              <w:rPr>
                <w:rFonts w:cs="Arial"/>
                <w:sz w:val="22"/>
                <w:szCs w:val="22"/>
              </w:rPr>
              <w:t>Mood stabilisers</w:t>
            </w:r>
          </w:p>
        </w:tc>
        <w:tc>
          <w:tcPr>
            <w:tcW w:w="1843" w:type="dxa"/>
          </w:tcPr>
          <w:p w14:paraId="0B183730" w14:textId="69222C40" w:rsidR="5311C3E3" w:rsidRDefault="5311C3E3" w:rsidP="5311C3E3">
            <w:pPr>
              <w:spacing w:before="0" w:line="257" w:lineRule="auto"/>
            </w:pPr>
            <w:r w:rsidRPr="5311C3E3">
              <w:rPr>
                <w:rFonts w:cs="Arial"/>
                <w:sz w:val="22"/>
                <w:szCs w:val="22"/>
              </w:rPr>
              <w:t>Lithium, Valproate</w:t>
            </w:r>
          </w:p>
        </w:tc>
        <w:tc>
          <w:tcPr>
            <w:tcW w:w="1984" w:type="dxa"/>
          </w:tcPr>
          <w:p w14:paraId="78AEB682" w14:textId="567C3EE1" w:rsidR="5311C3E3" w:rsidRDefault="5311C3E3" w:rsidP="5311C3E3">
            <w:pPr>
              <w:spacing w:before="0" w:line="257" w:lineRule="auto"/>
            </w:pPr>
            <w:r w:rsidRPr="5311C3E3">
              <w:rPr>
                <w:rFonts w:cs="Arial"/>
                <w:sz w:val="22"/>
                <w:szCs w:val="22"/>
              </w:rPr>
              <w:t>Weight change, fluid imbalance</w:t>
            </w:r>
            <w:r w:rsidR="00FD1109">
              <w:rPr>
                <w:rFonts w:cs="Arial"/>
                <w:sz w:val="22"/>
                <w:szCs w:val="22"/>
              </w:rPr>
              <w:t>, constipation (where applicable)</w:t>
            </w:r>
          </w:p>
        </w:tc>
        <w:tc>
          <w:tcPr>
            <w:tcW w:w="3690" w:type="dxa"/>
          </w:tcPr>
          <w:p w14:paraId="5DBD5D63" w14:textId="0721FF33" w:rsidR="5311C3E3" w:rsidRDefault="5311C3E3" w:rsidP="00094E32">
            <w:pPr>
              <w:spacing w:before="0" w:line="257" w:lineRule="auto"/>
            </w:pPr>
            <w:r w:rsidRPr="5311C3E3">
              <w:rPr>
                <w:rFonts w:cs="Arial"/>
                <w:sz w:val="22"/>
                <w:szCs w:val="22"/>
              </w:rPr>
              <w:t xml:space="preserve">Weight monitoring; U&amp;Es; hydration </w:t>
            </w:r>
            <w:r w:rsidR="00094E32">
              <w:rPr>
                <w:rFonts w:cs="Arial"/>
                <w:sz w:val="22"/>
                <w:szCs w:val="22"/>
              </w:rPr>
              <w:t>status</w:t>
            </w:r>
          </w:p>
        </w:tc>
      </w:tr>
      <w:tr w:rsidR="5311C3E3" w14:paraId="226FFBD5" w14:textId="77777777" w:rsidTr="1F0E8EA4">
        <w:trPr>
          <w:trHeight w:val="300"/>
        </w:trPr>
        <w:tc>
          <w:tcPr>
            <w:tcW w:w="1843" w:type="dxa"/>
          </w:tcPr>
          <w:p w14:paraId="0519C795" w14:textId="4DF1F414" w:rsidR="5311C3E3" w:rsidRDefault="5311C3E3" w:rsidP="5311C3E3">
            <w:pPr>
              <w:spacing w:before="0" w:line="257" w:lineRule="auto"/>
            </w:pPr>
            <w:r w:rsidRPr="5311C3E3">
              <w:rPr>
                <w:rFonts w:cs="Arial"/>
                <w:sz w:val="22"/>
                <w:szCs w:val="22"/>
              </w:rPr>
              <w:t>Antidepressants</w:t>
            </w:r>
          </w:p>
        </w:tc>
        <w:tc>
          <w:tcPr>
            <w:tcW w:w="1843" w:type="dxa"/>
          </w:tcPr>
          <w:p w14:paraId="47B85780" w14:textId="5D0B9111" w:rsidR="5311C3E3" w:rsidRDefault="5311C3E3" w:rsidP="5311C3E3">
            <w:pPr>
              <w:spacing w:before="0" w:line="257" w:lineRule="auto"/>
            </w:pPr>
            <w:r w:rsidRPr="5311C3E3">
              <w:rPr>
                <w:rFonts w:cs="Arial"/>
                <w:sz w:val="22"/>
                <w:szCs w:val="22"/>
              </w:rPr>
              <w:t>Mirtazapine, SSRIs</w:t>
            </w:r>
          </w:p>
        </w:tc>
        <w:tc>
          <w:tcPr>
            <w:tcW w:w="1984" w:type="dxa"/>
          </w:tcPr>
          <w:p w14:paraId="225BC312" w14:textId="3341082B" w:rsidR="5311C3E3" w:rsidRDefault="5311C3E3" w:rsidP="5311C3E3">
            <w:pPr>
              <w:spacing w:before="0" w:line="257" w:lineRule="auto"/>
            </w:pPr>
            <w:r w:rsidRPr="5311C3E3">
              <w:rPr>
                <w:rFonts w:cs="Arial"/>
                <w:sz w:val="22"/>
                <w:szCs w:val="22"/>
              </w:rPr>
              <w:t>Appetite change</w:t>
            </w:r>
          </w:p>
        </w:tc>
        <w:tc>
          <w:tcPr>
            <w:tcW w:w="3690" w:type="dxa"/>
          </w:tcPr>
          <w:p w14:paraId="52922D52" w14:textId="2BC27814" w:rsidR="5311C3E3" w:rsidRDefault="00094E32" w:rsidP="5311C3E3">
            <w:pPr>
              <w:spacing w:before="0" w:line="257" w:lineRule="auto"/>
            </w:pPr>
            <w:r w:rsidRPr="5311C3E3">
              <w:rPr>
                <w:rFonts w:cs="Arial"/>
                <w:sz w:val="22"/>
                <w:szCs w:val="22"/>
              </w:rPr>
              <w:t>Baseline and ongoing weight, BMI</w:t>
            </w:r>
            <w:r>
              <w:rPr>
                <w:rFonts w:cs="Arial"/>
                <w:sz w:val="22"/>
                <w:szCs w:val="22"/>
              </w:rPr>
              <w:t>, oral intake</w:t>
            </w:r>
          </w:p>
        </w:tc>
      </w:tr>
      <w:tr w:rsidR="5311C3E3" w14:paraId="44300391" w14:textId="77777777" w:rsidTr="1F0E8EA4">
        <w:trPr>
          <w:trHeight w:val="300"/>
        </w:trPr>
        <w:tc>
          <w:tcPr>
            <w:tcW w:w="1843" w:type="dxa"/>
          </w:tcPr>
          <w:p w14:paraId="419E70E2" w14:textId="5D523763" w:rsidR="5311C3E3" w:rsidRDefault="5311C3E3" w:rsidP="5311C3E3">
            <w:pPr>
              <w:spacing w:before="0" w:line="257" w:lineRule="auto"/>
            </w:pPr>
            <w:r w:rsidRPr="5311C3E3">
              <w:rPr>
                <w:rFonts w:cs="Arial"/>
                <w:sz w:val="22"/>
                <w:szCs w:val="22"/>
              </w:rPr>
              <w:t>Stimulants</w:t>
            </w:r>
          </w:p>
        </w:tc>
        <w:tc>
          <w:tcPr>
            <w:tcW w:w="1843" w:type="dxa"/>
          </w:tcPr>
          <w:p w14:paraId="0EAB455B" w14:textId="7C47667C" w:rsidR="5311C3E3" w:rsidRDefault="5311C3E3" w:rsidP="5311C3E3">
            <w:pPr>
              <w:spacing w:before="0" w:line="257" w:lineRule="auto"/>
            </w:pPr>
            <w:r w:rsidRPr="5311C3E3">
              <w:rPr>
                <w:rFonts w:cs="Arial"/>
                <w:sz w:val="22"/>
                <w:szCs w:val="22"/>
              </w:rPr>
              <w:t>Methylphenidate</w:t>
            </w:r>
          </w:p>
        </w:tc>
        <w:tc>
          <w:tcPr>
            <w:tcW w:w="1984" w:type="dxa"/>
          </w:tcPr>
          <w:p w14:paraId="457EDCCC" w14:textId="1CD172F8" w:rsidR="5311C3E3" w:rsidRDefault="5311C3E3" w:rsidP="5311C3E3">
            <w:pPr>
              <w:spacing w:before="0" w:line="257" w:lineRule="auto"/>
            </w:pPr>
            <w:r w:rsidRPr="5311C3E3">
              <w:rPr>
                <w:rFonts w:cs="Arial"/>
                <w:sz w:val="22"/>
                <w:szCs w:val="22"/>
              </w:rPr>
              <w:t>Appetite suppression</w:t>
            </w:r>
          </w:p>
        </w:tc>
        <w:tc>
          <w:tcPr>
            <w:tcW w:w="3690" w:type="dxa"/>
          </w:tcPr>
          <w:p w14:paraId="7DF42F4F" w14:textId="1B4D0D68" w:rsidR="5311C3E3" w:rsidRDefault="5311C3E3" w:rsidP="5311C3E3">
            <w:pPr>
              <w:spacing w:before="0" w:line="257" w:lineRule="auto"/>
            </w:pPr>
            <w:r w:rsidRPr="5311C3E3">
              <w:rPr>
                <w:rFonts w:cs="Arial"/>
                <w:sz w:val="22"/>
                <w:szCs w:val="22"/>
              </w:rPr>
              <w:t>Growth and weight monitoring in CYP</w:t>
            </w:r>
          </w:p>
        </w:tc>
      </w:tr>
      <w:tr w:rsidR="5311C3E3" w14:paraId="0DD91838" w14:textId="77777777" w:rsidTr="1F0E8EA4">
        <w:trPr>
          <w:trHeight w:val="300"/>
        </w:trPr>
        <w:tc>
          <w:tcPr>
            <w:tcW w:w="1843" w:type="dxa"/>
          </w:tcPr>
          <w:p w14:paraId="18E4C147" w14:textId="52650164" w:rsidR="5311C3E3" w:rsidRDefault="5311C3E3" w:rsidP="5311C3E3">
            <w:pPr>
              <w:spacing w:before="0" w:line="257" w:lineRule="auto"/>
            </w:pPr>
            <w:r w:rsidRPr="5311C3E3">
              <w:rPr>
                <w:rFonts w:cs="Arial"/>
                <w:sz w:val="22"/>
                <w:szCs w:val="22"/>
              </w:rPr>
              <w:t>Diuretics</w:t>
            </w:r>
          </w:p>
        </w:tc>
        <w:tc>
          <w:tcPr>
            <w:tcW w:w="1843" w:type="dxa"/>
          </w:tcPr>
          <w:p w14:paraId="04037DB5" w14:textId="1045F848" w:rsidR="5311C3E3" w:rsidRDefault="5311C3E3" w:rsidP="5311C3E3">
            <w:pPr>
              <w:spacing w:before="0" w:line="257" w:lineRule="auto"/>
            </w:pPr>
            <w:r w:rsidRPr="5311C3E3">
              <w:rPr>
                <w:rFonts w:cs="Arial"/>
                <w:sz w:val="22"/>
                <w:szCs w:val="22"/>
              </w:rPr>
              <w:t>Furosemide</w:t>
            </w:r>
          </w:p>
        </w:tc>
        <w:tc>
          <w:tcPr>
            <w:tcW w:w="1984" w:type="dxa"/>
          </w:tcPr>
          <w:p w14:paraId="752A7F20" w14:textId="532D403E" w:rsidR="5311C3E3" w:rsidRDefault="5311C3E3" w:rsidP="5311C3E3">
            <w:pPr>
              <w:spacing w:before="0" w:line="257" w:lineRule="auto"/>
            </w:pPr>
            <w:r w:rsidRPr="5311C3E3">
              <w:rPr>
                <w:rFonts w:cs="Arial"/>
                <w:sz w:val="22"/>
                <w:szCs w:val="22"/>
              </w:rPr>
              <w:t>Dehydration, electrolyte imbalance</w:t>
            </w:r>
            <w:r w:rsidR="00094E32">
              <w:rPr>
                <w:rFonts w:cs="Arial"/>
                <w:sz w:val="22"/>
                <w:szCs w:val="22"/>
              </w:rPr>
              <w:t>, constipation</w:t>
            </w:r>
          </w:p>
        </w:tc>
        <w:tc>
          <w:tcPr>
            <w:tcW w:w="3690" w:type="dxa"/>
          </w:tcPr>
          <w:p w14:paraId="6DD91855" w14:textId="19A3A1E3" w:rsidR="5311C3E3" w:rsidRDefault="5311C3E3" w:rsidP="00094E32">
            <w:pPr>
              <w:spacing w:before="0" w:line="257" w:lineRule="auto"/>
            </w:pPr>
            <w:r w:rsidRPr="5311C3E3">
              <w:rPr>
                <w:rFonts w:cs="Arial"/>
                <w:sz w:val="22"/>
                <w:szCs w:val="22"/>
              </w:rPr>
              <w:t xml:space="preserve">Hydration </w:t>
            </w:r>
            <w:r w:rsidR="00094E32">
              <w:rPr>
                <w:rFonts w:cs="Arial"/>
                <w:sz w:val="22"/>
                <w:szCs w:val="22"/>
              </w:rPr>
              <w:t xml:space="preserve">status </w:t>
            </w:r>
            <w:r w:rsidRPr="5311C3E3">
              <w:rPr>
                <w:rFonts w:cs="Arial"/>
                <w:sz w:val="22"/>
                <w:szCs w:val="22"/>
              </w:rPr>
              <w:t>; U&amp;Es</w:t>
            </w:r>
            <w:r w:rsidR="00094E32">
              <w:rPr>
                <w:rFonts w:cs="Arial"/>
                <w:sz w:val="22"/>
                <w:szCs w:val="22"/>
              </w:rPr>
              <w:t>, stool assessment</w:t>
            </w:r>
          </w:p>
        </w:tc>
      </w:tr>
      <w:tr w:rsidR="5311C3E3" w14:paraId="782EC65B" w14:textId="77777777" w:rsidTr="1F0E8EA4">
        <w:trPr>
          <w:trHeight w:val="300"/>
        </w:trPr>
        <w:tc>
          <w:tcPr>
            <w:tcW w:w="1843" w:type="dxa"/>
          </w:tcPr>
          <w:p w14:paraId="309CEC68" w14:textId="7FFB43C5" w:rsidR="5311C3E3" w:rsidRDefault="5311C3E3" w:rsidP="5311C3E3">
            <w:pPr>
              <w:spacing w:before="0" w:line="257" w:lineRule="auto"/>
            </w:pPr>
            <w:r w:rsidRPr="5311C3E3">
              <w:rPr>
                <w:rFonts w:cs="Arial"/>
                <w:sz w:val="22"/>
                <w:szCs w:val="22"/>
              </w:rPr>
              <w:t>Anticholinergics</w:t>
            </w:r>
          </w:p>
        </w:tc>
        <w:tc>
          <w:tcPr>
            <w:tcW w:w="1843" w:type="dxa"/>
          </w:tcPr>
          <w:p w14:paraId="289DD56B" w14:textId="61518D1E" w:rsidR="5311C3E3" w:rsidRDefault="5311C3E3" w:rsidP="5311C3E3">
            <w:pPr>
              <w:spacing w:before="0" w:line="257" w:lineRule="auto"/>
            </w:pPr>
            <w:r w:rsidRPr="5311C3E3">
              <w:rPr>
                <w:rFonts w:cs="Arial"/>
                <w:sz w:val="22"/>
                <w:szCs w:val="22"/>
              </w:rPr>
              <w:t>Procyclidine</w:t>
            </w:r>
          </w:p>
        </w:tc>
        <w:tc>
          <w:tcPr>
            <w:tcW w:w="1984" w:type="dxa"/>
          </w:tcPr>
          <w:p w14:paraId="0E4CE5E3" w14:textId="784F1A00" w:rsidR="5311C3E3" w:rsidRDefault="5311C3E3" w:rsidP="5311C3E3">
            <w:pPr>
              <w:spacing w:before="0" w:line="257" w:lineRule="auto"/>
            </w:pPr>
            <w:r w:rsidRPr="5311C3E3">
              <w:rPr>
                <w:rFonts w:cs="Arial"/>
                <w:sz w:val="22"/>
                <w:szCs w:val="22"/>
              </w:rPr>
              <w:t>Dry mouth, constipation</w:t>
            </w:r>
          </w:p>
        </w:tc>
        <w:tc>
          <w:tcPr>
            <w:tcW w:w="3690" w:type="dxa"/>
          </w:tcPr>
          <w:p w14:paraId="2F774766" w14:textId="409F450B" w:rsidR="5311C3E3" w:rsidRDefault="00094E32" w:rsidP="5311C3E3">
            <w:pPr>
              <w:spacing w:before="0" w:line="257" w:lineRule="auto"/>
            </w:pPr>
            <w:r>
              <w:rPr>
                <w:rFonts w:cs="Arial"/>
                <w:sz w:val="22"/>
                <w:szCs w:val="22"/>
              </w:rPr>
              <w:t>O</w:t>
            </w:r>
            <w:r w:rsidR="5311C3E3" w:rsidRPr="5311C3E3">
              <w:rPr>
                <w:rFonts w:cs="Arial"/>
                <w:sz w:val="22"/>
                <w:szCs w:val="22"/>
              </w:rPr>
              <w:t>ral intak</w:t>
            </w:r>
            <w:r>
              <w:rPr>
                <w:rFonts w:cs="Arial"/>
                <w:sz w:val="22"/>
                <w:szCs w:val="22"/>
              </w:rPr>
              <w:t xml:space="preserve">e, stool </w:t>
            </w:r>
            <w:r w:rsidR="00825F2C">
              <w:rPr>
                <w:rFonts w:cs="Arial"/>
                <w:sz w:val="22"/>
                <w:szCs w:val="22"/>
              </w:rPr>
              <w:t>assessment</w:t>
            </w:r>
          </w:p>
        </w:tc>
      </w:tr>
      <w:tr w:rsidR="5311C3E3" w14:paraId="06E727A8" w14:textId="77777777" w:rsidTr="1F0E8EA4">
        <w:trPr>
          <w:trHeight w:val="300"/>
        </w:trPr>
        <w:tc>
          <w:tcPr>
            <w:tcW w:w="1843" w:type="dxa"/>
          </w:tcPr>
          <w:p w14:paraId="14542371" w14:textId="37939F45" w:rsidR="5311C3E3" w:rsidRDefault="5311C3E3" w:rsidP="5311C3E3">
            <w:pPr>
              <w:spacing w:before="0" w:line="257" w:lineRule="auto"/>
            </w:pPr>
            <w:r w:rsidRPr="5311C3E3">
              <w:rPr>
                <w:rFonts w:cs="Arial"/>
                <w:sz w:val="22"/>
                <w:szCs w:val="22"/>
              </w:rPr>
              <w:t>SGLT2 inhibitors</w:t>
            </w:r>
          </w:p>
        </w:tc>
        <w:tc>
          <w:tcPr>
            <w:tcW w:w="1843" w:type="dxa"/>
          </w:tcPr>
          <w:p w14:paraId="57C4F5C9" w14:textId="37BA010E" w:rsidR="5311C3E3" w:rsidRDefault="5311C3E3" w:rsidP="5311C3E3">
            <w:pPr>
              <w:spacing w:before="0" w:line="257" w:lineRule="auto"/>
            </w:pPr>
            <w:r w:rsidRPr="5311C3E3">
              <w:rPr>
                <w:rFonts w:cs="Arial"/>
                <w:sz w:val="22"/>
                <w:szCs w:val="22"/>
              </w:rPr>
              <w:t>Various</w:t>
            </w:r>
          </w:p>
        </w:tc>
        <w:tc>
          <w:tcPr>
            <w:tcW w:w="1984" w:type="dxa"/>
          </w:tcPr>
          <w:p w14:paraId="0291B5C8" w14:textId="12C3723E" w:rsidR="5311C3E3" w:rsidRDefault="5311C3E3" w:rsidP="5311C3E3">
            <w:pPr>
              <w:spacing w:before="0" w:line="257" w:lineRule="auto"/>
            </w:pPr>
            <w:r w:rsidRPr="5311C3E3">
              <w:rPr>
                <w:rFonts w:cs="Arial"/>
                <w:sz w:val="22"/>
                <w:szCs w:val="22"/>
              </w:rPr>
              <w:t>Osmotic diuresis</w:t>
            </w:r>
          </w:p>
        </w:tc>
        <w:tc>
          <w:tcPr>
            <w:tcW w:w="3690" w:type="dxa"/>
          </w:tcPr>
          <w:p w14:paraId="3449941E" w14:textId="49EAF41C" w:rsidR="5311C3E3" w:rsidRDefault="00094E32" w:rsidP="5311C3E3">
            <w:pPr>
              <w:spacing w:before="0" w:line="257" w:lineRule="auto"/>
            </w:pPr>
            <w:r>
              <w:rPr>
                <w:rFonts w:cs="Arial"/>
                <w:sz w:val="22"/>
                <w:szCs w:val="22"/>
              </w:rPr>
              <w:t>H</w:t>
            </w:r>
            <w:r w:rsidR="5311C3E3" w:rsidRPr="5311C3E3">
              <w:rPr>
                <w:rFonts w:cs="Arial"/>
                <w:sz w:val="22"/>
                <w:szCs w:val="22"/>
              </w:rPr>
              <w:t>ydration status</w:t>
            </w:r>
          </w:p>
        </w:tc>
      </w:tr>
    </w:tbl>
    <w:p w14:paraId="52DCAFCC" w14:textId="3A1DE7B1" w:rsidR="5311C3E3" w:rsidRDefault="5311C3E3" w:rsidP="5311C3E3">
      <w:pPr>
        <w:spacing w:before="240" w:after="240"/>
        <w:rPr>
          <w:rFonts w:cs="Arial"/>
          <w:sz w:val="22"/>
          <w:szCs w:val="22"/>
        </w:rPr>
      </w:pPr>
    </w:p>
    <w:p w14:paraId="2287E415" w14:textId="76DDD6FF" w:rsidR="1B632630" w:rsidRDefault="1B632630" w:rsidP="5311C3E3">
      <w:pPr>
        <w:spacing w:before="240" w:after="240"/>
        <w:rPr>
          <w:rFonts w:cs="Arial"/>
          <w:sz w:val="22"/>
          <w:szCs w:val="22"/>
        </w:rPr>
      </w:pPr>
      <w:r w:rsidRPr="5311C3E3">
        <w:rPr>
          <w:rFonts w:cs="Arial"/>
          <w:sz w:val="22"/>
          <w:szCs w:val="22"/>
        </w:rPr>
        <w:t xml:space="preserve"> Consideration must include:</w:t>
      </w:r>
    </w:p>
    <w:p w14:paraId="28DE7F9C" w14:textId="7399D403" w:rsidR="1B632630" w:rsidRDefault="1B632630" w:rsidP="00825F2C">
      <w:pPr>
        <w:pStyle w:val="ListParagraph"/>
        <w:numPr>
          <w:ilvl w:val="0"/>
          <w:numId w:val="32"/>
        </w:numPr>
        <w:spacing w:before="240" w:after="240"/>
        <w:rPr>
          <w:rFonts w:cs="Arial"/>
          <w:sz w:val="22"/>
          <w:szCs w:val="22"/>
        </w:rPr>
      </w:pPr>
      <w:r w:rsidRPr="5311C3E3">
        <w:rPr>
          <w:rFonts w:cs="Arial"/>
          <w:sz w:val="22"/>
          <w:szCs w:val="22"/>
        </w:rPr>
        <w:t>Appetite and nutritional intake</w:t>
      </w:r>
    </w:p>
    <w:p w14:paraId="46B52B9A" w14:textId="132F0239" w:rsidR="1B632630" w:rsidRDefault="00094E32" w:rsidP="00825F2C">
      <w:pPr>
        <w:pStyle w:val="ListParagraph"/>
        <w:numPr>
          <w:ilvl w:val="0"/>
          <w:numId w:val="32"/>
        </w:numPr>
        <w:spacing w:before="240" w:after="240"/>
        <w:rPr>
          <w:rFonts w:cs="Arial"/>
          <w:sz w:val="22"/>
          <w:szCs w:val="22"/>
        </w:rPr>
      </w:pPr>
      <w:r>
        <w:rPr>
          <w:rFonts w:cs="Arial"/>
          <w:sz w:val="22"/>
          <w:szCs w:val="22"/>
        </w:rPr>
        <w:t>Unintended w</w:t>
      </w:r>
      <w:r w:rsidR="1B632630" w:rsidRPr="5311C3E3">
        <w:rPr>
          <w:rFonts w:cs="Arial"/>
          <w:sz w:val="22"/>
          <w:szCs w:val="22"/>
        </w:rPr>
        <w:t>eight gain or weight loss</w:t>
      </w:r>
    </w:p>
    <w:p w14:paraId="16697C57" w14:textId="550B00D3" w:rsidR="1B632630" w:rsidRDefault="1B632630" w:rsidP="00825F2C">
      <w:pPr>
        <w:pStyle w:val="ListParagraph"/>
        <w:numPr>
          <w:ilvl w:val="0"/>
          <w:numId w:val="32"/>
        </w:numPr>
        <w:spacing w:before="240" w:after="240"/>
        <w:rPr>
          <w:rFonts w:cs="Arial"/>
          <w:sz w:val="22"/>
          <w:szCs w:val="22"/>
        </w:rPr>
      </w:pPr>
      <w:r w:rsidRPr="5311C3E3">
        <w:rPr>
          <w:rFonts w:cs="Arial"/>
          <w:sz w:val="22"/>
          <w:szCs w:val="22"/>
        </w:rPr>
        <w:t>Central adiposity and metabolic risk (including diabetes and dyslipidaemia)</w:t>
      </w:r>
    </w:p>
    <w:p w14:paraId="5FB7C316" w14:textId="63B75AC9" w:rsidR="1B632630" w:rsidRDefault="1B632630" w:rsidP="00825F2C">
      <w:pPr>
        <w:pStyle w:val="ListParagraph"/>
        <w:numPr>
          <w:ilvl w:val="0"/>
          <w:numId w:val="32"/>
        </w:numPr>
        <w:spacing w:before="240" w:after="240"/>
        <w:rPr>
          <w:rFonts w:cs="Arial"/>
          <w:sz w:val="22"/>
          <w:szCs w:val="22"/>
        </w:rPr>
      </w:pPr>
      <w:r w:rsidRPr="5311C3E3">
        <w:rPr>
          <w:rFonts w:cs="Arial"/>
          <w:sz w:val="22"/>
          <w:szCs w:val="22"/>
        </w:rPr>
        <w:t>Hydration status and electrolyte balance</w:t>
      </w:r>
    </w:p>
    <w:p w14:paraId="621ED146" w14:textId="2828566D" w:rsidR="1B632630" w:rsidRDefault="1B632630" w:rsidP="00825F2C">
      <w:pPr>
        <w:pStyle w:val="ListParagraph"/>
        <w:numPr>
          <w:ilvl w:val="0"/>
          <w:numId w:val="32"/>
        </w:numPr>
        <w:spacing w:before="240" w:after="240"/>
        <w:rPr>
          <w:rFonts w:cs="Arial"/>
          <w:sz w:val="22"/>
          <w:szCs w:val="22"/>
        </w:rPr>
      </w:pPr>
      <w:r w:rsidRPr="5311C3E3">
        <w:rPr>
          <w:rFonts w:cs="Arial"/>
          <w:sz w:val="22"/>
          <w:szCs w:val="22"/>
        </w:rPr>
        <w:t>Swallowing safety where clinically indicated</w:t>
      </w:r>
    </w:p>
    <w:p w14:paraId="2E885F6D" w14:textId="7D168318" w:rsidR="00FD1109" w:rsidRDefault="00FD1109" w:rsidP="00FD1109">
      <w:pPr>
        <w:pStyle w:val="ListParagraph"/>
        <w:numPr>
          <w:ilvl w:val="0"/>
          <w:numId w:val="32"/>
        </w:numPr>
        <w:spacing w:before="240" w:after="240"/>
        <w:rPr>
          <w:rFonts w:cs="Arial"/>
          <w:sz w:val="22"/>
          <w:szCs w:val="22"/>
        </w:rPr>
      </w:pPr>
      <w:r w:rsidRPr="00FD1109">
        <w:rPr>
          <w:rFonts w:cs="Arial"/>
          <w:sz w:val="22"/>
          <w:szCs w:val="22"/>
        </w:rPr>
        <w:t>Bowel function, including risk of constipation, particularly with antipsychotic and anticholinergic medication</w:t>
      </w:r>
    </w:p>
    <w:p w14:paraId="31575C0C" w14:textId="66098B78" w:rsidR="1B632630" w:rsidRDefault="1B632630" w:rsidP="5311C3E3">
      <w:pPr>
        <w:spacing w:before="240" w:after="240"/>
        <w:rPr>
          <w:rFonts w:cs="Arial"/>
          <w:sz w:val="22"/>
          <w:szCs w:val="22"/>
        </w:rPr>
      </w:pPr>
      <w:r w:rsidRPr="5311C3E3">
        <w:rPr>
          <w:rFonts w:cs="Arial"/>
          <w:sz w:val="22"/>
          <w:szCs w:val="22"/>
        </w:rPr>
        <w:t>For service users prescribed antipsychotic medication, baseline and ongoing monitoring of weight, BMI, waist circumference, blood glucose/HbA1c, lipids and blood pressure must be completed in line with NICE CG178 and</w:t>
      </w:r>
      <w:r w:rsidR="004468BC">
        <w:rPr>
          <w:rFonts w:cs="Arial"/>
          <w:sz w:val="22"/>
          <w:szCs w:val="22"/>
        </w:rPr>
        <w:t xml:space="preserve"> relevant</w:t>
      </w:r>
      <w:r w:rsidRPr="5311C3E3">
        <w:rPr>
          <w:rFonts w:cs="Arial"/>
          <w:sz w:val="22"/>
          <w:szCs w:val="22"/>
        </w:rPr>
        <w:t xml:space="preserve"> Trust physical health </w:t>
      </w:r>
      <w:r w:rsidR="004468BC">
        <w:rPr>
          <w:rFonts w:cs="Arial"/>
          <w:sz w:val="22"/>
          <w:szCs w:val="22"/>
        </w:rPr>
        <w:t xml:space="preserve">and antipsychotics and mood stabilisers physical health </w:t>
      </w:r>
      <w:r w:rsidRPr="5311C3E3">
        <w:rPr>
          <w:rFonts w:cs="Arial"/>
          <w:sz w:val="22"/>
          <w:szCs w:val="22"/>
        </w:rPr>
        <w:t>monitoring guidance.</w:t>
      </w:r>
    </w:p>
    <w:p w14:paraId="1F628D8A" w14:textId="5E67BC0A" w:rsidR="5311C3E3" w:rsidRDefault="5311C3E3" w:rsidP="5311C3E3">
      <w:pPr>
        <w:spacing w:before="240" w:after="240"/>
        <w:rPr>
          <w:rFonts w:cs="Arial"/>
          <w:sz w:val="22"/>
          <w:szCs w:val="22"/>
        </w:rPr>
      </w:pPr>
    </w:p>
    <w:p w14:paraId="7D083428" w14:textId="1A888D12" w:rsidR="5311C3E3" w:rsidRDefault="00FD1109" w:rsidP="5311C3E3">
      <w:pPr>
        <w:spacing w:before="240" w:after="240"/>
        <w:rPr>
          <w:rFonts w:cs="Arial"/>
          <w:sz w:val="22"/>
          <w:szCs w:val="22"/>
        </w:rPr>
      </w:pPr>
      <w:r w:rsidRPr="00FD1109">
        <w:rPr>
          <w:rFonts w:cs="Arial"/>
          <w:sz w:val="22"/>
          <w:szCs w:val="22"/>
        </w:rPr>
        <w:t>Where medication contributes to nutritional risk, dehydration, rapid and unintended weight change, electrolyte disturbance, constipation or swallowing impairment, appropriate monitoring and escalation must occur immediately.</w:t>
      </w:r>
    </w:p>
    <w:p w14:paraId="59153A11" w14:textId="77777777" w:rsidR="00FD1109" w:rsidRDefault="00FD1109" w:rsidP="5311C3E3">
      <w:pPr>
        <w:spacing w:before="240" w:after="240"/>
        <w:rPr>
          <w:rFonts w:cs="Arial"/>
          <w:sz w:val="22"/>
          <w:szCs w:val="22"/>
        </w:rPr>
      </w:pPr>
    </w:p>
    <w:p w14:paraId="2CD6AE85" w14:textId="77777777" w:rsidR="00011486" w:rsidRDefault="00011486">
      <w:pPr>
        <w:keepNext w:val="0"/>
        <w:keepLines w:val="0"/>
        <w:spacing w:before="0" w:after="160"/>
        <w:contextualSpacing w:val="0"/>
        <w:jc w:val="left"/>
        <w:outlineLvl w:val="9"/>
        <w:rPr>
          <w:rFonts w:cs="Arial"/>
          <w:sz w:val="22"/>
          <w:szCs w:val="22"/>
        </w:rPr>
      </w:pPr>
      <w:r>
        <w:rPr>
          <w:rFonts w:cs="Arial"/>
          <w:sz w:val="22"/>
          <w:szCs w:val="22"/>
        </w:rPr>
        <w:br w:type="page"/>
      </w:r>
    </w:p>
    <w:p w14:paraId="3196C452" w14:textId="269E9569" w:rsidR="1B632630" w:rsidRDefault="1B632630" w:rsidP="5311C3E3">
      <w:pPr>
        <w:spacing w:before="240" w:after="240"/>
        <w:rPr>
          <w:rFonts w:cs="Arial"/>
          <w:sz w:val="22"/>
          <w:szCs w:val="22"/>
        </w:rPr>
      </w:pPr>
      <w:r w:rsidRPr="5311C3E3">
        <w:rPr>
          <w:rFonts w:cs="Arial"/>
          <w:sz w:val="22"/>
          <w:szCs w:val="22"/>
        </w:rPr>
        <w:lastRenderedPageBreak/>
        <w:t>Medication-related risks must be:</w:t>
      </w:r>
    </w:p>
    <w:p w14:paraId="453C4349" w14:textId="66430B64" w:rsidR="1B632630" w:rsidRDefault="1B632630" w:rsidP="00825F2C">
      <w:pPr>
        <w:pStyle w:val="ListParagraph"/>
        <w:numPr>
          <w:ilvl w:val="0"/>
          <w:numId w:val="31"/>
        </w:numPr>
        <w:spacing w:before="240" w:after="240"/>
        <w:rPr>
          <w:rFonts w:cs="Arial"/>
          <w:sz w:val="22"/>
          <w:szCs w:val="22"/>
        </w:rPr>
      </w:pPr>
      <w:r w:rsidRPr="5311C3E3">
        <w:rPr>
          <w:rFonts w:cs="Arial"/>
          <w:sz w:val="22"/>
          <w:szCs w:val="22"/>
        </w:rPr>
        <w:t>Documented in the electronic patient record</w:t>
      </w:r>
    </w:p>
    <w:p w14:paraId="33036876" w14:textId="10D612DE" w:rsidR="1B632630" w:rsidRDefault="1B632630" w:rsidP="00825F2C">
      <w:pPr>
        <w:pStyle w:val="ListParagraph"/>
        <w:numPr>
          <w:ilvl w:val="0"/>
          <w:numId w:val="31"/>
        </w:numPr>
        <w:spacing w:before="240" w:after="240"/>
        <w:rPr>
          <w:rFonts w:cs="Arial"/>
          <w:sz w:val="22"/>
          <w:szCs w:val="22"/>
        </w:rPr>
      </w:pPr>
      <w:r w:rsidRPr="5311C3E3">
        <w:rPr>
          <w:rFonts w:cs="Arial"/>
          <w:sz w:val="22"/>
          <w:szCs w:val="22"/>
        </w:rPr>
        <w:t>Reflected in the care plan</w:t>
      </w:r>
    </w:p>
    <w:p w14:paraId="0B36C7AB" w14:textId="07C02CE9" w:rsidR="1B632630" w:rsidRDefault="1B632630" w:rsidP="00825F2C">
      <w:pPr>
        <w:pStyle w:val="ListParagraph"/>
        <w:numPr>
          <w:ilvl w:val="0"/>
          <w:numId w:val="31"/>
        </w:numPr>
        <w:spacing w:before="240" w:after="240"/>
        <w:rPr>
          <w:rFonts w:cs="Arial"/>
          <w:sz w:val="22"/>
          <w:szCs w:val="22"/>
        </w:rPr>
      </w:pPr>
      <w:r w:rsidRPr="5311C3E3">
        <w:rPr>
          <w:rFonts w:cs="Arial"/>
          <w:sz w:val="22"/>
          <w:szCs w:val="22"/>
        </w:rPr>
        <w:t>Reviewed within MDT discussions</w:t>
      </w:r>
    </w:p>
    <w:p w14:paraId="3F748D56" w14:textId="19ECC338" w:rsidR="1B632630" w:rsidRDefault="1B632630" w:rsidP="00825F2C">
      <w:pPr>
        <w:pStyle w:val="ListParagraph"/>
        <w:numPr>
          <w:ilvl w:val="0"/>
          <w:numId w:val="31"/>
        </w:numPr>
        <w:spacing w:before="240" w:after="240"/>
        <w:rPr>
          <w:rFonts w:cs="Arial"/>
          <w:sz w:val="22"/>
          <w:szCs w:val="22"/>
        </w:rPr>
      </w:pPr>
      <w:r w:rsidRPr="5311C3E3">
        <w:rPr>
          <w:rFonts w:cs="Arial"/>
          <w:sz w:val="22"/>
          <w:szCs w:val="22"/>
        </w:rPr>
        <w:t>Included in discharge summaries where relevant</w:t>
      </w:r>
    </w:p>
    <w:p w14:paraId="348149F1" w14:textId="01A72225" w:rsidR="1B632630" w:rsidRDefault="1B632630" w:rsidP="5311C3E3">
      <w:pPr>
        <w:spacing w:before="240" w:after="240"/>
        <w:rPr>
          <w:rFonts w:cs="Arial"/>
          <w:sz w:val="22"/>
          <w:szCs w:val="22"/>
        </w:rPr>
      </w:pPr>
      <w:r w:rsidRPr="5311C3E3">
        <w:rPr>
          <w:rFonts w:cs="Arial"/>
          <w:sz w:val="22"/>
          <w:szCs w:val="22"/>
        </w:rPr>
        <w:t>Management of medication-related nutrition and hydration risks must comply with Regulation 14 of the Health and Social Care Act 2008 (Regulated Activities) Regulations 2014.</w:t>
      </w:r>
    </w:p>
    <w:p w14:paraId="3ED0C709" w14:textId="7D5330C8" w:rsidR="5311C3E3" w:rsidRDefault="5311C3E3" w:rsidP="5311C3E3">
      <w:pPr>
        <w:rPr>
          <w:rFonts w:cs="Arial"/>
          <w:sz w:val="22"/>
          <w:szCs w:val="22"/>
        </w:rPr>
      </w:pPr>
    </w:p>
    <w:p w14:paraId="0C58B571" w14:textId="0F1BD98E" w:rsidR="1B632630" w:rsidRDefault="1B632630" w:rsidP="5311C3E3">
      <w:pPr>
        <w:spacing w:before="240" w:after="240"/>
        <w:rPr>
          <w:rFonts w:cs="Arial"/>
          <w:sz w:val="22"/>
          <w:szCs w:val="22"/>
        </w:rPr>
      </w:pPr>
      <w:r w:rsidRPr="5311C3E3">
        <w:rPr>
          <w:rFonts w:cs="Arial"/>
          <w:sz w:val="22"/>
          <w:szCs w:val="22"/>
        </w:rPr>
        <w:t xml:space="preserve"> Escalation thresholds - The following require MDT review and consideration of specialist referral:</w:t>
      </w:r>
    </w:p>
    <w:p w14:paraId="59E1768A" w14:textId="583BDC16" w:rsidR="1B632630" w:rsidRDefault="1B632630" w:rsidP="00825F2C">
      <w:pPr>
        <w:pStyle w:val="ListParagraph"/>
        <w:numPr>
          <w:ilvl w:val="0"/>
          <w:numId w:val="30"/>
        </w:numPr>
        <w:spacing w:before="240" w:after="240"/>
        <w:rPr>
          <w:rFonts w:cs="Arial"/>
          <w:sz w:val="22"/>
          <w:szCs w:val="22"/>
        </w:rPr>
      </w:pPr>
      <w:r w:rsidRPr="5311C3E3">
        <w:rPr>
          <w:rFonts w:cs="Arial"/>
          <w:sz w:val="22"/>
          <w:szCs w:val="22"/>
        </w:rPr>
        <w:t>≥5% unintentional weight loss</w:t>
      </w:r>
    </w:p>
    <w:p w14:paraId="46726DAB" w14:textId="6CEEFA2D" w:rsidR="1B632630" w:rsidRDefault="1B632630" w:rsidP="00825F2C">
      <w:pPr>
        <w:pStyle w:val="ListParagraph"/>
        <w:numPr>
          <w:ilvl w:val="0"/>
          <w:numId w:val="30"/>
        </w:numPr>
        <w:spacing w:before="240" w:after="240"/>
        <w:rPr>
          <w:rFonts w:cs="Arial"/>
          <w:sz w:val="22"/>
          <w:szCs w:val="22"/>
        </w:rPr>
      </w:pPr>
      <w:r w:rsidRPr="5311C3E3">
        <w:rPr>
          <w:rFonts w:cs="Arial"/>
          <w:sz w:val="22"/>
          <w:szCs w:val="22"/>
        </w:rPr>
        <w:t xml:space="preserve">≥5% or </w:t>
      </w:r>
      <w:r w:rsidR="002A6CDC" w:rsidRPr="5311C3E3">
        <w:rPr>
          <w:rFonts w:cs="Arial"/>
          <w:sz w:val="22"/>
          <w:szCs w:val="22"/>
        </w:rPr>
        <w:t>≥</w:t>
      </w:r>
      <w:r w:rsidRPr="5311C3E3">
        <w:rPr>
          <w:rFonts w:cs="Arial"/>
          <w:sz w:val="22"/>
          <w:szCs w:val="22"/>
        </w:rPr>
        <w:t>5kg weight gain within 3 months</w:t>
      </w:r>
    </w:p>
    <w:p w14:paraId="557629B7" w14:textId="5BE171E3" w:rsidR="1B632630" w:rsidRDefault="1B632630" w:rsidP="00825F2C">
      <w:pPr>
        <w:pStyle w:val="ListParagraph"/>
        <w:numPr>
          <w:ilvl w:val="0"/>
          <w:numId w:val="30"/>
        </w:numPr>
        <w:spacing w:before="240" w:after="240"/>
        <w:rPr>
          <w:rFonts w:cs="Arial"/>
          <w:sz w:val="22"/>
          <w:szCs w:val="22"/>
        </w:rPr>
      </w:pPr>
      <w:r w:rsidRPr="5311C3E3">
        <w:rPr>
          <w:rFonts w:cs="Arial"/>
          <w:sz w:val="22"/>
          <w:szCs w:val="22"/>
        </w:rPr>
        <w:t xml:space="preserve">≥10% or </w:t>
      </w:r>
      <w:r w:rsidR="002A6CDC" w:rsidRPr="5311C3E3">
        <w:rPr>
          <w:rFonts w:cs="Arial"/>
          <w:sz w:val="22"/>
          <w:szCs w:val="22"/>
        </w:rPr>
        <w:t>≥</w:t>
      </w:r>
      <w:r w:rsidRPr="5311C3E3">
        <w:rPr>
          <w:rFonts w:cs="Arial"/>
          <w:sz w:val="22"/>
          <w:szCs w:val="22"/>
        </w:rPr>
        <w:t>5kg weight gain within 6 months</w:t>
      </w:r>
    </w:p>
    <w:p w14:paraId="2BC4F2CF" w14:textId="39F10B11" w:rsidR="1B632630" w:rsidRDefault="1B632630" w:rsidP="00825F2C">
      <w:pPr>
        <w:pStyle w:val="ListParagraph"/>
        <w:numPr>
          <w:ilvl w:val="0"/>
          <w:numId w:val="30"/>
        </w:numPr>
        <w:spacing w:before="240" w:after="240"/>
        <w:rPr>
          <w:rFonts w:cs="Arial"/>
          <w:sz w:val="22"/>
          <w:szCs w:val="22"/>
        </w:rPr>
      </w:pPr>
      <w:r w:rsidRPr="5311C3E3">
        <w:rPr>
          <w:rFonts w:cs="Arial"/>
          <w:sz w:val="22"/>
          <w:szCs w:val="22"/>
        </w:rPr>
        <w:t>Abnormal metabolic markers (elevated HbA1c, lipids or glucose)</w:t>
      </w:r>
    </w:p>
    <w:p w14:paraId="2B0C574F" w14:textId="27AFE36B" w:rsidR="1B632630" w:rsidRDefault="1B632630" w:rsidP="00825F2C">
      <w:pPr>
        <w:pStyle w:val="ListParagraph"/>
        <w:numPr>
          <w:ilvl w:val="0"/>
          <w:numId w:val="30"/>
        </w:numPr>
        <w:spacing w:before="240" w:after="240"/>
        <w:rPr>
          <w:rFonts w:cs="Arial"/>
          <w:sz w:val="22"/>
          <w:szCs w:val="22"/>
        </w:rPr>
      </w:pPr>
      <w:r w:rsidRPr="5311C3E3">
        <w:rPr>
          <w:rFonts w:cs="Arial"/>
          <w:sz w:val="22"/>
          <w:szCs w:val="22"/>
        </w:rPr>
        <w:t>Appetite suppression affecting growth in children and young people</w:t>
      </w:r>
    </w:p>
    <w:p w14:paraId="10345955" w14:textId="0428519C" w:rsidR="1B632630" w:rsidRDefault="1B632630" w:rsidP="00825F2C">
      <w:pPr>
        <w:pStyle w:val="ListParagraph"/>
        <w:numPr>
          <w:ilvl w:val="0"/>
          <w:numId w:val="30"/>
        </w:numPr>
        <w:spacing w:before="240" w:after="240"/>
        <w:rPr>
          <w:rFonts w:cs="Arial"/>
          <w:sz w:val="22"/>
          <w:szCs w:val="22"/>
        </w:rPr>
      </w:pPr>
      <w:r w:rsidRPr="5311C3E3">
        <w:rPr>
          <w:rFonts w:cs="Arial"/>
          <w:sz w:val="22"/>
          <w:szCs w:val="22"/>
        </w:rPr>
        <w:t>Signs of dehydration or electrolyte disturbance</w:t>
      </w:r>
      <w:r w:rsidR="002A6CDC">
        <w:rPr>
          <w:rFonts w:cs="Arial"/>
          <w:sz w:val="22"/>
          <w:szCs w:val="22"/>
        </w:rPr>
        <w:t xml:space="preserve"> </w:t>
      </w:r>
    </w:p>
    <w:p w14:paraId="0966D3A5" w14:textId="5F2BAA3C" w:rsidR="2E0AB19A" w:rsidRDefault="2D3C8190" w:rsidP="5311C3E3">
      <w:pPr>
        <w:pStyle w:val="Heading1"/>
        <w:rPr>
          <w:sz w:val="22"/>
          <w:szCs w:val="22"/>
        </w:rPr>
      </w:pPr>
      <w:bookmarkStart w:id="117" w:name="_Toc224651850"/>
      <w:bookmarkStart w:id="118" w:name="_Toc224652006"/>
      <w:bookmarkStart w:id="119" w:name="_Toc227057829"/>
      <w:r>
        <w:t>5</w:t>
      </w:r>
      <w:r w:rsidR="2E0AB19A">
        <w:tab/>
      </w:r>
      <w:r w:rsidR="4105DBF7">
        <w:t>Clinical Nutrition Management</w:t>
      </w:r>
      <w:bookmarkEnd w:id="117"/>
      <w:bookmarkEnd w:id="118"/>
      <w:bookmarkEnd w:id="119"/>
      <w:r w:rsidR="48250F18">
        <w:t xml:space="preserve"> </w:t>
      </w:r>
    </w:p>
    <w:p w14:paraId="1C0C7B54" w14:textId="1BCBC947" w:rsidR="2AAD45D3" w:rsidRDefault="2AAD45D3" w:rsidP="5311C3E3">
      <w:pPr>
        <w:rPr>
          <w:rFonts w:cs="Arial"/>
          <w:color w:val="000000" w:themeColor="text1"/>
          <w:sz w:val="22"/>
          <w:szCs w:val="22"/>
        </w:rPr>
      </w:pPr>
    </w:p>
    <w:p w14:paraId="32B27309" w14:textId="50805FFF" w:rsidR="71A65E9A" w:rsidRDefault="24F8457D" w:rsidP="00517414">
      <w:pPr>
        <w:pStyle w:val="Heading3"/>
        <w:spacing w:after="240"/>
        <w:rPr>
          <w:rStyle w:val="Heading2Char"/>
        </w:rPr>
      </w:pPr>
      <w:r w:rsidRPr="5311C3E3">
        <w:rPr>
          <w:rFonts w:ascii="Arial" w:eastAsia="Arial" w:hAnsi="Arial" w:cs="Arial"/>
          <w:sz w:val="22"/>
          <w:szCs w:val="22"/>
        </w:rPr>
        <w:t xml:space="preserve"> </w:t>
      </w:r>
      <w:bookmarkStart w:id="120" w:name="_Toc224651851"/>
      <w:bookmarkStart w:id="121" w:name="_Toc224652007"/>
      <w:bookmarkStart w:id="122" w:name="_Toc227057830"/>
      <w:r w:rsidR="053E91FB" w:rsidRPr="5311C3E3">
        <w:rPr>
          <w:rStyle w:val="Heading2Char"/>
        </w:rPr>
        <w:t xml:space="preserve">5.1 </w:t>
      </w:r>
      <w:r w:rsidR="2FBEBA93" w:rsidRPr="5311C3E3">
        <w:rPr>
          <w:rStyle w:val="Heading2Char"/>
        </w:rPr>
        <w:t>Mealtime</w:t>
      </w:r>
      <w:r w:rsidRPr="5311C3E3">
        <w:rPr>
          <w:rStyle w:val="Heading2Char"/>
        </w:rPr>
        <w:t xml:space="preserve"> observation </w:t>
      </w:r>
      <w:r w:rsidR="474C9426" w:rsidRPr="5311C3E3">
        <w:rPr>
          <w:rStyle w:val="Heading2Char"/>
        </w:rPr>
        <w:t>and s</w:t>
      </w:r>
      <w:r w:rsidR="4848004E" w:rsidRPr="5311C3E3">
        <w:rPr>
          <w:rStyle w:val="Heading2Char"/>
        </w:rPr>
        <w:t>u</w:t>
      </w:r>
      <w:r w:rsidR="474C9426" w:rsidRPr="5311C3E3">
        <w:rPr>
          <w:rStyle w:val="Heading2Char"/>
        </w:rPr>
        <w:t>pport</w:t>
      </w:r>
      <w:bookmarkEnd w:id="120"/>
      <w:bookmarkEnd w:id="121"/>
      <w:bookmarkEnd w:id="122"/>
    </w:p>
    <w:p w14:paraId="68DE1A15" w14:textId="6AF4F4D6" w:rsidR="1B8E5B3B" w:rsidRDefault="4A4CF10B" w:rsidP="5311C3E3">
      <w:pPr>
        <w:rPr>
          <w:rFonts w:cs="Arial"/>
          <w:color w:val="000000" w:themeColor="text1"/>
          <w:sz w:val="22"/>
          <w:szCs w:val="22"/>
        </w:rPr>
      </w:pPr>
      <w:r w:rsidRPr="5311C3E3">
        <w:rPr>
          <w:rFonts w:cs="Arial"/>
          <w:color w:val="000000" w:themeColor="text1"/>
          <w:sz w:val="22"/>
          <w:szCs w:val="22"/>
        </w:rPr>
        <w:t xml:space="preserve">Staff must observe service users during meals to identify signs of inadequate or </w:t>
      </w:r>
      <w:r w:rsidR="00E0647B" w:rsidRPr="5311C3E3">
        <w:rPr>
          <w:rFonts w:cs="Arial"/>
          <w:color w:val="000000" w:themeColor="text1"/>
          <w:sz w:val="22"/>
          <w:szCs w:val="22"/>
        </w:rPr>
        <w:t>imbalanced food</w:t>
      </w:r>
      <w:r w:rsidR="046FF26A" w:rsidRPr="5311C3E3">
        <w:rPr>
          <w:rFonts w:cs="Arial"/>
          <w:color w:val="000000" w:themeColor="text1"/>
          <w:sz w:val="22"/>
          <w:szCs w:val="22"/>
        </w:rPr>
        <w:t xml:space="preserve"> and</w:t>
      </w:r>
      <w:r w:rsidR="002A6CDC">
        <w:rPr>
          <w:rFonts w:cs="Arial"/>
          <w:color w:val="000000" w:themeColor="text1"/>
          <w:sz w:val="22"/>
          <w:szCs w:val="22"/>
        </w:rPr>
        <w:t>/or</w:t>
      </w:r>
      <w:r w:rsidR="046FF26A" w:rsidRPr="5311C3E3">
        <w:rPr>
          <w:rFonts w:cs="Arial"/>
          <w:color w:val="000000" w:themeColor="text1"/>
          <w:sz w:val="22"/>
          <w:szCs w:val="22"/>
        </w:rPr>
        <w:t xml:space="preserve"> fluid</w:t>
      </w:r>
      <w:r w:rsidR="00825F2C">
        <w:rPr>
          <w:rFonts w:cs="Arial"/>
          <w:color w:val="000000" w:themeColor="text1"/>
          <w:sz w:val="22"/>
          <w:szCs w:val="22"/>
        </w:rPr>
        <w:t xml:space="preserve"> </w:t>
      </w:r>
      <w:r w:rsidRPr="5311C3E3">
        <w:rPr>
          <w:rFonts w:cs="Arial"/>
          <w:color w:val="000000" w:themeColor="text1"/>
          <w:sz w:val="22"/>
          <w:szCs w:val="22"/>
        </w:rPr>
        <w:t>intake, reduced appetite, or swallowing difficulties (dysphagia).</w:t>
      </w:r>
      <w:r w:rsidR="00E0647B">
        <w:rPr>
          <w:rFonts w:cs="Arial"/>
          <w:color w:val="000000" w:themeColor="text1"/>
          <w:sz w:val="22"/>
          <w:szCs w:val="22"/>
        </w:rPr>
        <w:t xml:space="preserve"> </w:t>
      </w:r>
      <w:r w:rsidR="00E0647B" w:rsidRPr="00E0647B">
        <w:rPr>
          <w:rFonts w:cs="Arial"/>
          <w:color w:val="000000" w:themeColor="text1"/>
          <w:sz w:val="22"/>
          <w:szCs w:val="22"/>
        </w:rPr>
        <w:t>Observation and monitoring of intake must align with the Trust Therapeutic Engagement and Observation Policy</w:t>
      </w:r>
      <w:r w:rsidR="00E0647B">
        <w:rPr>
          <w:rFonts w:cs="Arial"/>
          <w:color w:val="000000" w:themeColor="text1"/>
          <w:sz w:val="22"/>
          <w:szCs w:val="22"/>
        </w:rPr>
        <w:t>.</w:t>
      </w:r>
    </w:p>
    <w:p w14:paraId="57D47161" w14:textId="559B9AB3" w:rsidR="5B7B2C7A" w:rsidRDefault="5B7B2C7A" w:rsidP="5311C3E3">
      <w:pPr>
        <w:rPr>
          <w:rFonts w:cs="Arial"/>
          <w:sz w:val="22"/>
          <w:szCs w:val="22"/>
        </w:rPr>
      </w:pPr>
    </w:p>
    <w:p w14:paraId="4D6BDAA0" w14:textId="3A7FA841" w:rsidR="1B8E5B3B" w:rsidRDefault="089EE0B3" w:rsidP="5797C427">
      <w:pPr>
        <w:rPr>
          <w:rFonts w:cs="Arial"/>
          <w:sz w:val="22"/>
          <w:szCs w:val="22"/>
        </w:rPr>
      </w:pPr>
      <w:r w:rsidRPr="46BBC149">
        <w:rPr>
          <w:rFonts w:cs="Arial"/>
          <w:sz w:val="22"/>
          <w:szCs w:val="22"/>
        </w:rPr>
        <w:t xml:space="preserve"> If concerns regarding nutrition, hydration, swallowing, or bowel function (including constipation) are identified, staff must escalate these immediately to the nurse in charge, who will arrange appropriate referrals (e.g., Speech and Language Therapy or dietetics) and ensure a care plan is developed or updated. Where specialist assessment or intervention cannot be accessed, the multidisciplinary team (MDT), including the Physical Health Lead Nurse and Medical Team, must review the case and consider further escalation or alternative options to secure appropriate care.</w:t>
      </w:r>
    </w:p>
    <w:p w14:paraId="350495EE" w14:textId="2291BE14" w:rsidR="5B7B2C7A" w:rsidRDefault="5B7B2C7A" w:rsidP="5311C3E3">
      <w:pPr>
        <w:rPr>
          <w:rFonts w:cs="Arial"/>
          <w:sz w:val="22"/>
          <w:szCs w:val="22"/>
        </w:rPr>
      </w:pPr>
    </w:p>
    <w:p w14:paraId="3FFB5DA6" w14:textId="3EDDA1AE" w:rsidR="1B8E5B3B" w:rsidRDefault="4A4CF10B" w:rsidP="5311C3E3">
      <w:pPr>
        <w:rPr>
          <w:rFonts w:cs="Arial"/>
          <w:sz w:val="22"/>
          <w:szCs w:val="22"/>
        </w:rPr>
      </w:pPr>
      <w:r w:rsidRPr="5311C3E3">
        <w:rPr>
          <w:rFonts w:cs="Arial"/>
          <w:sz w:val="22"/>
          <w:szCs w:val="22"/>
        </w:rPr>
        <w:t>All identified nutrition</w:t>
      </w:r>
      <w:r w:rsidR="3259197D" w:rsidRPr="5311C3E3">
        <w:rPr>
          <w:rFonts w:cs="Arial"/>
          <w:sz w:val="22"/>
          <w:szCs w:val="22"/>
        </w:rPr>
        <w:t xml:space="preserve">, </w:t>
      </w:r>
      <w:r w:rsidRPr="5311C3E3">
        <w:rPr>
          <w:rFonts w:cs="Arial"/>
          <w:sz w:val="22"/>
          <w:szCs w:val="22"/>
        </w:rPr>
        <w:t>hydration</w:t>
      </w:r>
      <w:r w:rsidR="4D7E147F" w:rsidRPr="5311C3E3">
        <w:rPr>
          <w:rFonts w:cs="Arial"/>
          <w:sz w:val="22"/>
          <w:szCs w:val="22"/>
        </w:rPr>
        <w:t xml:space="preserve"> and swallow safety</w:t>
      </w:r>
      <w:r w:rsidRPr="5311C3E3">
        <w:rPr>
          <w:rFonts w:cs="Arial"/>
          <w:sz w:val="22"/>
          <w:szCs w:val="22"/>
        </w:rPr>
        <w:t xml:space="preserve"> requirements must be clearly documented in the care plan.</w:t>
      </w:r>
    </w:p>
    <w:p w14:paraId="0BBE7321" w14:textId="75C4B5AC" w:rsidR="5B7B2C7A" w:rsidRDefault="5B7B2C7A" w:rsidP="5311C3E3">
      <w:pPr>
        <w:rPr>
          <w:rFonts w:cs="Arial"/>
          <w:sz w:val="22"/>
          <w:szCs w:val="22"/>
        </w:rPr>
      </w:pPr>
    </w:p>
    <w:p w14:paraId="53D2AF1C" w14:textId="32FF5D46" w:rsidR="1B8E5B3B" w:rsidRDefault="4A4CF10B" w:rsidP="5311C3E3">
      <w:pPr>
        <w:rPr>
          <w:rFonts w:cs="Arial"/>
          <w:sz w:val="22"/>
          <w:szCs w:val="22"/>
        </w:rPr>
      </w:pPr>
      <w:r w:rsidRPr="5311C3E3">
        <w:rPr>
          <w:rFonts w:cs="Arial"/>
          <w:sz w:val="22"/>
          <w:szCs w:val="22"/>
        </w:rPr>
        <w:t>The nurse in charge or care manager must ensure that all relevant staff are informed of the service user’s nutrition</w:t>
      </w:r>
      <w:r w:rsidR="10519115" w:rsidRPr="5311C3E3">
        <w:rPr>
          <w:rFonts w:cs="Arial"/>
          <w:sz w:val="22"/>
          <w:szCs w:val="22"/>
        </w:rPr>
        <w:t>,</w:t>
      </w:r>
      <w:r w:rsidRPr="5311C3E3">
        <w:rPr>
          <w:rFonts w:cs="Arial"/>
          <w:sz w:val="22"/>
          <w:szCs w:val="22"/>
        </w:rPr>
        <w:t xml:space="preserve"> hydration</w:t>
      </w:r>
      <w:r w:rsidR="2D6B2567" w:rsidRPr="5311C3E3">
        <w:rPr>
          <w:rFonts w:cs="Arial"/>
          <w:sz w:val="22"/>
          <w:szCs w:val="22"/>
        </w:rPr>
        <w:t xml:space="preserve"> and safe swallow</w:t>
      </w:r>
      <w:r w:rsidRPr="5311C3E3">
        <w:rPr>
          <w:rFonts w:cs="Arial"/>
          <w:sz w:val="22"/>
          <w:szCs w:val="22"/>
        </w:rPr>
        <w:t xml:space="preserve"> needs, including:</w:t>
      </w:r>
    </w:p>
    <w:p w14:paraId="24272CDB" w14:textId="6E290DE6" w:rsidR="1B8E5B3B" w:rsidRDefault="4A4CF10B" w:rsidP="00825F2C">
      <w:pPr>
        <w:pStyle w:val="ListParagraph"/>
        <w:numPr>
          <w:ilvl w:val="0"/>
          <w:numId w:val="28"/>
        </w:numPr>
        <w:rPr>
          <w:rFonts w:cs="Arial"/>
          <w:sz w:val="22"/>
          <w:szCs w:val="22"/>
        </w:rPr>
      </w:pPr>
      <w:r w:rsidRPr="5311C3E3">
        <w:rPr>
          <w:rFonts w:cs="Arial"/>
          <w:sz w:val="22"/>
          <w:szCs w:val="22"/>
        </w:rPr>
        <w:t>Food allergies</w:t>
      </w:r>
      <w:r w:rsidR="002A6CDC">
        <w:rPr>
          <w:rFonts w:cs="Arial"/>
          <w:sz w:val="22"/>
          <w:szCs w:val="22"/>
        </w:rPr>
        <w:t xml:space="preserve"> and intolerances</w:t>
      </w:r>
    </w:p>
    <w:p w14:paraId="5AE92C8C" w14:textId="18A0B0C6" w:rsidR="1B8E5B3B" w:rsidRDefault="4A4CF10B" w:rsidP="00825F2C">
      <w:pPr>
        <w:pStyle w:val="ListParagraph"/>
        <w:numPr>
          <w:ilvl w:val="0"/>
          <w:numId w:val="28"/>
        </w:numPr>
        <w:rPr>
          <w:rFonts w:cs="Arial"/>
          <w:sz w:val="22"/>
          <w:szCs w:val="22"/>
        </w:rPr>
      </w:pPr>
      <w:r w:rsidRPr="5311C3E3">
        <w:rPr>
          <w:rFonts w:cs="Arial"/>
          <w:sz w:val="22"/>
          <w:szCs w:val="22"/>
        </w:rPr>
        <w:t>Special dietary requirements</w:t>
      </w:r>
    </w:p>
    <w:p w14:paraId="7BBC8233" w14:textId="59DF49C9" w:rsidR="1B8E5B3B" w:rsidRDefault="4A4CF10B" w:rsidP="00825F2C">
      <w:pPr>
        <w:pStyle w:val="ListParagraph"/>
        <w:numPr>
          <w:ilvl w:val="0"/>
          <w:numId w:val="28"/>
        </w:numPr>
        <w:rPr>
          <w:rFonts w:cs="Arial"/>
          <w:sz w:val="22"/>
          <w:szCs w:val="22"/>
        </w:rPr>
      </w:pPr>
      <w:r w:rsidRPr="5311C3E3">
        <w:rPr>
          <w:rFonts w:cs="Arial"/>
          <w:sz w:val="22"/>
          <w:szCs w:val="22"/>
        </w:rPr>
        <w:t>Texture-modified diets</w:t>
      </w:r>
    </w:p>
    <w:p w14:paraId="363F6E63" w14:textId="66412F5E" w:rsidR="1B8E5B3B" w:rsidRDefault="4A4CF10B" w:rsidP="00825F2C">
      <w:pPr>
        <w:pStyle w:val="ListParagraph"/>
        <w:numPr>
          <w:ilvl w:val="0"/>
          <w:numId w:val="28"/>
        </w:numPr>
        <w:rPr>
          <w:rFonts w:cs="Arial"/>
          <w:sz w:val="22"/>
          <w:szCs w:val="22"/>
        </w:rPr>
      </w:pPr>
      <w:r w:rsidRPr="5311C3E3">
        <w:rPr>
          <w:rFonts w:cs="Arial"/>
          <w:sz w:val="22"/>
          <w:szCs w:val="22"/>
        </w:rPr>
        <w:t>Thickened fluids</w:t>
      </w:r>
    </w:p>
    <w:p w14:paraId="6287EB46" w14:textId="62D24157" w:rsidR="5B7B2C7A" w:rsidRDefault="5B7B2C7A" w:rsidP="5311C3E3">
      <w:pPr>
        <w:rPr>
          <w:rFonts w:cs="Arial"/>
          <w:sz w:val="22"/>
          <w:szCs w:val="22"/>
        </w:rPr>
      </w:pPr>
    </w:p>
    <w:p w14:paraId="54C27BBE" w14:textId="5EF67E0F" w:rsidR="1B8E5B3B" w:rsidRDefault="4A4CF10B" w:rsidP="5311C3E3">
      <w:pPr>
        <w:rPr>
          <w:rFonts w:cs="Arial"/>
          <w:sz w:val="22"/>
          <w:szCs w:val="22"/>
        </w:rPr>
      </w:pPr>
      <w:r w:rsidRPr="5311C3E3">
        <w:rPr>
          <w:rFonts w:cs="Arial"/>
          <w:sz w:val="22"/>
          <w:szCs w:val="22"/>
        </w:rPr>
        <w:lastRenderedPageBreak/>
        <w:t>Where required, staff supporting service users at mealtimes must receive appropriate training, including feeding techniques advised by professionals such as SLT.</w:t>
      </w:r>
    </w:p>
    <w:p w14:paraId="70B9A1B5" w14:textId="3362BCEF" w:rsidR="5B7B2C7A" w:rsidRDefault="5B7B2C7A" w:rsidP="5311C3E3">
      <w:pPr>
        <w:rPr>
          <w:rFonts w:cs="Arial"/>
          <w:sz w:val="22"/>
          <w:szCs w:val="22"/>
        </w:rPr>
      </w:pPr>
    </w:p>
    <w:p w14:paraId="45F6295F" w14:textId="5EB1AC75" w:rsidR="1B8E5B3B" w:rsidRDefault="4A4CF10B" w:rsidP="5311C3E3">
      <w:pPr>
        <w:rPr>
          <w:rFonts w:cs="Arial"/>
          <w:sz w:val="22"/>
          <w:szCs w:val="22"/>
        </w:rPr>
      </w:pPr>
      <w:r w:rsidRPr="5311C3E3">
        <w:rPr>
          <w:rFonts w:cs="Arial"/>
          <w:sz w:val="22"/>
          <w:szCs w:val="22"/>
        </w:rPr>
        <w:t>In inpatient settings, staff must implement protected mealtimes, allowing service users sufficient time to eat without unnecessary interruptions.</w:t>
      </w:r>
    </w:p>
    <w:p w14:paraId="47AA2A46" w14:textId="495AC946" w:rsidR="5B7B2C7A" w:rsidRDefault="5B7B2C7A" w:rsidP="5311C3E3">
      <w:pPr>
        <w:rPr>
          <w:rFonts w:cs="Arial"/>
          <w:sz w:val="22"/>
          <w:szCs w:val="22"/>
        </w:rPr>
      </w:pPr>
    </w:p>
    <w:p w14:paraId="7F1F1FEB" w14:textId="07438228" w:rsidR="1B8E5B3B" w:rsidRDefault="4A4CF10B" w:rsidP="5311C3E3">
      <w:pPr>
        <w:rPr>
          <w:rFonts w:cs="Arial"/>
          <w:sz w:val="22"/>
          <w:szCs w:val="22"/>
        </w:rPr>
      </w:pPr>
      <w:r w:rsidRPr="5311C3E3">
        <w:rPr>
          <w:rFonts w:cs="Arial"/>
          <w:sz w:val="22"/>
          <w:szCs w:val="22"/>
        </w:rPr>
        <w:t>All staff involved in mealtime support (including healthcare assistants, social therapists, nurses, housekeepers and other relevant staff) must assist service users safely, respectfully and sensitively.</w:t>
      </w:r>
    </w:p>
    <w:p w14:paraId="25DEA72F" w14:textId="6DA9F689" w:rsidR="5B7B2C7A" w:rsidRDefault="5B7B2C7A" w:rsidP="5311C3E3">
      <w:pPr>
        <w:rPr>
          <w:rFonts w:cs="Arial"/>
          <w:sz w:val="22"/>
          <w:szCs w:val="22"/>
        </w:rPr>
      </w:pPr>
    </w:p>
    <w:p w14:paraId="0008868E" w14:textId="11AC5D6A" w:rsidR="1B8E5B3B" w:rsidRDefault="4A4CF10B" w:rsidP="5311C3E3">
      <w:pPr>
        <w:rPr>
          <w:rFonts w:cs="Arial"/>
          <w:sz w:val="22"/>
          <w:szCs w:val="22"/>
        </w:rPr>
      </w:pPr>
      <w:r w:rsidRPr="5311C3E3">
        <w:rPr>
          <w:rFonts w:cs="Arial"/>
          <w:sz w:val="22"/>
          <w:szCs w:val="22"/>
        </w:rPr>
        <w:t>Mealtime support may include:</w:t>
      </w:r>
    </w:p>
    <w:p w14:paraId="6F05BFDE" w14:textId="473F288F" w:rsidR="1B8E5B3B" w:rsidRDefault="4A4CF10B" w:rsidP="00825F2C">
      <w:pPr>
        <w:pStyle w:val="ListParagraph"/>
        <w:numPr>
          <w:ilvl w:val="0"/>
          <w:numId w:val="29"/>
        </w:numPr>
        <w:rPr>
          <w:rFonts w:cs="Arial"/>
          <w:sz w:val="22"/>
          <w:szCs w:val="22"/>
        </w:rPr>
      </w:pPr>
      <w:r w:rsidRPr="5311C3E3">
        <w:rPr>
          <w:rFonts w:cs="Arial"/>
          <w:sz w:val="22"/>
          <w:szCs w:val="22"/>
        </w:rPr>
        <w:t>Supporting appropriate seating and posture</w:t>
      </w:r>
    </w:p>
    <w:p w14:paraId="3B973B0C" w14:textId="26E085A2" w:rsidR="1B8E5B3B" w:rsidRDefault="4A4CF10B" w:rsidP="00825F2C">
      <w:pPr>
        <w:pStyle w:val="ListParagraph"/>
        <w:numPr>
          <w:ilvl w:val="0"/>
          <w:numId w:val="29"/>
        </w:numPr>
        <w:rPr>
          <w:rFonts w:cs="Arial"/>
          <w:sz w:val="22"/>
          <w:szCs w:val="22"/>
        </w:rPr>
      </w:pPr>
      <w:r w:rsidRPr="1D6E3FFF">
        <w:rPr>
          <w:rFonts w:cs="Arial"/>
          <w:sz w:val="22"/>
          <w:szCs w:val="22"/>
        </w:rPr>
        <w:t>Opening packaging or cutting food</w:t>
      </w:r>
    </w:p>
    <w:p w14:paraId="043EAFC9" w14:textId="09125A65" w:rsidR="0161C3E7" w:rsidRDefault="0161C3E7" w:rsidP="1D6E3FFF">
      <w:pPr>
        <w:pStyle w:val="ListParagraph"/>
        <w:numPr>
          <w:ilvl w:val="0"/>
          <w:numId w:val="29"/>
        </w:numPr>
        <w:rPr>
          <w:rFonts w:cs="Arial"/>
          <w:sz w:val="22"/>
          <w:szCs w:val="22"/>
        </w:rPr>
      </w:pPr>
      <w:r w:rsidRPr="1D6E3FFF">
        <w:rPr>
          <w:rFonts w:cs="Arial"/>
          <w:sz w:val="22"/>
          <w:szCs w:val="22"/>
        </w:rPr>
        <w:t>Provision of adapted cutlery, plates, cups as required</w:t>
      </w:r>
    </w:p>
    <w:p w14:paraId="2A0F10E8" w14:textId="5320635D" w:rsidR="1B8E5B3B" w:rsidRDefault="4A4CF10B" w:rsidP="00825F2C">
      <w:pPr>
        <w:pStyle w:val="ListParagraph"/>
        <w:numPr>
          <w:ilvl w:val="0"/>
          <w:numId w:val="29"/>
        </w:numPr>
        <w:rPr>
          <w:rFonts w:cs="Arial"/>
          <w:sz w:val="22"/>
          <w:szCs w:val="22"/>
        </w:rPr>
      </w:pPr>
      <w:r w:rsidRPr="5311C3E3">
        <w:rPr>
          <w:rFonts w:cs="Arial"/>
          <w:sz w:val="22"/>
          <w:szCs w:val="22"/>
        </w:rPr>
        <w:t>Ensuring prescribed or special diets are followed</w:t>
      </w:r>
    </w:p>
    <w:p w14:paraId="2211680B" w14:textId="302379EC" w:rsidR="1B8E5B3B" w:rsidRDefault="4A4CF10B" w:rsidP="00825F2C">
      <w:pPr>
        <w:pStyle w:val="ListParagraph"/>
        <w:numPr>
          <w:ilvl w:val="0"/>
          <w:numId w:val="29"/>
        </w:numPr>
        <w:rPr>
          <w:rFonts w:cs="Arial"/>
          <w:sz w:val="22"/>
          <w:szCs w:val="22"/>
        </w:rPr>
      </w:pPr>
      <w:r w:rsidRPr="5311C3E3">
        <w:rPr>
          <w:rFonts w:cs="Arial"/>
          <w:sz w:val="22"/>
          <w:szCs w:val="22"/>
        </w:rPr>
        <w:t>Assisting with menu selection (including pictorial menus where helpful)</w:t>
      </w:r>
    </w:p>
    <w:p w14:paraId="039C9A4D" w14:textId="358B8AFA" w:rsidR="1B8E5B3B" w:rsidRDefault="4A4CF10B" w:rsidP="00825F2C">
      <w:pPr>
        <w:pStyle w:val="ListParagraph"/>
        <w:numPr>
          <w:ilvl w:val="0"/>
          <w:numId w:val="29"/>
        </w:numPr>
        <w:rPr>
          <w:rFonts w:cs="Arial"/>
          <w:sz w:val="22"/>
          <w:szCs w:val="22"/>
        </w:rPr>
      </w:pPr>
      <w:r w:rsidRPr="5311C3E3">
        <w:rPr>
          <w:rFonts w:cs="Arial"/>
          <w:sz w:val="22"/>
          <w:szCs w:val="22"/>
        </w:rPr>
        <w:t>Providing prompts or direct feeding assistance where required</w:t>
      </w:r>
    </w:p>
    <w:p w14:paraId="702E7DC5" w14:textId="5F543777" w:rsidR="1B8E5B3B" w:rsidRDefault="4A4CF10B" w:rsidP="00825F2C">
      <w:pPr>
        <w:pStyle w:val="ListParagraph"/>
        <w:numPr>
          <w:ilvl w:val="0"/>
          <w:numId w:val="29"/>
        </w:numPr>
        <w:rPr>
          <w:rFonts w:cs="Arial"/>
          <w:sz w:val="22"/>
          <w:szCs w:val="22"/>
        </w:rPr>
      </w:pPr>
      <w:r w:rsidRPr="5311C3E3">
        <w:rPr>
          <w:rFonts w:cs="Arial"/>
          <w:sz w:val="22"/>
          <w:szCs w:val="22"/>
        </w:rPr>
        <w:t>Ensuring food and drinks are within easy reach</w:t>
      </w:r>
    </w:p>
    <w:p w14:paraId="0C4E5F45" w14:textId="69E9C7CC" w:rsidR="1B8E5B3B" w:rsidRDefault="4A4CF10B" w:rsidP="00825F2C">
      <w:pPr>
        <w:pStyle w:val="ListParagraph"/>
        <w:numPr>
          <w:ilvl w:val="0"/>
          <w:numId w:val="29"/>
        </w:numPr>
        <w:rPr>
          <w:rFonts w:cs="Arial"/>
          <w:sz w:val="22"/>
          <w:szCs w:val="22"/>
        </w:rPr>
      </w:pPr>
      <w:r w:rsidRPr="5311C3E3">
        <w:rPr>
          <w:rFonts w:cs="Arial"/>
          <w:sz w:val="22"/>
          <w:szCs w:val="22"/>
        </w:rPr>
        <w:t>Applying prescribed food or drink fortification/enrichment</w:t>
      </w:r>
    </w:p>
    <w:p w14:paraId="34D7E5B9" w14:textId="24DDD322" w:rsidR="5B7B2C7A" w:rsidRDefault="5B7B2C7A" w:rsidP="5311C3E3">
      <w:pPr>
        <w:rPr>
          <w:rFonts w:cs="Arial"/>
          <w:sz w:val="22"/>
          <w:szCs w:val="22"/>
        </w:rPr>
      </w:pPr>
    </w:p>
    <w:p w14:paraId="6688BE0C" w14:textId="092B29DF" w:rsidR="1B8E5B3B" w:rsidRDefault="4A4CF10B" w:rsidP="5311C3E3">
      <w:pPr>
        <w:rPr>
          <w:rFonts w:cs="Arial"/>
          <w:sz w:val="22"/>
          <w:szCs w:val="22"/>
        </w:rPr>
      </w:pPr>
      <w:r w:rsidRPr="5311C3E3">
        <w:rPr>
          <w:rFonts w:cs="Arial"/>
          <w:sz w:val="22"/>
          <w:szCs w:val="22"/>
        </w:rPr>
        <w:t>Where swallowing difficulties are suspected or identified, staff must follow the dysphagia management pathway, including escalation to SLT and adherence to any recommended diet textures or fluid consistencies.</w:t>
      </w:r>
    </w:p>
    <w:p w14:paraId="2A754C3F" w14:textId="6B5E66B4" w:rsidR="71A65E9A" w:rsidRDefault="7C45F0A7" w:rsidP="5311C3E3">
      <w:pPr>
        <w:rPr>
          <w:rFonts w:cs="Arial"/>
          <w:color w:val="000000" w:themeColor="text1"/>
          <w:sz w:val="22"/>
          <w:szCs w:val="22"/>
        </w:rPr>
      </w:pPr>
      <w:r w:rsidRPr="5311C3E3">
        <w:rPr>
          <w:rFonts w:cs="Arial"/>
          <w:color w:val="000000" w:themeColor="text1"/>
          <w:sz w:val="22"/>
          <w:szCs w:val="22"/>
        </w:rPr>
        <w:t xml:space="preserve"> </w:t>
      </w:r>
    </w:p>
    <w:p w14:paraId="3CD966CA" w14:textId="52C640AA" w:rsidR="134580F9" w:rsidRDefault="5BCE139F" w:rsidP="5311C3E3">
      <w:pPr>
        <w:pStyle w:val="Heading2"/>
        <w:spacing w:after="240"/>
        <w:rPr>
          <w:rFonts w:ascii="Arial" w:eastAsia="Arial" w:hAnsi="Arial" w:cs="Arial"/>
          <w:color w:val="000000" w:themeColor="text1"/>
          <w:sz w:val="22"/>
          <w:szCs w:val="22"/>
        </w:rPr>
      </w:pPr>
      <w:r>
        <w:t xml:space="preserve"> </w:t>
      </w:r>
      <w:bookmarkStart w:id="123" w:name="_Toc224651852"/>
      <w:bookmarkStart w:id="124" w:name="_Toc224652008"/>
      <w:bookmarkStart w:id="125" w:name="_Toc227057831"/>
      <w:r w:rsidR="4F7A4EFC">
        <w:t xml:space="preserve">5.2 </w:t>
      </w:r>
      <w:r>
        <w:t>Swallowing and feeding difficulties</w:t>
      </w:r>
      <w:bookmarkEnd w:id="123"/>
      <w:bookmarkEnd w:id="124"/>
      <w:bookmarkEnd w:id="125"/>
    </w:p>
    <w:p w14:paraId="07DF813D" w14:textId="323568A8" w:rsidR="6008F0BA" w:rsidRDefault="0DD92C30" w:rsidP="5797C427">
      <w:pPr>
        <w:spacing w:line="240" w:lineRule="auto"/>
        <w:rPr>
          <w:rFonts w:cs="Arial"/>
          <w:sz w:val="22"/>
          <w:szCs w:val="22"/>
        </w:rPr>
      </w:pPr>
      <w:r w:rsidRPr="46BBC149">
        <w:rPr>
          <w:rFonts w:cs="Arial"/>
          <w:color w:val="000000" w:themeColor="text1"/>
          <w:sz w:val="22"/>
          <w:szCs w:val="22"/>
        </w:rPr>
        <w:t>If service users show signs of poor posture, swallowing problems or feeding difficulties, staff must refer to</w:t>
      </w:r>
      <w:r w:rsidR="5B43FE55" w:rsidRPr="46BBC149">
        <w:rPr>
          <w:rFonts w:cs="Arial"/>
          <w:color w:val="000000" w:themeColor="text1"/>
          <w:sz w:val="22"/>
          <w:szCs w:val="22"/>
        </w:rPr>
        <w:t xml:space="preserve"> </w:t>
      </w:r>
      <w:r w:rsidRPr="46BBC149">
        <w:rPr>
          <w:rFonts w:cs="Arial"/>
          <w:color w:val="000000" w:themeColor="text1"/>
          <w:sz w:val="22"/>
          <w:szCs w:val="22"/>
        </w:rPr>
        <w:t xml:space="preserve">SLT, and implement SLT care plans. </w:t>
      </w:r>
      <w:r w:rsidR="614C730C" w:rsidRPr="46BBC149">
        <w:rPr>
          <w:rFonts w:cs="Arial"/>
          <w:sz w:val="22"/>
          <w:szCs w:val="22"/>
        </w:rPr>
        <w:t>Where specialist SLT services are not available, staff must escalate concerns through appropriate clinical governance and risk management processes</w:t>
      </w:r>
    </w:p>
    <w:p w14:paraId="7B2C9F31" w14:textId="47DD2106" w:rsidR="6008F0BA" w:rsidRDefault="0DD92C30" w:rsidP="5311C3E3">
      <w:pPr>
        <w:spacing w:line="240" w:lineRule="auto"/>
        <w:rPr>
          <w:rFonts w:cs="Arial"/>
          <w:color w:val="000000" w:themeColor="text1"/>
          <w:sz w:val="22"/>
          <w:szCs w:val="22"/>
        </w:rPr>
      </w:pPr>
      <w:r w:rsidRPr="5311C3E3">
        <w:rPr>
          <w:rFonts w:cs="Arial"/>
          <w:color w:val="000000" w:themeColor="text1"/>
          <w:sz w:val="22"/>
          <w:szCs w:val="22"/>
        </w:rPr>
        <w:t xml:space="preserve"> </w:t>
      </w:r>
    </w:p>
    <w:p w14:paraId="0FCA642E" w14:textId="1D02B5A3" w:rsidR="6008F0BA" w:rsidRDefault="0DD92C30" w:rsidP="5311C3E3">
      <w:pPr>
        <w:spacing w:line="240" w:lineRule="auto"/>
        <w:rPr>
          <w:rFonts w:cs="Arial"/>
          <w:color w:val="000000" w:themeColor="text1"/>
          <w:sz w:val="22"/>
          <w:szCs w:val="22"/>
        </w:rPr>
      </w:pPr>
      <w:r w:rsidRPr="5311C3E3">
        <w:rPr>
          <w:rFonts w:cs="Arial"/>
          <w:color w:val="000000" w:themeColor="text1"/>
          <w:sz w:val="22"/>
          <w:szCs w:val="22"/>
        </w:rPr>
        <w:t>When relatives or carers help with eating and drinking, nurses and trained staff must ensure the service user’s safety and needs are met.</w:t>
      </w:r>
    </w:p>
    <w:p w14:paraId="5D12EEE0" w14:textId="3493480A" w:rsidR="6008F0BA" w:rsidRDefault="0DD92C30" w:rsidP="5311C3E3">
      <w:pPr>
        <w:spacing w:line="240" w:lineRule="auto"/>
        <w:rPr>
          <w:rFonts w:cs="Arial"/>
          <w:color w:val="000000" w:themeColor="text1"/>
          <w:sz w:val="22"/>
          <w:szCs w:val="22"/>
        </w:rPr>
      </w:pPr>
      <w:r w:rsidRPr="5311C3E3">
        <w:rPr>
          <w:rFonts w:cs="Arial"/>
          <w:color w:val="000000" w:themeColor="text1"/>
          <w:sz w:val="22"/>
          <w:szCs w:val="22"/>
        </w:rPr>
        <w:t xml:space="preserve"> </w:t>
      </w:r>
    </w:p>
    <w:p w14:paraId="7B05282A" w14:textId="134AD42E" w:rsidR="6008F0BA" w:rsidRDefault="0242C556" w:rsidP="5311C3E3">
      <w:pPr>
        <w:rPr>
          <w:rFonts w:cs="Arial"/>
          <w:color w:val="2E74B5" w:themeColor="accent1" w:themeShade="BF"/>
          <w:sz w:val="22"/>
          <w:szCs w:val="22"/>
        </w:rPr>
      </w:pPr>
      <w:r w:rsidRPr="5797C427">
        <w:rPr>
          <w:sz w:val="22"/>
          <w:szCs w:val="22"/>
        </w:rPr>
        <w:t>E</w:t>
      </w:r>
      <w:r w:rsidR="4E86479A" w:rsidRPr="5797C427">
        <w:rPr>
          <w:sz w:val="22"/>
          <w:szCs w:val="22"/>
        </w:rPr>
        <w:t>L</w:t>
      </w:r>
      <w:r w:rsidRPr="5797C427">
        <w:rPr>
          <w:sz w:val="22"/>
          <w:szCs w:val="22"/>
        </w:rPr>
        <w:t xml:space="preserve">FT SLT </w:t>
      </w:r>
      <w:r w:rsidR="5E8A98D8" w:rsidRPr="5797C427">
        <w:rPr>
          <w:sz w:val="22"/>
          <w:szCs w:val="22"/>
        </w:rPr>
        <w:t>Supporting policies</w:t>
      </w:r>
      <w:r w:rsidR="157F11FD" w:rsidRPr="5797C427">
        <w:rPr>
          <w:sz w:val="22"/>
          <w:szCs w:val="22"/>
        </w:rPr>
        <w:t xml:space="preserve"> and training</w:t>
      </w:r>
      <w:r w:rsidR="5E8A98D8" w:rsidRPr="5797C427">
        <w:rPr>
          <w:sz w:val="22"/>
          <w:szCs w:val="22"/>
        </w:rPr>
        <w:t xml:space="preserve"> include:</w:t>
      </w:r>
    </w:p>
    <w:p w14:paraId="53D3ACCB" w14:textId="3689C070" w:rsidR="6008F0BA" w:rsidRDefault="0DD92C30" w:rsidP="00825F2C">
      <w:pPr>
        <w:pStyle w:val="ListParagraph"/>
        <w:numPr>
          <w:ilvl w:val="0"/>
          <w:numId w:val="41"/>
        </w:numPr>
        <w:spacing w:line="240" w:lineRule="auto"/>
        <w:rPr>
          <w:rFonts w:cs="Arial"/>
          <w:color w:val="000000" w:themeColor="text1"/>
          <w:sz w:val="22"/>
          <w:szCs w:val="22"/>
        </w:rPr>
      </w:pPr>
      <w:r w:rsidRPr="5311C3E3">
        <w:rPr>
          <w:rFonts w:cs="Arial"/>
          <w:color w:val="000000" w:themeColor="text1"/>
          <w:sz w:val="22"/>
          <w:szCs w:val="22"/>
        </w:rPr>
        <w:t>SLT referral guidance for dysphagia</w:t>
      </w:r>
    </w:p>
    <w:p w14:paraId="7CD3D5C0" w14:textId="38A0AEDC" w:rsidR="6008F0BA" w:rsidRDefault="0DD92C30" w:rsidP="00825F2C">
      <w:pPr>
        <w:pStyle w:val="ListParagraph"/>
        <w:numPr>
          <w:ilvl w:val="0"/>
          <w:numId w:val="41"/>
        </w:numPr>
        <w:spacing w:line="240" w:lineRule="auto"/>
        <w:rPr>
          <w:rFonts w:cs="Arial"/>
          <w:color w:val="000000" w:themeColor="text1"/>
          <w:sz w:val="22"/>
          <w:szCs w:val="22"/>
        </w:rPr>
      </w:pPr>
      <w:r w:rsidRPr="5311C3E3">
        <w:rPr>
          <w:rFonts w:cs="Arial"/>
          <w:color w:val="000000" w:themeColor="text1"/>
          <w:sz w:val="22"/>
          <w:szCs w:val="22"/>
        </w:rPr>
        <w:t>Staff dysphagia training (course 363)</w:t>
      </w:r>
    </w:p>
    <w:p w14:paraId="08C143C0" w14:textId="0223FB2F" w:rsidR="6008F0BA" w:rsidRDefault="0DD92C30" w:rsidP="00825F2C">
      <w:pPr>
        <w:pStyle w:val="ListParagraph"/>
        <w:numPr>
          <w:ilvl w:val="0"/>
          <w:numId w:val="41"/>
        </w:numPr>
        <w:spacing w:line="240" w:lineRule="auto"/>
        <w:rPr>
          <w:rFonts w:cs="Arial"/>
          <w:color w:val="000000" w:themeColor="text1"/>
          <w:sz w:val="22"/>
          <w:szCs w:val="22"/>
        </w:rPr>
      </w:pPr>
      <w:r w:rsidRPr="5311C3E3">
        <w:rPr>
          <w:rFonts w:cs="Arial"/>
          <w:color w:val="000000" w:themeColor="text1"/>
          <w:sz w:val="22"/>
          <w:szCs w:val="22"/>
        </w:rPr>
        <w:t>International Dysphagia Diet Standardisation Initiative (IDDSI)</w:t>
      </w:r>
      <w:r w:rsidR="4A9FE2CB" w:rsidRPr="5311C3E3">
        <w:rPr>
          <w:rFonts w:cs="Arial"/>
          <w:color w:val="000000" w:themeColor="text1"/>
          <w:sz w:val="22"/>
          <w:szCs w:val="22"/>
        </w:rPr>
        <w:t xml:space="preserve"> </w:t>
      </w:r>
      <w:sdt>
        <w:sdtPr>
          <w:rPr>
            <w:rFonts w:cs="Arial"/>
            <w:color w:val="000000" w:themeColor="text1"/>
            <w:sz w:val="22"/>
            <w:szCs w:val="22"/>
          </w:rPr>
          <w:tag w:val="MENDELEY_CITATION_v3_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"/>
          <w:id w:val="1386112526"/>
          <w:placeholder>
            <w:docPart w:val="DefaultPlaceholder_-1854013440"/>
          </w:placeholder>
        </w:sdtPr>
        <w:sdtEndPr/>
        <w:sdtContent>
          <w:r w:rsidR="5311C3E3" w:rsidRPr="5311C3E3">
            <w:rPr>
              <w:rFonts w:cs="Arial"/>
              <w:color w:val="000000" w:themeColor="text1"/>
              <w:sz w:val="22"/>
              <w:szCs w:val="22"/>
            </w:rPr>
            <w:t>(</w:t>
          </w:r>
          <w:proofErr w:type="spellStart"/>
          <w:r w:rsidR="5311C3E3" w:rsidRPr="5311C3E3">
            <w:rPr>
              <w:rFonts w:cs="Arial"/>
              <w:color w:val="000000" w:themeColor="text1"/>
              <w:sz w:val="22"/>
              <w:szCs w:val="22"/>
            </w:rPr>
            <w:t>Cichero</w:t>
          </w:r>
          <w:proofErr w:type="spellEnd"/>
          <w:r w:rsidR="5311C3E3" w:rsidRPr="5311C3E3">
            <w:rPr>
              <w:rFonts w:cs="Arial"/>
              <w:color w:val="000000" w:themeColor="text1"/>
              <w:sz w:val="22"/>
              <w:szCs w:val="22"/>
            </w:rPr>
            <w:t>, 2017)</w:t>
          </w:r>
        </w:sdtContent>
      </w:sdt>
    </w:p>
    <w:p w14:paraId="57259D3F" w14:textId="16161CEC" w:rsidR="2E0AB19A" w:rsidRDefault="2E0AB19A" w:rsidP="5311C3E3">
      <w:pPr>
        <w:rPr>
          <w:rFonts w:cs="Arial"/>
          <w:color w:val="000000" w:themeColor="text1"/>
          <w:sz w:val="22"/>
          <w:szCs w:val="22"/>
        </w:rPr>
      </w:pPr>
    </w:p>
    <w:p w14:paraId="33DE68CA" w14:textId="40149590" w:rsidR="134580F9" w:rsidRDefault="69F463D1" w:rsidP="5311C3E3">
      <w:pPr>
        <w:pStyle w:val="Heading2"/>
        <w:spacing w:after="240"/>
        <w:rPr>
          <w:rFonts w:ascii="Arial" w:eastAsia="Arial" w:hAnsi="Arial" w:cs="Arial"/>
          <w:color w:val="000000" w:themeColor="text1"/>
          <w:sz w:val="22"/>
          <w:szCs w:val="22"/>
        </w:rPr>
      </w:pPr>
      <w:bookmarkStart w:id="126" w:name="_Toc224651853"/>
      <w:bookmarkStart w:id="127" w:name="_Toc224652009"/>
      <w:bookmarkStart w:id="128" w:name="_Toc227057832"/>
      <w:r>
        <w:t xml:space="preserve">5.3 </w:t>
      </w:r>
      <w:r w:rsidR="5BCE139F">
        <w:t>Breastfeeding</w:t>
      </w:r>
      <w:bookmarkEnd w:id="126"/>
      <w:bookmarkEnd w:id="127"/>
      <w:bookmarkEnd w:id="128"/>
    </w:p>
    <w:p w14:paraId="2276BD6F" w14:textId="18618C79" w:rsidR="2E0AB19A" w:rsidRDefault="21D9DEEA" w:rsidP="5311C3E3">
      <w:pPr>
        <w:rPr>
          <w:rFonts w:cs="Arial"/>
          <w:color w:val="000000" w:themeColor="text1"/>
          <w:sz w:val="22"/>
          <w:szCs w:val="22"/>
        </w:rPr>
      </w:pPr>
      <w:r w:rsidRPr="5311C3E3">
        <w:rPr>
          <w:rFonts w:cs="Arial"/>
          <w:color w:val="000000" w:themeColor="text1"/>
          <w:sz w:val="22"/>
          <w:szCs w:val="22"/>
        </w:rPr>
        <w:t>Across all services, ELFT staff must support t</w:t>
      </w:r>
      <w:r w:rsidR="1699863A" w:rsidRPr="5311C3E3">
        <w:rPr>
          <w:rFonts w:cs="Arial"/>
          <w:color w:val="000000" w:themeColor="text1"/>
          <w:sz w:val="22"/>
          <w:szCs w:val="22"/>
        </w:rPr>
        <w:t>hose who are b</w:t>
      </w:r>
      <w:r w:rsidR="72F79BC9" w:rsidRPr="5311C3E3">
        <w:rPr>
          <w:rFonts w:cs="Arial"/>
          <w:color w:val="000000" w:themeColor="text1"/>
          <w:sz w:val="22"/>
          <w:szCs w:val="22"/>
        </w:rPr>
        <w:t>reastfeeding with privacy and dignity</w:t>
      </w:r>
      <w:r w:rsidR="76EB570C" w:rsidRPr="5311C3E3">
        <w:rPr>
          <w:rFonts w:cs="Arial"/>
          <w:color w:val="000000" w:themeColor="text1"/>
          <w:sz w:val="22"/>
          <w:szCs w:val="22"/>
        </w:rPr>
        <w:t>, and a</w:t>
      </w:r>
      <w:r w:rsidR="72F79BC9" w:rsidRPr="5311C3E3">
        <w:rPr>
          <w:rFonts w:cs="Arial"/>
          <w:color w:val="000000" w:themeColor="text1"/>
          <w:sz w:val="22"/>
          <w:szCs w:val="22"/>
        </w:rPr>
        <w:t xml:space="preserve"> suitable room must be provided.</w:t>
      </w:r>
    </w:p>
    <w:p w14:paraId="4AA9C8A6" w14:textId="7D506F3F" w:rsidR="48EC1FC0" w:rsidRDefault="48EC1FC0" w:rsidP="5311C3E3">
      <w:pPr>
        <w:rPr>
          <w:rFonts w:cs="Arial"/>
          <w:color w:val="000000" w:themeColor="text1"/>
          <w:sz w:val="22"/>
          <w:szCs w:val="22"/>
        </w:rPr>
      </w:pPr>
    </w:p>
    <w:p w14:paraId="5E10AF81" w14:textId="77777777" w:rsidR="00011486" w:rsidRDefault="00011486">
      <w:pPr>
        <w:keepNext w:val="0"/>
        <w:keepLines w:val="0"/>
        <w:spacing w:before="0" w:after="160"/>
        <w:contextualSpacing w:val="0"/>
        <w:jc w:val="left"/>
        <w:outlineLvl w:val="9"/>
        <w:rPr>
          <w:rFonts w:asciiTheme="majorHAnsi" w:eastAsiaTheme="majorEastAsia" w:hAnsiTheme="majorHAnsi" w:cstheme="majorBidi"/>
          <w:color w:val="2E74B5" w:themeColor="accent1" w:themeShade="BF"/>
          <w:sz w:val="32"/>
          <w:szCs w:val="32"/>
        </w:rPr>
      </w:pPr>
      <w:bookmarkStart w:id="129" w:name="_Toc224651854"/>
      <w:bookmarkStart w:id="130" w:name="_Toc224652010"/>
      <w:r>
        <w:br w:type="page"/>
      </w:r>
    </w:p>
    <w:p w14:paraId="5B871006" w14:textId="7C484ADD" w:rsidR="71A65E9A" w:rsidRPr="00011486" w:rsidRDefault="7026B7ED" w:rsidP="00517414">
      <w:pPr>
        <w:pStyle w:val="Heading2"/>
        <w:spacing w:after="240"/>
        <w:rPr>
          <w:rFonts w:ascii="Arial" w:eastAsia="Arial" w:hAnsi="Arial" w:cs="Arial"/>
          <w:sz w:val="22"/>
          <w:szCs w:val="22"/>
        </w:rPr>
      </w:pPr>
      <w:bookmarkStart w:id="131" w:name="_Toc227057833"/>
      <w:r>
        <w:lastRenderedPageBreak/>
        <w:t xml:space="preserve">5.4 </w:t>
      </w:r>
      <w:r w:rsidR="1A2A4EA0">
        <w:t>Malnutrition</w:t>
      </w:r>
      <w:bookmarkEnd w:id="129"/>
      <w:bookmarkEnd w:id="130"/>
      <w:bookmarkEnd w:id="131"/>
    </w:p>
    <w:p w14:paraId="5ABE80F7" w14:textId="29F8B41E" w:rsidR="71A65E9A" w:rsidRDefault="2D235E2D" w:rsidP="00517414">
      <w:pPr>
        <w:pStyle w:val="Heading3"/>
        <w:spacing w:before="0"/>
        <w:rPr>
          <w:rFonts w:ascii="Arial" w:eastAsia="Arial" w:hAnsi="Arial" w:cs="Arial"/>
          <w:color w:val="000000" w:themeColor="text1"/>
          <w:sz w:val="22"/>
          <w:szCs w:val="22"/>
        </w:rPr>
      </w:pPr>
      <w:bookmarkStart w:id="132" w:name="_Toc224652011"/>
      <w:bookmarkStart w:id="133" w:name="_Toc227057834"/>
      <w:r>
        <w:t xml:space="preserve">5.4.1 </w:t>
      </w:r>
      <w:r w:rsidR="325EB1A7">
        <w:t>Identifying Risk</w:t>
      </w:r>
      <w:bookmarkEnd w:id="132"/>
      <w:bookmarkEnd w:id="133"/>
      <w:r w:rsidR="1C3419EB">
        <w:t xml:space="preserve"> </w:t>
      </w:r>
    </w:p>
    <w:p w14:paraId="17AD40B9" w14:textId="4F66F34C" w:rsidR="71A65E9A" w:rsidRDefault="54DFD829" w:rsidP="48EC1FC0">
      <w:pPr>
        <w:pStyle w:val="Heading4"/>
        <w:rPr>
          <w:rFonts w:ascii="Arial" w:eastAsia="Arial" w:hAnsi="Arial" w:cs="Arial"/>
          <w:color w:val="000000" w:themeColor="text1"/>
          <w:sz w:val="22"/>
          <w:szCs w:val="22"/>
        </w:rPr>
      </w:pPr>
      <w:r w:rsidRPr="730FCF52">
        <w:rPr>
          <w:rFonts w:ascii="Arial" w:eastAsia="Arial" w:hAnsi="Arial" w:cs="Arial"/>
          <w:color w:val="000000" w:themeColor="text1"/>
          <w:sz w:val="22"/>
          <w:szCs w:val="22"/>
        </w:rPr>
        <w:t>Risk of malnutrition is identified using the relevant nutrition screening tool (see section 4.1</w:t>
      </w:r>
      <w:r w:rsidR="1ADA9F71" w:rsidRPr="730FCF52">
        <w:rPr>
          <w:rFonts w:ascii="Arial" w:eastAsia="Arial" w:hAnsi="Arial" w:cs="Arial"/>
          <w:color w:val="000000" w:themeColor="text1"/>
          <w:sz w:val="22"/>
          <w:szCs w:val="22"/>
        </w:rPr>
        <w:t>.1</w:t>
      </w:r>
      <w:r w:rsidRPr="730FCF52">
        <w:rPr>
          <w:rFonts w:ascii="Arial" w:eastAsia="Arial" w:hAnsi="Arial" w:cs="Arial"/>
          <w:color w:val="000000" w:themeColor="text1"/>
          <w:sz w:val="22"/>
          <w:szCs w:val="22"/>
        </w:rPr>
        <w:t>). Staff must follow the recommended actions associated with the identified level of risk and ensure these are clearly documented in the nutrition care plan.</w:t>
      </w:r>
    </w:p>
    <w:p w14:paraId="68563545" w14:textId="57B2AFB4" w:rsidR="5311C3E3" w:rsidRDefault="5311C3E3" w:rsidP="5311C3E3">
      <w:pPr>
        <w:rPr>
          <w:rFonts w:cs="Arial"/>
          <w:sz w:val="22"/>
          <w:szCs w:val="22"/>
        </w:rPr>
      </w:pPr>
    </w:p>
    <w:p w14:paraId="05C01C31" w14:textId="2CE0D423" w:rsidR="71A65E9A" w:rsidRDefault="29387F2B" w:rsidP="5311C3E3">
      <w:pPr>
        <w:rPr>
          <w:rFonts w:cs="Arial"/>
          <w:color w:val="000000" w:themeColor="text1"/>
          <w:sz w:val="22"/>
          <w:szCs w:val="22"/>
        </w:rPr>
      </w:pPr>
      <w:r w:rsidRPr="1D6E3FFF">
        <w:rPr>
          <w:rFonts w:cs="Arial"/>
          <w:color w:val="000000" w:themeColor="text1"/>
          <w:sz w:val="22"/>
          <w:szCs w:val="22"/>
        </w:rPr>
        <w:t xml:space="preserve">Management of malnutrition risk </w:t>
      </w:r>
      <w:r w:rsidR="791248F9" w:rsidRPr="1D6E3FFF">
        <w:rPr>
          <w:rFonts w:cs="Arial"/>
          <w:color w:val="000000" w:themeColor="text1"/>
          <w:sz w:val="22"/>
          <w:szCs w:val="22"/>
        </w:rPr>
        <w:t>will</w:t>
      </w:r>
      <w:r w:rsidRPr="1D6E3FFF">
        <w:rPr>
          <w:rFonts w:cs="Arial"/>
          <w:color w:val="000000" w:themeColor="text1"/>
          <w:sz w:val="22"/>
          <w:szCs w:val="22"/>
        </w:rPr>
        <w:t xml:space="preserve"> be in line with NICE Clinical Guideline CG32 </w:t>
      </w:r>
      <w:sdt>
        <w:sdtPr>
          <w:rPr>
            <w:rFonts w:cs="Arial"/>
            <w:color w:val="000000" w:themeColor="text1"/>
            <w:sz w:val="22"/>
            <w:szCs w:val="22"/>
          </w:rPr>
          <w:tag w:val="MENDELEY_CITATION_v3_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"/>
          <w:id w:val="1052817473"/>
          <w:placeholder>
            <w:docPart w:val="DefaultPlaceholder_-1854013440"/>
          </w:placeholder>
        </w:sdtPr>
        <w:sdtEndPr/>
        <w:sdtContent>
          <w:r w:rsidR="5311C3E3" w:rsidRPr="1D6E3FFF">
            <w:rPr>
              <w:rFonts w:cs="Arial"/>
              <w:color w:val="000000" w:themeColor="text1"/>
              <w:sz w:val="22"/>
              <w:szCs w:val="22"/>
            </w:rPr>
            <w:t>(2006</w:t>
          </w:r>
        </w:sdtContent>
      </w:sdt>
      <w:r w:rsidR="1B5FFB1B" w:rsidRPr="1D6E3FFF">
        <w:rPr>
          <w:rFonts w:cs="Arial"/>
          <w:sz w:val="22"/>
          <w:szCs w:val="22"/>
        </w:rPr>
        <w:t>),</w:t>
      </w:r>
      <w:r w:rsidR="78B22446" w:rsidRPr="1D6E3FFF">
        <w:rPr>
          <w:rFonts w:cs="Arial"/>
          <w:sz w:val="22"/>
          <w:szCs w:val="22"/>
        </w:rPr>
        <w:t xml:space="preserve"> </w:t>
      </w:r>
      <w:r w:rsidRPr="1D6E3FFF">
        <w:rPr>
          <w:rFonts w:cs="Arial"/>
          <w:sz w:val="22"/>
          <w:szCs w:val="22"/>
        </w:rPr>
        <w:t xml:space="preserve">Nutrition support for adults, including </w:t>
      </w:r>
      <w:r w:rsidRPr="1D6E3FFF">
        <w:rPr>
          <w:rFonts w:cs="Arial"/>
          <w:color w:val="000000" w:themeColor="text1"/>
          <w:sz w:val="22"/>
          <w:szCs w:val="22"/>
        </w:rPr>
        <w:t>timely assessment, intervention, monitoring, and review.</w:t>
      </w:r>
    </w:p>
    <w:p w14:paraId="4C0D2DF5" w14:textId="55AE08D2" w:rsidR="71A65E9A" w:rsidRDefault="7C45F0A7" w:rsidP="5311C3E3">
      <w:pPr>
        <w:rPr>
          <w:rFonts w:cs="Arial"/>
          <w:color w:val="000000" w:themeColor="text1"/>
          <w:sz w:val="22"/>
          <w:szCs w:val="22"/>
        </w:rPr>
      </w:pPr>
      <w:r w:rsidRPr="5311C3E3">
        <w:rPr>
          <w:rFonts w:cs="Arial"/>
          <w:color w:val="000000" w:themeColor="text1"/>
          <w:sz w:val="22"/>
          <w:szCs w:val="22"/>
        </w:rPr>
        <w:t xml:space="preserve"> </w:t>
      </w:r>
    </w:p>
    <w:p w14:paraId="3F001AFA" w14:textId="7A34BE24" w:rsidR="71A65E9A" w:rsidRDefault="4354C8EB" w:rsidP="00517414">
      <w:pPr>
        <w:pStyle w:val="Heading3"/>
        <w:spacing w:before="0"/>
        <w:rPr>
          <w:rFonts w:ascii="Arial" w:eastAsia="Arial" w:hAnsi="Arial" w:cs="Arial"/>
          <w:color w:val="000000" w:themeColor="text1"/>
          <w:sz w:val="22"/>
          <w:szCs w:val="22"/>
        </w:rPr>
      </w:pPr>
      <w:bookmarkStart w:id="134" w:name="_Toc224652012"/>
      <w:bookmarkStart w:id="135" w:name="_Toc227057835"/>
      <w:r w:rsidRPr="5311C3E3">
        <w:rPr>
          <w:rStyle w:val="Heading3Char"/>
        </w:rPr>
        <w:t xml:space="preserve">5.4.2 </w:t>
      </w:r>
      <w:r w:rsidR="499984BC" w:rsidRPr="5311C3E3">
        <w:rPr>
          <w:rStyle w:val="Heading3Char"/>
        </w:rPr>
        <w:t>Referrals</w:t>
      </w:r>
      <w:bookmarkEnd w:id="134"/>
      <w:bookmarkEnd w:id="135"/>
      <w:r w:rsidR="325EB1A7" w:rsidRPr="5311C3E3">
        <w:rPr>
          <w:rStyle w:val="Heading3Char"/>
        </w:rPr>
        <w:t xml:space="preserve"> </w:t>
      </w:r>
      <w:r w:rsidR="2E5BA385">
        <w:tab/>
      </w:r>
    </w:p>
    <w:p w14:paraId="6521F544" w14:textId="6FB15C55" w:rsidR="71A65E9A" w:rsidRDefault="3D480D0D" w:rsidP="2E0AB19A">
      <w:pPr>
        <w:rPr>
          <w:rFonts w:cs="Arial"/>
          <w:sz w:val="22"/>
          <w:szCs w:val="22"/>
        </w:rPr>
      </w:pPr>
      <w:r w:rsidRPr="5311C3E3">
        <w:rPr>
          <w:rFonts w:cs="Arial"/>
          <w:sz w:val="22"/>
          <w:szCs w:val="22"/>
        </w:rPr>
        <w:t>Service users</w:t>
      </w:r>
      <w:r w:rsidR="4ED350D3" w:rsidRPr="5311C3E3">
        <w:rPr>
          <w:rFonts w:cs="Arial"/>
          <w:sz w:val="22"/>
          <w:szCs w:val="22"/>
        </w:rPr>
        <w:t xml:space="preserve"> identified as being at high risk of malnutrition </w:t>
      </w:r>
      <w:r w:rsidR="3D77BD83" w:rsidRPr="5311C3E3">
        <w:rPr>
          <w:rFonts w:cs="Arial"/>
          <w:sz w:val="22"/>
          <w:szCs w:val="22"/>
        </w:rPr>
        <w:t>will</w:t>
      </w:r>
      <w:r w:rsidR="4ED350D3" w:rsidRPr="5311C3E3">
        <w:rPr>
          <w:rFonts w:cs="Arial"/>
          <w:sz w:val="22"/>
          <w:szCs w:val="22"/>
        </w:rPr>
        <w:t xml:space="preserve"> be referred to a </w:t>
      </w:r>
      <w:r w:rsidR="79171390" w:rsidRPr="5311C3E3">
        <w:rPr>
          <w:rFonts w:cs="Arial"/>
          <w:sz w:val="22"/>
          <w:szCs w:val="22"/>
        </w:rPr>
        <w:t xml:space="preserve">registered </w:t>
      </w:r>
      <w:r w:rsidR="4ED350D3" w:rsidRPr="5311C3E3">
        <w:rPr>
          <w:rFonts w:cs="Arial"/>
          <w:sz w:val="22"/>
          <w:szCs w:val="22"/>
        </w:rPr>
        <w:t>dietitian for specialist assessment and guidance. This referral must be recorded in the nutrition care plan</w:t>
      </w:r>
      <w:r w:rsidR="55BA58BB" w:rsidRPr="5311C3E3">
        <w:rPr>
          <w:rFonts w:cs="Arial"/>
          <w:sz w:val="22"/>
          <w:szCs w:val="22"/>
        </w:rPr>
        <w:t xml:space="preserve"> and progress notes</w:t>
      </w:r>
      <w:r w:rsidR="4ED350D3" w:rsidRPr="5311C3E3">
        <w:rPr>
          <w:rFonts w:cs="Arial"/>
          <w:sz w:val="22"/>
          <w:szCs w:val="22"/>
        </w:rPr>
        <w:t xml:space="preserve">, alongside actions taken to manage </w:t>
      </w:r>
      <w:r w:rsidR="489B61B4" w:rsidRPr="5311C3E3">
        <w:rPr>
          <w:rFonts w:cs="Arial"/>
          <w:sz w:val="22"/>
          <w:szCs w:val="22"/>
        </w:rPr>
        <w:t xml:space="preserve">malnutrition </w:t>
      </w:r>
      <w:r w:rsidR="1CE44506" w:rsidRPr="5311C3E3">
        <w:rPr>
          <w:rFonts w:cs="Arial"/>
          <w:sz w:val="22"/>
          <w:szCs w:val="22"/>
        </w:rPr>
        <w:t>risk.</w:t>
      </w:r>
    </w:p>
    <w:p w14:paraId="6B6CDCDF" w14:textId="2793D762" w:rsidR="71A65E9A" w:rsidRDefault="7C45F0A7" w:rsidP="5311C3E3">
      <w:pPr>
        <w:rPr>
          <w:rFonts w:cs="Arial"/>
          <w:color w:val="000000" w:themeColor="text1"/>
          <w:sz w:val="22"/>
          <w:szCs w:val="22"/>
        </w:rPr>
      </w:pPr>
      <w:r w:rsidRPr="5311C3E3">
        <w:rPr>
          <w:rFonts w:cs="Arial"/>
          <w:color w:val="000000" w:themeColor="text1"/>
          <w:sz w:val="22"/>
          <w:szCs w:val="22"/>
        </w:rPr>
        <w:t xml:space="preserve"> </w:t>
      </w:r>
    </w:p>
    <w:p w14:paraId="207E76F2" w14:textId="694431C8" w:rsidR="71A65E9A" w:rsidRDefault="5EA73C28" w:rsidP="5311C3E3">
      <w:pPr>
        <w:pStyle w:val="Heading3"/>
        <w:rPr>
          <w:rFonts w:ascii="Arial" w:eastAsia="Arial" w:hAnsi="Arial" w:cs="Arial"/>
          <w:sz w:val="22"/>
          <w:szCs w:val="22"/>
        </w:rPr>
      </w:pPr>
      <w:bookmarkStart w:id="136" w:name="_Toc224652013"/>
      <w:bookmarkStart w:id="137" w:name="_Toc227057836"/>
      <w:r>
        <w:t xml:space="preserve">5.4.3 </w:t>
      </w:r>
      <w:r w:rsidR="6FC3A6F6">
        <w:t>Management i</w:t>
      </w:r>
      <w:r w:rsidR="126DD076">
        <w:t>n</w:t>
      </w:r>
      <w:r w:rsidR="6FC3A6F6">
        <w:t xml:space="preserve">cl. </w:t>
      </w:r>
      <w:r w:rsidR="24F8457D">
        <w:t>Oral Nutritional Supplements</w:t>
      </w:r>
      <w:bookmarkEnd w:id="136"/>
      <w:bookmarkEnd w:id="137"/>
    </w:p>
    <w:p w14:paraId="1986872D" w14:textId="5E2BE236" w:rsidR="71A65E9A" w:rsidRDefault="485E6622" w:rsidP="5311C3E3">
      <w:pPr>
        <w:rPr>
          <w:rFonts w:cs="Arial"/>
          <w:color w:val="000000" w:themeColor="text1"/>
          <w:sz w:val="22"/>
          <w:szCs w:val="22"/>
        </w:rPr>
      </w:pPr>
      <w:r w:rsidRPr="5311C3E3">
        <w:rPr>
          <w:rFonts w:cs="Arial"/>
          <w:color w:val="000000" w:themeColor="text1"/>
          <w:sz w:val="22"/>
          <w:szCs w:val="22"/>
        </w:rPr>
        <w:t>A Food First approach must be implemented, where clinically appropriate, before initiating oral nutritional supplements, in line with guidance from the NHS and BAPEN.</w:t>
      </w:r>
    </w:p>
    <w:p w14:paraId="465B8079" w14:textId="0F0F3F0C" w:rsidR="71A65E9A" w:rsidRDefault="71A65E9A" w:rsidP="5311C3E3">
      <w:pPr>
        <w:rPr>
          <w:rFonts w:cs="Arial"/>
          <w:color w:val="000000" w:themeColor="text1"/>
          <w:sz w:val="22"/>
          <w:szCs w:val="22"/>
        </w:rPr>
      </w:pPr>
    </w:p>
    <w:p w14:paraId="39536067" w14:textId="38FB1B06" w:rsidR="71A65E9A" w:rsidRDefault="485E6622" w:rsidP="5311C3E3">
      <w:pPr>
        <w:rPr>
          <w:rFonts w:cs="Arial"/>
          <w:color w:val="000000" w:themeColor="text1"/>
          <w:sz w:val="22"/>
          <w:szCs w:val="22"/>
        </w:rPr>
      </w:pPr>
      <w:r w:rsidRPr="5311C3E3">
        <w:rPr>
          <w:rFonts w:cs="Arial"/>
          <w:color w:val="000000" w:themeColor="text1"/>
          <w:sz w:val="22"/>
          <w:szCs w:val="22"/>
        </w:rPr>
        <w:t xml:space="preserve">This approach prioritises dietary advice and food fortification to increase energy and protein intake using everyday foods. </w:t>
      </w:r>
      <w:r w:rsidR="3571EE6B" w:rsidRPr="5311C3E3">
        <w:rPr>
          <w:rFonts w:cs="Arial"/>
          <w:color w:val="000000" w:themeColor="text1"/>
          <w:sz w:val="22"/>
          <w:szCs w:val="22"/>
        </w:rPr>
        <w:t>Resources for p</w:t>
      </w:r>
      <w:r w:rsidRPr="5311C3E3">
        <w:rPr>
          <w:rFonts w:cs="Arial"/>
          <w:color w:val="000000" w:themeColor="text1"/>
          <w:sz w:val="22"/>
          <w:szCs w:val="22"/>
        </w:rPr>
        <w:t xml:space="preserve">ractical measures </w:t>
      </w:r>
      <w:r w:rsidR="4AAE9134" w:rsidRPr="5311C3E3">
        <w:rPr>
          <w:rFonts w:cs="Arial"/>
          <w:color w:val="000000" w:themeColor="text1"/>
          <w:sz w:val="22"/>
          <w:szCs w:val="22"/>
        </w:rPr>
        <w:t>(e.g.</w:t>
      </w:r>
      <w:r w:rsidRPr="5311C3E3">
        <w:rPr>
          <w:rFonts w:cs="Arial"/>
          <w:color w:val="000000" w:themeColor="text1"/>
          <w:sz w:val="22"/>
          <w:szCs w:val="22"/>
        </w:rPr>
        <w:t xml:space="preserve"> food enrichment, adjusting meal patterns, and encouraging preferred foods and drinks</w:t>
      </w:r>
      <w:r w:rsidR="0D873A13" w:rsidRPr="5311C3E3">
        <w:rPr>
          <w:rFonts w:cs="Arial"/>
          <w:color w:val="000000" w:themeColor="text1"/>
          <w:sz w:val="22"/>
          <w:szCs w:val="22"/>
        </w:rPr>
        <w:t>) is available on the Nutrition and Dietetics Intranet page.</w:t>
      </w:r>
    </w:p>
    <w:p w14:paraId="0EC0FF4E" w14:textId="09E16ECB" w:rsidR="71A65E9A" w:rsidRDefault="71A65E9A" w:rsidP="5311C3E3">
      <w:pPr>
        <w:rPr>
          <w:rFonts w:cs="Arial"/>
          <w:color w:val="000000" w:themeColor="text1"/>
          <w:sz w:val="22"/>
          <w:szCs w:val="22"/>
        </w:rPr>
      </w:pPr>
    </w:p>
    <w:p w14:paraId="75A7CC94" w14:textId="5A0140E4" w:rsidR="71A65E9A" w:rsidRDefault="485E6622" w:rsidP="5311C3E3">
      <w:pPr>
        <w:rPr>
          <w:rFonts w:cs="Arial"/>
          <w:color w:val="000000" w:themeColor="text1"/>
          <w:sz w:val="22"/>
          <w:szCs w:val="22"/>
        </w:rPr>
      </w:pPr>
      <w:r w:rsidRPr="5311C3E3">
        <w:rPr>
          <w:rFonts w:cs="Arial"/>
          <w:color w:val="000000" w:themeColor="text1"/>
          <w:sz w:val="22"/>
          <w:szCs w:val="22"/>
        </w:rPr>
        <w:t>If nutritional requirements are not met through these measures, powdered oral nutritional supplements may be introduced. Ready-to-drink oral nutritional supplements (“sip feeds”) should only be considered if earlier interventions are ineffective.</w:t>
      </w:r>
    </w:p>
    <w:p w14:paraId="2D40A202" w14:textId="5BB85992" w:rsidR="71A65E9A" w:rsidRDefault="71A65E9A" w:rsidP="5311C3E3">
      <w:pPr>
        <w:rPr>
          <w:rFonts w:cs="Arial"/>
          <w:color w:val="000000" w:themeColor="text1"/>
          <w:sz w:val="22"/>
          <w:szCs w:val="22"/>
        </w:rPr>
      </w:pPr>
    </w:p>
    <w:p w14:paraId="555EF414" w14:textId="0AA4A2AA" w:rsidR="71A65E9A" w:rsidRDefault="485E6622" w:rsidP="5311C3E3">
      <w:pPr>
        <w:rPr>
          <w:rFonts w:cs="Arial"/>
          <w:color w:val="000000" w:themeColor="text1"/>
          <w:sz w:val="22"/>
          <w:szCs w:val="22"/>
        </w:rPr>
      </w:pPr>
      <w:r w:rsidRPr="5311C3E3">
        <w:rPr>
          <w:rFonts w:cs="Arial"/>
          <w:color w:val="000000" w:themeColor="text1"/>
          <w:sz w:val="22"/>
          <w:szCs w:val="22"/>
        </w:rPr>
        <w:t>All interventions must be regularly reviewed and adjusted according to the service user’s nutritional status and response to treatment.</w:t>
      </w:r>
    </w:p>
    <w:p w14:paraId="0E61FBF9" w14:textId="79C7C48C" w:rsidR="71A65E9A" w:rsidRDefault="71A65E9A" w:rsidP="5311C3E3">
      <w:pPr>
        <w:rPr>
          <w:rFonts w:cs="Arial"/>
          <w:color w:val="000000" w:themeColor="text1"/>
          <w:sz w:val="22"/>
          <w:szCs w:val="22"/>
        </w:rPr>
      </w:pPr>
    </w:p>
    <w:p w14:paraId="32E102DE" w14:textId="01B77142" w:rsidR="71A65E9A" w:rsidRDefault="485E6622" w:rsidP="5311C3E3">
      <w:pPr>
        <w:rPr>
          <w:rFonts w:cs="Arial"/>
          <w:color w:val="000000" w:themeColor="text1"/>
          <w:sz w:val="22"/>
          <w:szCs w:val="22"/>
        </w:rPr>
      </w:pPr>
      <w:r w:rsidRPr="5311C3E3">
        <w:rPr>
          <w:rFonts w:cs="Arial"/>
          <w:color w:val="000000" w:themeColor="text1"/>
          <w:sz w:val="22"/>
          <w:szCs w:val="22"/>
        </w:rPr>
        <w:t>Staff involved in menu ordering and food service, including housekeepers, must support the nutrition</w:t>
      </w:r>
      <w:r w:rsidR="5EFD72E9" w:rsidRPr="5311C3E3">
        <w:rPr>
          <w:rFonts w:cs="Arial"/>
          <w:color w:val="000000" w:themeColor="text1"/>
          <w:sz w:val="22"/>
          <w:szCs w:val="22"/>
        </w:rPr>
        <w:t xml:space="preserve">, hydration and/or safe swallow </w:t>
      </w:r>
      <w:r w:rsidRPr="5311C3E3">
        <w:rPr>
          <w:rFonts w:cs="Arial"/>
          <w:color w:val="000000" w:themeColor="text1"/>
          <w:sz w:val="22"/>
          <w:szCs w:val="22"/>
        </w:rPr>
        <w:t>care plan by assisting service users to select energy-dense and high-protein foods and drinks consistent with the Food First approach.</w:t>
      </w:r>
    </w:p>
    <w:p w14:paraId="2ABF4037" w14:textId="63BEFE31" w:rsidR="71A65E9A" w:rsidRDefault="71A65E9A" w:rsidP="5311C3E3">
      <w:pPr>
        <w:rPr>
          <w:rFonts w:cs="Arial"/>
          <w:color w:val="000000" w:themeColor="text1"/>
          <w:sz w:val="22"/>
          <w:szCs w:val="22"/>
        </w:rPr>
      </w:pPr>
    </w:p>
    <w:p w14:paraId="579C0547" w14:textId="6A39C932" w:rsidR="71A65E9A" w:rsidRDefault="485E6622" w:rsidP="5797C427">
      <w:pPr>
        <w:rPr>
          <w:rFonts w:cs="Arial"/>
          <w:sz w:val="22"/>
          <w:szCs w:val="22"/>
        </w:rPr>
      </w:pPr>
      <w:r w:rsidRPr="46BBC149">
        <w:rPr>
          <w:rFonts w:cs="Arial"/>
          <w:color w:val="000000" w:themeColor="text1"/>
          <w:sz w:val="22"/>
          <w:szCs w:val="22"/>
        </w:rPr>
        <w:t>Oral nutritional supplements must not be initiated without dietetic input, unless permitted by local protocols. Service users requiring supplements must be referred for dietetic assessment, and those prescribed supplements must receive ongoing dietetic review and monitoring.</w:t>
      </w:r>
      <w:r w:rsidR="45B3254E" w:rsidRPr="46BBC149">
        <w:rPr>
          <w:rFonts w:cs="Arial"/>
          <w:color w:val="000000" w:themeColor="text1"/>
          <w:sz w:val="22"/>
          <w:szCs w:val="22"/>
        </w:rPr>
        <w:t xml:space="preserve"> </w:t>
      </w:r>
      <w:r w:rsidR="45B3254E" w:rsidRPr="46BBC149">
        <w:rPr>
          <w:rFonts w:ascii="Segoe UI" w:eastAsia="Segoe UI" w:hAnsi="Segoe UI" w:cs="Segoe UI"/>
          <w:color w:val="242424"/>
          <w:sz w:val="21"/>
          <w:szCs w:val="21"/>
        </w:rPr>
        <w:t>Each ELFT Directorate is responsible for ensuring this policy is implemented safely and effectively</w:t>
      </w:r>
    </w:p>
    <w:p w14:paraId="1A14B726" w14:textId="0A62DF1F" w:rsidR="71A65E9A" w:rsidRDefault="71A65E9A" w:rsidP="5311C3E3">
      <w:pPr>
        <w:rPr>
          <w:rFonts w:cs="Arial"/>
          <w:color w:val="000000" w:themeColor="text1"/>
          <w:sz w:val="22"/>
          <w:szCs w:val="22"/>
        </w:rPr>
      </w:pPr>
    </w:p>
    <w:p w14:paraId="0E165825" w14:textId="77378C6D" w:rsidR="005171D4" w:rsidRDefault="005171D4" w:rsidP="5311C3E3">
      <w:pPr>
        <w:rPr>
          <w:rFonts w:cs="Arial"/>
          <w:color w:val="000000" w:themeColor="text1"/>
          <w:sz w:val="22"/>
          <w:szCs w:val="22"/>
        </w:rPr>
      </w:pPr>
    </w:p>
    <w:p w14:paraId="2913254A" w14:textId="509BE790" w:rsidR="005171D4" w:rsidRDefault="005171D4" w:rsidP="5311C3E3">
      <w:pPr>
        <w:rPr>
          <w:rFonts w:cs="Arial"/>
          <w:color w:val="000000" w:themeColor="text1"/>
          <w:sz w:val="22"/>
          <w:szCs w:val="22"/>
        </w:rPr>
      </w:pPr>
    </w:p>
    <w:p w14:paraId="080F5A47" w14:textId="698709BF" w:rsidR="005171D4" w:rsidRDefault="005171D4" w:rsidP="5311C3E3">
      <w:pPr>
        <w:rPr>
          <w:rFonts w:cs="Arial"/>
          <w:color w:val="000000" w:themeColor="text1"/>
          <w:sz w:val="22"/>
          <w:szCs w:val="22"/>
        </w:rPr>
      </w:pPr>
    </w:p>
    <w:p w14:paraId="7C8DDBAB" w14:textId="7CF99D16" w:rsidR="005171D4" w:rsidRDefault="005171D4" w:rsidP="5311C3E3">
      <w:pPr>
        <w:rPr>
          <w:rFonts w:cs="Arial"/>
          <w:color w:val="000000" w:themeColor="text1"/>
          <w:sz w:val="22"/>
          <w:szCs w:val="22"/>
        </w:rPr>
      </w:pPr>
    </w:p>
    <w:p w14:paraId="0F0C4CCE" w14:textId="77777777" w:rsidR="005171D4" w:rsidRDefault="005171D4" w:rsidP="5311C3E3">
      <w:pPr>
        <w:rPr>
          <w:rFonts w:cs="Arial"/>
          <w:color w:val="000000" w:themeColor="text1"/>
          <w:sz w:val="22"/>
          <w:szCs w:val="22"/>
        </w:rPr>
      </w:pPr>
    </w:p>
    <w:p w14:paraId="5D0E561E" w14:textId="05EE3661" w:rsidR="71A65E9A" w:rsidRDefault="2002502D" w:rsidP="2AAD45D3">
      <w:pPr>
        <w:rPr>
          <w:rFonts w:cs="Arial"/>
          <w:color w:val="000000" w:themeColor="text1"/>
          <w:sz w:val="22"/>
          <w:szCs w:val="22"/>
        </w:rPr>
      </w:pPr>
      <w:r w:rsidRPr="5311C3E3">
        <w:rPr>
          <w:rFonts w:cs="Arial"/>
          <w:color w:val="000000" w:themeColor="text1"/>
          <w:sz w:val="22"/>
          <w:szCs w:val="22"/>
        </w:rPr>
        <w:lastRenderedPageBreak/>
        <w:t>Dietetic assessment supports:</w:t>
      </w:r>
    </w:p>
    <w:p w14:paraId="715690D6" w14:textId="4BA13216" w:rsidR="71A65E9A" w:rsidRDefault="2002502D" w:rsidP="00825F2C">
      <w:pPr>
        <w:pStyle w:val="ListParagraph"/>
        <w:numPr>
          <w:ilvl w:val="0"/>
          <w:numId w:val="42"/>
        </w:numPr>
        <w:rPr>
          <w:rFonts w:cs="Arial"/>
          <w:color w:val="000000" w:themeColor="text1"/>
          <w:sz w:val="22"/>
          <w:szCs w:val="22"/>
        </w:rPr>
      </w:pPr>
      <w:r w:rsidRPr="5311C3E3">
        <w:rPr>
          <w:rFonts w:cs="Arial"/>
          <w:color w:val="000000" w:themeColor="text1"/>
          <w:sz w:val="22"/>
          <w:szCs w:val="22"/>
        </w:rPr>
        <w:t>Identification and management of refeeding syndrome risk</w:t>
      </w:r>
    </w:p>
    <w:p w14:paraId="256C5B64" w14:textId="220A706D" w:rsidR="71A65E9A" w:rsidRDefault="2002502D" w:rsidP="00825F2C">
      <w:pPr>
        <w:pStyle w:val="ListParagraph"/>
        <w:numPr>
          <w:ilvl w:val="0"/>
          <w:numId w:val="42"/>
        </w:numPr>
        <w:rPr>
          <w:rFonts w:cs="Arial"/>
          <w:color w:val="000000" w:themeColor="text1"/>
          <w:sz w:val="22"/>
          <w:szCs w:val="22"/>
        </w:rPr>
      </w:pPr>
      <w:r w:rsidRPr="5311C3E3">
        <w:rPr>
          <w:rFonts w:cs="Arial"/>
          <w:color w:val="000000" w:themeColor="text1"/>
          <w:sz w:val="22"/>
          <w:szCs w:val="22"/>
        </w:rPr>
        <w:t>Appropriate use of Food First strategies</w:t>
      </w:r>
    </w:p>
    <w:p w14:paraId="5E02324C" w14:textId="4E0A02C4" w:rsidR="71A65E9A" w:rsidRDefault="2002502D" w:rsidP="00825F2C">
      <w:pPr>
        <w:pStyle w:val="ListParagraph"/>
        <w:numPr>
          <w:ilvl w:val="0"/>
          <w:numId w:val="42"/>
        </w:numPr>
        <w:rPr>
          <w:rFonts w:cs="Arial"/>
          <w:color w:val="000000" w:themeColor="text1"/>
          <w:sz w:val="22"/>
          <w:szCs w:val="22"/>
        </w:rPr>
      </w:pPr>
      <w:r w:rsidRPr="5311C3E3">
        <w:rPr>
          <w:rFonts w:cs="Arial"/>
          <w:color w:val="000000" w:themeColor="text1"/>
          <w:sz w:val="22"/>
          <w:szCs w:val="22"/>
        </w:rPr>
        <w:t>Selection of the most suitable form of nutrition support</w:t>
      </w:r>
    </w:p>
    <w:p w14:paraId="18DD5D89" w14:textId="1A5E6B36" w:rsidR="71A65E9A" w:rsidRDefault="2002502D" w:rsidP="00825F2C">
      <w:pPr>
        <w:pStyle w:val="ListParagraph"/>
        <w:numPr>
          <w:ilvl w:val="0"/>
          <w:numId w:val="42"/>
        </w:numPr>
        <w:rPr>
          <w:rFonts w:cs="Arial"/>
          <w:color w:val="000000" w:themeColor="text1"/>
          <w:sz w:val="22"/>
          <w:szCs w:val="22"/>
        </w:rPr>
      </w:pPr>
      <w:r w:rsidRPr="5311C3E3">
        <w:rPr>
          <w:rFonts w:cs="Arial"/>
          <w:color w:val="000000" w:themeColor="text1"/>
          <w:sz w:val="22"/>
          <w:szCs w:val="22"/>
        </w:rPr>
        <w:t xml:space="preserve">Safe, effective, and cost-effective </w:t>
      </w:r>
      <w:r w:rsidR="3D3FA3A4" w:rsidRPr="5311C3E3">
        <w:rPr>
          <w:rFonts w:cs="Arial"/>
          <w:color w:val="000000" w:themeColor="text1"/>
          <w:sz w:val="22"/>
          <w:szCs w:val="22"/>
        </w:rPr>
        <w:t xml:space="preserve">oral nutritional supplement </w:t>
      </w:r>
      <w:r w:rsidRPr="5311C3E3">
        <w:rPr>
          <w:rFonts w:cs="Arial"/>
          <w:color w:val="000000" w:themeColor="text1"/>
          <w:sz w:val="22"/>
          <w:szCs w:val="22"/>
        </w:rPr>
        <w:t>prescribing</w:t>
      </w:r>
    </w:p>
    <w:p w14:paraId="30ECF427" w14:textId="1C657B36" w:rsidR="71A65E9A" w:rsidRDefault="71A65E9A" w:rsidP="5311C3E3">
      <w:pPr>
        <w:pStyle w:val="Heading3"/>
      </w:pPr>
    </w:p>
    <w:p w14:paraId="24D6FF39" w14:textId="28104F94" w:rsidR="71A65E9A" w:rsidRDefault="468DACD0" w:rsidP="2AAD45D3">
      <w:pPr>
        <w:rPr>
          <w:rFonts w:cs="Arial"/>
          <w:color w:val="000000" w:themeColor="text1"/>
          <w:sz w:val="22"/>
          <w:szCs w:val="22"/>
        </w:rPr>
      </w:pPr>
      <w:r w:rsidRPr="5311C3E3">
        <w:rPr>
          <w:rFonts w:cs="Arial"/>
          <w:color w:val="000000" w:themeColor="text1"/>
          <w:sz w:val="22"/>
          <w:szCs w:val="22"/>
        </w:rPr>
        <w:t xml:space="preserve">Staff must </w:t>
      </w:r>
      <w:r w:rsidR="1E1293AE" w:rsidRPr="5311C3E3">
        <w:rPr>
          <w:rFonts w:cs="Arial"/>
          <w:color w:val="000000" w:themeColor="text1"/>
          <w:sz w:val="22"/>
          <w:szCs w:val="22"/>
        </w:rPr>
        <w:t>align</w:t>
      </w:r>
      <w:r w:rsidRPr="5311C3E3">
        <w:rPr>
          <w:rFonts w:cs="Arial"/>
          <w:color w:val="000000" w:themeColor="text1"/>
          <w:sz w:val="22"/>
          <w:szCs w:val="22"/>
        </w:rPr>
        <w:t xml:space="preserve"> Oral Nutritional Supplement prescribing </w:t>
      </w:r>
      <w:r w:rsidR="335C02FD" w:rsidRPr="5311C3E3">
        <w:rPr>
          <w:rFonts w:cs="Arial"/>
          <w:color w:val="000000" w:themeColor="text1"/>
          <w:sz w:val="22"/>
          <w:szCs w:val="22"/>
        </w:rPr>
        <w:t>with local guidance</w:t>
      </w:r>
      <w:r w:rsidR="2B4A995E" w:rsidRPr="5311C3E3">
        <w:rPr>
          <w:rFonts w:cs="Arial"/>
          <w:color w:val="000000" w:themeColor="text1"/>
          <w:sz w:val="22"/>
          <w:szCs w:val="22"/>
        </w:rPr>
        <w:t xml:space="preserve">; </w:t>
      </w:r>
      <w:r w:rsidRPr="5311C3E3">
        <w:rPr>
          <w:rFonts w:cs="Arial"/>
          <w:color w:val="000000" w:themeColor="text1"/>
          <w:sz w:val="22"/>
          <w:szCs w:val="22"/>
        </w:rPr>
        <w:t>NEL</w:t>
      </w:r>
      <w:r w:rsidR="41967F2F" w:rsidRPr="5311C3E3">
        <w:rPr>
          <w:rFonts w:cs="Arial"/>
          <w:color w:val="000000" w:themeColor="text1"/>
          <w:sz w:val="22"/>
          <w:szCs w:val="22"/>
        </w:rPr>
        <w:t xml:space="preserve"> ICB</w:t>
      </w:r>
      <w:r w:rsidR="6F8F8D73" w:rsidRPr="5311C3E3">
        <w:rPr>
          <w:rFonts w:cs="Arial"/>
          <w:sz w:val="22"/>
          <w:szCs w:val="22"/>
        </w:rPr>
        <w:t xml:space="preserve"> </w:t>
      </w:r>
      <w:sdt>
        <w:sdtPr>
          <w:rPr>
            <w:rFonts w:cs="Arial"/>
            <w:color w:val="000000" w:themeColor="text1"/>
            <w:sz w:val="22"/>
            <w:szCs w:val="22"/>
          </w:rPr>
          <w:tag w:val="MENDELEY_CITATION_v3_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"/>
          <w:id w:val="379358494"/>
          <w:placeholder>
            <w:docPart w:val="DefaultPlaceholder_-1854013440"/>
          </w:placeholder>
        </w:sdtPr>
        <w:sdtEndPr/>
        <w:sdtContent>
          <w:r w:rsidR="5311C3E3" w:rsidRPr="5311C3E3">
            <w:rPr>
              <w:rFonts w:cs="Arial"/>
              <w:color w:val="000000" w:themeColor="text1"/>
              <w:sz w:val="22"/>
              <w:szCs w:val="22"/>
            </w:rPr>
            <w:t>(2024) and</w:t>
          </w:r>
        </w:sdtContent>
      </w:sdt>
      <w:r w:rsidRPr="5311C3E3">
        <w:rPr>
          <w:rFonts w:cs="Arial"/>
          <w:sz w:val="22"/>
          <w:szCs w:val="22"/>
        </w:rPr>
        <w:t xml:space="preserve"> BMLK</w:t>
      </w:r>
      <w:r w:rsidR="5E309073" w:rsidRPr="5311C3E3">
        <w:rPr>
          <w:rFonts w:cs="Arial"/>
          <w:sz w:val="22"/>
          <w:szCs w:val="22"/>
        </w:rPr>
        <w:t xml:space="preserve"> </w:t>
      </w:r>
      <w:sdt>
        <w:sdtPr>
          <w:rPr>
            <w:rFonts w:cs="Arial"/>
            <w:color w:val="000000" w:themeColor="text1"/>
            <w:sz w:val="22"/>
            <w:szCs w:val="22"/>
          </w:rPr>
          <w:tag w:val="MENDELEY_CITATION_v3_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"/>
          <w:id w:val="2104758710"/>
          <w:placeholder>
            <w:docPart w:val="DefaultPlaceholder_-1854013440"/>
          </w:placeholder>
        </w:sdtPr>
        <w:sdtEndPr/>
        <w:sdtContent>
          <w:r w:rsidR="5311C3E3" w:rsidRPr="5311C3E3">
            <w:rPr>
              <w:rFonts w:cs="Arial"/>
              <w:color w:val="000000" w:themeColor="text1"/>
              <w:sz w:val="22"/>
              <w:szCs w:val="22"/>
            </w:rPr>
            <w:t>(Food First Project, 2022)</w:t>
          </w:r>
        </w:sdtContent>
      </w:sdt>
      <w:r w:rsidRPr="5311C3E3">
        <w:rPr>
          <w:rFonts w:cs="Arial"/>
          <w:sz w:val="22"/>
          <w:szCs w:val="22"/>
        </w:rPr>
        <w:t>.</w:t>
      </w:r>
    </w:p>
    <w:p w14:paraId="43365BFC" w14:textId="78A1D0E1" w:rsidR="2AAD45D3" w:rsidRDefault="2AAD45D3" w:rsidP="5311C3E3">
      <w:pPr>
        <w:pStyle w:val="Heading4"/>
        <w:rPr>
          <w:rFonts w:ascii="Arial" w:eastAsia="Arial" w:hAnsi="Arial" w:cs="Arial"/>
          <w:sz w:val="22"/>
          <w:szCs w:val="22"/>
        </w:rPr>
      </w:pPr>
    </w:p>
    <w:p w14:paraId="7D2EDF4C" w14:textId="71502A8E" w:rsidR="71A65E9A" w:rsidRDefault="19BDE6EA" w:rsidP="5311C3E3">
      <w:pPr>
        <w:pStyle w:val="Heading3"/>
        <w:rPr>
          <w:rFonts w:ascii="Arial" w:eastAsia="Arial" w:hAnsi="Arial" w:cs="Arial"/>
          <w:sz w:val="22"/>
          <w:szCs w:val="22"/>
        </w:rPr>
      </w:pPr>
      <w:bookmarkStart w:id="138" w:name="_Toc224652014"/>
      <w:bookmarkStart w:id="139" w:name="_Toc227057837"/>
      <w:r>
        <w:t xml:space="preserve">5.4.4 </w:t>
      </w:r>
      <w:r w:rsidR="325EB1A7">
        <w:t>Refeeding Syndrome</w:t>
      </w:r>
      <w:bookmarkEnd w:id="138"/>
      <w:bookmarkEnd w:id="139"/>
    </w:p>
    <w:p w14:paraId="12409160" w14:textId="011D6D49" w:rsidR="71A65E9A" w:rsidRDefault="24E4F8F2" w:rsidP="5311C3E3">
      <w:pPr>
        <w:rPr>
          <w:rFonts w:cs="Arial"/>
          <w:color w:val="000000" w:themeColor="text1"/>
          <w:sz w:val="22"/>
          <w:szCs w:val="22"/>
        </w:rPr>
      </w:pPr>
      <w:r w:rsidRPr="5311C3E3">
        <w:rPr>
          <w:rFonts w:cs="Arial"/>
          <w:color w:val="000000" w:themeColor="text1"/>
          <w:sz w:val="22"/>
          <w:szCs w:val="22"/>
        </w:rPr>
        <w:t xml:space="preserve">To safely manage refeeding syndrome, staff must follow ELFT’s </w:t>
      </w:r>
      <w:r w:rsidR="6A2EC8E2" w:rsidRPr="5311C3E3">
        <w:rPr>
          <w:rFonts w:cs="Arial"/>
          <w:color w:val="000000" w:themeColor="text1"/>
          <w:sz w:val="22"/>
          <w:szCs w:val="22"/>
        </w:rPr>
        <w:t>R</w:t>
      </w:r>
      <w:r w:rsidRPr="5311C3E3">
        <w:rPr>
          <w:rFonts w:cs="Arial"/>
          <w:color w:val="000000" w:themeColor="text1"/>
          <w:sz w:val="22"/>
          <w:szCs w:val="22"/>
        </w:rPr>
        <w:t xml:space="preserve">efeeding </w:t>
      </w:r>
      <w:r w:rsidR="78A9F313" w:rsidRPr="5311C3E3">
        <w:rPr>
          <w:rFonts w:cs="Arial"/>
          <w:color w:val="000000" w:themeColor="text1"/>
          <w:sz w:val="22"/>
          <w:szCs w:val="22"/>
        </w:rPr>
        <w:t>S</w:t>
      </w:r>
      <w:r w:rsidRPr="5311C3E3">
        <w:rPr>
          <w:rFonts w:cs="Arial"/>
          <w:color w:val="000000" w:themeColor="text1"/>
          <w:sz w:val="22"/>
          <w:szCs w:val="22"/>
        </w:rPr>
        <w:t xml:space="preserve">yndrome </w:t>
      </w:r>
      <w:r w:rsidR="333E4EAE" w:rsidRPr="5311C3E3">
        <w:rPr>
          <w:rFonts w:cs="Arial"/>
          <w:color w:val="000000" w:themeColor="text1"/>
          <w:sz w:val="22"/>
          <w:szCs w:val="22"/>
        </w:rPr>
        <w:t>P</w:t>
      </w:r>
      <w:r w:rsidRPr="5311C3E3">
        <w:rPr>
          <w:rFonts w:cs="Arial"/>
          <w:color w:val="000000" w:themeColor="text1"/>
          <w:sz w:val="22"/>
          <w:szCs w:val="22"/>
        </w:rPr>
        <w:t xml:space="preserve">olicy. Separate protocols apply for service users with diagnosed or suspected eating disorders. </w:t>
      </w:r>
    </w:p>
    <w:p w14:paraId="5A5B8C33" w14:textId="4C1BE44F" w:rsidR="71A65E9A" w:rsidRDefault="0CE548AD" w:rsidP="5311C3E3">
      <w:pPr>
        <w:rPr>
          <w:rFonts w:cs="Arial"/>
          <w:color w:val="000000" w:themeColor="text1"/>
          <w:sz w:val="22"/>
          <w:szCs w:val="22"/>
        </w:rPr>
      </w:pPr>
      <w:r w:rsidRPr="5311C3E3">
        <w:rPr>
          <w:rFonts w:cs="Arial"/>
          <w:color w:val="000000" w:themeColor="text1"/>
          <w:sz w:val="22"/>
          <w:szCs w:val="22"/>
        </w:rPr>
        <w:t xml:space="preserve"> </w:t>
      </w:r>
    </w:p>
    <w:p w14:paraId="5C1E7E49" w14:textId="43E1DF1C" w:rsidR="71A65E9A" w:rsidRDefault="7588554E" w:rsidP="5311C3E3">
      <w:pPr>
        <w:pStyle w:val="Heading2"/>
        <w:rPr>
          <w:rStyle w:val="Heading2Char"/>
          <w:rFonts w:ascii="Arial" w:eastAsia="Arial" w:hAnsi="Arial" w:cs="Arial"/>
          <w:sz w:val="22"/>
          <w:szCs w:val="22"/>
        </w:rPr>
      </w:pPr>
      <w:bookmarkStart w:id="140" w:name="_Toc224651855"/>
      <w:bookmarkStart w:id="141" w:name="_Toc224652015"/>
      <w:bookmarkStart w:id="142" w:name="_Toc227057838"/>
      <w:r w:rsidRPr="5311C3E3">
        <w:t xml:space="preserve">5.5 </w:t>
      </w:r>
      <w:r w:rsidR="048DB6DC" w:rsidRPr="5311C3E3">
        <w:t>Overweight</w:t>
      </w:r>
      <w:r w:rsidR="3DD58AA1" w:rsidRPr="5311C3E3">
        <w:t xml:space="preserve"> and</w:t>
      </w:r>
      <w:r w:rsidR="048DB6DC" w:rsidRPr="5311C3E3">
        <w:t xml:space="preserve"> Obesity</w:t>
      </w:r>
      <w:bookmarkEnd w:id="140"/>
      <w:bookmarkEnd w:id="141"/>
      <w:bookmarkEnd w:id="142"/>
      <w:r w:rsidR="048DB6DC" w:rsidRPr="5311C3E3">
        <w:t xml:space="preserve"> </w:t>
      </w:r>
    </w:p>
    <w:p w14:paraId="480CDA62" w14:textId="15F12DE2" w:rsidR="551B0640" w:rsidRDefault="722FA05C" w:rsidP="5311C3E3">
      <w:pPr>
        <w:spacing w:before="240" w:after="240"/>
        <w:rPr>
          <w:rFonts w:cs="Arial"/>
          <w:sz w:val="22"/>
          <w:szCs w:val="22"/>
        </w:rPr>
      </w:pPr>
      <w:r w:rsidRPr="5311C3E3">
        <w:rPr>
          <w:rFonts w:cs="Arial"/>
          <w:sz w:val="22"/>
          <w:szCs w:val="22"/>
        </w:rPr>
        <w:t>People accessing ELFT services may be at increased risk of overweight, obesity and associated metabolic conditions, including type 2 diabetes, cardiovascular disease and non-alcoholic fatty liver disease. People living with severe mental illness are at particularly high risk.</w:t>
      </w:r>
    </w:p>
    <w:p w14:paraId="6A337702" w14:textId="3A51EFDA" w:rsidR="5B7B2C7A" w:rsidRDefault="5B7B2C7A" w:rsidP="5311C3E3">
      <w:pPr>
        <w:spacing w:before="240" w:after="240"/>
        <w:rPr>
          <w:rFonts w:cs="Arial"/>
          <w:sz w:val="22"/>
          <w:szCs w:val="22"/>
        </w:rPr>
      </w:pPr>
    </w:p>
    <w:p w14:paraId="02306B39" w14:textId="2BB096A7" w:rsidR="551B0640" w:rsidRDefault="722FA05C" w:rsidP="5311C3E3">
      <w:pPr>
        <w:spacing w:before="240" w:after="240"/>
        <w:rPr>
          <w:rFonts w:cs="Arial"/>
          <w:sz w:val="22"/>
          <w:szCs w:val="22"/>
        </w:rPr>
      </w:pPr>
      <w:r w:rsidRPr="5311C3E3">
        <w:rPr>
          <w:rFonts w:cs="Arial"/>
          <w:sz w:val="22"/>
          <w:szCs w:val="22"/>
        </w:rPr>
        <w:t>Identification, referral and management of overweight and obesity must be person-centred and aligned with:</w:t>
      </w:r>
    </w:p>
    <w:p w14:paraId="4702D071" w14:textId="0B657416" w:rsidR="551B0640" w:rsidRDefault="722FA05C" w:rsidP="00825F2C">
      <w:pPr>
        <w:pStyle w:val="ListParagraph"/>
        <w:numPr>
          <w:ilvl w:val="0"/>
          <w:numId w:val="27"/>
        </w:numPr>
        <w:spacing w:before="240" w:after="240"/>
        <w:rPr>
          <w:rFonts w:cs="Arial"/>
          <w:i/>
          <w:iCs/>
          <w:sz w:val="22"/>
          <w:szCs w:val="22"/>
        </w:rPr>
      </w:pPr>
      <w:r w:rsidRPr="5311C3E3">
        <w:rPr>
          <w:rFonts w:cs="Arial"/>
          <w:sz w:val="22"/>
          <w:szCs w:val="22"/>
        </w:rPr>
        <w:t xml:space="preserve">NICE guideline NG246: </w:t>
      </w:r>
      <w:r w:rsidRPr="5311C3E3">
        <w:rPr>
          <w:rFonts w:cs="Arial"/>
          <w:i/>
          <w:iCs/>
          <w:sz w:val="22"/>
          <w:szCs w:val="22"/>
        </w:rPr>
        <w:t>Overweight and obesity management</w:t>
      </w:r>
    </w:p>
    <w:p w14:paraId="2776B78B" w14:textId="1AC372A4" w:rsidR="551B0640" w:rsidRDefault="722FA05C" w:rsidP="00825F2C">
      <w:pPr>
        <w:pStyle w:val="ListParagraph"/>
        <w:numPr>
          <w:ilvl w:val="0"/>
          <w:numId w:val="27"/>
        </w:numPr>
        <w:spacing w:before="240" w:after="240"/>
        <w:rPr>
          <w:rFonts w:cs="Arial"/>
          <w:sz w:val="22"/>
          <w:szCs w:val="22"/>
        </w:rPr>
      </w:pPr>
      <w:r w:rsidRPr="5311C3E3">
        <w:rPr>
          <w:rFonts w:cs="Arial"/>
          <w:sz w:val="22"/>
          <w:szCs w:val="22"/>
        </w:rPr>
        <w:t xml:space="preserve">Trust physical healthcare </w:t>
      </w:r>
      <w:r w:rsidR="00E0647B">
        <w:rPr>
          <w:rFonts w:cs="Arial"/>
          <w:sz w:val="22"/>
          <w:szCs w:val="22"/>
        </w:rPr>
        <w:t>policy</w:t>
      </w:r>
    </w:p>
    <w:p w14:paraId="6C98DA02" w14:textId="7F591A30" w:rsidR="551B0640" w:rsidRDefault="00E0647B" w:rsidP="5311C3E3">
      <w:pPr>
        <w:spacing w:before="240" w:after="240"/>
        <w:rPr>
          <w:rFonts w:cs="Arial"/>
          <w:sz w:val="22"/>
          <w:szCs w:val="22"/>
        </w:rPr>
      </w:pPr>
      <w:r>
        <w:rPr>
          <w:rFonts w:cs="Arial"/>
          <w:sz w:val="22"/>
          <w:szCs w:val="22"/>
        </w:rPr>
        <w:t xml:space="preserve">Trust </w:t>
      </w:r>
      <w:r w:rsidRPr="00E0647B">
        <w:rPr>
          <w:rFonts w:cs="Arial"/>
          <w:sz w:val="22"/>
          <w:szCs w:val="22"/>
        </w:rPr>
        <w:t>Policy for the Use of High Dose Antipsychotic Therapy</w:t>
      </w:r>
      <w:r>
        <w:rPr>
          <w:rFonts w:cs="Arial"/>
          <w:sz w:val="22"/>
          <w:szCs w:val="22"/>
        </w:rPr>
        <w:t xml:space="preserve"> </w:t>
      </w:r>
      <w:r w:rsidR="722FA05C" w:rsidRPr="5311C3E3">
        <w:rPr>
          <w:rFonts w:cs="Arial"/>
          <w:sz w:val="22"/>
          <w:szCs w:val="22"/>
        </w:rPr>
        <w:t>Detailed practical guidance for staff is available on the ELFT Nutrition and Dietetics intranet page.</w:t>
      </w:r>
    </w:p>
    <w:p w14:paraId="39EE0BD7" w14:textId="0A12AF9F" w:rsidR="5B7B2C7A" w:rsidRDefault="5B7B2C7A" w:rsidP="5311C3E3">
      <w:pPr>
        <w:rPr>
          <w:rFonts w:cs="Arial"/>
          <w:sz w:val="22"/>
          <w:szCs w:val="22"/>
        </w:rPr>
      </w:pPr>
    </w:p>
    <w:p w14:paraId="144C95DE" w14:textId="4C7D0D1B" w:rsidR="551B0640" w:rsidRDefault="101FBAD9" w:rsidP="5311C3E3">
      <w:pPr>
        <w:pStyle w:val="Heading3"/>
        <w:rPr>
          <w:rFonts w:ascii="Arial" w:eastAsia="Arial" w:hAnsi="Arial" w:cs="Arial"/>
          <w:sz w:val="22"/>
          <w:szCs w:val="22"/>
        </w:rPr>
      </w:pPr>
      <w:bookmarkStart w:id="143" w:name="_Toc224652016"/>
      <w:bookmarkStart w:id="144" w:name="_Toc227057839"/>
      <w:r w:rsidRPr="5311C3E3">
        <w:t>5.</w:t>
      </w:r>
      <w:r w:rsidR="10996797" w:rsidRPr="5311C3E3">
        <w:t>5</w:t>
      </w:r>
      <w:r w:rsidRPr="5311C3E3">
        <w:t xml:space="preserve">.1 </w:t>
      </w:r>
      <w:r w:rsidR="722FA05C" w:rsidRPr="5311C3E3">
        <w:t>Identifying Risk</w:t>
      </w:r>
      <w:bookmarkEnd w:id="143"/>
      <w:bookmarkEnd w:id="144"/>
    </w:p>
    <w:p w14:paraId="0277DD9B" w14:textId="137A3E2B" w:rsidR="551B0640" w:rsidRDefault="722FA05C" w:rsidP="5311C3E3">
      <w:pPr>
        <w:spacing w:before="0" w:after="240"/>
        <w:rPr>
          <w:rFonts w:cs="Arial"/>
          <w:sz w:val="22"/>
          <w:szCs w:val="22"/>
        </w:rPr>
      </w:pPr>
      <w:r w:rsidRPr="5311C3E3">
        <w:rPr>
          <w:rFonts w:cs="Arial"/>
          <w:sz w:val="22"/>
          <w:szCs w:val="22"/>
        </w:rPr>
        <w:t>Assessment of overweight, obesity and metabolic risk must form part of routine physical health monitoring.</w:t>
      </w:r>
    </w:p>
    <w:p w14:paraId="6D0EE4D2" w14:textId="41F00C63" w:rsidR="5B7B2C7A" w:rsidRDefault="5B7B2C7A" w:rsidP="5311C3E3">
      <w:pPr>
        <w:spacing w:before="240" w:after="240"/>
        <w:rPr>
          <w:rFonts w:cs="Arial"/>
          <w:sz w:val="22"/>
          <w:szCs w:val="22"/>
        </w:rPr>
      </w:pPr>
    </w:p>
    <w:p w14:paraId="61AB5139" w14:textId="42FB6D1B" w:rsidR="551B0640" w:rsidRDefault="722FA05C" w:rsidP="5311C3E3">
      <w:pPr>
        <w:spacing w:before="240" w:after="240"/>
        <w:rPr>
          <w:rFonts w:cs="Arial"/>
          <w:sz w:val="22"/>
          <w:szCs w:val="22"/>
        </w:rPr>
      </w:pPr>
      <w:r w:rsidRPr="5311C3E3">
        <w:rPr>
          <w:rFonts w:cs="Arial"/>
          <w:sz w:val="22"/>
          <w:szCs w:val="22"/>
        </w:rPr>
        <w:t>Staff must:</w:t>
      </w:r>
    </w:p>
    <w:p w14:paraId="29F46E80" w14:textId="71157C56" w:rsidR="551B0640" w:rsidRDefault="722FA05C" w:rsidP="00825F2C">
      <w:pPr>
        <w:pStyle w:val="ListParagraph"/>
        <w:numPr>
          <w:ilvl w:val="0"/>
          <w:numId w:val="26"/>
        </w:numPr>
        <w:spacing w:before="240" w:after="240"/>
        <w:rPr>
          <w:rFonts w:cs="Arial"/>
          <w:sz w:val="22"/>
          <w:szCs w:val="22"/>
        </w:rPr>
      </w:pPr>
      <w:r w:rsidRPr="5311C3E3">
        <w:rPr>
          <w:rFonts w:cs="Arial"/>
          <w:sz w:val="22"/>
          <w:szCs w:val="22"/>
        </w:rPr>
        <w:t xml:space="preserve">Identify risk using the relevant nutrition screening tool (see Section </w:t>
      </w:r>
      <w:r w:rsidR="5AA9DCDC" w:rsidRPr="5311C3E3">
        <w:rPr>
          <w:rFonts w:cs="Arial"/>
          <w:sz w:val="22"/>
          <w:szCs w:val="22"/>
        </w:rPr>
        <w:t>4.2)</w:t>
      </w:r>
    </w:p>
    <w:p w14:paraId="1D4AADB9" w14:textId="1FC1CC1C" w:rsidR="551B0640" w:rsidRDefault="722FA05C" w:rsidP="00825F2C">
      <w:pPr>
        <w:pStyle w:val="ListParagraph"/>
        <w:numPr>
          <w:ilvl w:val="0"/>
          <w:numId w:val="26"/>
        </w:numPr>
        <w:spacing w:before="240" w:after="240"/>
        <w:rPr>
          <w:rFonts w:cs="Arial"/>
          <w:sz w:val="22"/>
          <w:szCs w:val="22"/>
        </w:rPr>
      </w:pPr>
      <w:r w:rsidRPr="5311C3E3">
        <w:rPr>
          <w:rFonts w:cs="Arial"/>
          <w:sz w:val="22"/>
          <w:szCs w:val="22"/>
        </w:rPr>
        <w:t>Record BMI and relevant physical health indicators</w:t>
      </w:r>
    </w:p>
    <w:p w14:paraId="22D8202B" w14:textId="65680B52" w:rsidR="551B0640" w:rsidRDefault="722FA05C" w:rsidP="00825F2C">
      <w:pPr>
        <w:pStyle w:val="ListParagraph"/>
        <w:numPr>
          <w:ilvl w:val="0"/>
          <w:numId w:val="26"/>
        </w:numPr>
        <w:spacing w:before="240" w:after="240"/>
        <w:rPr>
          <w:rFonts w:cs="Arial"/>
          <w:sz w:val="22"/>
          <w:szCs w:val="22"/>
        </w:rPr>
      </w:pPr>
      <w:r w:rsidRPr="5311C3E3">
        <w:rPr>
          <w:rFonts w:cs="Arial"/>
          <w:sz w:val="22"/>
          <w:szCs w:val="22"/>
        </w:rPr>
        <w:t>Consider central adiposity and cardiometabolic risk factors where appropriate</w:t>
      </w:r>
    </w:p>
    <w:p w14:paraId="10B54DD7" w14:textId="58E5CDE8" w:rsidR="551B0640" w:rsidRDefault="722FA05C" w:rsidP="00825F2C">
      <w:pPr>
        <w:pStyle w:val="ListParagraph"/>
        <w:numPr>
          <w:ilvl w:val="0"/>
          <w:numId w:val="26"/>
        </w:numPr>
        <w:spacing w:before="240" w:after="240"/>
        <w:rPr>
          <w:rFonts w:cs="Arial"/>
          <w:sz w:val="22"/>
          <w:szCs w:val="22"/>
        </w:rPr>
      </w:pPr>
      <w:r w:rsidRPr="5311C3E3">
        <w:rPr>
          <w:rFonts w:cs="Arial"/>
          <w:sz w:val="22"/>
          <w:szCs w:val="22"/>
        </w:rPr>
        <w:t>Document findings in the electronic patient record and nutrition</w:t>
      </w:r>
      <w:r w:rsidR="69E22242" w:rsidRPr="5311C3E3">
        <w:rPr>
          <w:rFonts w:cs="Arial"/>
          <w:sz w:val="22"/>
          <w:szCs w:val="22"/>
        </w:rPr>
        <w:t xml:space="preserve"> </w:t>
      </w:r>
      <w:r w:rsidRPr="5311C3E3">
        <w:rPr>
          <w:rFonts w:cs="Arial"/>
          <w:sz w:val="22"/>
          <w:szCs w:val="22"/>
        </w:rPr>
        <w:t>care plan</w:t>
      </w:r>
    </w:p>
    <w:p w14:paraId="6B97EB8F" w14:textId="7E1C63F8" w:rsidR="551B0640" w:rsidRDefault="722FA05C" w:rsidP="00825F2C">
      <w:pPr>
        <w:pStyle w:val="ListParagraph"/>
        <w:numPr>
          <w:ilvl w:val="0"/>
          <w:numId w:val="26"/>
        </w:numPr>
        <w:spacing w:before="240" w:after="240"/>
        <w:rPr>
          <w:rFonts w:cs="Arial"/>
          <w:sz w:val="22"/>
          <w:szCs w:val="22"/>
        </w:rPr>
      </w:pPr>
      <w:r w:rsidRPr="5311C3E3">
        <w:rPr>
          <w:rFonts w:cs="Arial"/>
          <w:sz w:val="22"/>
          <w:szCs w:val="22"/>
        </w:rPr>
        <w:t>Ensure monitoring aligns with medication-related metabolic monitoring requirements (see Section 4.</w:t>
      </w:r>
      <w:r w:rsidR="6195FCAE" w:rsidRPr="5311C3E3">
        <w:rPr>
          <w:rFonts w:cs="Arial"/>
          <w:sz w:val="22"/>
          <w:szCs w:val="22"/>
        </w:rPr>
        <w:t>9</w:t>
      </w:r>
      <w:r w:rsidRPr="5311C3E3">
        <w:rPr>
          <w:rFonts w:cs="Arial"/>
          <w:sz w:val="22"/>
          <w:szCs w:val="22"/>
        </w:rPr>
        <w:t xml:space="preserve"> and the Trust Physical Healthcare Policy)</w:t>
      </w:r>
    </w:p>
    <w:p w14:paraId="730F3B19" w14:textId="288D412F" w:rsidR="00011486" w:rsidRDefault="7B80C56A" w:rsidP="00666763">
      <w:pPr>
        <w:spacing w:before="240" w:after="240"/>
        <w:rPr>
          <w:rFonts w:asciiTheme="majorHAnsi" w:eastAsiaTheme="majorEastAsia" w:hAnsiTheme="majorHAnsi" w:cstheme="majorBidi"/>
          <w:color w:val="2E74B5" w:themeColor="accent1" w:themeShade="BF"/>
          <w:sz w:val="28"/>
          <w:szCs w:val="28"/>
        </w:rPr>
      </w:pPr>
      <w:r w:rsidRPr="1D6E3FFF">
        <w:rPr>
          <w:rFonts w:cs="Arial"/>
          <w:sz w:val="22"/>
          <w:szCs w:val="22"/>
        </w:rPr>
        <w:lastRenderedPageBreak/>
        <w:t>BMI must be used as a screening measure and interpreted alongside other indicators of metabolic risk</w:t>
      </w:r>
      <w:r w:rsidR="0BEDE45B" w:rsidRPr="1D6E3FFF">
        <w:rPr>
          <w:rFonts w:cs="Arial"/>
          <w:sz w:val="22"/>
          <w:szCs w:val="22"/>
        </w:rPr>
        <w:t>.</w:t>
      </w:r>
      <w:r w:rsidR="57139417" w:rsidRPr="1D6E3FFF">
        <w:rPr>
          <w:rFonts w:cs="Arial"/>
          <w:sz w:val="22"/>
          <w:szCs w:val="22"/>
        </w:rPr>
        <w:t xml:space="preserve"> </w:t>
      </w:r>
      <w:r w:rsidR="531C1F1C" w:rsidRPr="1D6E3FFF">
        <w:rPr>
          <w:rFonts w:cs="Arial"/>
          <w:sz w:val="22"/>
          <w:szCs w:val="22"/>
        </w:rPr>
        <w:t xml:space="preserve">BMI thresholds should be considered for based on ethnic groups due to increased </w:t>
      </w:r>
      <w:r w:rsidR="00011486" w:rsidRPr="1D6E3FFF">
        <w:rPr>
          <w:rFonts w:cs="Arial"/>
          <w:sz w:val="22"/>
          <w:szCs w:val="22"/>
        </w:rPr>
        <w:t>cardio metabolic</w:t>
      </w:r>
      <w:r w:rsidR="531C1F1C" w:rsidRPr="1D6E3FFF">
        <w:rPr>
          <w:rFonts w:cs="Arial"/>
          <w:sz w:val="22"/>
          <w:szCs w:val="22"/>
        </w:rPr>
        <w:t xml:space="preserve"> risk at lower BMI levels </w:t>
      </w:r>
      <w:sdt>
        <w:sdtPr>
          <w:tag w:val="MENDELEY_CITATION_v3_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"/>
          <w:id w:val="1783807935"/>
          <w:placeholder>
            <w:docPart w:val="DefaultPlaceholder_-1854013440"/>
          </w:placeholder>
        </w:sdtPr>
        <w:sdtEndPr/>
        <w:sdtContent>
          <w:r w:rsidR="5311C3E3" w:rsidRPr="1D6E3FFF">
            <w:rPr>
              <w:rFonts w:cs="Arial"/>
              <w:color w:val="000000" w:themeColor="text1"/>
              <w:sz w:val="22"/>
              <w:szCs w:val="22"/>
            </w:rPr>
            <w:t>(</w:t>
          </w:r>
          <w:bookmarkStart w:id="145" w:name="_Int_9Lrg7LG9"/>
          <w:r w:rsidR="5311C3E3" w:rsidRPr="1D6E3FFF">
            <w:rPr>
              <w:rFonts w:cs="Arial"/>
              <w:color w:val="000000" w:themeColor="text1"/>
              <w:sz w:val="22"/>
              <w:szCs w:val="22"/>
            </w:rPr>
            <w:t>Caleyachetty</w:t>
          </w:r>
          <w:bookmarkEnd w:id="145"/>
          <w:r w:rsidR="5311C3E3" w:rsidRPr="1D6E3FFF">
            <w:rPr>
              <w:rFonts w:cs="Arial"/>
              <w:color w:val="000000" w:themeColor="text1"/>
              <w:sz w:val="22"/>
              <w:szCs w:val="22"/>
            </w:rPr>
            <w:t xml:space="preserve"> et al, 2021)</w:t>
          </w:r>
        </w:sdtContent>
      </w:sdt>
      <w:r w:rsidR="531C1F1C">
        <w:t xml:space="preserve">. </w:t>
      </w:r>
      <w:r w:rsidR="722FA05C" w:rsidRPr="1D6E3FFF">
        <w:rPr>
          <w:rFonts w:cs="Arial"/>
          <w:sz w:val="22"/>
          <w:szCs w:val="22"/>
        </w:rPr>
        <w:t>Additional practical information on measurement and interpretation is provided in the intranet guidance.</w:t>
      </w:r>
      <w:bookmarkStart w:id="146" w:name="_Toc224652017"/>
    </w:p>
    <w:p w14:paraId="335DBBD7" w14:textId="16B684BE" w:rsidR="551B0640" w:rsidRDefault="59917AA5" w:rsidP="5311C3E3">
      <w:pPr>
        <w:pStyle w:val="Heading3"/>
        <w:rPr>
          <w:rFonts w:ascii="Arial" w:eastAsia="Arial" w:hAnsi="Arial" w:cs="Arial"/>
          <w:sz w:val="22"/>
          <w:szCs w:val="22"/>
        </w:rPr>
      </w:pPr>
      <w:bookmarkStart w:id="147" w:name="_Toc227057840"/>
      <w:r w:rsidRPr="5311C3E3">
        <w:t>5.</w:t>
      </w:r>
      <w:r w:rsidR="2E09855D" w:rsidRPr="5311C3E3">
        <w:t>5</w:t>
      </w:r>
      <w:r w:rsidRPr="5311C3E3">
        <w:t xml:space="preserve">.2 </w:t>
      </w:r>
      <w:r w:rsidR="722FA05C" w:rsidRPr="5311C3E3">
        <w:t>Referrals</w:t>
      </w:r>
      <w:bookmarkEnd w:id="146"/>
      <w:bookmarkEnd w:id="147"/>
    </w:p>
    <w:p w14:paraId="762702D2" w14:textId="0C06C21F" w:rsidR="551B0640" w:rsidRDefault="722FA05C" w:rsidP="5311C3E3">
      <w:pPr>
        <w:spacing w:before="0" w:after="240"/>
        <w:rPr>
          <w:rFonts w:cs="Arial"/>
          <w:sz w:val="22"/>
          <w:szCs w:val="22"/>
        </w:rPr>
      </w:pPr>
      <w:r w:rsidRPr="5311C3E3">
        <w:rPr>
          <w:rFonts w:cs="Arial"/>
          <w:sz w:val="22"/>
          <w:szCs w:val="22"/>
        </w:rPr>
        <w:t>Referral decisions must be based on holistic clinical assessment and not solely on BMI.</w:t>
      </w:r>
    </w:p>
    <w:p w14:paraId="340F8BA8" w14:textId="2C1F9777" w:rsidR="551B0640" w:rsidRDefault="722FA05C" w:rsidP="5311C3E3">
      <w:pPr>
        <w:spacing w:before="0" w:after="240"/>
        <w:rPr>
          <w:rFonts w:cs="Arial"/>
          <w:sz w:val="22"/>
          <w:szCs w:val="22"/>
        </w:rPr>
      </w:pPr>
      <w:r w:rsidRPr="5311C3E3">
        <w:rPr>
          <w:rFonts w:cs="Arial"/>
          <w:sz w:val="22"/>
          <w:szCs w:val="22"/>
        </w:rPr>
        <w:t>Referral to specialist weight management services should be considered where:</w:t>
      </w:r>
    </w:p>
    <w:p w14:paraId="6587B049" w14:textId="204881CC" w:rsidR="50563A2C" w:rsidRDefault="2D130502" w:rsidP="00825F2C">
      <w:pPr>
        <w:pStyle w:val="ListParagraph"/>
        <w:numPr>
          <w:ilvl w:val="0"/>
          <w:numId w:val="25"/>
        </w:numPr>
        <w:spacing w:before="240" w:after="240"/>
        <w:rPr>
          <w:rFonts w:cs="Arial"/>
          <w:sz w:val="22"/>
          <w:szCs w:val="22"/>
        </w:rPr>
      </w:pPr>
      <w:r w:rsidRPr="5311C3E3">
        <w:rPr>
          <w:rFonts w:cs="Arial"/>
          <w:sz w:val="22"/>
          <w:szCs w:val="22"/>
        </w:rPr>
        <w:t>O</w:t>
      </w:r>
      <w:r w:rsidR="722FA05C" w:rsidRPr="5311C3E3">
        <w:rPr>
          <w:rFonts w:cs="Arial"/>
          <w:sz w:val="22"/>
          <w:szCs w:val="22"/>
        </w:rPr>
        <w:t>besity is severe</w:t>
      </w:r>
    </w:p>
    <w:p w14:paraId="352B1BBB" w14:textId="6C8AAFA9" w:rsidR="15F85EDA" w:rsidRDefault="7150BBDB" w:rsidP="00825F2C">
      <w:pPr>
        <w:pStyle w:val="ListParagraph"/>
        <w:numPr>
          <w:ilvl w:val="0"/>
          <w:numId w:val="25"/>
        </w:numPr>
        <w:spacing w:before="240" w:after="240"/>
        <w:rPr>
          <w:rFonts w:cs="Arial"/>
          <w:sz w:val="22"/>
          <w:szCs w:val="22"/>
        </w:rPr>
      </w:pPr>
      <w:r w:rsidRPr="5311C3E3">
        <w:rPr>
          <w:rFonts w:cs="Arial"/>
          <w:sz w:val="22"/>
          <w:szCs w:val="22"/>
        </w:rPr>
        <w:t>O</w:t>
      </w:r>
      <w:r w:rsidR="722FA05C" w:rsidRPr="5311C3E3">
        <w:rPr>
          <w:rFonts w:cs="Arial"/>
          <w:sz w:val="22"/>
          <w:szCs w:val="22"/>
        </w:rPr>
        <w:t>besity-related health conditions are present</w:t>
      </w:r>
    </w:p>
    <w:p w14:paraId="2938A527" w14:textId="04FAC5D7" w:rsidR="7E55EF09" w:rsidRDefault="58DE279B" w:rsidP="00825F2C">
      <w:pPr>
        <w:pStyle w:val="ListParagraph"/>
        <w:numPr>
          <w:ilvl w:val="0"/>
          <w:numId w:val="25"/>
        </w:numPr>
        <w:spacing w:before="240" w:after="240"/>
        <w:rPr>
          <w:rFonts w:cs="Arial"/>
          <w:sz w:val="22"/>
          <w:szCs w:val="22"/>
        </w:rPr>
      </w:pPr>
      <w:r w:rsidRPr="5311C3E3">
        <w:rPr>
          <w:rFonts w:cs="Arial"/>
          <w:sz w:val="22"/>
          <w:szCs w:val="22"/>
        </w:rPr>
        <w:t>C</w:t>
      </w:r>
      <w:r w:rsidR="722FA05C" w:rsidRPr="5311C3E3">
        <w:rPr>
          <w:rFonts w:cs="Arial"/>
          <w:sz w:val="22"/>
          <w:szCs w:val="22"/>
        </w:rPr>
        <w:t>ardiometabolic risk is increasing</w:t>
      </w:r>
    </w:p>
    <w:p w14:paraId="4524631E" w14:textId="4E6F10A7" w:rsidR="013D7B15" w:rsidRDefault="78DFFC86" w:rsidP="00825F2C">
      <w:pPr>
        <w:pStyle w:val="ListParagraph"/>
        <w:numPr>
          <w:ilvl w:val="0"/>
          <w:numId w:val="25"/>
        </w:numPr>
        <w:spacing w:before="240" w:after="240"/>
        <w:rPr>
          <w:rFonts w:cs="Arial"/>
          <w:sz w:val="22"/>
          <w:szCs w:val="22"/>
        </w:rPr>
      </w:pPr>
      <w:r w:rsidRPr="5311C3E3">
        <w:rPr>
          <w:rFonts w:cs="Arial"/>
          <w:sz w:val="22"/>
          <w:szCs w:val="22"/>
        </w:rPr>
        <w:t>C</w:t>
      </w:r>
      <w:r w:rsidR="722FA05C" w:rsidRPr="5311C3E3">
        <w:rPr>
          <w:rFonts w:cs="Arial"/>
          <w:sz w:val="22"/>
          <w:szCs w:val="22"/>
        </w:rPr>
        <w:t>linical needs cannot be adequately managed within ELFT services</w:t>
      </w:r>
    </w:p>
    <w:p w14:paraId="182EBE9B" w14:textId="3B62E25F" w:rsidR="551B0640" w:rsidRDefault="722FA05C" w:rsidP="5311C3E3">
      <w:pPr>
        <w:spacing w:before="240" w:after="240"/>
        <w:rPr>
          <w:rFonts w:cs="Arial"/>
          <w:sz w:val="22"/>
          <w:szCs w:val="22"/>
        </w:rPr>
      </w:pPr>
      <w:r w:rsidRPr="5311C3E3">
        <w:rPr>
          <w:rFonts w:cs="Arial"/>
          <w:sz w:val="22"/>
          <w:szCs w:val="22"/>
        </w:rPr>
        <w:t>Referral decisions must take account of:</w:t>
      </w:r>
    </w:p>
    <w:p w14:paraId="6E042874" w14:textId="2A25DC8F" w:rsidR="1AEFA56E" w:rsidRDefault="10673866" w:rsidP="00825F2C">
      <w:pPr>
        <w:pStyle w:val="ListParagraph"/>
        <w:numPr>
          <w:ilvl w:val="0"/>
          <w:numId w:val="24"/>
        </w:numPr>
        <w:spacing w:before="240" w:after="240"/>
        <w:rPr>
          <w:rFonts w:cs="Arial"/>
          <w:sz w:val="22"/>
          <w:szCs w:val="22"/>
        </w:rPr>
      </w:pPr>
      <w:r w:rsidRPr="5311C3E3">
        <w:rPr>
          <w:rFonts w:cs="Arial"/>
          <w:sz w:val="22"/>
          <w:szCs w:val="22"/>
        </w:rPr>
        <w:t>O</w:t>
      </w:r>
      <w:r w:rsidR="722FA05C" w:rsidRPr="5311C3E3">
        <w:rPr>
          <w:rFonts w:cs="Arial"/>
          <w:sz w:val="22"/>
          <w:szCs w:val="22"/>
        </w:rPr>
        <w:t>verall clinical complexity</w:t>
      </w:r>
    </w:p>
    <w:p w14:paraId="5671C449" w14:textId="62400397" w:rsidR="71F67B1B" w:rsidRDefault="66E26EBE" w:rsidP="00825F2C">
      <w:pPr>
        <w:pStyle w:val="ListParagraph"/>
        <w:numPr>
          <w:ilvl w:val="0"/>
          <w:numId w:val="24"/>
        </w:numPr>
        <w:spacing w:before="240" w:after="240"/>
        <w:rPr>
          <w:rFonts w:cs="Arial"/>
          <w:sz w:val="22"/>
          <w:szCs w:val="22"/>
        </w:rPr>
      </w:pPr>
      <w:r w:rsidRPr="5311C3E3">
        <w:rPr>
          <w:rFonts w:cs="Arial"/>
          <w:sz w:val="22"/>
          <w:szCs w:val="22"/>
        </w:rPr>
        <w:t>C</w:t>
      </w:r>
      <w:r w:rsidR="722FA05C" w:rsidRPr="5311C3E3">
        <w:rPr>
          <w:rFonts w:cs="Arial"/>
          <w:sz w:val="22"/>
          <w:szCs w:val="22"/>
        </w:rPr>
        <w:t>ardiometabolic risk profile</w:t>
      </w:r>
    </w:p>
    <w:p w14:paraId="01820FD3" w14:textId="64B8F867" w:rsidR="71626925" w:rsidRDefault="17BFD8C4" w:rsidP="00825F2C">
      <w:pPr>
        <w:pStyle w:val="ListParagraph"/>
        <w:numPr>
          <w:ilvl w:val="0"/>
          <w:numId w:val="24"/>
        </w:numPr>
        <w:spacing w:before="240" w:after="240"/>
        <w:rPr>
          <w:rFonts w:cs="Arial"/>
          <w:sz w:val="22"/>
          <w:szCs w:val="22"/>
        </w:rPr>
      </w:pPr>
      <w:r w:rsidRPr="5311C3E3">
        <w:rPr>
          <w:rFonts w:cs="Arial"/>
          <w:sz w:val="22"/>
          <w:szCs w:val="22"/>
        </w:rPr>
        <w:t>T</w:t>
      </w:r>
      <w:r w:rsidR="722FA05C" w:rsidRPr="5311C3E3">
        <w:rPr>
          <w:rFonts w:cs="Arial"/>
          <w:sz w:val="22"/>
          <w:szCs w:val="22"/>
        </w:rPr>
        <w:t>he impact of psychotropic medication</w:t>
      </w:r>
    </w:p>
    <w:p w14:paraId="3EE12491" w14:textId="769D2BE8" w:rsidR="0799254D" w:rsidRDefault="56E94865" w:rsidP="00825F2C">
      <w:pPr>
        <w:pStyle w:val="ListParagraph"/>
        <w:numPr>
          <w:ilvl w:val="0"/>
          <w:numId w:val="24"/>
        </w:numPr>
        <w:spacing w:before="240" w:after="240"/>
        <w:rPr>
          <w:rFonts w:cs="Arial"/>
          <w:sz w:val="22"/>
          <w:szCs w:val="22"/>
        </w:rPr>
      </w:pPr>
      <w:r w:rsidRPr="5311C3E3">
        <w:rPr>
          <w:rFonts w:cs="Arial"/>
          <w:sz w:val="22"/>
          <w:szCs w:val="22"/>
        </w:rPr>
        <w:t>P</w:t>
      </w:r>
      <w:r w:rsidR="722FA05C" w:rsidRPr="5311C3E3">
        <w:rPr>
          <w:rFonts w:cs="Arial"/>
          <w:sz w:val="22"/>
          <w:szCs w:val="22"/>
        </w:rPr>
        <w:t>revious management approaches</w:t>
      </w:r>
    </w:p>
    <w:p w14:paraId="48CE157D" w14:textId="38539BA9" w:rsidR="2CB75F65" w:rsidRDefault="0FEBA672" w:rsidP="00825F2C">
      <w:pPr>
        <w:pStyle w:val="ListParagraph"/>
        <w:numPr>
          <w:ilvl w:val="0"/>
          <w:numId w:val="24"/>
        </w:numPr>
        <w:spacing w:before="240" w:after="240"/>
        <w:rPr>
          <w:rFonts w:cs="Arial"/>
          <w:sz w:val="22"/>
          <w:szCs w:val="22"/>
        </w:rPr>
      </w:pPr>
      <w:r w:rsidRPr="5311C3E3">
        <w:rPr>
          <w:rFonts w:cs="Arial"/>
          <w:sz w:val="22"/>
          <w:szCs w:val="22"/>
        </w:rPr>
        <w:t>S</w:t>
      </w:r>
      <w:r w:rsidR="722FA05C" w:rsidRPr="5311C3E3">
        <w:rPr>
          <w:rFonts w:cs="Arial"/>
          <w:sz w:val="22"/>
          <w:szCs w:val="22"/>
        </w:rPr>
        <w:t>ervice user readiness and engagement</w:t>
      </w:r>
    </w:p>
    <w:p w14:paraId="7A2DBDA2" w14:textId="5AC8B094" w:rsidR="551B0640" w:rsidRDefault="722FA05C" w:rsidP="5311C3E3">
      <w:pPr>
        <w:spacing w:before="240" w:after="240"/>
        <w:rPr>
          <w:rFonts w:cs="Arial"/>
          <w:sz w:val="22"/>
          <w:szCs w:val="22"/>
        </w:rPr>
      </w:pPr>
      <w:r w:rsidRPr="5311C3E3">
        <w:rPr>
          <w:rFonts w:cs="Arial"/>
          <w:sz w:val="22"/>
          <w:szCs w:val="22"/>
        </w:rPr>
        <w:t>All referrals and outcomes must be documented in the care plan and electronic patient record.</w:t>
      </w:r>
    </w:p>
    <w:p w14:paraId="0BDD30C9" w14:textId="1182B23F" w:rsidR="5B7B2C7A" w:rsidRDefault="5B7B2C7A" w:rsidP="5311C3E3">
      <w:pPr>
        <w:rPr>
          <w:rFonts w:cs="Arial"/>
          <w:sz w:val="22"/>
          <w:szCs w:val="22"/>
        </w:rPr>
      </w:pPr>
    </w:p>
    <w:p w14:paraId="7E33D769" w14:textId="1EA1B89B" w:rsidR="551B0640" w:rsidRDefault="1012AA82" w:rsidP="5311C3E3">
      <w:pPr>
        <w:pStyle w:val="Heading3"/>
        <w:rPr>
          <w:rFonts w:ascii="Arial" w:eastAsia="Arial" w:hAnsi="Arial" w:cs="Arial"/>
          <w:sz w:val="22"/>
          <w:szCs w:val="22"/>
        </w:rPr>
      </w:pPr>
      <w:bookmarkStart w:id="148" w:name="_Toc224652018"/>
      <w:bookmarkStart w:id="149" w:name="_Toc227057841"/>
      <w:r w:rsidRPr="5311C3E3">
        <w:t>5.</w:t>
      </w:r>
      <w:r w:rsidR="3E906AA0" w:rsidRPr="5311C3E3">
        <w:t>5</w:t>
      </w:r>
      <w:r w:rsidRPr="5311C3E3">
        <w:t xml:space="preserve">.3 </w:t>
      </w:r>
      <w:r w:rsidR="722FA05C" w:rsidRPr="5311C3E3">
        <w:t>Management and Monitoring</w:t>
      </w:r>
      <w:bookmarkEnd w:id="148"/>
      <w:bookmarkEnd w:id="149"/>
    </w:p>
    <w:p w14:paraId="6D32DA48" w14:textId="5B6CDF26" w:rsidR="551B0640" w:rsidRDefault="722FA05C" w:rsidP="5311C3E3">
      <w:pPr>
        <w:spacing w:before="0" w:after="240"/>
        <w:rPr>
          <w:rFonts w:cs="Arial"/>
          <w:sz w:val="22"/>
          <w:szCs w:val="22"/>
        </w:rPr>
      </w:pPr>
      <w:r w:rsidRPr="5311C3E3">
        <w:rPr>
          <w:rFonts w:cs="Arial"/>
          <w:sz w:val="22"/>
          <w:szCs w:val="22"/>
        </w:rPr>
        <w:t>Management of overweight and obesity should follow the NHS tiered approach to weight management and reflect individual clinical need.</w:t>
      </w:r>
    </w:p>
    <w:p w14:paraId="2F39285B" w14:textId="467096B8" w:rsidR="5B7B2C7A" w:rsidRDefault="5B7B2C7A" w:rsidP="5311C3E3">
      <w:pPr>
        <w:spacing w:before="0" w:after="240"/>
        <w:rPr>
          <w:rFonts w:cs="Arial"/>
          <w:sz w:val="22"/>
          <w:szCs w:val="22"/>
        </w:rPr>
      </w:pPr>
    </w:p>
    <w:p w14:paraId="3E140EFA" w14:textId="10B07A4F" w:rsidR="551B0640" w:rsidRDefault="722FA05C" w:rsidP="5311C3E3">
      <w:pPr>
        <w:spacing w:before="240" w:after="240"/>
        <w:rPr>
          <w:rFonts w:cs="Arial"/>
          <w:sz w:val="22"/>
          <w:szCs w:val="22"/>
        </w:rPr>
      </w:pPr>
      <w:r w:rsidRPr="5311C3E3">
        <w:rPr>
          <w:rFonts w:cs="Arial"/>
          <w:sz w:val="22"/>
          <w:szCs w:val="22"/>
        </w:rPr>
        <w:t>Within ELFT services, management must include:</w:t>
      </w:r>
    </w:p>
    <w:p w14:paraId="1411FFC7" w14:textId="34D699D8" w:rsidR="684150DF" w:rsidRDefault="2D128425" w:rsidP="00825F2C">
      <w:pPr>
        <w:pStyle w:val="ListParagraph"/>
        <w:numPr>
          <w:ilvl w:val="0"/>
          <w:numId w:val="23"/>
        </w:numPr>
        <w:spacing w:before="240" w:after="240"/>
        <w:rPr>
          <w:rFonts w:cs="Arial"/>
          <w:sz w:val="22"/>
          <w:szCs w:val="22"/>
        </w:rPr>
      </w:pPr>
      <w:r w:rsidRPr="5311C3E3">
        <w:rPr>
          <w:rFonts w:cs="Arial"/>
          <w:sz w:val="22"/>
          <w:szCs w:val="22"/>
        </w:rPr>
        <w:t>I</w:t>
      </w:r>
      <w:r w:rsidR="722FA05C" w:rsidRPr="5311C3E3">
        <w:rPr>
          <w:rFonts w:cs="Arial"/>
          <w:sz w:val="22"/>
          <w:szCs w:val="22"/>
        </w:rPr>
        <w:t>mplementation of an individualised nutrition care plan</w:t>
      </w:r>
    </w:p>
    <w:p w14:paraId="692F8B5F" w14:textId="3263D7D8" w:rsidR="7AE0E496" w:rsidRDefault="41EC57C0" w:rsidP="00825F2C">
      <w:pPr>
        <w:pStyle w:val="ListParagraph"/>
        <w:numPr>
          <w:ilvl w:val="0"/>
          <w:numId w:val="23"/>
        </w:numPr>
        <w:spacing w:before="240" w:after="240"/>
        <w:rPr>
          <w:rFonts w:cs="Arial"/>
          <w:sz w:val="22"/>
          <w:szCs w:val="22"/>
        </w:rPr>
      </w:pPr>
      <w:r w:rsidRPr="5311C3E3">
        <w:rPr>
          <w:rFonts w:cs="Arial"/>
          <w:sz w:val="22"/>
          <w:szCs w:val="22"/>
        </w:rPr>
        <w:t>M</w:t>
      </w:r>
      <w:r w:rsidR="722FA05C" w:rsidRPr="5311C3E3">
        <w:rPr>
          <w:rFonts w:cs="Arial"/>
          <w:sz w:val="22"/>
          <w:szCs w:val="22"/>
        </w:rPr>
        <w:t>onitoring of weight, BMI and relevant metabolic indicators</w:t>
      </w:r>
    </w:p>
    <w:p w14:paraId="276A8898" w14:textId="09C1D534" w:rsidR="4C9DC151" w:rsidRDefault="5E3598B5" w:rsidP="00825F2C">
      <w:pPr>
        <w:pStyle w:val="ListParagraph"/>
        <w:numPr>
          <w:ilvl w:val="0"/>
          <w:numId w:val="23"/>
        </w:numPr>
        <w:spacing w:before="240" w:after="240"/>
        <w:rPr>
          <w:rFonts w:cs="Arial"/>
          <w:sz w:val="22"/>
          <w:szCs w:val="22"/>
        </w:rPr>
      </w:pPr>
      <w:r w:rsidRPr="5311C3E3">
        <w:rPr>
          <w:rFonts w:cs="Arial"/>
          <w:sz w:val="22"/>
          <w:szCs w:val="22"/>
        </w:rPr>
        <w:t>C</w:t>
      </w:r>
      <w:r w:rsidR="722FA05C" w:rsidRPr="5311C3E3">
        <w:rPr>
          <w:rFonts w:cs="Arial"/>
          <w:sz w:val="22"/>
          <w:szCs w:val="22"/>
        </w:rPr>
        <w:t>onsideration of medication-related weight gain</w:t>
      </w:r>
    </w:p>
    <w:p w14:paraId="24696874" w14:textId="2D4A8ECC" w:rsidR="79C5E5CA" w:rsidRDefault="1D59CE48" w:rsidP="00825F2C">
      <w:pPr>
        <w:pStyle w:val="ListParagraph"/>
        <w:numPr>
          <w:ilvl w:val="0"/>
          <w:numId w:val="23"/>
        </w:numPr>
        <w:spacing w:before="240" w:after="240"/>
        <w:rPr>
          <w:rFonts w:cs="Arial"/>
          <w:sz w:val="22"/>
          <w:szCs w:val="22"/>
        </w:rPr>
      </w:pPr>
      <w:r w:rsidRPr="5311C3E3">
        <w:rPr>
          <w:rFonts w:cs="Arial"/>
          <w:sz w:val="22"/>
          <w:szCs w:val="22"/>
        </w:rPr>
        <w:t>D</w:t>
      </w:r>
      <w:r w:rsidR="722FA05C" w:rsidRPr="5311C3E3">
        <w:rPr>
          <w:rFonts w:cs="Arial"/>
          <w:sz w:val="22"/>
          <w:szCs w:val="22"/>
        </w:rPr>
        <w:t>iscussion of lifestyle factors such as diet, physical activity, smoking and alcohol use as part of holistic physical health review</w:t>
      </w:r>
    </w:p>
    <w:p w14:paraId="652088F7" w14:textId="14F2AD13" w:rsidR="551B0640" w:rsidRDefault="722FA05C" w:rsidP="5311C3E3">
      <w:pPr>
        <w:spacing w:before="240" w:after="240"/>
        <w:rPr>
          <w:rFonts w:cs="Arial"/>
          <w:sz w:val="22"/>
          <w:szCs w:val="22"/>
        </w:rPr>
      </w:pPr>
      <w:r w:rsidRPr="5311C3E3">
        <w:rPr>
          <w:rFonts w:cs="Arial"/>
          <w:sz w:val="22"/>
          <w:szCs w:val="22"/>
        </w:rPr>
        <w:t>In inpatient settings:</w:t>
      </w:r>
    </w:p>
    <w:p w14:paraId="2AAF9F53" w14:textId="0143D2C8" w:rsidR="6BDB45E0" w:rsidRDefault="5BA10A54" w:rsidP="00825F2C">
      <w:pPr>
        <w:pStyle w:val="ListParagraph"/>
        <w:numPr>
          <w:ilvl w:val="0"/>
          <w:numId w:val="22"/>
        </w:numPr>
        <w:spacing w:before="240" w:after="240"/>
        <w:rPr>
          <w:rFonts w:cs="Arial"/>
          <w:sz w:val="22"/>
          <w:szCs w:val="22"/>
        </w:rPr>
      </w:pPr>
      <w:r w:rsidRPr="5311C3E3">
        <w:rPr>
          <w:rFonts w:cs="Arial"/>
          <w:sz w:val="22"/>
          <w:szCs w:val="22"/>
        </w:rPr>
        <w:t>M</w:t>
      </w:r>
      <w:r w:rsidR="722FA05C" w:rsidRPr="5311C3E3">
        <w:rPr>
          <w:rFonts w:cs="Arial"/>
          <w:sz w:val="22"/>
          <w:szCs w:val="22"/>
        </w:rPr>
        <w:t>ealtimes must be protected (see Section 5.1)</w:t>
      </w:r>
    </w:p>
    <w:p w14:paraId="6607C775" w14:textId="3FD799E7" w:rsidR="019041EB" w:rsidRDefault="4E910CD4" w:rsidP="00825F2C">
      <w:pPr>
        <w:pStyle w:val="ListParagraph"/>
        <w:numPr>
          <w:ilvl w:val="0"/>
          <w:numId w:val="22"/>
        </w:numPr>
        <w:spacing w:before="240" w:after="240"/>
        <w:rPr>
          <w:rFonts w:cs="Arial"/>
          <w:sz w:val="22"/>
          <w:szCs w:val="22"/>
        </w:rPr>
      </w:pPr>
      <w:r w:rsidRPr="5311C3E3">
        <w:rPr>
          <w:rFonts w:cs="Arial"/>
          <w:sz w:val="22"/>
          <w:szCs w:val="22"/>
        </w:rPr>
        <w:t>S</w:t>
      </w:r>
      <w:r w:rsidR="722FA05C" w:rsidRPr="5311C3E3">
        <w:rPr>
          <w:rFonts w:cs="Arial"/>
          <w:sz w:val="22"/>
          <w:szCs w:val="22"/>
        </w:rPr>
        <w:t>taff must support balanced food choices in line with national healthy eating guidance</w:t>
      </w:r>
    </w:p>
    <w:p w14:paraId="3D3104C7" w14:textId="5826429B" w:rsidR="4A20FE61" w:rsidRDefault="25DFCFEB" w:rsidP="00825F2C">
      <w:pPr>
        <w:pStyle w:val="ListParagraph"/>
        <w:numPr>
          <w:ilvl w:val="0"/>
          <w:numId w:val="22"/>
        </w:numPr>
        <w:spacing w:before="240" w:after="240"/>
        <w:rPr>
          <w:rFonts w:cs="Arial"/>
          <w:sz w:val="22"/>
          <w:szCs w:val="22"/>
        </w:rPr>
      </w:pPr>
      <w:r w:rsidRPr="5311C3E3">
        <w:rPr>
          <w:rFonts w:cs="Arial"/>
          <w:sz w:val="22"/>
          <w:szCs w:val="22"/>
        </w:rPr>
        <w:t>C</w:t>
      </w:r>
      <w:r w:rsidR="722FA05C" w:rsidRPr="5311C3E3">
        <w:rPr>
          <w:rFonts w:cs="Arial"/>
          <w:sz w:val="22"/>
          <w:szCs w:val="22"/>
        </w:rPr>
        <w:t>atering teams must be informed of relevant dietary needs</w:t>
      </w:r>
    </w:p>
    <w:p w14:paraId="3551FE7D" w14:textId="750A598A" w:rsidR="551B0640" w:rsidRDefault="722FA05C" w:rsidP="5311C3E3">
      <w:pPr>
        <w:spacing w:before="240" w:after="240"/>
        <w:rPr>
          <w:rFonts w:cs="Arial"/>
          <w:sz w:val="22"/>
          <w:szCs w:val="22"/>
        </w:rPr>
      </w:pPr>
      <w:r w:rsidRPr="5311C3E3">
        <w:rPr>
          <w:rFonts w:cs="Arial"/>
          <w:sz w:val="22"/>
          <w:szCs w:val="22"/>
        </w:rPr>
        <w:t>Significant or rapid weight change must be escalated in accordance with Trust monitoring guidance.</w:t>
      </w:r>
    </w:p>
    <w:p w14:paraId="0EB78B83" w14:textId="6F190CCD" w:rsidR="5B7B2C7A" w:rsidRDefault="5B7B2C7A" w:rsidP="5311C3E3">
      <w:pPr>
        <w:rPr>
          <w:rFonts w:cs="Arial"/>
          <w:sz w:val="22"/>
          <w:szCs w:val="22"/>
        </w:rPr>
      </w:pPr>
    </w:p>
    <w:p w14:paraId="4296A3FD" w14:textId="7A11D166" w:rsidR="00011486" w:rsidRDefault="722FA05C" w:rsidP="00666763">
      <w:pPr>
        <w:pStyle w:val="Heading3"/>
      </w:pPr>
      <w:r w:rsidRPr="730FCF52">
        <w:t xml:space="preserve"> </w:t>
      </w:r>
      <w:bookmarkStart w:id="150" w:name="_Toc224652019"/>
    </w:p>
    <w:p w14:paraId="370E3268" w14:textId="312DBC1E" w:rsidR="551B0640" w:rsidRDefault="4AE5B0DE" w:rsidP="5311C3E3">
      <w:pPr>
        <w:pStyle w:val="Heading3"/>
        <w:rPr>
          <w:rFonts w:ascii="Arial" w:eastAsia="Arial" w:hAnsi="Arial" w:cs="Arial"/>
          <w:sz w:val="22"/>
          <w:szCs w:val="22"/>
        </w:rPr>
      </w:pPr>
      <w:bookmarkStart w:id="151" w:name="_Toc227057842"/>
      <w:r w:rsidRPr="730FCF52">
        <w:lastRenderedPageBreak/>
        <w:t>5.5.</w:t>
      </w:r>
      <w:r w:rsidR="0C26C279" w:rsidRPr="730FCF52">
        <w:t>4</w:t>
      </w:r>
      <w:r w:rsidRPr="730FCF52">
        <w:t xml:space="preserve"> </w:t>
      </w:r>
      <w:r w:rsidR="722FA05C" w:rsidRPr="730FCF52">
        <w:t>Complex Obesity</w:t>
      </w:r>
      <w:bookmarkEnd w:id="150"/>
      <w:bookmarkEnd w:id="151"/>
    </w:p>
    <w:p w14:paraId="2B91EB7F" w14:textId="36250FCF" w:rsidR="551B0640" w:rsidRDefault="722FA05C" w:rsidP="5311C3E3">
      <w:pPr>
        <w:spacing w:before="0" w:after="240"/>
        <w:rPr>
          <w:rFonts w:cs="Arial"/>
          <w:sz w:val="22"/>
          <w:szCs w:val="22"/>
        </w:rPr>
      </w:pPr>
      <w:r w:rsidRPr="730FCF52">
        <w:rPr>
          <w:rFonts w:cs="Arial"/>
          <w:sz w:val="22"/>
          <w:szCs w:val="22"/>
        </w:rPr>
        <w:t>Service users living with severe obesity or obesity with significant related health conditions may require specialist assessment.</w:t>
      </w:r>
    </w:p>
    <w:p w14:paraId="3CA30DD7" w14:textId="0565E49A" w:rsidR="730FCF52" w:rsidRDefault="730FCF52" w:rsidP="730FCF52">
      <w:pPr>
        <w:spacing w:before="0" w:after="240"/>
        <w:rPr>
          <w:rFonts w:cs="Arial"/>
          <w:sz w:val="22"/>
          <w:szCs w:val="22"/>
        </w:rPr>
      </w:pPr>
    </w:p>
    <w:p w14:paraId="533827BB" w14:textId="2F7094C9" w:rsidR="551B0640" w:rsidRDefault="722FA05C" w:rsidP="5311C3E3">
      <w:pPr>
        <w:spacing w:before="0" w:after="240"/>
        <w:rPr>
          <w:rFonts w:cs="Arial"/>
          <w:sz w:val="22"/>
          <w:szCs w:val="22"/>
        </w:rPr>
      </w:pPr>
      <w:r w:rsidRPr="5311C3E3">
        <w:rPr>
          <w:rFonts w:cs="Arial"/>
          <w:sz w:val="22"/>
          <w:szCs w:val="22"/>
        </w:rPr>
        <w:t>The multidisciplinary team should consider:</w:t>
      </w:r>
    </w:p>
    <w:p w14:paraId="03A3F410" w14:textId="51CF5507" w:rsidR="1AC6BE04" w:rsidRDefault="00CB250C" w:rsidP="00825F2C">
      <w:pPr>
        <w:pStyle w:val="ListParagraph"/>
        <w:numPr>
          <w:ilvl w:val="0"/>
          <w:numId w:val="21"/>
        </w:numPr>
        <w:spacing w:before="240" w:after="240"/>
        <w:rPr>
          <w:rFonts w:cs="Arial"/>
          <w:sz w:val="22"/>
          <w:szCs w:val="22"/>
        </w:rPr>
      </w:pPr>
      <w:r w:rsidRPr="46BBC149">
        <w:rPr>
          <w:rFonts w:cs="Arial"/>
          <w:sz w:val="22"/>
          <w:szCs w:val="22"/>
        </w:rPr>
        <w:t>R</w:t>
      </w:r>
      <w:r w:rsidR="722FA05C" w:rsidRPr="46BBC149">
        <w:rPr>
          <w:rFonts w:cs="Arial"/>
          <w:sz w:val="22"/>
          <w:szCs w:val="22"/>
        </w:rPr>
        <w:t>eferral to specialist weight management services</w:t>
      </w:r>
      <w:r w:rsidR="45D694B3" w:rsidRPr="46BBC149">
        <w:rPr>
          <w:rFonts w:cs="Arial"/>
          <w:sz w:val="22"/>
          <w:szCs w:val="22"/>
        </w:rPr>
        <w:t xml:space="preserve"> (see ELFT Dietetics and Nutrition Intranet page for services</w:t>
      </w:r>
      <w:r w:rsidR="353C350A" w:rsidRPr="46BBC149">
        <w:rPr>
          <w:rFonts w:cs="Arial"/>
          <w:sz w:val="22"/>
          <w:szCs w:val="22"/>
        </w:rPr>
        <w:t xml:space="preserve"> available</w:t>
      </w:r>
      <w:r w:rsidR="45D694B3" w:rsidRPr="46BBC149">
        <w:rPr>
          <w:rFonts w:cs="Arial"/>
          <w:sz w:val="22"/>
          <w:szCs w:val="22"/>
        </w:rPr>
        <w:t xml:space="preserve"> in NEL and BMLK)</w:t>
      </w:r>
    </w:p>
    <w:p w14:paraId="078A285C" w14:textId="469742B0" w:rsidR="39157359" w:rsidRDefault="68A9D221" w:rsidP="00825F2C">
      <w:pPr>
        <w:pStyle w:val="ListParagraph"/>
        <w:numPr>
          <w:ilvl w:val="0"/>
          <w:numId w:val="21"/>
        </w:numPr>
        <w:spacing w:before="240" w:after="240"/>
        <w:rPr>
          <w:rFonts w:cs="Arial"/>
          <w:sz w:val="22"/>
          <w:szCs w:val="22"/>
        </w:rPr>
      </w:pPr>
      <w:r w:rsidRPr="5311C3E3">
        <w:rPr>
          <w:rFonts w:cs="Arial"/>
          <w:sz w:val="22"/>
          <w:szCs w:val="22"/>
        </w:rPr>
        <w:t>P</w:t>
      </w:r>
      <w:r w:rsidR="722FA05C" w:rsidRPr="5311C3E3">
        <w:rPr>
          <w:rFonts w:cs="Arial"/>
          <w:sz w:val="22"/>
          <w:szCs w:val="22"/>
        </w:rPr>
        <w:t>hysiotherapy input where mobility is impaired</w:t>
      </w:r>
    </w:p>
    <w:p w14:paraId="24D23475" w14:textId="73A9F652" w:rsidR="6CC728FE" w:rsidRDefault="32E63AF7" w:rsidP="00825F2C">
      <w:pPr>
        <w:pStyle w:val="ListParagraph"/>
        <w:numPr>
          <w:ilvl w:val="0"/>
          <w:numId w:val="21"/>
        </w:numPr>
        <w:spacing w:before="240" w:after="240"/>
        <w:rPr>
          <w:rFonts w:cs="Arial"/>
          <w:sz w:val="22"/>
          <w:szCs w:val="22"/>
        </w:rPr>
      </w:pPr>
      <w:r w:rsidRPr="5311C3E3">
        <w:rPr>
          <w:rFonts w:cs="Arial"/>
          <w:sz w:val="22"/>
          <w:szCs w:val="22"/>
        </w:rPr>
        <w:t>O</w:t>
      </w:r>
      <w:r w:rsidR="722FA05C" w:rsidRPr="5311C3E3">
        <w:rPr>
          <w:rFonts w:cs="Arial"/>
          <w:sz w:val="22"/>
          <w:szCs w:val="22"/>
        </w:rPr>
        <w:t>ccupational therapy assessment for bariatric equipment or environmental adjustments</w:t>
      </w:r>
    </w:p>
    <w:p w14:paraId="1C6BA31F" w14:textId="2D1C9A91" w:rsidR="67AD2EC6" w:rsidRDefault="2C3ABA0A" w:rsidP="00825F2C">
      <w:pPr>
        <w:pStyle w:val="ListParagraph"/>
        <w:numPr>
          <w:ilvl w:val="0"/>
          <w:numId w:val="21"/>
        </w:numPr>
        <w:spacing w:before="240" w:after="240"/>
        <w:rPr>
          <w:rFonts w:cs="Arial"/>
          <w:sz w:val="22"/>
          <w:szCs w:val="22"/>
        </w:rPr>
      </w:pPr>
      <w:r w:rsidRPr="730FCF52">
        <w:rPr>
          <w:rFonts w:cs="Arial"/>
          <w:sz w:val="22"/>
          <w:szCs w:val="22"/>
        </w:rPr>
        <w:t>E</w:t>
      </w:r>
      <w:r w:rsidR="722FA05C" w:rsidRPr="730FCF52">
        <w:rPr>
          <w:rFonts w:cs="Arial"/>
          <w:sz w:val="22"/>
          <w:szCs w:val="22"/>
        </w:rPr>
        <w:t>scalation of complex metabolic risk to appropriate physical health services</w:t>
      </w:r>
    </w:p>
    <w:p w14:paraId="4ACE2F02" w14:textId="2A6C500F" w:rsidR="5B7B2C7A" w:rsidRDefault="188B064A" w:rsidP="5797C427">
      <w:pPr>
        <w:rPr>
          <w:rFonts w:cs="Arial"/>
          <w:sz w:val="22"/>
          <w:szCs w:val="22"/>
        </w:rPr>
      </w:pPr>
      <w:r w:rsidRPr="46BBC149">
        <w:rPr>
          <w:rFonts w:cs="Arial"/>
          <w:sz w:val="22"/>
          <w:szCs w:val="22"/>
        </w:rPr>
        <w:t>Where specialist nutrition or weight management services are not available, staff must escalate concerns through appropriate clinical governance and risk management processes.</w:t>
      </w:r>
    </w:p>
    <w:p w14:paraId="4EA59151" w14:textId="555D812C" w:rsidR="730FCF52" w:rsidRDefault="730FCF52" w:rsidP="730FCF52">
      <w:pPr>
        <w:rPr>
          <w:rFonts w:cs="Arial"/>
          <w:sz w:val="22"/>
          <w:szCs w:val="22"/>
        </w:rPr>
      </w:pPr>
    </w:p>
    <w:p w14:paraId="5FCEDD64" w14:textId="10AA9900" w:rsidR="551B0640" w:rsidRDefault="020F0284" w:rsidP="5311C3E3">
      <w:pPr>
        <w:pStyle w:val="Heading3"/>
        <w:rPr>
          <w:rFonts w:ascii="Arial" w:eastAsia="Arial" w:hAnsi="Arial" w:cs="Arial"/>
          <w:sz w:val="22"/>
          <w:szCs w:val="22"/>
        </w:rPr>
      </w:pPr>
      <w:bookmarkStart w:id="152" w:name="_Toc224652020"/>
      <w:bookmarkStart w:id="153" w:name="_Toc227057843"/>
      <w:r w:rsidRPr="5311C3E3">
        <w:t xml:space="preserve">5.5.5 </w:t>
      </w:r>
      <w:r w:rsidR="722FA05C" w:rsidRPr="5311C3E3">
        <w:t>Maintaining Dignity and Reasonable Adjustments</w:t>
      </w:r>
      <w:bookmarkEnd w:id="152"/>
      <w:bookmarkEnd w:id="153"/>
    </w:p>
    <w:p w14:paraId="72D9DED9" w14:textId="505A8C67" w:rsidR="551B0640" w:rsidRDefault="722FA05C" w:rsidP="5311C3E3">
      <w:pPr>
        <w:spacing w:before="0" w:after="240"/>
        <w:rPr>
          <w:rFonts w:cs="Arial"/>
          <w:sz w:val="22"/>
          <w:szCs w:val="22"/>
        </w:rPr>
      </w:pPr>
      <w:r w:rsidRPr="5311C3E3">
        <w:rPr>
          <w:rFonts w:cs="Arial"/>
          <w:sz w:val="22"/>
          <w:szCs w:val="22"/>
        </w:rPr>
        <w:t>The Trust is committed to delivering safe, compassionate and person-centred care. Services must ensure that individuals living with obesity are treated with dignity and supported through appropriate reasonable adjustments.</w:t>
      </w:r>
    </w:p>
    <w:p w14:paraId="02736135" w14:textId="4C297653" w:rsidR="5B7B2C7A" w:rsidRDefault="5B7B2C7A" w:rsidP="5311C3E3">
      <w:pPr>
        <w:spacing w:before="0" w:after="240"/>
        <w:rPr>
          <w:rFonts w:cs="Arial"/>
          <w:sz w:val="22"/>
          <w:szCs w:val="22"/>
        </w:rPr>
      </w:pPr>
    </w:p>
    <w:p w14:paraId="705A5CB1" w14:textId="6D08EE93" w:rsidR="551B0640" w:rsidRDefault="722FA05C" w:rsidP="5311C3E3">
      <w:pPr>
        <w:spacing w:before="240" w:after="240"/>
        <w:rPr>
          <w:rFonts w:cs="Arial"/>
          <w:sz w:val="22"/>
          <w:szCs w:val="22"/>
        </w:rPr>
      </w:pPr>
      <w:r w:rsidRPr="5311C3E3">
        <w:rPr>
          <w:rFonts w:cs="Arial"/>
          <w:sz w:val="22"/>
          <w:szCs w:val="22"/>
        </w:rPr>
        <w:t>Staff must:</w:t>
      </w:r>
    </w:p>
    <w:p w14:paraId="353DF4DA" w14:textId="01599C99" w:rsidR="6F0EE538" w:rsidRDefault="70EF3609" w:rsidP="00825F2C">
      <w:pPr>
        <w:pStyle w:val="ListParagraph"/>
        <w:numPr>
          <w:ilvl w:val="0"/>
          <w:numId w:val="20"/>
        </w:numPr>
        <w:spacing w:before="240" w:after="240"/>
        <w:rPr>
          <w:rFonts w:cs="Arial"/>
          <w:sz w:val="22"/>
          <w:szCs w:val="22"/>
        </w:rPr>
      </w:pPr>
      <w:r w:rsidRPr="5311C3E3">
        <w:rPr>
          <w:rFonts w:cs="Arial"/>
          <w:sz w:val="22"/>
          <w:szCs w:val="22"/>
        </w:rPr>
        <w:t>U</w:t>
      </w:r>
      <w:r w:rsidR="722FA05C" w:rsidRPr="5311C3E3">
        <w:rPr>
          <w:rFonts w:cs="Arial"/>
          <w:sz w:val="22"/>
          <w:szCs w:val="22"/>
        </w:rPr>
        <w:t>se respectful, person-first language</w:t>
      </w:r>
    </w:p>
    <w:p w14:paraId="4125CC07" w14:textId="39DA3C72" w:rsidR="737339FE" w:rsidRDefault="7E3AB2B1" w:rsidP="00825F2C">
      <w:pPr>
        <w:pStyle w:val="ListParagraph"/>
        <w:numPr>
          <w:ilvl w:val="0"/>
          <w:numId w:val="20"/>
        </w:numPr>
        <w:spacing w:before="240" w:after="240"/>
        <w:rPr>
          <w:rFonts w:cs="Arial"/>
          <w:sz w:val="22"/>
          <w:szCs w:val="22"/>
        </w:rPr>
      </w:pPr>
      <w:r w:rsidRPr="5311C3E3">
        <w:rPr>
          <w:rFonts w:cs="Arial"/>
          <w:sz w:val="22"/>
          <w:szCs w:val="22"/>
        </w:rPr>
        <w:t>M</w:t>
      </w:r>
      <w:r w:rsidR="722FA05C" w:rsidRPr="5311C3E3">
        <w:rPr>
          <w:rFonts w:cs="Arial"/>
          <w:sz w:val="22"/>
          <w:szCs w:val="22"/>
        </w:rPr>
        <w:t>aintain privacy when discussing weight or related health issues</w:t>
      </w:r>
    </w:p>
    <w:p w14:paraId="2B4F5EF5" w14:textId="386A56B7" w:rsidR="74330A25" w:rsidRDefault="6DB8B6DB" w:rsidP="00825F2C">
      <w:pPr>
        <w:pStyle w:val="ListParagraph"/>
        <w:numPr>
          <w:ilvl w:val="0"/>
          <w:numId w:val="20"/>
        </w:numPr>
        <w:spacing w:before="240" w:after="240"/>
        <w:rPr>
          <w:rFonts w:cs="Arial"/>
          <w:sz w:val="22"/>
          <w:szCs w:val="22"/>
        </w:rPr>
      </w:pPr>
      <w:r w:rsidRPr="5311C3E3">
        <w:rPr>
          <w:rFonts w:cs="Arial"/>
          <w:sz w:val="22"/>
          <w:szCs w:val="22"/>
        </w:rPr>
        <w:t>E</w:t>
      </w:r>
      <w:r w:rsidR="722FA05C" w:rsidRPr="5311C3E3">
        <w:rPr>
          <w:rFonts w:cs="Arial"/>
          <w:sz w:val="22"/>
          <w:szCs w:val="22"/>
        </w:rPr>
        <w:t>nsure appropriate equipment and environments are available to support safe care</w:t>
      </w:r>
    </w:p>
    <w:p w14:paraId="6E6B69F1" w14:textId="4BAD7A0C" w:rsidR="551B0640" w:rsidRDefault="722FA05C" w:rsidP="5311C3E3">
      <w:pPr>
        <w:spacing w:before="240" w:after="240"/>
        <w:rPr>
          <w:rFonts w:cs="Arial"/>
          <w:sz w:val="22"/>
          <w:szCs w:val="22"/>
        </w:rPr>
      </w:pPr>
      <w:r w:rsidRPr="5311C3E3">
        <w:rPr>
          <w:rFonts w:cs="Arial"/>
          <w:sz w:val="22"/>
          <w:szCs w:val="22"/>
        </w:rPr>
        <w:t>Where environmental or equipment limitations compromise safety, dignity or equitable access to care, these must be risk assessed and escalated through local governance procedures.</w:t>
      </w:r>
    </w:p>
    <w:p w14:paraId="030D532F" w14:textId="2DBCCB41" w:rsidR="5B7B2C7A" w:rsidRDefault="5B7B2C7A" w:rsidP="5311C3E3">
      <w:pPr>
        <w:rPr>
          <w:rFonts w:cs="Arial"/>
          <w:sz w:val="22"/>
          <w:szCs w:val="22"/>
        </w:rPr>
      </w:pPr>
    </w:p>
    <w:p w14:paraId="1FEE92A5" w14:textId="7BAC914B" w:rsidR="71A65E9A" w:rsidRDefault="7A4E826D" w:rsidP="5311C3E3">
      <w:pPr>
        <w:pStyle w:val="Heading2"/>
        <w:spacing w:after="240"/>
        <w:rPr>
          <w:rFonts w:ascii="Arial" w:eastAsia="Arial" w:hAnsi="Arial" w:cs="Arial"/>
          <w:sz w:val="22"/>
          <w:szCs w:val="22"/>
        </w:rPr>
      </w:pPr>
      <w:bookmarkStart w:id="154" w:name="_Toc224651856"/>
      <w:bookmarkStart w:id="155" w:name="_Toc224652021"/>
      <w:bookmarkStart w:id="156" w:name="_Toc227057844"/>
      <w:r>
        <w:t xml:space="preserve">5.6 </w:t>
      </w:r>
      <w:r w:rsidR="600642E7">
        <w:t>Diabetes</w:t>
      </w:r>
      <w:bookmarkEnd w:id="154"/>
      <w:bookmarkEnd w:id="155"/>
      <w:bookmarkEnd w:id="156"/>
    </w:p>
    <w:p w14:paraId="4EA1822E" w14:textId="1E414771" w:rsidR="71A65E9A" w:rsidRDefault="458BACB3" w:rsidP="5311C3E3">
      <w:pPr>
        <w:spacing w:before="0" w:after="240"/>
        <w:rPr>
          <w:rFonts w:cs="Arial"/>
          <w:sz w:val="22"/>
          <w:szCs w:val="22"/>
        </w:rPr>
      </w:pPr>
      <w:r w:rsidRPr="5311C3E3">
        <w:rPr>
          <w:rFonts w:cs="Arial"/>
          <w:sz w:val="22"/>
          <w:szCs w:val="22"/>
        </w:rPr>
        <w:t xml:space="preserve">This section should be read </w:t>
      </w:r>
      <w:r w:rsidR="10354C84" w:rsidRPr="5311C3E3">
        <w:rPr>
          <w:rFonts w:cs="Arial"/>
          <w:sz w:val="22"/>
          <w:szCs w:val="22"/>
        </w:rPr>
        <w:t>alongside</w:t>
      </w:r>
      <w:r w:rsidRPr="5311C3E3">
        <w:rPr>
          <w:rFonts w:cs="Arial"/>
          <w:sz w:val="22"/>
          <w:szCs w:val="22"/>
        </w:rPr>
        <w:t xml:space="preserve"> </w:t>
      </w:r>
      <w:r w:rsidR="00DB1194">
        <w:rPr>
          <w:rFonts w:cs="Arial"/>
          <w:sz w:val="22"/>
          <w:szCs w:val="22"/>
        </w:rPr>
        <w:t xml:space="preserve">relevant </w:t>
      </w:r>
      <w:r w:rsidR="0E02114B" w:rsidRPr="5311C3E3">
        <w:rPr>
          <w:rFonts w:cs="Arial"/>
          <w:sz w:val="22"/>
          <w:szCs w:val="22"/>
        </w:rPr>
        <w:t>ELFT</w:t>
      </w:r>
      <w:r w:rsidR="00DB1194">
        <w:rPr>
          <w:rFonts w:cs="Arial"/>
          <w:sz w:val="22"/>
          <w:szCs w:val="22"/>
        </w:rPr>
        <w:t xml:space="preserve"> policies</w:t>
      </w:r>
      <w:r w:rsidR="00517414">
        <w:rPr>
          <w:rFonts w:cs="Arial"/>
          <w:sz w:val="22"/>
          <w:szCs w:val="22"/>
        </w:rPr>
        <w:t xml:space="preserve"> </w:t>
      </w:r>
      <w:r w:rsidR="00DB1194">
        <w:rPr>
          <w:rFonts w:cs="Arial"/>
          <w:sz w:val="22"/>
          <w:szCs w:val="22"/>
        </w:rPr>
        <w:t xml:space="preserve">(i.e. </w:t>
      </w:r>
      <w:r w:rsidRPr="5311C3E3">
        <w:rPr>
          <w:rFonts w:cs="Arial"/>
          <w:sz w:val="22"/>
          <w:szCs w:val="22"/>
        </w:rPr>
        <w:t>Safe Use of Insulin Policy, Physical Healthcare Policy and Psychotropic Medication Monitoring Policy,</w:t>
      </w:r>
      <w:r w:rsidR="00DB1194">
        <w:rPr>
          <w:rFonts w:cs="Arial"/>
          <w:sz w:val="22"/>
          <w:szCs w:val="22"/>
        </w:rPr>
        <w:t xml:space="preserve"> Physical Healthcare Policy, </w:t>
      </w:r>
      <w:proofErr w:type="spellStart"/>
      <w:r w:rsidR="00DB1194">
        <w:rPr>
          <w:rFonts w:cs="Arial"/>
          <w:sz w:val="22"/>
          <w:szCs w:val="22"/>
        </w:rPr>
        <w:t>Rapit</w:t>
      </w:r>
      <w:proofErr w:type="spellEnd"/>
      <w:r w:rsidR="00DB1194">
        <w:rPr>
          <w:rFonts w:cs="Arial"/>
          <w:sz w:val="22"/>
          <w:szCs w:val="22"/>
        </w:rPr>
        <w:t xml:space="preserve"> Tranquilisation policy)</w:t>
      </w:r>
      <w:r w:rsidRPr="5311C3E3">
        <w:rPr>
          <w:rFonts w:cs="Arial"/>
          <w:sz w:val="22"/>
          <w:szCs w:val="22"/>
        </w:rPr>
        <w:t xml:space="preserve"> which set out detailed requirements for clinical management, metabolic monitoring and emergency response.</w:t>
      </w:r>
      <w:r w:rsidR="4C1C03B1" w:rsidRPr="5311C3E3">
        <w:rPr>
          <w:rFonts w:cs="Arial"/>
          <w:sz w:val="22"/>
          <w:szCs w:val="22"/>
        </w:rPr>
        <w:t xml:space="preserve"> </w:t>
      </w:r>
    </w:p>
    <w:p w14:paraId="79263DAF" w14:textId="7A04A9E3" w:rsidR="71A65E9A" w:rsidRDefault="71A65E9A" w:rsidP="5311C3E3">
      <w:pPr>
        <w:spacing w:before="0" w:after="240"/>
        <w:rPr>
          <w:rFonts w:cs="Arial"/>
          <w:sz w:val="22"/>
          <w:szCs w:val="22"/>
        </w:rPr>
      </w:pPr>
    </w:p>
    <w:p w14:paraId="1D6B1B13" w14:textId="781A95E9" w:rsidR="71A65E9A" w:rsidRDefault="4C1C03B1" w:rsidP="5311C3E3">
      <w:pPr>
        <w:spacing w:before="240" w:after="240"/>
        <w:rPr>
          <w:rFonts w:cs="Arial"/>
          <w:sz w:val="22"/>
          <w:szCs w:val="22"/>
        </w:rPr>
      </w:pPr>
      <w:r w:rsidRPr="730FCF52">
        <w:rPr>
          <w:rFonts w:cs="Arial"/>
          <w:sz w:val="22"/>
          <w:szCs w:val="22"/>
        </w:rPr>
        <w:t xml:space="preserve">People living with overweight </w:t>
      </w:r>
      <w:r w:rsidR="34689FA6" w:rsidRPr="730FCF52">
        <w:rPr>
          <w:rFonts w:cs="Arial"/>
          <w:sz w:val="22"/>
          <w:szCs w:val="22"/>
        </w:rPr>
        <w:t>or</w:t>
      </w:r>
      <w:r w:rsidRPr="730FCF52">
        <w:rPr>
          <w:rFonts w:cs="Arial"/>
          <w:sz w:val="22"/>
          <w:szCs w:val="22"/>
        </w:rPr>
        <w:t xml:space="preserve"> obesity</w:t>
      </w:r>
      <w:r w:rsidR="40A76A7D" w:rsidRPr="730FCF52">
        <w:rPr>
          <w:rFonts w:cs="Arial"/>
          <w:sz w:val="22"/>
          <w:szCs w:val="22"/>
        </w:rPr>
        <w:t xml:space="preserve">, or are at risk of developing obesity, are </w:t>
      </w:r>
      <w:r w:rsidRPr="730FCF52">
        <w:rPr>
          <w:rFonts w:cs="Arial"/>
          <w:sz w:val="22"/>
          <w:szCs w:val="22"/>
        </w:rPr>
        <w:t xml:space="preserve">at increased risk of developing </w:t>
      </w:r>
      <w:r w:rsidR="4A608976" w:rsidRPr="730FCF52">
        <w:rPr>
          <w:rFonts w:cs="Arial"/>
          <w:sz w:val="22"/>
          <w:szCs w:val="22"/>
        </w:rPr>
        <w:t>t</w:t>
      </w:r>
      <w:r w:rsidRPr="730FCF52">
        <w:rPr>
          <w:rFonts w:cs="Arial"/>
          <w:sz w:val="22"/>
          <w:szCs w:val="22"/>
        </w:rPr>
        <w:t xml:space="preserve">ype 2 diabetes; </w:t>
      </w:r>
      <w:r w:rsidR="3264E5EF" w:rsidRPr="730FCF52">
        <w:rPr>
          <w:rFonts w:cs="Arial"/>
          <w:sz w:val="22"/>
          <w:szCs w:val="22"/>
        </w:rPr>
        <w:t>therefore,</w:t>
      </w:r>
      <w:r w:rsidRPr="730FCF52">
        <w:rPr>
          <w:rFonts w:cs="Arial"/>
          <w:sz w:val="22"/>
          <w:szCs w:val="22"/>
        </w:rPr>
        <w:t xml:space="preserve"> metabolic monitoring must align with Section 5.3 and medication monitoring requirements.</w:t>
      </w:r>
    </w:p>
    <w:p w14:paraId="314CEDEE" w14:textId="067362A7" w:rsidR="5B7B2C7A" w:rsidRDefault="5B7B2C7A" w:rsidP="5311C3E3">
      <w:pPr>
        <w:spacing w:before="240" w:after="240"/>
        <w:rPr>
          <w:rFonts w:cs="Arial"/>
          <w:sz w:val="22"/>
          <w:szCs w:val="22"/>
        </w:rPr>
      </w:pPr>
    </w:p>
    <w:p w14:paraId="27F374AE" w14:textId="1DF14313" w:rsidR="00011486" w:rsidRPr="00517414" w:rsidRDefault="68ACB6BF" w:rsidP="00517414">
      <w:pPr>
        <w:spacing w:before="240" w:after="240" w:line="257" w:lineRule="auto"/>
        <w:rPr>
          <w:rFonts w:cs="Arial"/>
          <w:sz w:val="22"/>
          <w:szCs w:val="22"/>
        </w:rPr>
      </w:pPr>
      <w:r w:rsidRPr="5311C3E3">
        <w:rPr>
          <w:rFonts w:cs="Arial"/>
          <w:sz w:val="22"/>
          <w:szCs w:val="22"/>
        </w:rPr>
        <w:t xml:space="preserve">People using mental health services are at increased risk of developing </w:t>
      </w:r>
      <w:r w:rsidR="2D8704DD" w:rsidRPr="5311C3E3">
        <w:rPr>
          <w:rFonts w:cs="Arial"/>
          <w:sz w:val="22"/>
          <w:szCs w:val="22"/>
        </w:rPr>
        <w:t>t</w:t>
      </w:r>
      <w:r w:rsidRPr="5311C3E3">
        <w:rPr>
          <w:rFonts w:cs="Arial"/>
          <w:sz w:val="22"/>
          <w:szCs w:val="22"/>
        </w:rPr>
        <w:t>ype 2 diabetes and experiencing glycaemic instability. The Trust will ensure that nutrition and hydration provision supports safe glycaemic management in line with NICE guidance and NHS Hospital Food Standards.</w:t>
      </w:r>
      <w:bookmarkStart w:id="157" w:name="_Toc224652022"/>
    </w:p>
    <w:p w14:paraId="250D74F7" w14:textId="77777777" w:rsidR="00517414" w:rsidRDefault="00517414">
      <w:pPr>
        <w:keepNext w:val="0"/>
        <w:keepLines w:val="0"/>
        <w:spacing w:before="0" w:after="160"/>
        <w:contextualSpacing w:val="0"/>
        <w:jc w:val="left"/>
        <w:outlineLvl w:val="9"/>
        <w:rPr>
          <w:rFonts w:asciiTheme="majorHAnsi" w:eastAsiaTheme="majorEastAsia" w:hAnsiTheme="majorHAnsi" w:cstheme="majorBidi"/>
          <w:color w:val="2E74B5" w:themeColor="accent1" w:themeShade="BF"/>
          <w:sz w:val="28"/>
          <w:szCs w:val="28"/>
        </w:rPr>
      </w:pPr>
      <w:r>
        <w:br w:type="page"/>
      </w:r>
    </w:p>
    <w:p w14:paraId="33A3551B" w14:textId="29D68087" w:rsidR="71A65E9A" w:rsidRDefault="29DCF14E" w:rsidP="66992B7B">
      <w:pPr>
        <w:pStyle w:val="Heading3"/>
        <w:rPr>
          <w:rFonts w:ascii="Arial" w:eastAsia="Arial" w:hAnsi="Arial" w:cs="Arial"/>
          <w:b/>
          <w:bCs/>
          <w:sz w:val="22"/>
          <w:szCs w:val="22"/>
        </w:rPr>
      </w:pPr>
      <w:bookmarkStart w:id="158" w:name="_Toc227057845"/>
      <w:r w:rsidRPr="66992B7B">
        <w:lastRenderedPageBreak/>
        <w:t xml:space="preserve">5.6.1 </w:t>
      </w:r>
      <w:r w:rsidR="7549A15D" w:rsidRPr="66992B7B">
        <w:t>Nutrition Provision</w:t>
      </w:r>
      <w:bookmarkEnd w:id="157"/>
      <w:bookmarkEnd w:id="158"/>
    </w:p>
    <w:p w14:paraId="65B68825" w14:textId="1FD85895" w:rsidR="71A65E9A" w:rsidRDefault="7549A15D" w:rsidP="66992B7B">
      <w:pPr>
        <w:spacing w:before="0" w:after="240" w:line="257" w:lineRule="auto"/>
        <w:rPr>
          <w:rFonts w:cs="Arial"/>
          <w:sz w:val="22"/>
          <w:szCs w:val="22"/>
        </w:rPr>
      </w:pPr>
      <w:r w:rsidRPr="66992B7B">
        <w:rPr>
          <w:rFonts w:cs="Arial"/>
          <w:sz w:val="22"/>
          <w:szCs w:val="22"/>
        </w:rPr>
        <w:t xml:space="preserve">Service users with pre-diabetes, Type 1 diabetes or </w:t>
      </w:r>
      <w:r w:rsidR="0EAFA09C" w:rsidRPr="66992B7B">
        <w:rPr>
          <w:rFonts w:cs="Arial"/>
          <w:sz w:val="22"/>
          <w:szCs w:val="22"/>
        </w:rPr>
        <w:t>t</w:t>
      </w:r>
      <w:r w:rsidRPr="66992B7B">
        <w:rPr>
          <w:rFonts w:cs="Arial"/>
          <w:sz w:val="22"/>
          <w:szCs w:val="22"/>
        </w:rPr>
        <w:t>ype 2 diabetes must have their diabetes status documented within their care plan, including dietary requirements and medication-related timing considerations.</w:t>
      </w:r>
    </w:p>
    <w:p w14:paraId="63308CA8" w14:textId="455E3BB0" w:rsidR="71A65E9A" w:rsidRDefault="71A65E9A" w:rsidP="5311C3E3">
      <w:pPr>
        <w:spacing w:before="240" w:after="240" w:line="257" w:lineRule="auto"/>
        <w:rPr>
          <w:rFonts w:cs="Arial"/>
          <w:sz w:val="22"/>
          <w:szCs w:val="22"/>
        </w:rPr>
      </w:pPr>
    </w:p>
    <w:p w14:paraId="6744AACA" w14:textId="24B330E5" w:rsidR="71A65E9A" w:rsidRDefault="68ACB6BF" w:rsidP="5311C3E3">
      <w:pPr>
        <w:spacing w:before="240" w:after="240" w:line="257" w:lineRule="auto"/>
        <w:rPr>
          <w:rFonts w:cs="Arial"/>
          <w:sz w:val="22"/>
          <w:szCs w:val="22"/>
        </w:rPr>
      </w:pPr>
      <w:r w:rsidRPr="5311C3E3">
        <w:rPr>
          <w:rFonts w:cs="Arial"/>
          <w:sz w:val="22"/>
          <w:szCs w:val="22"/>
        </w:rPr>
        <w:t>Service users must have access to regular, balanced meals that support glycaemic control. Meal provision must align with NHS Hospital Food Standards. Meal timing must be coordinated with prescribed glucose-lowering medication. Where meal intake is uncertain, significantly reduced or refused, this must be escalated to the prescribing clinician.</w:t>
      </w:r>
    </w:p>
    <w:p w14:paraId="484B7508" w14:textId="0B9AFDB5" w:rsidR="71A65E9A" w:rsidRDefault="7BE1D970" w:rsidP="5311C3E3">
      <w:pPr>
        <w:spacing w:before="240" w:after="240" w:line="257" w:lineRule="auto"/>
        <w:rPr>
          <w:rFonts w:cs="Arial"/>
          <w:sz w:val="22"/>
          <w:szCs w:val="22"/>
        </w:rPr>
      </w:pPr>
      <w:r w:rsidRPr="5311C3E3">
        <w:rPr>
          <w:rFonts w:cs="Arial"/>
          <w:sz w:val="22"/>
          <w:szCs w:val="22"/>
        </w:rPr>
        <w:t xml:space="preserve">Hydration requirements must be managed in accordance with Section 4.2. </w:t>
      </w:r>
      <w:r w:rsidR="458BACB3" w:rsidRPr="5311C3E3">
        <w:rPr>
          <w:rFonts w:cs="Arial"/>
          <w:sz w:val="22"/>
          <w:szCs w:val="22"/>
        </w:rPr>
        <w:t xml:space="preserve">Sugar-sweetened beverages </w:t>
      </w:r>
      <w:r w:rsidR="346434B4" w:rsidRPr="5311C3E3">
        <w:rPr>
          <w:rFonts w:cs="Arial"/>
          <w:sz w:val="22"/>
          <w:szCs w:val="22"/>
        </w:rPr>
        <w:t>should</w:t>
      </w:r>
      <w:r w:rsidR="458BACB3" w:rsidRPr="5311C3E3">
        <w:rPr>
          <w:rFonts w:cs="Arial"/>
          <w:sz w:val="22"/>
          <w:szCs w:val="22"/>
        </w:rPr>
        <w:t xml:space="preserve"> not be routinely available, except for the treatment of hypoglycaemia or where clinically indicated.</w:t>
      </w:r>
      <w:r w:rsidR="4C7DF940" w:rsidRPr="5311C3E3">
        <w:rPr>
          <w:rFonts w:cs="Arial"/>
          <w:sz w:val="22"/>
          <w:szCs w:val="22"/>
        </w:rPr>
        <w:t xml:space="preserve"> </w:t>
      </w:r>
      <w:r w:rsidR="458BACB3" w:rsidRPr="5311C3E3">
        <w:rPr>
          <w:rFonts w:cs="Arial"/>
          <w:sz w:val="22"/>
          <w:szCs w:val="22"/>
        </w:rPr>
        <w:t xml:space="preserve">Reduced oral intake, vomiting, diarrhoea or intercurrent illness must prompt </w:t>
      </w:r>
      <w:r w:rsidR="15AA4454" w:rsidRPr="5311C3E3">
        <w:rPr>
          <w:rFonts w:cs="Arial"/>
          <w:sz w:val="22"/>
          <w:szCs w:val="22"/>
        </w:rPr>
        <w:t xml:space="preserve">a </w:t>
      </w:r>
      <w:r w:rsidR="458BACB3" w:rsidRPr="5311C3E3">
        <w:rPr>
          <w:rFonts w:cs="Arial"/>
          <w:sz w:val="22"/>
          <w:szCs w:val="22"/>
        </w:rPr>
        <w:t>clinical review and management in line with local diabetes guidance.</w:t>
      </w:r>
    </w:p>
    <w:p w14:paraId="25FD1368" w14:textId="35C4C433" w:rsidR="71A65E9A" w:rsidRDefault="0D3D5761" w:rsidP="5311C3E3">
      <w:pPr>
        <w:pStyle w:val="Heading3"/>
        <w:spacing w:before="0"/>
        <w:rPr>
          <w:rFonts w:ascii="Arial" w:eastAsia="Arial" w:hAnsi="Arial" w:cs="Arial"/>
          <w:sz w:val="22"/>
          <w:szCs w:val="22"/>
        </w:rPr>
      </w:pPr>
      <w:bookmarkStart w:id="159" w:name="_Toc224652023"/>
      <w:bookmarkStart w:id="160" w:name="_Toc227057846"/>
      <w:r w:rsidRPr="5311C3E3">
        <w:rPr>
          <w:rStyle w:val="Heading3Char"/>
        </w:rPr>
        <w:t xml:space="preserve">5.6.2 </w:t>
      </w:r>
      <w:r w:rsidR="458BACB3" w:rsidRPr="5311C3E3">
        <w:rPr>
          <w:rStyle w:val="Heading3Char"/>
        </w:rPr>
        <w:t>Escalation and Specialist Support</w:t>
      </w:r>
      <w:bookmarkEnd w:id="159"/>
      <w:bookmarkEnd w:id="160"/>
    </w:p>
    <w:p w14:paraId="22796565" w14:textId="5476BA34" w:rsidR="71A65E9A" w:rsidRDefault="68ACB6BF" w:rsidP="5311C3E3">
      <w:pPr>
        <w:spacing w:before="0" w:after="240" w:line="257" w:lineRule="auto"/>
        <w:rPr>
          <w:rFonts w:cs="Arial"/>
          <w:sz w:val="22"/>
          <w:szCs w:val="22"/>
        </w:rPr>
      </w:pPr>
      <w:r w:rsidRPr="5311C3E3">
        <w:rPr>
          <w:rFonts w:cs="Arial"/>
          <w:sz w:val="22"/>
          <w:szCs w:val="22"/>
        </w:rPr>
        <w:t>Service users with pre-diabetes, newly diagnosed diabetes or poorly controlled diabetes must be referred to internal or local diabetes teams for specialist support, and communication with primary care or specialist services must be documented.</w:t>
      </w:r>
    </w:p>
    <w:p w14:paraId="7B6E3FA2" w14:textId="0AE0D994" w:rsidR="71A65E9A" w:rsidRDefault="68ACB6BF" w:rsidP="5311C3E3">
      <w:pPr>
        <w:spacing w:before="0" w:after="240" w:line="257" w:lineRule="auto"/>
        <w:rPr>
          <w:rFonts w:cs="Arial"/>
          <w:sz w:val="22"/>
          <w:szCs w:val="22"/>
        </w:rPr>
      </w:pPr>
      <w:r w:rsidRPr="5311C3E3">
        <w:rPr>
          <w:rFonts w:cs="Arial"/>
          <w:sz w:val="22"/>
          <w:szCs w:val="22"/>
        </w:rPr>
        <w:t xml:space="preserve">Hypoglycaemia, hyperglycaemia, </w:t>
      </w:r>
      <w:r w:rsidR="18C0D3AF" w:rsidRPr="5311C3E3">
        <w:rPr>
          <w:rFonts w:cs="Arial"/>
          <w:sz w:val="22"/>
          <w:szCs w:val="22"/>
        </w:rPr>
        <w:t>diabetic ketoacidosis (</w:t>
      </w:r>
      <w:r w:rsidRPr="5311C3E3">
        <w:rPr>
          <w:rFonts w:cs="Arial"/>
          <w:sz w:val="22"/>
          <w:szCs w:val="22"/>
        </w:rPr>
        <w:t>DKA</w:t>
      </w:r>
      <w:r w:rsidR="36A9E2E0" w:rsidRPr="5311C3E3">
        <w:rPr>
          <w:rFonts w:cs="Arial"/>
          <w:sz w:val="22"/>
          <w:szCs w:val="22"/>
        </w:rPr>
        <w:t>)</w:t>
      </w:r>
      <w:r w:rsidRPr="5311C3E3">
        <w:rPr>
          <w:rFonts w:cs="Arial"/>
          <w:sz w:val="22"/>
          <w:szCs w:val="22"/>
        </w:rPr>
        <w:t xml:space="preserve"> and </w:t>
      </w:r>
      <w:r w:rsidR="156AA4CE" w:rsidRPr="5311C3E3">
        <w:rPr>
          <w:rFonts w:cs="Arial"/>
          <w:sz w:val="22"/>
          <w:szCs w:val="22"/>
        </w:rPr>
        <w:t>hyperosmolar hyperglycaemic state (</w:t>
      </w:r>
      <w:r w:rsidRPr="5311C3E3">
        <w:rPr>
          <w:rFonts w:cs="Arial"/>
          <w:sz w:val="22"/>
          <w:szCs w:val="22"/>
        </w:rPr>
        <w:t>HHS</w:t>
      </w:r>
      <w:r w:rsidR="7B5FBC30" w:rsidRPr="5311C3E3">
        <w:rPr>
          <w:rFonts w:cs="Arial"/>
          <w:sz w:val="22"/>
          <w:szCs w:val="22"/>
        </w:rPr>
        <w:t>)</w:t>
      </w:r>
      <w:r w:rsidRPr="5311C3E3">
        <w:rPr>
          <w:rFonts w:cs="Arial"/>
          <w:sz w:val="22"/>
          <w:szCs w:val="22"/>
        </w:rPr>
        <w:t xml:space="preserve"> must be managed in accordance with the Trust Safe Use of Insulin Policy.</w:t>
      </w:r>
    </w:p>
    <w:p w14:paraId="42A8DC14" w14:textId="6321DB46" w:rsidR="71A65E9A" w:rsidRDefault="71A65E9A" w:rsidP="5311C3E3">
      <w:pPr>
        <w:spacing w:line="257" w:lineRule="auto"/>
        <w:rPr>
          <w:rFonts w:cs="Arial"/>
          <w:color w:val="000000" w:themeColor="text1"/>
          <w:sz w:val="22"/>
          <w:szCs w:val="22"/>
        </w:rPr>
      </w:pPr>
    </w:p>
    <w:p w14:paraId="63263BEF" w14:textId="3F8438B0" w:rsidR="71A65E9A" w:rsidRDefault="10DDEE4A" w:rsidP="5311C3E3">
      <w:pPr>
        <w:pStyle w:val="Heading2"/>
        <w:rPr>
          <w:rFonts w:ascii="Arial" w:eastAsia="Arial" w:hAnsi="Arial" w:cs="Arial"/>
          <w:sz w:val="22"/>
          <w:szCs w:val="22"/>
        </w:rPr>
      </w:pPr>
      <w:bookmarkStart w:id="161" w:name="_Toc224651857"/>
      <w:bookmarkStart w:id="162" w:name="_Toc224652024"/>
      <w:bookmarkStart w:id="163" w:name="_Toc227057847"/>
      <w:r>
        <w:t xml:space="preserve">5.7 </w:t>
      </w:r>
      <w:r w:rsidR="0CE548AD">
        <w:t xml:space="preserve">Eating </w:t>
      </w:r>
      <w:r w:rsidR="7ACFDD6F">
        <w:t>Disorders and Disordered Eating</w:t>
      </w:r>
      <w:bookmarkEnd w:id="161"/>
      <w:bookmarkEnd w:id="162"/>
      <w:bookmarkEnd w:id="163"/>
    </w:p>
    <w:p w14:paraId="1581372D" w14:textId="3F49B06F" w:rsidR="48EC1FC0" w:rsidRDefault="48EC1FC0" w:rsidP="5311C3E3">
      <w:pPr>
        <w:rPr>
          <w:rFonts w:cs="Arial"/>
          <w:sz w:val="22"/>
          <w:szCs w:val="22"/>
        </w:rPr>
      </w:pPr>
    </w:p>
    <w:p w14:paraId="3C2837C4" w14:textId="304B6F10" w:rsidR="41FB7021" w:rsidRDefault="627F5100" w:rsidP="5311C3E3">
      <w:pPr>
        <w:pStyle w:val="Heading3"/>
        <w:rPr>
          <w:rFonts w:ascii="Arial" w:eastAsia="Arial" w:hAnsi="Arial" w:cs="Arial"/>
          <w:sz w:val="22"/>
          <w:szCs w:val="22"/>
        </w:rPr>
      </w:pPr>
      <w:bookmarkStart w:id="164" w:name="_Toc224652025"/>
      <w:bookmarkStart w:id="165" w:name="_Toc227057848"/>
      <w:r w:rsidRPr="5311C3E3">
        <w:t xml:space="preserve">5.7.1 </w:t>
      </w:r>
      <w:r w:rsidR="31EF5CFF" w:rsidRPr="5311C3E3">
        <w:t>Scope and Definitions</w:t>
      </w:r>
      <w:bookmarkEnd w:id="164"/>
      <w:bookmarkEnd w:id="165"/>
    </w:p>
    <w:p w14:paraId="05D7154F" w14:textId="1BD818AA" w:rsidR="41FB7021" w:rsidRDefault="31EF5CFF" w:rsidP="5311C3E3">
      <w:pPr>
        <w:rPr>
          <w:rFonts w:cs="Arial"/>
          <w:sz w:val="22"/>
          <w:szCs w:val="22"/>
        </w:rPr>
      </w:pPr>
      <w:r w:rsidRPr="730FCF52">
        <w:rPr>
          <w:rFonts w:cs="Arial"/>
          <w:sz w:val="22"/>
          <w:szCs w:val="22"/>
        </w:rPr>
        <w:t xml:space="preserve">This section applies to all ELFT inpatient and community services supporting service users </w:t>
      </w:r>
      <w:r w:rsidR="5A490B58" w:rsidRPr="730FCF52">
        <w:rPr>
          <w:rFonts w:cs="Arial"/>
          <w:sz w:val="22"/>
          <w:szCs w:val="22"/>
        </w:rPr>
        <w:t>experiencing symptoms of</w:t>
      </w:r>
      <w:r w:rsidRPr="730FCF52">
        <w:rPr>
          <w:rFonts w:cs="Arial"/>
          <w:sz w:val="22"/>
          <w:szCs w:val="22"/>
        </w:rPr>
        <w:t xml:space="preserve"> or diagnosed </w:t>
      </w:r>
      <w:r w:rsidR="58F82EEC" w:rsidRPr="730FCF52">
        <w:rPr>
          <w:rFonts w:cs="Arial"/>
          <w:sz w:val="22"/>
          <w:szCs w:val="22"/>
        </w:rPr>
        <w:t xml:space="preserve">with </w:t>
      </w:r>
      <w:r w:rsidRPr="730FCF52">
        <w:rPr>
          <w:rFonts w:cs="Arial"/>
          <w:sz w:val="22"/>
          <w:szCs w:val="22"/>
        </w:rPr>
        <w:t>eating disorders or disordered eating.</w:t>
      </w:r>
      <w:r w:rsidR="42CD0CBA" w:rsidRPr="730FCF52">
        <w:rPr>
          <w:rFonts w:cs="Arial"/>
          <w:sz w:val="22"/>
          <w:szCs w:val="22"/>
        </w:rPr>
        <w:t xml:space="preserve"> Formal diagnosis of an eating disorder must be made by an appropriately qualified clinician in accordance with recognised diagnostic criteria (DSM-5 or ICD-11). Disordered eating describes problematic eating behaviours that do not meet formal diagnostic criteria for an eating disorder but may still require assessment and support.</w:t>
      </w:r>
    </w:p>
    <w:p w14:paraId="186239CE" w14:textId="540176F6" w:rsidR="48EC1FC0" w:rsidRDefault="48EC1FC0" w:rsidP="5311C3E3">
      <w:pPr>
        <w:spacing w:before="240" w:after="240"/>
        <w:rPr>
          <w:rFonts w:cs="Arial"/>
          <w:sz w:val="22"/>
          <w:szCs w:val="22"/>
        </w:rPr>
      </w:pPr>
    </w:p>
    <w:p w14:paraId="6C33A64F" w14:textId="106E65F9" w:rsidR="41FB7021" w:rsidRDefault="3DE4BA6B" w:rsidP="5311C3E3">
      <w:pPr>
        <w:spacing w:before="240" w:after="240"/>
        <w:rPr>
          <w:rFonts w:cs="Arial"/>
          <w:sz w:val="22"/>
          <w:szCs w:val="22"/>
        </w:rPr>
      </w:pPr>
      <w:r w:rsidRPr="5311C3E3">
        <w:rPr>
          <w:rFonts w:cs="Arial"/>
          <w:sz w:val="22"/>
          <w:szCs w:val="22"/>
        </w:rPr>
        <w:t xml:space="preserve"> </w:t>
      </w:r>
      <w:r w:rsidR="31EF5CFF" w:rsidRPr="5311C3E3">
        <w:rPr>
          <w:rFonts w:cs="Arial"/>
          <w:sz w:val="22"/>
          <w:szCs w:val="22"/>
        </w:rPr>
        <w:t>Eating disorders include:</w:t>
      </w:r>
    </w:p>
    <w:p w14:paraId="33976AF8" w14:textId="23B96F8D" w:rsidR="41FB7021" w:rsidRDefault="31EF5CFF" w:rsidP="00825F2C">
      <w:pPr>
        <w:pStyle w:val="ListParagraph"/>
        <w:numPr>
          <w:ilvl w:val="0"/>
          <w:numId w:val="40"/>
        </w:numPr>
        <w:spacing w:before="240" w:after="240"/>
        <w:rPr>
          <w:rFonts w:cs="Arial"/>
          <w:sz w:val="22"/>
          <w:szCs w:val="22"/>
        </w:rPr>
      </w:pPr>
      <w:r w:rsidRPr="5311C3E3">
        <w:rPr>
          <w:rFonts w:cs="Arial"/>
          <w:sz w:val="22"/>
          <w:szCs w:val="22"/>
        </w:rPr>
        <w:t>Anorexia Nervosa</w:t>
      </w:r>
    </w:p>
    <w:p w14:paraId="0D40D7E6" w14:textId="511D1E3B" w:rsidR="41FB7021" w:rsidRDefault="31EF5CFF" w:rsidP="00825F2C">
      <w:pPr>
        <w:pStyle w:val="ListParagraph"/>
        <w:numPr>
          <w:ilvl w:val="0"/>
          <w:numId w:val="40"/>
        </w:numPr>
        <w:spacing w:before="240" w:after="240"/>
        <w:rPr>
          <w:rFonts w:cs="Arial"/>
          <w:sz w:val="22"/>
          <w:szCs w:val="22"/>
        </w:rPr>
      </w:pPr>
      <w:r w:rsidRPr="5311C3E3">
        <w:rPr>
          <w:rFonts w:cs="Arial"/>
          <w:sz w:val="22"/>
          <w:szCs w:val="22"/>
        </w:rPr>
        <w:t>Bulimia Nervosa</w:t>
      </w:r>
    </w:p>
    <w:p w14:paraId="22E545E4" w14:textId="66CBF8EB" w:rsidR="41FB7021" w:rsidRDefault="31EF5CFF" w:rsidP="00825F2C">
      <w:pPr>
        <w:pStyle w:val="ListParagraph"/>
        <w:numPr>
          <w:ilvl w:val="0"/>
          <w:numId w:val="40"/>
        </w:numPr>
        <w:spacing w:before="240" w:after="240"/>
        <w:rPr>
          <w:rFonts w:cs="Arial"/>
          <w:sz w:val="22"/>
          <w:szCs w:val="22"/>
        </w:rPr>
      </w:pPr>
      <w:r w:rsidRPr="5311C3E3">
        <w:rPr>
          <w:rFonts w:cs="Arial"/>
          <w:sz w:val="22"/>
          <w:szCs w:val="22"/>
        </w:rPr>
        <w:t>Binge Eating Disorder</w:t>
      </w:r>
    </w:p>
    <w:p w14:paraId="7BA99882" w14:textId="2A9B2620" w:rsidR="41FB7021" w:rsidRDefault="31EF5CFF" w:rsidP="00825F2C">
      <w:pPr>
        <w:pStyle w:val="ListParagraph"/>
        <w:numPr>
          <w:ilvl w:val="0"/>
          <w:numId w:val="40"/>
        </w:numPr>
        <w:spacing w:before="240" w:after="240"/>
        <w:rPr>
          <w:rFonts w:cs="Arial"/>
          <w:sz w:val="22"/>
          <w:szCs w:val="22"/>
        </w:rPr>
      </w:pPr>
      <w:r w:rsidRPr="5311C3E3">
        <w:rPr>
          <w:rFonts w:cs="Arial"/>
          <w:sz w:val="22"/>
          <w:szCs w:val="22"/>
        </w:rPr>
        <w:t>Avoidant Restrictive Food Intake Disorder (ARFID)</w:t>
      </w:r>
    </w:p>
    <w:p w14:paraId="50DBEBDF" w14:textId="3A7392B2" w:rsidR="41FB7021" w:rsidRDefault="31EF5CFF" w:rsidP="00825F2C">
      <w:pPr>
        <w:pStyle w:val="ListParagraph"/>
        <w:numPr>
          <w:ilvl w:val="0"/>
          <w:numId w:val="40"/>
        </w:numPr>
        <w:spacing w:before="240" w:after="240"/>
        <w:rPr>
          <w:rFonts w:cs="Arial"/>
          <w:sz w:val="22"/>
          <w:szCs w:val="22"/>
        </w:rPr>
      </w:pPr>
      <w:r w:rsidRPr="5311C3E3">
        <w:rPr>
          <w:rFonts w:cs="Arial"/>
          <w:sz w:val="22"/>
          <w:szCs w:val="22"/>
        </w:rPr>
        <w:t>Other Specified Feeding or Eating Disorder (OSFED)</w:t>
      </w:r>
    </w:p>
    <w:p w14:paraId="07295C7F" w14:textId="1C3E9B5F" w:rsidR="41FB7021" w:rsidRDefault="610BD18F" w:rsidP="5311C3E3">
      <w:pPr>
        <w:spacing w:before="240" w:after="240"/>
        <w:rPr>
          <w:rFonts w:cs="Arial"/>
          <w:sz w:val="22"/>
          <w:szCs w:val="22"/>
        </w:rPr>
      </w:pPr>
      <w:r w:rsidRPr="5311C3E3">
        <w:rPr>
          <w:rFonts w:cs="Arial"/>
          <w:sz w:val="22"/>
          <w:szCs w:val="22"/>
        </w:rPr>
        <w:t>Eating disorders are associated with significant physical health risks and</w:t>
      </w:r>
      <w:r w:rsidR="43896ADE" w:rsidRPr="5311C3E3">
        <w:rPr>
          <w:rFonts w:cs="Arial"/>
          <w:sz w:val="22"/>
          <w:szCs w:val="22"/>
        </w:rPr>
        <w:t xml:space="preserve"> carry a high mortality rate</w:t>
      </w:r>
      <w:r w:rsidR="51300679" w:rsidRPr="5311C3E3">
        <w:rPr>
          <w:rFonts w:cs="Arial"/>
          <w:sz w:val="22"/>
          <w:szCs w:val="22"/>
        </w:rPr>
        <w:t xml:space="preserve"> </w:t>
      </w:r>
      <w:sdt>
        <w:sdtPr>
          <w:rPr>
            <w:rFonts w:cs="Arial"/>
            <w:color w:val="000000" w:themeColor="text1"/>
            <w:sz w:val="22"/>
            <w:szCs w:val="22"/>
          </w:rPr>
          <w:tag w:val="MENDELEY_CITATION_v3_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"/>
          <w:id w:val="1111514854"/>
          <w:placeholder>
            <w:docPart w:val="DefaultPlaceholder_-1854013440"/>
          </w:placeholder>
        </w:sdtPr>
        <w:sdtEndPr/>
        <w:sdtContent>
          <w:r w:rsidR="5311C3E3" w:rsidRPr="5311C3E3">
            <w:rPr>
              <w:rFonts w:cs="Arial"/>
              <w:color w:val="000000" w:themeColor="text1"/>
              <w:sz w:val="22"/>
              <w:szCs w:val="22"/>
            </w:rPr>
            <w:t>(Royal College of Psychiatrists, 2022)</w:t>
          </w:r>
        </w:sdtContent>
      </w:sdt>
      <w:r w:rsidR="6F2BE96C" w:rsidRPr="5311C3E3">
        <w:rPr>
          <w:rFonts w:cs="Arial"/>
          <w:sz w:val="22"/>
          <w:szCs w:val="22"/>
        </w:rPr>
        <w:t>.</w:t>
      </w:r>
      <w:r w:rsidR="3A26FD91" w:rsidRPr="5311C3E3">
        <w:rPr>
          <w:rFonts w:cs="Arial"/>
          <w:sz w:val="22"/>
          <w:szCs w:val="22"/>
        </w:rPr>
        <w:t xml:space="preserve"> E</w:t>
      </w:r>
      <w:r w:rsidRPr="5311C3E3">
        <w:rPr>
          <w:rFonts w:cs="Arial"/>
          <w:sz w:val="22"/>
          <w:szCs w:val="22"/>
        </w:rPr>
        <w:t>arly identification and timely escalation are essential to reduce morbidity and mortality.</w:t>
      </w:r>
    </w:p>
    <w:p w14:paraId="00C2C721" w14:textId="697CFC5D" w:rsidR="48EC1FC0" w:rsidRDefault="48EC1FC0" w:rsidP="5311C3E3">
      <w:pPr>
        <w:spacing w:before="240" w:after="240"/>
        <w:rPr>
          <w:rFonts w:cs="Arial"/>
          <w:sz w:val="22"/>
          <w:szCs w:val="22"/>
        </w:rPr>
      </w:pPr>
    </w:p>
    <w:p w14:paraId="6A78FA85" w14:textId="77777777" w:rsidR="00517414" w:rsidRDefault="31EF5CFF" w:rsidP="5311C3E3">
      <w:pPr>
        <w:spacing w:before="240" w:after="240"/>
        <w:rPr>
          <w:rFonts w:cs="Arial"/>
          <w:sz w:val="22"/>
          <w:szCs w:val="22"/>
        </w:rPr>
      </w:pPr>
      <w:r w:rsidRPr="5311C3E3">
        <w:rPr>
          <w:rFonts w:cs="Arial"/>
          <w:sz w:val="22"/>
          <w:szCs w:val="22"/>
        </w:rPr>
        <w:t xml:space="preserve"> </w:t>
      </w:r>
    </w:p>
    <w:p w14:paraId="487B05AE" w14:textId="77777777" w:rsidR="00517414" w:rsidRDefault="00517414">
      <w:pPr>
        <w:keepNext w:val="0"/>
        <w:keepLines w:val="0"/>
        <w:spacing w:before="0" w:after="160"/>
        <w:contextualSpacing w:val="0"/>
        <w:jc w:val="left"/>
        <w:outlineLvl w:val="9"/>
        <w:rPr>
          <w:rFonts w:cs="Arial"/>
          <w:sz w:val="22"/>
          <w:szCs w:val="22"/>
        </w:rPr>
      </w:pPr>
      <w:r>
        <w:rPr>
          <w:rFonts w:cs="Arial"/>
          <w:sz w:val="22"/>
          <w:szCs w:val="22"/>
        </w:rPr>
        <w:br w:type="page"/>
      </w:r>
    </w:p>
    <w:p w14:paraId="79658F57" w14:textId="3E2FBD39" w:rsidR="00DB1194" w:rsidRDefault="31EF5CFF" w:rsidP="5311C3E3">
      <w:pPr>
        <w:spacing w:before="240" w:after="240"/>
        <w:rPr>
          <w:rFonts w:cs="Arial"/>
          <w:sz w:val="22"/>
          <w:szCs w:val="22"/>
        </w:rPr>
      </w:pPr>
      <w:r w:rsidRPr="5311C3E3">
        <w:rPr>
          <w:rFonts w:cs="Arial"/>
          <w:sz w:val="22"/>
          <w:szCs w:val="22"/>
        </w:rPr>
        <w:lastRenderedPageBreak/>
        <w:t>All staff must follow current national guidance, including:</w:t>
      </w:r>
    </w:p>
    <w:p w14:paraId="4C033E94" w14:textId="6BAB62EA" w:rsidR="00DB1194" w:rsidRPr="00825F2C" w:rsidRDefault="31EF5CFF" w:rsidP="00825F2C">
      <w:pPr>
        <w:pStyle w:val="ListParagraph"/>
        <w:numPr>
          <w:ilvl w:val="0"/>
          <w:numId w:val="57"/>
        </w:numPr>
        <w:spacing w:before="240" w:after="240"/>
        <w:rPr>
          <w:rFonts w:cs="Arial"/>
          <w:sz w:val="22"/>
          <w:szCs w:val="22"/>
        </w:rPr>
      </w:pPr>
      <w:r w:rsidRPr="00825F2C">
        <w:rPr>
          <w:rFonts w:cs="Arial"/>
          <w:sz w:val="22"/>
          <w:szCs w:val="22"/>
        </w:rPr>
        <w:t xml:space="preserve">NICE Guideline NG69: </w:t>
      </w:r>
      <w:r w:rsidRPr="00825F2C">
        <w:rPr>
          <w:rFonts w:cs="Arial"/>
          <w:i/>
          <w:iCs/>
          <w:sz w:val="22"/>
          <w:szCs w:val="22"/>
        </w:rPr>
        <w:t>Eating disorders: recognition and treatment</w:t>
      </w:r>
      <w:r w:rsidRPr="00825F2C">
        <w:rPr>
          <w:rFonts w:cs="Arial"/>
          <w:sz w:val="22"/>
          <w:szCs w:val="22"/>
        </w:rPr>
        <w:t xml:space="preserve"> (2017, updated</w:t>
      </w:r>
    </w:p>
    <w:p w14:paraId="3AE8DDD1" w14:textId="77777777" w:rsidR="00DB1194" w:rsidRDefault="31EF5CFF" w:rsidP="00825F2C">
      <w:pPr>
        <w:pStyle w:val="ListParagraph"/>
        <w:numPr>
          <w:ilvl w:val="0"/>
          <w:numId w:val="57"/>
        </w:numPr>
        <w:spacing w:before="240" w:after="240"/>
        <w:rPr>
          <w:rFonts w:cs="Arial"/>
          <w:sz w:val="22"/>
          <w:szCs w:val="22"/>
        </w:rPr>
      </w:pPr>
      <w:r w:rsidRPr="00825F2C">
        <w:rPr>
          <w:rFonts w:cs="Arial"/>
          <w:sz w:val="22"/>
          <w:szCs w:val="22"/>
        </w:rPr>
        <w:t xml:space="preserve">Royal College of Psychiatrists CR233: </w:t>
      </w:r>
      <w:r w:rsidRPr="00825F2C">
        <w:rPr>
          <w:rFonts w:cs="Arial"/>
          <w:i/>
          <w:iCs/>
          <w:sz w:val="22"/>
          <w:szCs w:val="22"/>
        </w:rPr>
        <w:t>Medical Emergencies in Eating Disorders (MEED)</w:t>
      </w:r>
      <w:r w:rsidRPr="00825F2C">
        <w:rPr>
          <w:rFonts w:cs="Arial"/>
          <w:sz w:val="22"/>
          <w:szCs w:val="22"/>
        </w:rPr>
        <w:t xml:space="preserve"> (2022)</w:t>
      </w:r>
    </w:p>
    <w:p w14:paraId="212074C0" w14:textId="2DB2AECE" w:rsidR="00DB1194" w:rsidRPr="00DB1194" w:rsidRDefault="00DB1194" w:rsidP="00825F2C">
      <w:pPr>
        <w:rPr>
          <w:rFonts w:cs="Arial"/>
        </w:rPr>
      </w:pPr>
      <w:r w:rsidRPr="00DB1194">
        <w:t xml:space="preserve">Care must also align with relevant Trust policies relating to restrictive practice, including the </w:t>
      </w:r>
      <w:r w:rsidRPr="00825F2C">
        <w:rPr>
          <w:rStyle w:val="Emphasis"/>
          <w:sz w:val="22"/>
          <w:szCs w:val="22"/>
        </w:rPr>
        <w:t>Seclusion Policy</w:t>
      </w:r>
      <w:r w:rsidRPr="00DB1194">
        <w:t xml:space="preserve">, </w:t>
      </w:r>
      <w:r w:rsidRPr="00825F2C">
        <w:rPr>
          <w:rStyle w:val="Emphasis"/>
          <w:sz w:val="22"/>
          <w:szCs w:val="22"/>
        </w:rPr>
        <w:t>Rapid Tranquillisation Policy</w:t>
      </w:r>
      <w:r w:rsidRPr="00DB1194">
        <w:t xml:space="preserve"> and </w:t>
      </w:r>
      <w:r w:rsidRPr="00825F2C">
        <w:rPr>
          <w:rStyle w:val="Emphasis"/>
          <w:sz w:val="22"/>
          <w:szCs w:val="22"/>
        </w:rPr>
        <w:t>Therapeutic Engagement and Observation Policy</w:t>
      </w:r>
      <w:r w:rsidRPr="00DB1194">
        <w:t xml:space="preserve"> </w:t>
      </w:r>
    </w:p>
    <w:p w14:paraId="11274EEC" w14:textId="6212602D" w:rsidR="48EC1FC0" w:rsidRDefault="48EC1FC0" w:rsidP="5311C3E3">
      <w:pPr>
        <w:rPr>
          <w:rFonts w:cs="Arial"/>
          <w:sz w:val="22"/>
          <w:szCs w:val="22"/>
        </w:rPr>
      </w:pPr>
    </w:p>
    <w:p w14:paraId="68EE2797" w14:textId="02008295" w:rsidR="41FB7021" w:rsidRDefault="44A92C53" w:rsidP="5311C3E3">
      <w:pPr>
        <w:pStyle w:val="Heading3"/>
        <w:rPr>
          <w:rFonts w:ascii="Arial" w:eastAsia="Arial" w:hAnsi="Arial" w:cs="Arial"/>
          <w:sz w:val="22"/>
          <w:szCs w:val="22"/>
        </w:rPr>
      </w:pPr>
      <w:bookmarkStart w:id="166" w:name="_Toc224652026"/>
      <w:bookmarkStart w:id="167" w:name="_Toc227057849"/>
      <w:r w:rsidRPr="5311C3E3">
        <w:t xml:space="preserve">5.7.2 </w:t>
      </w:r>
      <w:r w:rsidR="31EF5CFF" w:rsidRPr="5311C3E3">
        <w:t>Identification of Risk and Physical Health Monitoring</w:t>
      </w:r>
      <w:bookmarkEnd w:id="166"/>
      <w:bookmarkEnd w:id="167"/>
    </w:p>
    <w:p w14:paraId="12F3519F" w14:textId="6BB7E0D4" w:rsidR="41FB7021" w:rsidRDefault="31EF5CFF" w:rsidP="5311C3E3">
      <w:pPr>
        <w:spacing w:before="0" w:after="240"/>
        <w:rPr>
          <w:rFonts w:cs="Arial"/>
          <w:sz w:val="22"/>
          <w:szCs w:val="22"/>
        </w:rPr>
      </w:pPr>
      <w:r w:rsidRPr="5311C3E3">
        <w:rPr>
          <w:rFonts w:cs="Arial"/>
          <w:sz w:val="22"/>
          <w:szCs w:val="22"/>
        </w:rPr>
        <w:t>All service users with suspected or confirmed eating disorders must receive appropriate physical health monitoring in line with NICE NG69</w:t>
      </w:r>
      <w:r w:rsidR="44BC0D91" w:rsidRPr="5311C3E3">
        <w:rPr>
          <w:rFonts w:cs="Arial"/>
          <w:sz w:val="22"/>
          <w:szCs w:val="22"/>
        </w:rPr>
        <w:t xml:space="preserve">, </w:t>
      </w:r>
      <w:r w:rsidRPr="5311C3E3">
        <w:rPr>
          <w:rFonts w:cs="Arial"/>
          <w:sz w:val="22"/>
          <w:szCs w:val="22"/>
        </w:rPr>
        <w:t xml:space="preserve">MEED </w:t>
      </w:r>
      <w:r w:rsidR="2602F929" w:rsidRPr="5311C3E3">
        <w:rPr>
          <w:rFonts w:cs="Arial"/>
          <w:sz w:val="22"/>
          <w:szCs w:val="22"/>
        </w:rPr>
        <w:t xml:space="preserve">and local </w:t>
      </w:r>
      <w:r w:rsidRPr="5311C3E3">
        <w:rPr>
          <w:rFonts w:cs="Arial"/>
          <w:sz w:val="22"/>
          <w:szCs w:val="22"/>
        </w:rPr>
        <w:t>guidance.</w:t>
      </w:r>
    </w:p>
    <w:p w14:paraId="76B1FB2E" w14:textId="3DB74266" w:rsidR="48EC1FC0" w:rsidRDefault="48EC1FC0" w:rsidP="5311C3E3">
      <w:pPr>
        <w:spacing w:before="240" w:after="240"/>
        <w:rPr>
          <w:rFonts w:cs="Arial"/>
          <w:sz w:val="22"/>
          <w:szCs w:val="22"/>
        </w:rPr>
      </w:pPr>
    </w:p>
    <w:p w14:paraId="3B8A51B2" w14:textId="4E7FFCDD" w:rsidR="41FB7021" w:rsidRDefault="31EF5CFF" w:rsidP="5311C3E3">
      <w:pPr>
        <w:spacing w:before="240" w:after="240"/>
        <w:rPr>
          <w:rFonts w:cs="Arial"/>
          <w:sz w:val="22"/>
          <w:szCs w:val="22"/>
        </w:rPr>
      </w:pPr>
      <w:r w:rsidRPr="5311C3E3">
        <w:rPr>
          <w:rFonts w:cs="Arial"/>
          <w:sz w:val="22"/>
          <w:szCs w:val="22"/>
        </w:rPr>
        <w:t xml:space="preserve"> Monitoring must include, as clinically indicated:</w:t>
      </w:r>
    </w:p>
    <w:p w14:paraId="46A0921D" w14:textId="19178850" w:rsidR="41FB7021" w:rsidRDefault="31EF5CFF" w:rsidP="00825F2C">
      <w:pPr>
        <w:pStyle w:val="ListParagraph"/>
        <w:numPr>
          <w:ilvl w:val="0"/>
          <w:numId w:val="38"/>
        </w:numPr>
        <w:spacing w:before="240" w:after="240"/>
        <w:rPr>
          <w:rFonts w:cs="Arial"/>
          <w:sz w:val="22"/>
          <w:szCs w:val="22"/>
        </w:rPr>
      </w:pPr>
      <w:r w:rsidRPr="5311C3E3">
        <w:rPr>
          <w:rFonts w:cs="Arial"/>
          <w:sz w:val="22"/>
          <w:szCs w:val="22"/>
        </w:rPr>
        <w:t>Weight and BMI (interpreted alongside clinical presentation and rate of weight loss)</w:t>
      </w:r>
    </w:p>
    <w:p w14:paraId="76203969" w14:textId="4760E8A9" w:rsidR="41FB7021" w:rsidRDefault="31EF5CFF" w:rsidP="00825F2C">
      <w:pPr>
        <w:pStyle w:val="ListParagraph"/>
        <w:numPr>
          <w:ilvl w:val="0"/>
          <w:numId w:val="38"/>
        </w:numPr>
        <w:spacing w:before="240" w:after="240"/>
        <w:rPr>
          <w:rFonts w:cs="Arial"/>
          <w:sz w:val="22"/>
          <w:szCs w:val="22"/>
        </w:rPr>
      </w:pPr>
      <w:r w:rsidRPr="5311C3E3">
        <w:rPr>
          <w:rFonts w:cs="Arial"/>
          <w:sz w:val="22"/>
          <w:szCs w:val="22"/>
        </w:rPr>
        <w:t>Physical observations, including blood pressure, pulse and temperature</w:t>
      </w:r>
    </w:p>
    <w:p w14:paraId="3F97201F" w14:textId="64A1FA05" w:rsidR="41FB7021" w:rsidRDefault="31EF5CFF" w:rsidP="00825F2C">
      <w:pPr>
        <w:pStyle w:val="ListParagraph"/>
        <w:numPr>
          <w:ilvl w:val="0"/>
          <w:numId w:val="38"/>
        </w:numPr>
        <w:spacing w:before="240" w:after="240"/>
        <w:rPr>
          <w:rFonts w:cs="Arial"/>
          <w:sz w:val="22"/>
          <w:szCs w:val="22"/>
        </w:rPr>
      </w:pPr>
      <w:r w:rsidRPr="5311C3E3">
        <w:rPr>
          <w:rFonts w:cs="Arial"/>
          <w:sz w:val="22"/>
          <w:szCs w:val="22"/>
        </w:rPr>
        <w:t>Blood tests, including electrolytes, renal function, glucose and full blood count</w:t>
      </w:r>
    </w:p>
    <w:p w14:paraId="427F1BCA" w14:textId="21B08631" w:rsidR="41FB7021" w:rsidRDefault="31EF5CFF" w:rsidP="00825F2C">
      <w:pPr>
        <w:pStyle w:val="ListParagraph"/>
        <w:numPr>
          <w:ilvl w:val="0"/>
          <w:numId w:val="38"/>
        </w:numPr>
        <w:spacing w:before="240" w:after="240"/>
        <w:rPr>
          <w:rFonts w:cs="Arial"/>
          <w:sz w:val="22"/>
          <w:szCs w:val="22"/>
        </w:rPr>
      </w:pPr>
      <w:r w:rsidRPr="5311C3E3">
        <w:rPr>
          <w:rFonts w:cs="Arial"/>
          <w:sz w:val="22"/>
          <w:szCs w:val="22"/>
        </w:rPr>
        <w:t>ECG monitoring where indicated</w:t>
      </w:r>
    </w:p>
    <w:p w14:paraId="05A3CF54" w14:textId="38F0C86E" w:rsidR="41FB7021" w:rsidRDefault="31EF5CFF" w:rsidP="00825F2C">
      <w:pPr>
        <w:pStyle w:val="ListParagraph"/>
        <w:numPr>
          <w:ilvl w:val="0"/>
          <w:numId w:val="38"/>
        </w:numPr>
        <w:spacing w:before="240" w:after="240"/>
        <w:rPr>
          <w:rFonts w:cs="Arial"/>
          <w:sz w:val="22"/>
          <w:szCs w:val="22"/>
        </w:rPr>
      </w:pPr>
      <w:r w:rsidRPr="5311C3E3">
        <w:rPr>
          <w:rFonts w:cs="Arial"/>
          <w:sz w:val="22"/>
          <w:szCs w:val="22"/>
        </w:rPr>
        <w:t>Assessment of refeeding syndrome risk</w:t>
      </w:r>
    </w:p>
    <w:p w14:paraId="3FF4819D" w14:textId="3C5F6641" w:rsidR="41FB7021" w:rsidRDefault="31EF5CFF" w:rsidP="5311C3E3">
      <w:pPr>
        <w:spacing w:before="240" w:after="240"/>
        <w:rPr>
          <w:rFonts w:cs="Arial"/>
          <w:sz w:val="22"/>
          <w:szCs w:val="22"/>
        </w:rPr>
      </w:pPr>
      <w:r w:rsidRPr="5311C3E3">
        <w:rPr>
          <w:rFonts w:cs="Arial"/>
          <w:sz w:val="22"/>
          <w:szCs w:val="22"/>
        </w:rPr>
        <w:t xml:space="preserve">BMI alone must not be used as the sole indicator of medical risk. Rate of weight </w:t>
      </w:r>
      <w:r w:rsidR="612129BF" w:rsidRPr="5311C3E3">
        <w:rPr>
          <w:rFonts w:cs="Arial"/>
          <w:sz w:val="22"/>
          <w:szCs w:val="22"/>
        </w:rPr>
        <w:t>change</w:t>
      </w:r>
      <w:r w:rsidRPr="5311C3E3">
        <w:rPr>
          <w:rFonts w:cs="Arial"/>
          <w:sz w:val="22"/>
          <w:szCs w:val="22"/>
        </w:rPr>
        <w:t>, nutritional intake, purging behaviours, physical observations and blood results must be considered collectively.</w:t>
      </w:r>
    </w:p>
    <w:p w14:paraId="35B908A4" w14:textId="6B7CC71F" w:rsidR="48EC1FC0" w:rsidRDefault="48EC1FC0" w:rsidP="5311C3E3">
      <w:pPr>
        <w:spacing w:before="240" w:after="240"/>
        <w:rPr>
          <w:rFonts w:cs="Arial"/>
          <w:sz w:val="22"/>
          <w:szCs w:val="22"/>
        </w:rPr>
      </w:pPr>
    </w:p>
    <w:p w14:paraId="3055CE62" w14:textId="3796966D" w:rsidR="41FB7021" w:rsidRDefault="618BA105" w:rsidP="5311C3E3">
      <w:pPr>
        <w:spacing w:before="240" w:after="240"/>
        <w:rPr>
          <w:rFonts w:cs="Arial"/>
          <w:sz w:val="22"/>
          <w:szCs w:val="22"/>
        </w:rPr>
      </w:pPr>
      <w:r w:rsidRPr="5311C3E3">
        <w:rPr>
          <w:rFonts w:cs="Arial"/>
          <w:sz w:val="22"/>
          <w:szCs w:val="22"/>
        </w:rPr>
        <w:t>Service users identified as high physical risk, as defined by MEED criteria, must be escalated urgently. Where acute medical instability is suspected, transfer to acute medical services must occur without delay.</w:t>
      </w:r>
    </w:p>
    <w:p w14:paraId="7578BFC7" w14:textId="7245C4F5" w:rsidR="48EC1FC0" w:rsidRDefault="48EC1FC0" w:rsidP="5311C3E3">
      <w:pPr>
        <w:spacing w:before="240" w:after="240"/>
        <w:rPr>
          <w:rFonts w:cs="Arial"/>
          <w:sz w:val="22"/>
          <w:szCs w:val="22"/>
        </w:rPr>
      </w:pPr>
    </w:p>
    <w:p w14:paraId="2666861E" w14:textId="04F65054" w:rsidR="41FB7021" w:rsidRDefault="6D150060" w:rsidP="5311C3E3">
      <w:pPr>
        <w:spacing w:before="240" w:after="240"/>
        <w:rPr>
          <w:rFonts w:cs="Arial"/>
          <w:sz w:val="22"/>
          <w:szCs w:val="22"/>
        </w:rPr>
      </w:pPr>
      <w:r w:rsidRPr="5311C3E3">
        <w:rPr>
          <w:rFonts w:cs="Arial"/>
          <w:sz w:val="22"/>
          <w:szCs w:val="22"/>
        </w:rPr>
        <w:t>The referring or managing team retains clinical responsibility for physical health monitoring, risk management and escalation until written confirmation of acceptance is received from the specialist Eating Disorder Service.</w:t>
      </w:r>
    </w:p>
    <w:p w14:paraId="242FBF6D" w14:textId="07409DF6" w:rsidR="48EC1FC0" w:rsidRDefault="48EC1FC0" w:rsidP="5311C3E3">
      <w:pPr>
        <w:rPr>
          <w:rFonts w:cs="Arial"/>
          <w:sz w:val="22"/>
          <w:szCs w:val="22"/>
        </w:rPr>
      </w:pPr>
    </w:p>
    <w:p w14:paraId="4A5D427B" w14:textId="77777777" w:rsidR="00011486" w:rsidRDefault="00011486">
      <w:pPr>
        <w:keepNext w:val="0"/>
        <w:keepLines w:val="0"/>
        <w:spacing w:before="0" w:after="160"/>
        <w:contextualSpacing w:val="0"/>
        <w:jc w:val="left"/>
        <w:outlineLvl w:val="9"/>
        <w:rPr>
          <w:rFonts w:asciiTheme="majorHAnsi" w:eastAsiaTheme="majorEastAsia" w:hAnsiTheme="majorHAnsi" w:cstheme="majorBidi"/>
          <w:color w:val="2E74B5" w:themeColor="accent1" w:themeShade="BF"/>
          <w:sz w:val="28"/>
          <w:szCs w:val="28"/>
        </w:rPr>
      </w:pPr>
      <w:bookmarkStart w:id="168" w:name="_Toc224652027"/>
      <w:r>
        <w:br w:type="page"/>
      </w:r>
    </w:p>
    <w:p w14:paraId="221BD740" w14:textId="0D4C7CD2" w:rsidR="41FB7021" w:rsidRDefault="667059E3" w:rsidP="5311C3E3">
      <w:pPr>
        <w:pStyle w:val="Heading3"/>
        <w:rPr>
          <w:rFonts w:ascii="Arial" w:eastAsia="Arial" w:hAnsi="Arial" w:cs="Arial"/>
          <w:sz w:val="22"/>
          <w:szCs w:val="22"/>
        </w:rPr>
      </w:pPr>
      <w:bookmarkStart w:id="169" w:name="_Toc227057850"/>
      <w:r w:rsidRPr="5311C3E3">
        <w:lastRenderedPageBreak/>
        <w:t xml:space="preserve">5.7.3 </w:t>
      </w:r>
      <w:r w:rsidR="31EF5CFF" w:rsidRPr="5311C3E3">
        <w:t>Nutrition and Refeeding Risk</w:t>
      </w:r>
      <w:bookmarkEnd w:id="168"/>
      <w:bookmarkEnd w:id="169"/>
    </w:p>
    <w:p w14:paraId="1AF648E2" w14:textId="7DB9FAA3" w:rsidR="41FB7021" w:rsidRDefault="31EF5CFF" w:rsidP="5311C3E3">
      <w:pPr>
        <w:spacing w:before="0" w:after="240"/>
        <w:rPr>
          <w:rFonts w:cs="Arial"/>
          <w:color w:val="000000" w:themeColor="text1"/>
          <w:sz w:val="22"/>
          <w:szCs w:val="22"/>
        </w:rPr>
      </w:pPr>
      <w:r w:rsidRPr="5311C3E3">
        <w:rPr>
          <w:rFonts w:cs="Arial"/>
          <w:sz w:val="22"/>
          <w:szCs w:val="22"/>
        </w:rPr>
        <w:t>Service users with significant dietary restriction or malnutrition are at risk of refeeding syndrome</w:t>
      </w:r>
      <w:r w:rsidR="6108F6DF" w:rsidRPr="5311C3E3">
        <w:rPr>
          <w:rFonts w:cs="Arial"/>
          <w:sz w:val="22"/>
          <w:szCs w:val="22"/>
        </w:rPr>
        <w:t xml:space="preserve"> </w:t>
      </w:r>
      <w:sdt>
        <w:sdtPr>
          <w:rPr>
            <w:rFonts w:cs="Arial"/>
            <w:color w:val="000000" w:themeColor="text1"/>
            <w:sz w:val="22"/>
            <w:szCs w:val="22"/>
          </w:rPr>
          <w:tag w:val="MENDELEY_CITATION_v3_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"/>
          <w:id w:val="1349407982"/>
          <w:placeholder>
            <w:docPart w:val="DefaultPlaceholder_-1854013440"/>
          </w:placeholder>
        </w:sdtPr>
        <w:sdtEndPr/>
        <w:sdtContent>
          <w:r w:rsidR="5311C3E3" w:rsidRPr="5311C3E3">
            <w:rPr>
              <w:rFonts w:cs="Arial"/>
              <w:color w:val="000000" w:themeColor="text1"/>
              <w:sz w:val="22"/>
              <w:szCs w:val="22"/>
            </w:rPr>
            <w:t>(Friedli, 2018)</w:t>
          </w:r>
        </w:sdtContent>
      </w:sdt>
      <w:r w:rsidR="79768CFA" w:rsidRPr="5311C3E3">
        <w:rPr>
          <w:rFonts w:cs="Arial"/>
          <w:color w:val="000000" w:themeColor="text1"/>
          <w:sz w:val="22"/>
          <w:szCs w:val="22"/>
        </w:rPr>
        <w:t>.</w:t>
      </w:r>
    </w:p>
    <w:p w14:paraId="488B0CAF" w14:textId="015D881E" w:rsidR="48EC1FC0" w:rsidRDefault="48EC1FC0" w:rsidP="5311C3E3">
      <w:pPr>
        <w:spacing w:before="240" w:after="240"/>
        <w:rPr>
          <w:rFonts w:cs="Arial"/>
          <w:sz w:val="22"/>
          <w:szCs w:val="22"/>
        </w:rPr>
      </w:pPr>
    </w:p>
    <w:p w14:paraId="2B0A996E" w14:textId="441B4C91" w:rsidR="41FB7021" w:rsidRDefault="31EF5CFF" w:rsidP="5311C3E3">
      <w:pPr>
        <w:spacing w:before="240" w:after="240"/>
        <w:rPr>
          <w:rFonts w:cs="Arial"/>
          <w:sz w:val="22"/>
          <w:szCs w:val="22"/>
        </w:rPr>
      </w:pPr>
      <w:r w:rsidRPr="5311C3E3">
        <w:rPr>
          <w:rFonts w:cs="Arial"/>
          <w:sz w:val="22"/>
          <w:szCs w:val="22"/>
        </w:rPr>
        <w:t xml:space="preserve"> Staff must:</w:t>
      </w:r>
    </w:p>
    <w:p w14:paraId="6F614E4A" w14:textId="16B70BD4" w:rsidR="41FB7021" w:rsidRDefault="31EF5CFF" w:rsidP="00825F2C">
      <w:pPr>
        <w:pStyle w:val="ListParagraph"/>
        <w:numPr>
          <w:ilvl w:val="0"/>
          <w:numId w:val="37"/>
        </w:numPr>
        <w:spacing w:before="240" w:after="240"/>
        <w:rPr>
          <w:rFonts w:cs="Arial"/>
          <w:sz w:val="22"/>
          <w:szCs w:val="22"/>
        </w:rPr>
      </w:pPr>
      <w:r w:rsidRPr="5311C3E3">
        <w:rPr>
          <w:rFonts w:cs="Arial"/>
          <w:sz w:val="22"/>
          <w:szCs w:val="22"/>
        </w:rPr>
        <w:t>Follow the ELFT Refeeding Syndrome Policy</w:t>
      </w:r>
    </w:p>
    <w:p w14:paraId="69586D4C" w14:textId="4FE1F869" w:rsidR="41FB7021" w:rsidRDefault="31EF5CFF" w:rsidP="00825F2C">
      <w:pPr>
        <w:pStyle w:val="ListParagraph"/>
        <w:numPr>
          <w:ilvl w:val="0"/>
          <w:numId w:val="37"/>
        </w:numPr>
        <w:spacing w:before="240" w:after="240"/>
        <w:rPr>
          <w:rFonts w:cs="Arial"/>
          <w:sz w:val="22"/>
          <w:szCs w:val="22"/>
        </w:rPr>
      </w:pPr>
      <w:r w:rsidRPr="5311C3E3">
        <w:rPr>
          <w:rFonts w:cs="Arial"/>
          <w:sz w:val="22"/>
          <w:szCs w:val="22"/>
        </w:rPr>
        <w:t>Assess refeeding risk prior to initiating nutritional rehabilitation</w:t>
      </w:r>
    </w:p>
    <w:p w14:paraId="2501B922" w14:textId="668500EE" w:rsidR="41FB7021" w:rsidRDefault="31EF5CFF" w:rsidP="00825F2C">
      <w:pPr>
        <w:pStyle w:val="ListParagraph"/>
        <w:numPr>
          <w:ilvl w:val="0"/>
          <w:numId w:val="37"/>
        </w:numPr>
        <w:spacing w:before="240" w:after="240"/>
        <w:rPr>
          <w:rFonts w:cs="Arial"/>
          <w:sz w:val="22"/>
          <w:szCs w:val="22"/>
        </w:rPr>
      </w:pPr>
      <w:r w:rsidRPr="5311C3E3">
        <w:rPr>
          <w:rFonts w:cs="Arial"/>
          <w:sz w:val="22"/>
          <w:szCs w:val="22"/>
        </w:rPr>
        <w:t>Ensure appropriate biochemical monitoring</w:t>
      </w:r>
    </w:p>
    <w:p w14:paraId="520D6576" w14:textId="7208D5F2" w:rsidR="41FB7021" w:rsidRDefault="31EF5CFF" w:rsidP="00825F2C">
      <w:pPr>
        <w:pStyle w:val="ListParagraph"/>
        <w:numPr>
          <w:ilvl w:val="0"/>
          <w:numId w:val="37"/>
        </w:numPr>
        <w:spacing w:before="240" w:after="240"/>
        <w:rPr>
          <w:rFonts w:cs="Arial"/>
          <w:sz w:val="22"/>
          <w:szCs w:val="22"/>
        </w:rPr>
      </w:pPr>
      <w:r w:rsidRPr="5311C3E3">
        <w:rPr>
          <w:rFonts w:cs="Arial"/>
          <w:sz w:val="22"/>
          <w:szCs w:val="22"/>
        </w:rPr>
        <w:t>Refer to a dietitian for specialist assessment and nutrition</w:t>
      </w:r>
      <w:r w:rsidR="52D62820" w:rsidRPr="5311C3E3">
        <w:rPr>
          <w:rFonts w:cs="Arial"/>
          <w:sz w:val="22"/>
          <w:szCs w:val="22"/>
        </w:rPr>
        <w:t xml:space="preserve"> and hydration</w:t>
      </w:r>
      <w:r w:rsidRPr="5311C3E3">
        <w:rPr>
          <w:rFonts w:cs="Arial"/>
          <w:sz w:val="22"/>
          <w:szCs w:val="22"/>
        </w:rPr>
        <w:t xml:space="preserve"> care planning</w:t>
      </w:r>
    </w:p>
    <w:p w14:paraId="511DCFEA" w14:textId="41E08248" w:rsidR="41FB7021" w:rsidRDefault="610BD18F" w:rsidP="5311C3E3">
      <w:pPr>
        <w:spacing w:before="240" w:after="240"/>
        <w:rPr>
          <w:rFonts w:cs="Arial"/>
          <w:sz w:val="22"/>
          <w:szCs w:val="22"/>
        </w:rPr>
      </w:pPr>
      <w:r w:rsidRPr="5311C3E3">
        <w:rPr>
          <w:rFonts w:cs="Arial"/>
          <w:sz w:val="22"/>
          <w:szCs w:val="22"/>
        </w:rPr>
        <w:t>In specialist eating disorder settings, refeeding protocols must follow NICE NG69</w:t>
      </w:r>
      <w:r w:rsidR="245875EE" w:rsidRPr="5311C3E3">
        <w:rPr>
          <w:rFonts w:cs="Arial"/>
          <w:sz w:val="22"/>
          <w:szCs w:val="22"/>
        </w:rPr>
        <w:t xml:space="preserve"> </w:t>
      </w:r>
      <w:sdt>
        <w:sdtPr>
          <w:rPr>
            <w:rFonts w:cs="Arial"/>
            <w:color w:val="000000" w:themeColor="text1"/>
            <w:sz w:val="22"/>
            <w:szCs w:val="22"/>
          </w:rPr>
          <w:tag w:val="MENDELEY_CITATION_v3_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"/>
          <w:id w:val="1084599254"/>
          <w:placeholder>
            <w:docPart w:val="DefaultPlaceholder_-1854013440"/>
          </w:placeholder>
        </w:sdtPr>
        <w:sdtEndPr/>
        <w:sdtContent>
          <w:r w:rsidR="5311C3E3" w:rsidRPr="5311C3E3">
            <w:rPr>
              <w:rFonts w:cs="Arial"/>
              <w:color w:val="000000" w:themeColor="text1"/>
              <w:sz w:val="22"/>
              <w:szCs w:val="22"/>
            </w:rPr>
            <w:t>(NICE (National Institute for Health and Care Excellence), 2017)</w:t>
          </w:r>
        </w:sdtContent>
      </w:sdt>
      <w:r w:rsidRPr="5311C3E3">
        <w:rPr>
          <w:rFonts w:cs="Arial"/>
          <w:sz w:val="22"/>
          <w:szCs w:val="22"/>
        </w:rPr>
        <w:t>, NICE CG32 (</w:t>
      </w:r>
      <w:r w:rsidR="1B0F98A5" w:rsidRPr="5311C3E3">
        <w:rPr>
          <w:rFonts w:cs="Arial"/>
          <w:sz w:val="22"/>
          <w:szCs w:val="22"/>
        </w:rPr>
        <w:t>2006</w:t>
      </w:r>
      <w:r w:rsidRPr="5311C3E3">
        <w:rPr>
          <w:rFonts w:cs="Arial"/>
          <w:sz w:val="22"/>
          <w:szCs w:val="22"/>
        </w:rPr>
        <w:t>), and local specialist service guidance.</w:t>
      </w:r>
    </w:p>
    <w:p w14:paraId="37283380" w14:textId="7E106DE5" w:rsidR="48EC1FC0" w:rsidRDefault="48EC1FC0" w:rsidP="5311C3E3">
      <w:pPr>
        <w:rPr>
          <w:rFonts w:cs="Arial"/>
          <w:sz w:val="22"/>
          <w:szCs w:val="22"/>
        </w:rPr>
      </w:pPr>
    </w:p>
    <w:p w14:paraId="2157B416" w14:textId="22B58B56" w:rsidR="41FB7021" w:rsidRDefault="0CA3F98E" w:rsidP="5311C3E3">
      <w:pPr>
        <w:pStyle w:val="Heading3"/>
        <w:rPr>
          <w:rFonts w:ascii="Arial" w:eastAsia="Arial" w:hAnsi="Arial" w:cs="Arial"/>
          <w:sz w:val="22"/>
          <w:szCs w:val="22"/>
        </w:rPr>
      </w:pPr>
      <w:bookmarkStart w:id="170" w:name="_Toc224652028"/>
      <w:bookmarkStart w:id="171" w:name="_Toc227057851"/>
      <w:r w:rsidRPr="5311C3E3">
        <w:t xml:space="preserve">5.7.4 </w:t>
      </w:r>
      <w:r w:rsidR="31EF5CFF" w:rsidRPr="5311C3E3">
        <w:t>Legal and Ethical Considerations</w:t>
      </w:r>
      <w:bookmarkEnd w:id="170"/>
      <w:bookmarkEnd w:id="171"/>
    </w:p>
    <w:p w14:paraId="7B2F1813" w14:textId="6C9C8C8B" w:rsidR="41FB7021" w:rsidRDefault="31EF5CFF" w:rsidP="5311C3E3">
      <w:pPr>
        <w:spacing w:before="0" w:after="240"/>
        <w:rPr>
          <w:rFonts w:cs="Arial"/>
          <w:sz w:val="22"/>
          <w:szCs w:val="22"/>
        </w:rPr>
      </w:pPr>
      <w:r w:rsidRPr="5311C3E3">
        <w:rPr>
          <w:rFonts w:cs="Arial"/>
          <w:sz w:val="22"/>
          <w:szCs w:val="22"/>
        </w:rPr>
        <w:t>Where a service user lacks capacity to consent to nutrition</w:t>
      </w:r>
      <w:r w:rsidR="1ECCBB62" w:rsidRPr="5311C3E3">
        <w:rPr>
          <w:rFonts w:cs="Arial"/>
          <w:sz w:val="22"/>
          <w:szCs w:val="22"/>
        </w:rPr>
        <w:t>, hydration or safe swallow care planning</w:t>
      </w:r>
      <w:r w:rsidRPr="5311C3E3">
        <w:rPr>
          <w:rFonts w:cs="Arial"/>
          <w:sz w:val="22"/>
          <w:szCs w:val="22"/>
        </w:rPr>
        <w:t xml:space="preserve"> and treatment, staff must follow the Mental Capacity Act 2005 and ensure that best </w:t>
      </w:r>
      <w:r w:rsidR="54917E6C" w:rsidRPr="5311C3E3">
        <w:rPr>
          <w:rFonts w:cs="Arial"/>
          <w:sz w:val="22"/>
          <w:szCs w:val="22"/>
        </w:rPr>
        <w:t>interests'</w:t>
      </w:r>
      <w:r w:rsidRPr="5311C3E3">
        <w:rPr>
          <w:rFonts w:cs="Arial"/>
          <w:sz w:val="22"/>
          <w:szCs w:val="22"/>
        </w:rPr>
        <w:t xml:space="preserve"> decisions are documented.</w:t>
      </w:r>
    </w:p>
    <w:p w14:paraId="4D2F25CF" w14:textId="7A19D573" w:rsidR="48EC1FC0" w:rsidRDefault="48EC1FC0" w:rsidP="5311C3E3">
      <w:pPr>
        <w:spacing w:before="240" w:after="240"/>
        <w:rPr>
          <w:rFonts w:cs="Arial"/>
          <w:sz w:val="22"/>
          <w:szCs w:val="22"/>
        </w:rPr>
      </w:pPr>
    </w:p>
    <w:p w14:paraId="43E965C1" w14:textId="08F65D41" w:rsidR="41FB7021" w:rsidRDefault="31EF5CFF" w:rsidP="5311C3E3">
      <w:pPr>
        <w:spacing w:before="240" w:after="240"/>
        <w:rPr>
          <w:rFonts w:cs="Arial"/>
          <w:sz w:val="22"/>
          <w:szCs w:val="22"/>
        </w:rPr>
      </w:pPr>
      <w:r w:rsidRPr="5311C3E3">
        <w:rPr>
          <w:rFonts w:cs="Arial"/>
          <w:sz w:val="22"/>
          <w:szCs w:val="22"/>
        </w:rPr>
        <w:t>Where compulsory treatment is required to prevent serious deterioration, the Mental Health Act must be applied appropriately.</w:t>
      </w:r>
    </w:p>
    <w:p w14:paraId="1E71E6E9" w14:textId="72319E87" w:rsidR="48EC1FC0" w:rsidRDefault="48EC1FC0" w:rsidP="5311C3E3">
      <w:pPr>
        <w:spacing w:before="240" w:after="240"/>
        <w:rPr>
          <w:rFonts w:cs="Arial"/>
          <w:sz w:val="22"/>
          <w:szCs w:val="22"/>
        </w:rPr>
      </w:pPr>
    </w:p>
    <w:p w14:paraId="4CD8F7EC" w14:textId="01196C7D" w:rsidR="41FB7021" w:rsidRDefault="31EF5CFF" w:rsidP="5311C3E3">
      <w:pPr>
        <w:spacing w:before="240" w:after="240"/>
        <w:rPr>
          <w:rFonts w:cs="Arial"/>
          <w:sz w:val="22"/>
          <w:szCs w:val="22"/>
        </w:rPr>
      </w:pPr>
      <w:r w:rsidRPr="5311C3E3">
        <w:rPr>
          <w:rFonts w:cs="Arial"/>
          <w:sz w:val="22"/>
          <w:szCs w:val="22"/>
        </w:rPr>
        <w:t>Any feeding under restraint must follow local protocols, national consensus guidance and MEED recommendations, and must be delivered in accordance with the principles of least restrictive practice.</w:t>
      </w:r>
    </w:p>
    <w:p w14:paraId="2FD8A23D" w14:textId="2BD71F97" w:rsidR="48EC1FC0" w:rsidRDefault="48EC1FC0" w:rsidP="5311C3E3">
      <w:pPr>
        <w:rPr>
          <w:rFonts w:cs="Arial"/>
          <w:sz w:val="22"/>
          <w:szCs w:val="22"/>
        </w:rPr>
      </w:pPr>
    </w:p>
    <w:p w14:paraId="4516A9CD" w14:textId="1BB6FB20" w:rsidR="41FB7021" w:rsidRDefault="6D063C9D" w:rsidP="5311C3E3">
      <w:pPr>
        <w:pStyle w:val="Heading3"/>
        <w:rPr>
          <w:rFonts w:ascii="Arial" w:eastAsia="Arial" w:hAnsi="Arial" w:cs="Arial"/>
          <w:sz w:val="22"/>
          <w:szCs w:val="22"/>
        </w:rPr>
      </w:pPr>
      <w:bookmarkStart w:id="172" w:name="_Toc224652029"/>
      <w:bookmarkStart w:id="173" w:name="_Toc227057852"/>
      <w:r w:rsidRPr="5311C3E3">
        <w:t xml:space="preserve">5.7.5 </w:t>
      </w:r>
      <w:r w:rsidR="31EF5CFF" w:rsidRPr="5311C3E3">
        <w:t>Interface with Specialist Eating Disorder Services</w:t>
      </w:r>
      <w:bookmarkEnd w:id="172"/>
      <w:bookmarkEnd w:id="173"/>
    </w:p>
    <w:p w14:paraId="3C468583" w14:textId="0F39698E" w:rsidR="41FB7021" w:rsidRDefault="31EF5CFF" w:rsidP="5311C3E3">
      <w:pPr>
        <w:spacing w:before="0" w:after="240"/>
        <w:rPr>
          <w:rFonts w:cs="Arial"/>
          <w:sz w:val="22"/>
          <w:szCs w:val="22"/>
        </w:rPr>
      </w:pPr>
      <w:r w:rsidRPr="5311C3E3">
        <w:rPr>
          <w:rFonts w:cs="Arial"/>
          <w:sz w:val="22"/>
          <w:szCs w:val="22"/>
        </w:rPr>
        <w:t>Non-specialist services must refer service users to specialist Eating Disorder Services in accordance with local referral criteria and NICE NG69.</w:t>
      </w:r>
    </w:p>
    <w:p w14:paraId="5A1AD0C0" w14:textId="32344AEB" w:rsidR="48EC1FC0" w:rsidRDefault="48EC1FC0" w:rsidP="5311C3E3">
      <w:pPr>
        <w:spacing w:before="0" w:after="240"/>
        <w:rPr>
          <w:rFonts w:cs="Arial"/>
          <w:sz w:val="22"/>
          <w:szCs w:val="22"/>
        </w:rPr>
      </w:pPr>
    </w:p>
    <w:p w14:paraId="3BFA5665" w14:textId="7E667022" w:rsidR="41FB7021" w:rsidRDefault="31EF5CFF" w:rsidP="5311C3E3">
      <w:pPr>
        <w:spacing w:before="0" w:after="240"/>
        <w:rPr>
          <w:rFonts w:cs="Arial"/>
          <w:sz w:val="22"/>
          <w:szCs w:val="22"/>
        </w:rPr>
      </w:pPr>
      <w:r w:rsidRPr="5311C3E3">
        <w:rPr>
          <w:rFonts w:cs="Arial"/>
          <w:sz w:val="22"/>
          <w:szCs w:val="22"/>
        </w:rPr>
        <w:t>Until the point of formal acceptance by a specialist team, the referring team remains responsible for:</w:t>
      </w:r>
    </w:p>
    <w:p w14:paraId="6670C15F" w14:textId="7B28BFB8" w:rsidR="41FB7021" w:rsidRDefault="31EF5CFF" w:rsidP="00825F2C">
      <w:pPr>
        <w:pStyle w:val="ListParagraph"/>
        <w:numPr>
          <w:ilvl w:val="0"/>
          <w:numId w:val="36"/>
        </w:numPr>
        <w:spacing w:before="240" w:after="240"/>
        <w:rPr>
          <w:rFonts w:cs="Arial"/>
          <w:sz w:val="22"/>
          <w:szCs w:val="22"/>
        </w:rPr>
      </w:pPr>
      <w:r w:rsidRPr="5311C3E3">
        <w:rPr>
          <w:rFonts w:cs="Arial"/>
          <w:sz w:val="22"/>
          <w:szCs w:val="22"/>
        </w:rPr>
        <w:t>Physical health monitoring</w:t>
      </w:r>
    </w:p>
    <w:p w14:paraId="29472F01" w14:textId="57C8DE23" w:rsidR="41FB7021" w:rsidRDefault="31EF5CFF" w:rsidP="00825F2C">
      <w:pPr>
        <w:pStyle w:val="ListParagraph"/>
        <w:numPr>
          <w:ilvl w:val="0"/>
          <w:numId w:val="36"/>
        </w:numPr>
        <w:spacing w:before="240" w:after="240"/>
        <w:rPr>
          <w:rFonts w:cs="Arial"/>
          <w:sz w:val="22"/>
          <w:szCs w:val="22"/>
        </w:rPr>
      </w:pPr>
      <w:r w:rsidRPr="5311C3E3">
        <w:rPr>
          <w:rFonts w:cs="Arial"/>
          <w:sz w:val="22"/>
          <w:szCs w:val="22"/>
        </w:rPr>
        <w:t>Ongoing risk assessment</w:t>
      </w:r>
    </w:p>
    <w:p w14:paraId="242D2769" w14:textId="45F2BFBE" w:rsidR="41FB7021" w:rsidRDefault="31EF5CFF" w:rsidP="00825F2C">
      <w:pPr>
        <w:pStyle w:val="ListParagraph"/>
        <w:numPr>
          <w:ilvl w:val="0"/>
          <w:numId w:val="36"/>
        </w:numPr>
        <w:spacing w:before="240" w:after="240"/>
        <w:rPr>
          <w:rFonts w:cs="Arial"/>
          <w:sz w:val="22"/>
          <w:szCs w:val="22"/>
        </w:rPr>
      </w:pPr>
      <w:r w:rsidRPr="5311C3E3">
        <w:rPr>
          <w:rFonts w:cs="Arial"/>
          <w:sz w:val="22"/>
          <w:szCs w:val="22"/>
        </w:rPr>
        <w:t>Escalation where deterioration occurs</w:t>
      </w:r>
    </w:p>
    <w:p w14:paraId="4E6BDB5A" w14:textId="27BB8218" w:rsidR="41FB7021" w:rsidRDefault="31EF5CFF" w:rsidP="5311C3E3">
      <w:pPr>
        <w:rPr>
          <w:rFonts w:cs="Arial"/>
          <w:sz w:val="22"/>
          <w:szCs w:val="22"/>
        </w:rPr>
      </w:pPr>
      <w:r w:rsidRPr="5311C3E3">
        <w:rPr>
          <w:rFonts w:cs="Arial"/>
          <w:sz w:val="22"/>
          <w:szCs w:val="22"/>
        </w:rPr>
        <w:t>Clear communication must occur between services to ensure safe transfer of care and continuity of nutrition</w:t>
      </w:r>
      <w:r w:rsidR="482AF511" w:rsidRPr="5311C3E3">
        <w:rPr>
          <w:rFonts w:cs="Arial"/>
          <w:sz w:val="22"/>
          <w:szCs w:val="22"/>
        </w:rPr>
        <w:t>al care</w:t>
      </w:r>
      <w:r w:rsidRPr="5311C3E3">
        <w:rPr>
          <w:rFonts w:cs="Arial"/>
          <w:sz w:val="22"/>
          <w:szCs w:val="22"/>
        </w:rPr>
        <w:t xml:space="preserve"> and medical monitoring.</w:t>
      </w:r>
    </w:p>
    <w:p w14:paraId="5DCB590B" w14:textId="2BCDDC06" w:rsidR="48EC1FC0" w:rsidRDefault="48EC1FC0" w:rsidP="5311C3E3">
      <w:pPr>
        <w:rPr>
          <w:rFonts w:cs="Arial"/>
          <w:sz w:val="22"/>
          <w:szCs w:val="22"/>
        </w:rPr>
      </w:pPr>
    </w:p>
    <w:p w14:paraId="1BB782BA" w14:textId="77777777" w:rsidR="00011486" w:rsidRDefault="00011486">
      <w:pPr>
        <w:keepNext w:val="0"/>
        <w:keepLines w:val="0"/>
        <w:spacing w:before="0" w:after="160"/>
        <w:contextualSpacing w:val="0"/>
        <w:jc w:val="left"/>
        <w:outlineLvl w:val="9"/>
        <w:rPr>
          <w:rFonts w:asciiTheme="majorHAnsi" w:eastAsiaTheme="majorEastAsia" w:hAnsiTheme="majorHAnsi" w:cstheme="majorBidi"/>
          <w:color w:val="2E74B5" w:themeColor="accent1" w:themeShade="BF"/>
          <w:sz w:val="28"/>
          <w:szCs w:val="28"/>
        </w:rPr>
      </w:pPr>
      <w:bookmarkStart w:id="174" w:name="_Toc224652030"/>
      <w:r>
        <w:br w:type="page"/>
      </w:r>
    </w:p>
    <w:p w14:paraId="3467BDF4" w14:textId="380B11D2" w:rsidR="48EC1FC0" w:rsidRDefault="04457588" w:rsidP="5311C3E3">
      <w:pPr>
        <w:pStyle w:val="Heading3"/>
        <w:rPr>
          <w:rFonts w:ascii="Arial" w:eastAsia="Arial" w:hAnsi="Arial" w:cs="Arial"/>
          <w:sz w:val="22"/>
          <w:szCs w:val="22"/>
        </w:rPr>
      </w:pPr>
      <w:bookmarkStart w:id="175" w:name="_Toc227057853"/>
      <w:r w:rsidRPr="5311C3E3">
        <w:lastRenderedPageBreak/>
        <w:t xml:space="preserve">5.7.6 </w:t>
      </w:r>
      <w:r w:rsidR="31EF5CFF" w:rsidRPr="5311C3E3">
        <w:t>Eating Disorder Service</w:t>
      </w:r>
      <w:r w:rsidR="4CBB22FA" w:rsidRPr="5311C3E3">
        <w:t>s</w:t>
      </w:r>
      <w:bookmarkEnd w:id="174"/>
      <w:bookmarkEnd w:id="175"/>
    </w:p>
    <w:p w14:paraId="0C9A79ED" w14:textId="454CE4DC" w:rsidR="4FB65F98" w:rsidRDefault="7FAC6A6B" w:rsidP="5311C3E3">
      <w:pPr>
        <w:rPr>
          <w:rFonts w:cs="Arial"/>
          <w:b/>
          <w:bCs/>
          <w:sz w:val="22"/>
          <w:szCs w:val="22"/>
        </w:rPr>
      </w:pPr>
      <w:r w:rsidRPr="5311C3E3">
        <w:rPr>
          <w:b/>
          <w:bCs/>
          <w:sz w:val="22"/>
          <w:szCs w:val="22"/>
        </w:rPr>
        <w:t>North East London</w:t>
      </w:r>
    </w:p>
    <w:p w14:paraId="43C0CDDB" w14:textId="512B33E5" w:rsidR="4FB65F98" w:rsidRDefault="7FAC6A6B" w:rsidP="5311C3E3">
      <w:pPr>
        <w:spacing w:before="240" w:after="240"/>
        <w:rPr>
          <w:rFonts w:cs="Arial"/>
          <w:sz w:val="22"/>
          <w:szCs w:val="22"/>
        </w:rPr>
      </w:pPr>
      <w:r w:rsidRPr="5311C3E3">
        <w:rPr>
          <w:rFonts w:cs="Arial"/>
          <w:sz w:val="22"/>
          <w:szCs w:val="22"/>
        </w:rPr>
        <w:t>Specialist eating disorder services are available for adults and for children and young people living in Newham, Tower Hamlets and City &amp; Hackney.</w:t>
      </w:r>
    </w:p>
    <w:p w14:paraId="6C1113DA" w14:textId="5D92AACE" w:rsidR="48EC1FC0" w:rsidRDefault="48EC1FC0" w:rsidP="5311C3E3">
      <w:pPr>
        <w:spacing w:before="240" w:after="240"/>
        <w:rPr>
          <w:rFonts w:cs="Arial"/>
          <w:sz w:val="22"/>
          <w:szCs w:val="22"/>
        </w:rPr>
      </w:pPr>
    </w:p>
    <w:p w14:paraId="1232618D" w14:textId="738C97E7" w:rsidR="4FB65F98" w:rsidRDefault="7FAC6A6B" w:rsidP="5311C3E3">
      <w:pPr>
        <w:spacing w:before="240" w:after="240"/>
        <w:rPr>
          <w:rFonts w:cs="Arial"/>
          <w:sz w:val="22"/>
          <w:szCs w:val="22"/>
        </w:rPr>
      </w:pPr>
      <w:r w:rsidRPr="5311C3E3">
        <w:rPr>
          <w:rFonts w:cs="Arial"/>
          <w:sz w:val="22"/>
          <w:szCs w:val="22"/>
        </w:rPr>
        <w:t xml:space="preserve"> Adult services are provided through the East London Eating Disorder Service (ELEDS).</w:t>
      </w:r>
    </w:p>
    <w:p w14:paraId="266882CE" w14:textId="2EF03F19" w:rsidR="48EC1FC0" w:rsidRDefault="48EC1FC0" w:rsidP="5311C3E3">
      <w:pPr>
        <w:spacing w:before="240" w:after="240"/>
        <w:rPr>
          <w:rFonts w:cs="Arial"/>
          <w:sz w:val="22"/>
          <w:szCs w:val="22"/>
        </w:rPr>
      </w:pPr>
    </w:p>
    <w:p w14:paraId="7C5EF946" w14:textId="62F2879B" w:rsidR="4FB65F98" w:rsidRDefault="7FAC6A6B" w:rsidP="5311C3E3">
      <w:pPr>
        <w:spacing w:before="240" w:after="240"/>
        <w:rPr>
          <w:rFonts w:cs="Arial"/>
          <w:sz w:val="22"/>
          <w:szCs w:val="22"/>
        </w:rPr>
      </w:pPr>
      <w:r w:rsidRPr="5311C3E3">
        <w:rPr>
          <w:rFonts w:cs="Arial"/>
          <w:sz w:val="22"/>
          <w:szCs w:val="22"/>
        </w:rPr>
        <w:t>Services for children and young people are provided through the CAMHS Community Eating Disorder Service.</w:t>
      </w:r>
    </w:p>
    <w:p w14:paraId="12A1ACBE" w14:textId="0827173B" w:rsidR="5311C3E3" w:rsidRDefault="5311C3E3" w:rsidP="5311C3E3">
      <w:pPr>
        <w:spacing w:before="240" w:after="240"/>
        <w:rPr>
          <w:rFonts w:cs="Arial"/>
          <w:sz w:val="22"/>
          <w:szCs w:val="22"/>
        </w:rPr>
      </w:pPr>
    </w:p>
    <w:p w14:paraId="69012A9F" w14:textId="7D2F87FD" w:rsidR="4FB65F98" w:rsidRDefault="7FAC6A6B" w:rsidP="5311C3E3">
      <w:pPr>
        <w:spacing w:before="240" w:after="240"/>
        <w:rPr>
          <w:rFonts w:cs="Arial"/>
          <w:sz w:val="22"/>
          <w:szCs w:val="22"/>
        </w:rPr>
      </w:pPr>
      <w:r w:rsidRPr="5311C3E3">
        <w:rPr>
          <w:rFonts w:cs="Arial"/>
          <w:sz w:val="22"/>
          <w:szCs w:val="22"/>
        </w:rPr>
        <w:t>Detailed information regarding service provision, eligibility criteria, referral pathways and referral forms is available on the individual service webpages on the ELFT website. Staff must refer to the relevant service website to ensure up-to-date referral guidance is followed.</w:t>
      </w:r>
    </w:p>
    <w:p w14:paraId="216CB9C1" w14:textId="10F6BDFA" w:rsidR="48EC1FC0" w:rsidRDefault="48EC1FC0" w:rsidP="5311C3E3">
      <w:pPr>
        <w:spacing w:before="240" w:after="240"/>
        <w:rPr>
          <w:rFonts w:cs="Arial"/>
          <w:sz w:val="22"/>
          <w:szCs w:val="22"/>
        </w:rPr>
      </w:pPr>
    </w:p>
    <w:p w14:paraId="276EB999" w14:textId="460F6F2E" w:rsidR="4FB65F98" w:rsidRDefault="7FAC6A6B" w:rsidP="5311C3E3">
      <w:pPr>
        <w:spacing w:before="240" w:after="240"/>
        <w:rPr>
          <w:rFonts w:cs="Arial"/>
          <w:sz w:val="22"/>
          <w:szCs w:val="22"/>
        </w:rPr>
      </w:pPr>
      <w:r w:rsidRPr="5311C3E3">
        <w:rPr>
          <w:rFonts w:cs="Arial"/>
          <w:sz w:val="22"/>
          <w:szCs w:val="22"/>
        </w:rPr>
        <w:t>St Ann’s Hospital provides specialist tertiary inpatient and outreach services for adults with severe eating disorders and high physical health risk. Referral processes and admission criteria are detailed on the service webpage and must be followed in conjunction with MEED guidance.</w:t>
      </w:r>
    </w:p>
    <w:p w14:paraId="03E9749D" w14:textId="6B5AC6BD" w:rsidR="48EC1FC0" w:rsidRDefault="48EC1FC0" w:rsidP="5311C3E3">
      <w:pPr>
        <w:rPr>
          <w:rFonts w:cs="Arial"/>
          <w:sz w:val="22"/>
          <w:szCs w:val="22"/>
        </w:rPr>
      </w:pPr>
    </w:p>
    <w:p w14:paraId="2BA7BCBC" w14:textId="6192A069" w:rsidR="4FB65F98" w:rsidRDefault="7FAC6A6B" w:rsidP="5311C3E3">
      <w:pPr>
        <w:rPr>
          <w:rFonts w:cs="Arial"/>
          <w:b/>
          <w:bCs/>
          <w:sz w:val="22"/>
          <w:szCs w:val="22"/>
        </w:rPr>
      </w:pPr>
      <w:r w:rsidRPr="5311C3E3">
        <w:rPr>
          <w:b/>
          <w:bCs/>
          <w:sz w:val="22"/>
          <w:szCs w:val="22"/>
        </w:rPr>
        <w:t>Bedfordshire and Luton</w:t>
      </w:r>
    </w:p>
    <w:p w14:paraId="3307B719" w14:textId="712FDF39" w:rsidR="4FB65F98" w:rsidRDefault="7FAC6A6B" w:rsidP="5311C3E3">
      <w:pPr>
        <w:spacing w:before="240" w:after="240"/>
        <w:rPr>
          <w:rFonts w:cs="Arial"/>
          <w:sz w:val="22"/>
          <w:szCs w:val="22"/>
        </w:rPr>
      </w:pPr>
      <w:r w:rsidRPr="5311C3E3">
        <w:rPr>
          <w:rFonts w:cs="Arial"/>
          <w:sz w:val="22"/>
          <w:szCs w:val="22"/>
        </w:rPr>
        <w:t>Specialist eating disorder services for adults are provided through the Community Eating Disorder Service (CEDS).</w:t>
      </w:r>
    </w:p>
    <w:p w14:paraId="287C554C" w14:textId="7271E111" w:rsidR="48EC1FC0" w:rsidRDefault="48EC1FC0" w:rsidP="5311C3E3">
      <w:pPr>
        <w:spacing w:before="240" w:after="240"/>
        <w:rPr>
          <w:rFonts w:cs="Arial"/>
          <w:sz w:val="22"/>
          <w:szCs w:val="22"/>
        </w:rPr>
      </w:pPr>
    </w:p>
    <w:p w14:paraId="5AAA9B81" w14:textId="613D8428" w:rsidR="4FB65F98" w:rsidRDefault="7FAC6A6B" w:rsidP="5311C3E3">
      <w:pPr>
        <w:spacing w:before="240" w:after="240"/>
        <w:rPr>
          <w:rFonts w:cs="Arial"/>
          <w:sz w:val="22"/>
          <w:szCs w:val="22"/>
        </w:rPr>
      </w:pPr>
      <w:r w:rsidRPr="5311C3E3">
        <w:rPr>
          <w:rFonts w:cs="Arial"/>
          <w:sz w:val="22"/>
          <w:szCs w:val="22"/>
        </w:rPr>
        <w:t>Services for children and young people are provided through the CAMHS Community Eating Disorder Service.</w:t>
      </w:r>
    </w:p>
    <w:p w14:paraId="44BF22EF" w14:textId="207D71CC" w:rsidR="48EC1FC0" w:rsidRDefault="48EC1FC0" w:rsidP="5311C3E3">
      <w:pPr>
        <w:spacing w:before="240" w:after="240"/>
        <w:rPr>
          <w:rFonts w:cs="Arial"/>
          <w:sz w:val="22"/>
          <w:szCs w:val="22"/>
        </w:rPr>
      </w:pPr>
    </w:p>
    <w:p w14:paraId="4D1D0C5E" w14:textId="733B9509" w:rsidR="4FB65F98" w:rsidRDefault="7FAC6A6B" w:rsidP="5311C3E3">
      <w:pPr>
        <w:spacing w:before="240" w:after="240"/>
        <w:rPr>
          <w:rFonts w:cs="Arial"/>
          <w:sz w:val="22"/>
          <w:szCs w:val="22"/>
        </w:rPr>
      </w:pPr>
      <w:r w:rsidRPr="5311C3E3">
        <w:rPr>
          <w:rFonts w:cs="Arial"/>
          <w:sz w:val="22"/>
          <w:szCs w:val="22"/>
        </w:rPr>
        <w:t>The FREED (First Episode Rapid Early Intervention for Eating Disorders) pathway is available where criteria are met.</w:t>
      </w:r>
    </w:p>
    <w:p w14:paraId="42B1869E" w14:textId="272EE754" w:rsidR="48EC1FC0" w:rsidRDefault="48EC1FC0" w:rsidP="5311C3E3">
      <w:pPr>
        <w:spacing w:before="240" w:after="240"/>
        <w:rPr>
          <w:rFonts w:cs="Arial"/>
          <w:sz w:val="22"/>
          <w:szCs w:val="22"/>
        </w:rPr>
      </w:pPr>
    </w:p>
    <w:p w14:paraId="37EC3CE3" w14:textId="2D30E7E5" w:rsidR="4FB65F98" w:rsidRDefault="7FAC6A6B" w:rsidP="5311C3E3">
      <w:pPr>
        <w:spacing w:before="240" w:after="240"/>
        <w:rPr>
          <w:rFonts w:cs="Arial"/>
          <w:sz w:val="22"/>
          <w:szCs w:val="22"/>
        </w:rPr>
      </w:pPr>
      <w:r w:rsidRPr="5311C3E3">
        <w:rPr>
          <w:rFonts w:cs="Arial"/>
          <w:sz w:val="22"/>
          <w:szCs w:val="22"/>
        </w:rPr>
        <w:t>Information on service provision, eligibility criteria, referral processes and referral documentation is available on the relevant ELFT service webpages. Staff must consult the most current online guidance prior to making a referral.</w:t>
      </w:r>
    </w:p>
    <w:p w14:paraId="3A2C7D22" w14:textId="3A93D609" w:rsidR="71A65E9A" w:rsidRDefault="7C45F0A7" w:rsidP="5311C3E3">
      <w:pPr>
        <w:pStyle w:val="Heading2"/>
        <w:spacing w:line="257" w:lineRule="auto"/>
        <w:rPr>
          <w:rFonts w:ascii="Arial" w:eastAsia="Arial" w:hAnsi="Arial" w:cs="Arial"/>
          <w:sz w:val="22"/>
          <w:szCs w:val="22"/>
        </w:rPr>
      </w:pPr>
      <w:r w:rsidRPr="5311C3E3">
        <w:rPr>
          <w:rFonts w:ascii="Arial" w:eastAsia="Arial" w:hAnsi="Arial" w:cs="Arial"/>
          <w:sz w:val="22"/>
          <w:szCs w:val="22"/>
        </w:rPr>
        <w:t xml:space="preserve"> </w:t>
      </w:r>
    </w:p>
    <w:p w14:paraId="502AA90E" w14:textId="75B85AA2" w:rsidR="71A65E9A" w:rsidRDefault="422C70C7" w:rsidP="5311C3E3">
      <w:pPr>
        <w:pStyle w:val="Heading2"/>
        <w:rPr>
          <w:rFonts w:ascii="Arial" w:eastAsia="Arial" w:hAnsi="Arial" w:cs="Arial"/>
          <w:sz w:val="22"/>
          <w:szCs w:val="22"/>
        </w:rPr>
      </w:pPr>
      <w:bookmarkStart w:id="176" w:name="_Toc224651858"/>
      <w:bookmarkStart w:id="177" w:name="_Toc224652031"/>
      <w:bookmarkStart w:id="178" w:name="_Toc227057854"/>
      <w:r>
        <w:t xml:space="preserve">5.8 </w:t>
      </w:r>
      <w:r w:rsidR="325EB1A7">
        <w:t>Nutrition Equipment and Resources</w:t>
      </w:r>
      <w:bookmarkEnd w:id="176"/>
      <w:bookmarkEnd w:id="177"/>
      <w:bookmarkEnd w:id="178"/>
      <w:r w:rsidR="325EB1A7">
        <w:t xml:space="preserve"> </w:t>
      </w:r>
    </w:p>
    <w:p w14:paraId="36A18BD9" w14:textId="694560AE" w:rsidR="71A65E9A" w:rsidRDefault="6311F79D" w:rsidP="5311C3E3">
      <w:pPr>
        <w:spacing w:before="240" w:after="240"/>
        <w:rPr>
          <w:rFonts w:cs="Arial"/>
          <w:sz w:val="22"/>
          <w:szCs w:val="22"/>
        </w:rPr>
      </w:pPr>
      <w:r w:rsidRPr="5311C3E3">
        <w:rPr>
          <w:rFonts w:cs="Arial"/>
          <w:sz w:val="22"/>
          <w:szCs w:val="22"/>
        </w:rPr>
        <w:t>ELFT</w:t>
      </w:r>
      <w:r w:rsidR="7D38AE8A" w:rsidRPr="5311C3E3">
        <w:rPr>
          <w:rFonts w:cs="Arial"/>
          <w:sz w:val="22"/>
          <w:szCs w:val="22"/>
        </w:rPr>
        <w:t xml:space="preserve"> services must ensure that appropriate nutrition-related clinical equipment is available, accessible and maintained to support safe assessment, monitoring and care delivery across inpatient and community settings.</w:t>
      </w:r>
    </w:p>
    <w:p w14:paraId="34F68654" w14:textId="29C92F49" w:rsidR="71A65E9A" w:rsidRDefault="71A65E9A" w:rsidP="5311C3E3">
      <w:pPr>
        <w:spacing w:before="240" w:after="240"/>
        <w:rPr>
          <w:rFonts w:cs="Arial"/>
          <w:sz w:val="22"/>
          <w:szCs w:val="22"/>
        </w:rPr>
      </w:pPr>
    </w:p>
    <w:p w14:paraId="2E2FDF7F" w14:textId="4985881F" w:rsidR="71A65E9A" w:rsidRDefault="7D38AE8A" w:rsidP="5311C3E3">
      <w:pPr>
        <w:spacing w:before="240" w:after="240"/>
        <w:rPr>
          <w:rFonts w:cs="Arial"/>
          <w:sz w:val="22"/>
          <w:szCs w:val="22"/>
        </w:rPr>
      </w:pPr>
      <w:r w:rsidRPr="5311C3E3">
        <w:rPr>
          <w:rFonts w:cs="Arial"/>
          <w:sz w:val="22"/>
          <w:szCs w:val="22"/>
        </w:rPr>
        <w:t>Equipment provision must support safe practice, dignity, reasonable adjustments and equitable access to care. Where equipment limitations compromise safety or dignity, this must be risk assessed and escalated in line with Trust governance procedures.</w:t>
      </w:r>
    </w:p>
    <w:p w14:paraId="3DF3F034" w14:textId="28A67C04" w:rsidR="71A65E9A" w:rsidRDefault="71A65E9A" w:rsidP="5311C3E3">
      <w:pPr>
        <w:rPr>
          <w:rFonts w:cs="Arial"/>
          <w:sz w:val="22"/>
          <w:szCs w:val="22"/>
        </w:rPr>
      </w:pPr>
    </w:p>
    <w:p w14:paraId="0B7235AD" w14:textId="32D83082" w:rsidR="71A65E9A" w:rsidRDefault="5D174DEE" w:rsidP="5311C3E3">
      <w:pPr>
        <w:pStyle w:val="Heading3"/>
        <w:rPr>
          <w:rStyle w:val="Heading3Char"/>
          <w:rFonts w:ascii="Arial" w:eastAsia="Arial" w:hAnsi="Arial" w:cs="Arial"/>
          <w:sz w:val="22"/>
          <w:szCs w:val="22"/>
        </w:rPr>
      </w:pPr>
      <w:bookmarkStart w:id="179" w:name="_Toc224652032"/>
      <w:bookmarkStart w:id="180" w:name="_Toc227057855"/>
      <w:r w:rsidRPr="5311C3E3">
        <w:t xml:space="preserve">5.8.1 </w:t>
      </w:r>
      <w:r w:rsidR="7D38AE8A" w:rsidRPr="5311C3E3">
        <w:t>Weighing and Measuring Equipment</w:t>
      </w:r>
      <w:bookmarkEnd w:id="179"/>
      <w:bookmarkEnd w:id="180"/>
    </w:p>
    <w:p w14:paraId="1892E05B" w14:textId="406ADA9F" w:rsidR="71A65E9A" w:rsidRDefault="7D38AE8A" w:rsidP="5311C3E3">
      <w:pPr>
        <w:spacing w:before="0" w:after="240"/>
        <w:rPr>
          <w:rFonts w:cs="Arial"/>
          <w:sz w:val="22"/>
          <w:szCs w:val="22"/>
        </w:rPr>
      </w:pPr>
      <w:r w:rsidRPr="5311C3E3">
        <w:rPr>
          <w:rFonts w:cs="Arial"/>
          <w:sz w:val="22"/>
          <w:szCs w:val="22"/>
        </w:rPr>
        <w:t>All units and clinics must have access to hospital-standard weighing scales and height measuring equipment to support nutrition screening, monitoring and care planning.</w:t>
      </w:r>
    </w:p>
    <w:p w14:paraId="35712655" w14:textId="6D44419D" w:rsidR="71A65E9A" w:rsidRDefault="71A65E9A" w:rsidP="5311C3E3">
      <w:pPr>
        <w:spacing w:before="240" w:after="240"/>
        <w:rPr>
          <w:rFonts w:cs="Arial"/>
          <w:sz w:val="22"/>
          <w:szCs w:val="22"/>
        </w:rPr>
      </w:pPr>
    </w:p>
    <w:p w14:paraId="622E98AE" w14:textId="17DA6106" w:rsidR="71A65E9A" w:rsidRDefault="7D38AE8A" w:rsidP="5311C3E3">
      <w:pPr>
        <w:spacing w:before="240" w:after="240"/>
        <w:rPr>
          <w:rFonts w:cs="Arial"/>
          <w:sz w:val="22"/>
          <w:szCs w:val="22"/>
        </w:rPr>
      </w:pPr>
      <w:r w:rsidRPr="5311C3E3">
        <w:rPr>
          <w:rFonts w:cs="Arial"/>
          <w:sz w:val="22"/>
          <w:szCs w:val="22"/>
        </w:rPr>
        <w:t xml:space="preserve"> Equipment must be:</w:t>
      </w:r>
    </w:p>
    <w:p w14:paraId="28A8AC7D" w14:textId="25169292" w:rsidR="71A65E9A" w:rsidRDefault="7D38AE8A" w:rsidP="00825F2C">
      <w:pPr>
        <w:pStyle w:val="ListParagraph"/>
        <w:numPr>
          <w:ilvl w:val="0"/>
          <w:numId w:val="35"/>
        </w:numPr>
        <w:spacing w:before="240" w:after="240"/>
        <w:rPr>
          <w:rFonts w:cs="Arial"/>
          <w:sz w:val="22"/>
          <w:szCs w:val="22"/>
        </w:rPr>
      </w:pPr>
      <w:r w:rsidRPr="5311C3E3">
        <w:rPr>
          <w:rFonts w:cs="Arial"/>
          <w:sz w:val="22"/>
          <w:szCs w:val="22"/>
        </w:rPr>
        <w:t>Professionally serviced and calibrated in accordance with manufacturer guidance</w:t>
      </w:r>
    </w:p>
    <w:p w14:paraId="093AB561" w14:textId="3331AAAF" w:rsidR="71A65E9A" w:rsidRDefault="7D38AE8A" w:rsidP="00825F2C">
      <w:pPr>
        <w:pStyle w:val="ListParagraph"/>
        <w:numPr>
          <w:ilvl w:val="0"/>
          <w:numId w:val="35"/>
        </w:numPr>
        <w:spacing w:before="240" w:after="240"/>
        <w:rPr>
          <w:rFonts w:cs="Arial"/>
          <w:sz w:val="22"/>
          <w:szCs w:val="22"/>
        </w:rPr>
      </w:pPr>
      <w:r w:rsidRPr="5311C3E3">
        <w:rPr>
          <w:rFonts w:cs="Arial"/>
          <w:sz w:val="22"/>
          <w:szCs w:val="22"/>
        </w:rPr>
        <w:t>Appropriate for the weight range and mobility needs of the service user</w:t>
      </w:r>
    </w:p>
    <w:p w14:paraId="04CA8A8A" w14:textId="0D59D3B3" w:rsidR="71A65E9A" w:rsidRDefault="7D38AE8A" w:rsidP="00825F2C">
      <w:pPr>
        <w:pStyle w:val="ListParagraph"/>
        <w:numPr>
          <w:ilvl w:val="0"/>
          <w:numId w:val="35"/>
        </w:numPr>
        <w:spacing w:before="240" w:after="240"/>
        <w:rPr>
          <w:rFonts w:cs="Arial"/>
          <w:sz w:val="22"/>
          <w:szCs w:val="22"/>
        </w:rPr>
      </w:pPr>
      <w:r w:rsidRPr="5311C3E3">
        <w:rPr>
          <w:rFonts w:cs="Arial"/>
          <w:sz w:val="22"/>
          <w:szCs w:val="22"/>
        </w:rPr>
        <w:t>Maintained in good working order</w:t>
      </w:r>
    </w:p>
    <w:p w14:paraId="40A3C5F0" w14:textId="1C20F1FB" w:rsidR="71A65E9A" w:rsidRDefault="7D38AE8A" w:rsidP="00825F2C">
      <w:pPr>
        <w:pStyle w:val="ListParagraph"/>
        <w:numPr>
          <w:ilvl w:val="0"/>
          <w:numId w:val="35"/>
        </w:numPr>
        <w:spacing w:before="240" w:after="240"/>
        <w:rPr>
          <w:rFonts w:cs="Arial"/>
          <w:sz w:val="22"/>
          <w:szCs w:val="22"/>
        </w:rPr>
      </w:pPr>
      <w:r w:rsidRPr="5311C3E3">
        <w:rPr>
          <w:rFonts w:cs="Arial"/>
          <w:sz w:val="22"/>
          <w:szCs w:val="22"/>
        </w:rPr>
        <w:t>Used consistently to ensure reliable monitoring</w:t>
      </w:r>
    </w:p>
    <w:p w14:paraId="1E099AB0" w14:textId="0E6DAC51" w:rsidR="71A65E9A" w:rsidRDefault="7D38AE8A" w:rsidP="5311C3E3">
      <w:pPr>
        <w:spacing w:before="240" w:after="240"/>
        <w:rPr>
          <w:rFonts w:cs="Arial"/>
          <w:sz w:val="22"/>
          <w:szCs w:val="22"/>
        </w:rPr>
      </w:pPr>
      <w:r w:rsidRPr="1F0E8EA4">
        <w:rPr>
          <w:rFonts w:cs="Arial"/>
          <w:sz w:val="22"/>
          <w:szCs w:val="22"/>
        </w:rPr>
        <w:t>Where a service user cannot stand safely, appropriate alternative equipment must be available</w:t>
      </w:r>
      <w:r w:rsidR="1896B54E" w:rsidRPr="1F0E8EA4">
        <w:rPr>
          <w:rFonts w:cs="Arial"/>
          <w:sz w:val="22"/>
          <w:szCs w:val="22"/>
        </w:rPr>
        <w:t xml:space="preserve"> on site or easily accessible within local services</w:t>
      </w:r>
      <w:r w:rsidRPr="1F0E8EA4">
        <w:rPr>
          <w:rFonts w:cs="Arial"/>
          <w:sz w:val="22"/>
          <w:szCs w:val="22"/>
        </w:rPr>
        <w:t>, including:</w:t>
      </w:r>
    </w:p>
    <w:p w14:paraId="42B6EED3" w14:textId="2F728E7C" w:rsidR="71A65E9A" w:rsidRDefault="7D38AE8A" w:rsidP="00825F2C">
      <w:pPr>
        <w:pStyle w:val="ListParagraph"/>
        <w:numPr>
          <w:ilvl w:val="0"/>
          <w:numId w:val="34"/>
        </w:numPr>
        <w:spacing w:before="240" w:after="240"/>
        <w:rPr>
          <w:rFonts w:cs="Arial"/>
          <w:sz w:val="22"/>
          <w:szCs w:val="22"/>
        </w:rPr>
      </w:pPr>
      <w:r w:rsidRPr="5311C3E3">
        <w:rPr>
          <w:rFonts w:cs="Arial"/>
          <w:sz w:val="22"/>
          <w:szCs w:val="22"/>
        </w:rPr>
        <w:t>Chair scales</w:t>
      </w:r>
    </w:p>
    <w:p w14:paraId="737E92D8" w14:textId="4F2AD0F2" w:rsidR="71A65E9A" w:rsidRDefault="7D38AE8A" w:rsidP="00825F2C">
      <w:pPr>
        <w:pStyle w:val="ListParagraph"/>
        <w:numPr>
          <w:ilvl w:val="0"/>
          <w:numId w:val="34"/>
        </w:numPr>
        <w:spacing w:before="240" w:after="240"/>
        <w:rPr>
          <w:rFonts w:cs="Arial"/>
          <w:sz w:val="22"/>
          <w:szCs w:val="22"/>
        </w:rPr>
      </w:pPr>
      <w:r w:rsidRPr="5311C3E3">
        <w:rPr>
          <w:rFonts w:cs="Arial"/>
          <w:sz w:val="22"/>
          <w:szCs w:val="22"/>
        </w:rPr>
        <w:t>Wheelchair scales</w:t>
      </w:r>
    </w:p>
    <w:p w14:paraId="7B481941" w14:textId="1C25F8A7" w:rsidR="71A65E9A" w:rsidRDefault="7D38AE8A" w:rsidP="00825F2C">
      <w:pPr>
        <w:pStyle w:val="ListParagraph"/>
        <w:numPr>
          <w:ilvl w:val="0"/>
          <w:numId w:val="34"/>
        </w:numPr>
        <w:spacing w:before="240" w:after="240"/>
        <w:rPr>
          <w:rFonts w:cs="Arial"/>
          <w:sz w:val="22"/>
          <w:szCs w:val="22"/>
        </w:rPr>
      </w:pPr>
      <w:r w:rsidRPr="5311C3E3">
        <w:rPr>
          <w:rFonts w:cs="Arial"/>
          <w:sz w:val="22"/>
          <w:szCs w:val="22"/>
        </w:rPr>
        <w:t>Platform scales</w:t>
      </w:r>
    </w:p>
    <w:p w14:paraId="3F4B9B72" w14:textId="54DBA323" w:rsidR="71A65E9A" w:rsidRDefault="7D38AE8A" w:rsidP="00825F2C">
      <w:pPr>
        <w:pStyle w:val="ListParagraph"/>
        <w:numPr>
          <w:ilvl w:val="0"/>
          <w:numId w:val="34"/>
        </w:numPr>
        <w:spacing w:before="240" w:after="240"/>
        <w:rPr>
          <w:rFonts w:cs="Arial"/>
          <w:sz w:val="22"/>
          <w:szCs w:val="22"/>
        </w:rPr>
      </w:pPr>
      <w:r w:rsidRPr="5311C3E3">
        <w:rPr>
          <w:rFonts w:cs="Arial"/>
          <w:sz w:val="22"/>
          <w:szCs w:val="22"/>
        </w:rPr>
        <w:t>Hoist scales</w:t>
      </w:r>
    </w:p>
    <w:p w14:paraId="091F224B" w14:textId="05A8F32D" w:rsidR="71A65E9A" w:rsidRDefault="2E737333" w:rsidP="5311C3E3">
      <w:pPr>
        <w:spacing w:before="240" w:after="240"/>
        <w:rPr>
          <w:rFonts w:cs="Arial"/>
          <w:sz w:val="22"/>
          <w:szCs w:val="22"/>
        </w:rPr>
      </w:pPr>
      <w:r w:rsidRPr="5311C3E3">
        <w:rPr>
          <w:rFonts w:cs="Arial"/>
          <w:sz w:val="22"/>
          <w:szCs w:val="22"/>
        </w:rPr>
        <w:t>For</w:t>
      </w:r>
      <w:r w:rsidR="7D38AE8A" w:rsidRPr="5311C3E3">
        <w:rPr>
          <w:rFonts w:cs="Arial"/>
          <w:sz w:val="22"/>
          <w:szCs w:val="22"/>
        </w:rPr>
        <w:t xml:space="preserve"> children and young people, services must ensure access to appropriately calibrated paediatric weighing equipment and growth monitoring tools, including BMI centile charts, in accordance with national guidance.</w:t>
      </w:r>
    </w:p>
    <w:p w14:paraId="1E2DFA9B" w14:textId="6C6E4AA9" w:rsidR="71A65E9A" w:rsidRDefault="71A65E9A" w:rsidP="5311C3E3">
      <w:pPr>
        <w:spacing w:before="240" w:after="240"/>
        <w:rPr>
          <w:rFonts w:cs="Arial"/>
          <w:sz w:val="22"/>
          <w:szCs w:val="22"/>
        </w:rPr>
      </w:pPr>
    </w:p>
    <w:p w14:paraId="2BD55C30" w14:textId="766F2FB7" w:rsidR="71A65E9A" w:rsidRDefault="7D38AE8A" w:rsidP="5311C3E3">
      <w:pPr>
        <w:spacing w:before="240" w:after="240"/>
        <w:rPr>
          <w:rFonts w:cs="Arial"/>
          <w:sz w:val="22"/>
          <w:szCs w:val="22"/>
        </w:rPr>
      </w:pPr>
      <w:r w:rsidRPr="5311C3E3">
        <w:rPr>
          <w:rFonts w:cs="Arial"/>
          <w:sz w:val="22"/>
          <w:szCs w:val="22"/>
        </w:rPr>
        <w:t>In specialist eating disorder services, weighing and monitoring equipment must be used in accordance with local clinical protocols to ensure consistency, safety and dignity</w:t>
      </w:r>
      <w:r w:rsidR="7B2096A1" w:rsidRPr="5311C3E3">
        <w:rPr>
          <w:rFonts w:cs="Arial"/>
          <w:sz w:val="22"/>
          <w:szCs w:val="22"/>
        </w:rPr>
        <w:t xml:space="preserve"> </w:t>
      </w:r>
      <w:sdt>
        <w:sdtPr>
          <w:tag w:val="MENDELEY_CITATION_v3_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"/>
          <w:id w:val="306156344"/>
          <w:placeholder>
            <w:docPart w:val="DefaultPlaceholder_-1854013440"/>
          </w:placeholder>
        </w:sdtPr>
        <w:sdtEndPr/>
        <w:sdtContent>
          <w:r w:rsidR="5311C3E3" w:rsidRPr="5311C3E3">
            <w:rPr>
              <w:rFonts w:cs="Arial"/>
              <w:color w:val="000000" w:themeColor="text1"/>
              <w:sz w:val="22"/>
              <w:szCs w:val="22"/>
            </w:rPr>
            <w:t xml:space="preserve">(Fuller </w:t>
          </w:r>
          <w:r w:rsidR="00517414">
            <w:rPr>
              <w:rFonts w:cs="Arial"/>
              <w:color w:val="000000" w:themeColor="text1"/>
              <w:sz w:val="22"/>
              <w:szCs w:val="22"/>
            </w:rPr>
            <w:t>and Philpot</w:t>
          </w:r>
          <w:r w:rsidR="5311C3E3" w:rsidRPr="5311C3E3">
            <w:rPr>
              <w:rFonts w:cs="Arial"/>
              <w:color w:val="000000" w:themeColor="text1"/>
              <w:sz w:val="22"/>
              <w:szCs w:val="22"/>
            </w:rPr>
            <w:t>, 2020)</w:t>
          </w:r>
        </w:sdtContent>
      </w:sdt>
      <w:r>
        <w:t>.</w:t>
      </w:r>
    </w:p>
    <w:p w14:paraId="36949F9A" w14:textId="53323011" w:rsidR="71A65E9A" w:rsidRDefault="71A65E9A" w:rsidP="5311C3E3">
      <w:pPr>
        <w:spacing w:before="240" w:after="240"/>
        <w:rPr>
          <w:rFonts w:cs="Arial"/>
          <w:sz w:val="22"/>
          <w:szCs w:val="22"/>
        </w:rPr>
      </w:pPr>
    </w:p>
    <w:p w14:paraId="136C5C37" w14:textId="06D83801" w:rsidR="71A65E9A" w:rsidRDefault="7D38AE8A" w:rsidP="5311C3E3">
      <w:pPr>
        <w:spacing w:before="240" w:after="240"/>
        <w:rPr>
          <w:rFonts w:cs="Arial"/>
          <w:sz w:val="22"/>
          <w:szCs w:val="22"/>
        </w:rPr>
      </w:pPr>
      <w:r w:rsidRPr="5311C3E3">
        <w:rPr>
          <w:rFonts w:cs="Arial"/>
          <w:sz w:val="22"/>
          <w:szCs w:val="22"/>
        </w:rPr>
        <w:t>Access to bariatric equipment and environmental adjustments for individuals living with obesity is detailed in Section 5.3.5.</w:t>
      </w:r>
    </w:p>
    <w:p w14:paraId="7872422C" w14:textId="149826EB" w:rsidR="71A65E9A" w:rsidRDefault="71A65E9A" w:rsidP="5311C3E3">
      <w:pPr>
        <w:rPr>
          <w:rFonts w:cs="Arial"/>
          <w:sz w:val="22"/>
          <w:szCs w:val="22"/>
        </w:rPr>
      </w:pPr>
    </w:p>
    <w:p w14:paraId="13775912" w14:textId="2F31166D" w:rsidR="71A65E9A" w:rsidRDefault="4FF9397A" w:rsidP="5311C3E3">
      <w:pPr>
        <w:pStyle w:val="Heading3"/>
        <w:rPr>
          <w:rFonts w:ascii="Arial" w:eastAsia="Arial" w:hAnsi="Arial" w:cs="Arial"/>
          <w:sz w:val="22"/>
          <w:szCs w:val="22"/>
        </w:rPr>
      </w:pPr>
      <w:bookmarkStart w:id="181" w:name="_Toc224652033"/>
      <w:bookmarkStart w:id="182" w:name="_Toc227057856"/>
      <w:r w:rsidRPr="5311C3E3">
        <w:t xml:space="preserve">5.8.2 </w:t>
      </w:r>
      <w:r w:rsidR="7D38AE8A" w:rsidRPr="5311C3E3">
        <w:t>Assistive Feeding Equipment</w:t>
      </w:r>
      <w:bookmarkEnd w:id="181"/>
      <w:bookmarkEnd w:id="182"/>
    </w:p>
    <w:p w14:paraId="7871C6C3" w14:textId="6A7128DF" w:rsidR="71A65E9A" w:rsidRDefault="7D38AE8A" w:rsidP="5311C3E3">
      <w:pPr>
        <w:spacing w:before="0" w:after="240"/>
        <w:rPr>
          <w:rFonts w:cs="Arial"/>
          <w:sz w:val="22"/>
          <w:szCs w:val="22"/>
        </w:rPr>
      </w:pPr>
      <w:r w:rsidRPr="5311C3E3">
        <w:rPr>
          <w:rFonts w:cs="Arial"/>
          <w:sz w:val="22"/>
          <w:szCs w:val="22"/>
        </w:rPr>
        <w:t>Assistive feeding equipment must be provided following assessment by an appropriately qualified professional, such as an Occupational Therapist or Speech and Language Therapist (SLT).</w:t>
      </w:r>
    </w:p>
    <w:p w14:paraId="2A30C933" w14:textId="52766A2C" w:rsidR="71A65E9A" w:rsidRDefault="71A65E9A" w:rsidP="5311C3E3">
      <w:pPr>
        <w:spacing w:before="240" w:after="240"/>
        <w:rPr>
          <w:rFonts w:cs="Arial"/>
          <w:sz w:val="22"/>
          <w:szCs w:val="22"/>
        </w:rPr>
      </w:pPr>
    </w:p>
    <w:p w14:paraId="1F03E7BE" w14:textId="4EAED36B" w:rsidR="71A65E9A" w:rsidRDefault="7D38AE8A" w:rsidP="5311C3E3">
      <w:pPr>
        <w:spacing w:before="240" w:after="240"/>
        <w:rPr>
          <w:rFonts w:cs="Arial"/>
          <w:sz w:val="22"/>
          <w:szCs w:val="22"/>
        </w:rPr>
      </w:pPr>
      <w:r w:rsidRPr="5311C3E3">
        <w:rPr>
          <w:rFonts w:cs="Arial"/>
          <w:sz w:val="22"/>
          <w:szCs w:val="22"/>
        </w:rPr>
        <w:t xml:space="preserve"> Equipment must be:</w:t>
      </w:r>
    </w:p>
    <w:p w14:paraId="39F53BFE" w14:textId="0542F37B" w:rsidR="71A65E9A" w:rsidRDefault="7D38AE8A" w:rsidP="00825F2C">
      <w:pPr>
        <w:pStyle w:val="ListParagraph"/>
        <w:numPr>
          <w:ilvl w:val="0"/>
          <w:numId w:val="33"/>
        </w:numPr>
        <w:spacing w:before="240" w:after="240"/>
        <w:rPr>
          <w:rFonts w:cs="Arial"/>
          <w:sz w:val="22"/>
          <w:szCs w:val="22"/>
        </w:rPr>
      </w:pPr>
      <w:r w:rsidRPr="5311C3E3">
        <w:rPr>
          <w:rFonts w:cs="Arial"/>
          <w:sz w:val="22"/>
          <w:szCs w:val="22"/>
        </w:rPr>
        <w:t>Clean and stored safely</w:t>
      </w:r>
    </w:p>
    <w:p w14:paraId="29ABF257" w14:textId="079D5735" w:rsidR="71A65E9A" w:rsidRDefault="7D38AE8A" w:rsidP="00825F2C">
      <w:pPr>
        <w:pStyle w:val="ListParagraph"/>
        <w:numPr>
          <w:ilvl w:val="0"/>
          <w:numId w:val="33"/>
        </w:numPr>
        <w:spacing w:before="240" w:after="240"/>
        <w:rPr>
          <w:rFonts w:cs="Arial"/>
          <w:sz w:val="22"/>
          <w:szCs w:val="22"/>
        </w:rPr>
      </w:pPr>
      <w:r w:rsidRPr="5311C3E3">
        <w:rPr>
          <w:rFonts w:cs="Arial"/>
          <w:sz w:val="22"/>
          <w:szCs w:val="22"/>
        </w:rPr>
        <w:t>Clearly labelled where individually allocated</w:t>
      </w:r>
    </w:p>
    <w:p w14:paraId="49AF0AE2" w14:textId="3DA52436" w:rsidR="71A65E9A" w:rsidRDefault="7D38AE8A" w:rsidP="00825F2C">
      <w:pPr>
        <w:pStyle w:val="ListParagraph"/>
        <w:numPr>
          <w:ilvl w:val="0"/>
          <w:numId w:val="33"/>
        </w:numPr>
        <w:spacing w:before="240" w:after="240"/>
        <w:rPr>
          <w:rFonts w:cs="Arial"/>
          <w:sz w:val="22"/>
          <w:szCs w:val="22"/>
        </w:rPr>
      </w:pPr>
      <w:r w:rsidRPr="5311C3E3">
        <w:rPr>
          <w:rFonts w:cs="Arial"/>
          <w:sz w:val="22"/>
          <w:szCs w:val="22"/>
        </w:rPr>
        <w:t>Available to the service user as required</w:t>
      </w:r>
    </w:p>
    <w:p w14:paraId="5AF37C62" w14:textId="5C40A0C9" w:rsidR="71A65E9A" w:rsidRDefault="7D38AE8A" w:rsidP="00825F2C">
      <w:pPr>
        <w:pStyle w:val="ListParagraph"/>
        <w:numPr>
          <w:ilvl w:val="0"/>
          <w:numId w:val="33"/>
        </w:numPr>
        <w:spacing w:before="240" w:after="240"/>
        <w:rPr>
          <w:rFonts w:cs="Arial"/>
          <w:sz w:val="22"/>
          <w:szCs w:val="22"/>
        </w:rPr>
      </w:pPr>
      <w:r w:rsidRPr="5311C3E3">
        <w:rPr>
          <w:rFonts w:cs="Arial"/>
          <w:sz w:val="22"/>
          <w:szCs w:val="22"/>
        </w:rPr>
        <w:t>Used in accordance with the documented care plan</w:t>
      </w:r>
    </w:p>
    <w:p w14:paraId="406A425C" w14:textId="1311FEAA" w:rsidR="71A65E9A" w:rsidRDefault="7D38AE8A" w:rsidP="5311C3E3">
      <w:pPr>
        <w:spacing w:before="240" w:after="240"/>
        <w:rPr>
          <w:rFonts w:cs="Arial"/>
          <w:sz w:val="22"/>
          <w:szCs w:val="22"/>
        </w:rPr>
      </w:pPr>
      <w:r w:rsidRPr="5311C3E3">
        <w:rPr>
          <w:rFonts w:cs="Arial"/>
          <w:sz w:val="22"/>
          <w:szCs w:val="22"/>
        </w:rPr>
        <w:t>Where swallowing difficulties are identified, staff must implement SLT recommendations and ensure appropriate equipment is available to support safe feeding.</w:t>
      </w:r>
    </w:p>
    <w:p w14:paraId="24C2B5AA" w14:textId="643F87A0" w:rsidR="71A65E9A" w:rsidRDefault="71A65E9A" w:rsidP="5311C3E3">
      <w:pPr>
        <w:spacing w:before="240" w:after="240"/>
        <w:rPr>
          <w:rFonts w:cs="Arial"/>
          <w:sz w:val="22"/>
          <w:szCs w:val="22"/>
        </w:rPr>
      </w:pPr>
    </w:p>
    <w:p w14:paraId="1FBF152A" w14:textId="03D6648E" w:rsidR="71A65E9A" w:rsidRDefault="7D38AE8A" w:rsidP="5311C3E3">
      <w:pPr>
        <w:spacing w:before="240" w:after="240"/>
        <w:rPr>
          <w:rFonts w:cs="Arial"/>
          <w:sz w:val="22"/>
          <w:szCs w:val="22"/>
        </w:rPr>
      </w:pPr>
      <w:r w:rsidRPr="5311C3E3">
        <w:rPr>
          <w:rFonts w:cs="Arial"/>
          <w:sz w:val="22"/>
          <w:szCs w:val="22"/>
        </w:rPr>
        <w:t>Texture-modified diets, thickened fluids, oral nutritional supplements and enteral feeding equipment are detailed in Section 6 (Artificial Nutrition and Thickeners).</w:t>
      </w:r>
    </w:p>
    <w:p w14:paraId="61659A2B" w14:textId="7CD05197" w:rsidR="71A65E9A" w:rsidRDefault="71A65E9A" w:rsidP="5311C3E3">
      <w:pPr>
        <w:rPr>
          <w:rFonts w:cs="Arial"/>
          <w:sz w:val="22"/>
          <w:szCs w:val="22"/>
        </w:rPr>
      </w:pPr>
    </w:p>
    <w:p w14:paraId="64097174" w14:textId="77777777" w:rsidR="00011486" w:rsidRDefault="00011486">
      <w:pPr>
        <w:keepNext w:val="0"/>
        <w:keepLines w:val="0"/>
        <w:spacing w:before="0" w:after="160"/>
        <w:contextualSpacing w:val="0"/>
        <w:jc w:val="left"/>
        <w:outlineLvl w:val="9"/>
        <w:rPr>
          <w:rFonts w:asciiTheme="majorHAnsi" w:eastAsiaTheme="majorEastAsia" w:hAnsiTheme="majorHAnsi" w:cstheme="majorBidi"/>
          <w:color w:val="2E74B5" w:themeColor="accent1" w:themeShade="BF"/>
          <w:sz w:val="28"/>
          <w:szCs w:val="28"/>
        </w:rPr>
      </w:pPr>
      <w:bookmarkStart w:id="183" w:name="_Toc224652034"/>
      <w:r>
        <w:br w:type="page"/>
      </w:r>
    </w:p>
    <w:p w14:paraId="71CB4AB2" w14:textId="119A35AA" w:rsidR="71A65E9A" w:rsidRDefault="32E304D2" w:rsidP="5311C3E3">
      <w:pPr>
        <w:pStyle w:val="Heading3"/>
        <w:rPr>
          <w:rFonts w:ascii="Arial" w:eastAsia="Arial" w:hAnsi="Arial" w:cs="Arial"/>
          <w:sz w:val="22"/>
          <w:szCs w:val="22"/>
        </w:rPr>
      </w:pPr>
      <w:bookmarkStart w:id="184" w:name="_Toc227057857"/>
      <w:r w:rsidRPr="5311C3E3">
        <w:lastRenderedPageBreak/>
        <w:t xml:space="preserve">5.8.3 </w:t>
      </w:r>
      <w:r w:rsidR="7D38AE8A" w:rsidRPr="5311C3E3">
        <w:t>Equipment Governance and Escalation</w:t>
      </w:r>
      <w:bookmarkEnd w:id="183"/>
      <w:bookmarkEnd w:id="184"/>
    </w:p>
    <w:p w14:paraId="06AD366F" w14:textId="6BD657F8" w:rsidR="71A65E9A" w:rsidRDefault="7D38AE8A" w:rsidP="5311C3E3">
      <w:pPr>
        <w:spacing w:before="240" w:after="240"/>
        <w:rPr>
          <w:rFonts w:cs="Arial"/>
          <w:sz w:val="22"/>
          <w:szCs w:val="22"/>
        </w:rPr>
      </w:pPr>
      <w:r w:rsidRPr="5311C3E3">
        <w:rPr>
          <w:rFonts w:cs="Arial"/>
          <w:sz w:val="22"/>
          <w:szCs w:val="22"/>
        </w:rPr>
        <w:t>Services must ensure that nutrition-related equipment is available proactively and not solely in response to crisis or adverse events.</w:t>
      </w:r>
    </w:p>
    <w:p w14:paraId="68384711" w14:textId="3B101BE8" w:rsidR="71A65E9A" w:rsidRDefault="71A65E9A" w:rsidP="5311C3E3">
      <w:pPr>
        <w:spacing w:before="240" w:after="240"/>
        <w:rPr>
          <w:rFonts w:cs="Arial"/>
          <w:sz w:val="22"/>
          <w:szCs w:val="22"/>
        </w:rPr>
      </w:pPr>
    </w:p>
    <w:p w14:paraId="0353D0D6" w14:textId="38DEA94D" w:rsidR="71A65E9A" w:rsidRDefault="7D38AE8A" w:rsidP="5311C3E3">
      <w:pPr>
        <w:spacing w:before="240" w:after="240"/>
        <w:rPr>
          <w:rFonts w:cs="Arial"/>
          <w:sz w:val="22"/>
          <w:szCs w:val="22"/>
        </w:rPr>
      </w:pPr>
      <w:r w:rsidRPr="5311C3E3">
        <w:rPr>
          <w:rFonts w:cs="Arial"/>
          <w:sz w:val="22"/>
          <w:szCs w:val="22"/>
        </w:rPr>
        <w:t>Environmental or equipment limitations that compromise safe monitoring, equitable access or dignity must be escalated through local risk management and governance processes.</w:t>
      </w:r>
    </w:p>
    <w:p w14:paraId="0D6484AC" w14:textId="7C4CA97A" w:rsidR="71A65E9A" w:rsidRDefault="71A65E9A" w:rsidP="5311C3E3">
      <w:pPr>
        <w:rPr>
          <w:rFonts w:cs="Arial"/>
          <w:color w:val="000000" w:themeColor="text1"/>
          <w:sz w:val="22"/>
          <w:szCs w:val="22"/>
        </w:rPr>
      </w:pPr>
    </w:p>
    <w:p w14:paraId="006E704B" w14:textId="6B70D906" w:rsidR="71A65E9A" w:rsidRDefault="49ADB941" w:rsidP="5311C3E3">
      <w:pPr>
        <w:pStyle w:val="Heading3"/>
        <w:rPr>
          <w:rFonts w:ascii="Arial" w:eastAsia="Arial" w:hAnsi="Arial" w:cs="Arial"/>
          <w:sz w:val="22"/>
          <w:szCs w:val="22"/>
        </w:rPr>
      </w:pPr>
      <w:bookmarkStart w:id="185" w:name="_Toc224652035"/>
      <w:bookmarkStart w:id="186" w:name="_Toc227057858"/>
      <w:r>
        <w:t xml:space="preserve">5.8.4 </w:t>
      </w:r>
      <w:r w:rsidR="65AB41CA">
        <w:t>Discharge and Transfer between Services</w:t>
      </w:r>
      <w:bookmarkEnd w:id="185"/>
      <w:bookmarkEnd w:id="186"/>
    </w:p>
    <w:p w14:paraId="6817CFB4" w14:textId="521B551C" w:rsidR="71A65E9A" w:rsidRDefault="3A01BC78" w:rsidP="5311C3E3">
      <w:pPr>
        <w:spacing w:line="240" w:lineRule="auto"/>
        <w:rPr>
          <w:rFonts w:cs="Arial"/>
          <w:sz w:val="22"/>
          <w:szCs w:val="22"/>
        </w:rPr>
      </w:pPr>
      <w:r w:rsidRPr="5311C3E3">
        <w:rPr>
          <w:rFonts w:cs="Arial"/>
          <w:sz w:val="22"/>
          <w:szCs w:val="22"/>
        </w:rPr>
        <w:t>Service users may transfer between ELFT services and external health or social care services. I</w:t>
      </w:r>
      <w:r w:rsidR="65AB41CA" w:rsidRPr="5311C3E3">
        <w:rPr>
          <w:rFonts w:cs="Arial"/>
          <w:sz w:val="22"/>
          <w:szCs w:val="22"/>
        </w:rPr>
        <w:t xml:space="preserve">ncluding transition from paediatric to adult services, acute settings to local public health initiatives, and between physical health and mental health services. </w:t>
      </w:r>
    </w:p>
    <w:p w14:paraId="46E13E93" w14:textId="11800A6A" w:rsidR="71A65E9A" w:rsidRDefault="7C45F0A7" w:rsidP="5311C3E3">
      <w:pPr>
        <w:rPr>
          <w:rFonts w:cs="Arial"/>
          <w:color w:val="000000" w:themeColor="text1"/>
          <w:sz w:val="22"/>
          <w:szCs w:val="22"/>
        </w:rPr>
      </w:pPr>
      <w:r w:rsidRPr="5311C3E3">
        <w:rPr>
          <w:rFonts w:cs="Arial"/>
          <w:color w:val="000000" w:themeColor="text1"/>
          <w:sz w:val="22"/>
          <w:szCs w:val="22"/>
        </w:rPr>
        <w:t xml:space="preserve"> </w:t>
      </w:r>
    </w:p>
    <w:p w14:paraId="490FC8CA" w14:textId="0D2423DB" w:rsidR="71A65E9A" w:rsidRDefault="2BCA3374" w:rsidP="5B7B2C7A">
      <w:pPr>
        <w:spacing w:before="240" w:after="240" w:line="240" w:lineRule="auto"/>
        <w:rPr>
          <w:rFonts w:cs="Arial"/>
          <w:color w:val="000000" w:themeColor="text1"/>
          <w:sz w:val="22"/>
          <w:szCs w:val="22"/>
        </w:rPr>
      </w:pPr>
      <w:r w:rsidRPr="5311C3E3">
        <w:rPr>
          <w:rFonts w:cs="Arial"/>
          <w:sz w:val="22"/>
          <w:szCs w:val="22"/>
        </w:rPr>
        <w:t>At discharge or transfer to another service or ELFT ward, medical and nursing (discharge) summaries must include details of any identified nutritional risk and supporting information, such as BMI, unintended weight change and other factors affecting nutritional status.</w:t>
      </w:r>
    </w:p>
    <w:p w14:paraId="482F3F22" w14:textId="21E4ABC3" w:rsidR="5311C3E3" w:rsidRDefault="5311C3E3" w:rsidP="5311C3E3">
      <w:pPr>
        <w:spacing w:before="240" w:after="240" w:line="240" w:lineRule="auto"/>
        <w:rPr>
          <w:rFonts w:cs="Arial"/>
          <w:sz w:val="22"/>
          <w:szCs w:val="22"/>
        </w:rPr>
      </w:pPr>
    </w:p>
    <w:p w14:paraId="79FBD7C5" w14:textId="1A126FD7" w:rsidR="71A65E9A" w:rsidRDefault="2BCA3374" w:rsidP="5311C3E3">
      <w:pPr>
        <w:spacing w:before="240" w:after="240" w:line="240" w:lineRule="auto"/>
        <w:rPr>
          <w:rFonts w:cs="Arial"/>
          <w:sz w:val="22"/>
          <w:szCs w:val="22"/>
        </w:rPr>
      </w:pPr>
      <w:r w:rsidRPr="5311C3E3">
        <w:rPr>
          <w:rFonts w:cs="Arial"/>
          <w:sz w:val="22"/>
          <w:szCs w:val="22"/>
        </w:rPr>
        <w:t>Where a hospital passport is used, it must include an accessible nutrition</w:t>
      </w:r>
      <w:r w:rsidR="2344492D" w:rsidRPr="5311C3E3">
        <w:rPr>
          <w:rFonts w:cs="Arial"/>
          <w:sz w:val="22"/>
          <w:szCs w:val="22"/>
        </w:rPr>
        <w:t xml:space="preserve"> and hydration</w:t>
      </w:r>
      <w:r w:rsidRPr="5311C3E3">
        <w:rPr>
          <w:rFonts w:cs="Arial"/>
          <w:sz w:val="22"/>
          <w:szCs w:val="22"/>
        </w:rPr>
        <w:t xml:space="preserve"> care plan. Discharge documentation must also record any ongoing monitoring requirements and the prescription of oral nutritional supplements or thickened fluids. Relevant </w:t>
      </w:r>
      <w:r w:rsidR="518AAAE0" w:rsidRPr="5311C3E3">
        <w:rPr>
          <w:rFonts w:cs="Arial"/>
          <w:sz w:val="22"/>
          <w:szCs w:val="22"/>
        </w:rPr>
        <w:t>professional</w:t>
      </w:r>
      <w:r w:rsidRPr="5311C3E3">
        <w:rPr>
          <w:rFonts w:cs="Arial"/>
          <w:sz w:val="22"/>
          <w:szCs w:val="22"/>
        </w:rPr>
        <w:t>s must be informed in a timely manner so they can provide advice, training or education for carers where needed. Information should be shared electronically where possible.</w:t>
      </w:r>
    </w:p>
    <w:p w14:paraId="427A02C6" w14:textId="72C0E474" w:rsidR="71A65E9A" w:rsidRDefault="7C45F0A7" w:rsidP="5311C3E3">
      <w:pPr>
        <w:rPr>
          <w:rFonts w:cs="Arial"/>
          <w:color w:val="000000" w:themeColor="text1"/>
          <w:sz w:val="22"/>
          <w:szCs w:val="22"/>
        </w:rPr>
      </w:pPr>
      <w:r w:rsidRPr="5311C3E3">
        <w:rPr>
          <w:rFonts w:cs="Arial"/>
          <w:color w:val="000000" w:themeColor="text1"/>
          <w:sz w:val="22"/>
          <w:szCs w:val="22"/>
        </w:rPr>
        <w:t xml:space="preserve"> </w:t>
      </w:r>
    </w:p>
    <w:p w14:paraId="1FBAB4B5" w14:textId="0D6110A2" w:rsidR="71A65E9A" w:rsidRDefault="041A16B2" w:rsidP="2E0AB19A">
      <w:pPr>
        <w:spacing w:line="240" w:lineRule="auto"/>
        <w:rPr>
          <w:rFonts w:cs="Arial"/>
          <w:color w:val="000000" w:themeColor="text1"/>
          <w:sz w:val="22"/>
          <w:szCs w:val="22"/>
        </w:rPr>
      </w:pPr>
      <w:r w:rsidRPr="5797C427">
        <w:rPr>
          <w:rFonts w:cs="Arial"/>
          <w:sz w:val="22"/>
          <w:szCs w:val="22"/>
        </w:rPr>
        <w:t>Discharge summaries will s</w:t>
      </w:r>
      <w:r w:rsidR="77E6F29B" w:rsidRPr="5797C427">
        <w:rPr>
          <w:rFonts w:cs="Arial"/>
          <w:sz w:val="22"/>
          <w:szCs w:val="22"/>
        </w:rPr>
        <w:t>pecify</w:t>
      </w:r>
      <w:r w:rsidRPr="5797C427">
        <w:rPr>
          <w:rFonts w:cs="Arial"/>
          <w:sz w:val="22"/>
          <w:szCs w:val="22"/>
        </w:rPr>
        <w:t xml:space="preserve"> the clinical indication for ongoing prescription of oral nutritional supplements including the product, daily dosage, total requirement per month and rationale for recommendation/discontinuation when appropriate. Any service user requiring oral nutritional supplements at the point of discharge will be referred to the relevant </w:t>
      </w:r>
      <w:r w:rsidR="50CCA2A0" w:rsidRPr="5797C427">
        <w:rPr>
          <w:rFonts w:cs="Arial"/>
          <w:sz w:val="22"/>
          <w:szCs w:val="22"/>
        </w:rPr>
        <w:t xml:space="preserve">Community </w:t>
      </w:r>
      <w:r w:rsidRPr="5797C427">
        <w:rPr>
          <w:rFonts w:cs="Arial"/>
          <w:sz w:val="22"/>
          <w:szCs w:val="22"/>
        </w:rPr>
        <w:t>Dietetic Service.</w:t>
      </w:r>
    </w:p>
    <w:p w14:paraId="7906C380" w14:textId="2D9CA843" w:rsidR="71A65E9A" w:rsidRDefault="7C45F0A7" w:rsidP="5311C3E3">
      <w:pPr>
        <w:rPr>
          <w:rFonts w:cs="Arial"/>
          <w:color w:val="000000" w:themeColor="text1"/>
          <w:sz w:val="22"/>
          <w:szCs w:val="22"/>
        </w:rPr>
      </w:pPr>
      <w:r w:rsidRPr="5311C3E3">
        <w:rPr>
          <w:rFonts w:cs="Arial"/>
          <w:color w:val="000000" w:themeColor="text1"/>
          <w:sz w:val="22"/>
          <w:szCs w:val="22"/>
        </w:rPr>
        <w:t xml:space="preserve"> </w:t>
      </w:r>
    </w:p>
    <w:p w14:paraId="6C3E04CB" w14:textId="752B856B" w:rsidR="71A65E9A" w:rsidRDefault="041A16B2" w:rsidP="2E0AB19A">
      <w:pPr>
        <w:spacing w:line="240" w:lineRule="auto"/>
        <w:rPr>
          <w:rFonts w:cs="Arial"/>
          <w:color w:val="000000" w:themeColor="text1"/>
          <w:sz w:val="22"/>
          <w:szCs w:val="22"/>
        </w:rPr>
      </w:pPr>
      <w:r w:rsidRPr="5311C3E3">
        <w:rPr>
          <w:rFonts w:cs="Arial"/>
          <w:sz w:val="22"/>
          <w:szCs w:val="22"/>
        </w:rPr>
        <w:t xml:space="preserve">Service users requiring enteral feeds or nutritional supplements on discharge from hospital will be given a </w:t>
      </w:r>
      <w:r w:rsidR="27FA7611" w:rsidRPr="5311C3E3">
        <w:rPr>
          <w:rFonts w:cs="Arial"/>
          <w:sz w:val="22"/>
          <w:szCs w:val="22"/>
        </w:rPr>
        <w:t>fourteen-day</w:t>
      </w:r>
      <w:r w:rsidRPr="5311C3E3">
        <w:rPr>
          <w:rFonts w:cs="Arial"/>
          <w:sz w:val="22"/>
          <w:szCs w:val="22"/>
        </w:rPr>
        <w:t xml:space="preserve"> supply of products from ward stock (unless safety concerns or clinical need indicate less), including plastics for enteral feeding (see next section).</w:t>
      </w:r>
    </w:p>
    <w:p w14:paraId="5F0615D4" w14:textId="4BC9235F" w:rsidR="71A65E9A" w:rsidRDefault="7C45F0A7" w:rsidP="5311C3E3">
      <w:pPr>
        <w:rPr>
          <w:rFonts w:cs="Arial"/>
          <w:color w:val="000000" w:themeColor="text1"/>
          <w:sz w:val="22"/>
          <w:szCs w:val="22"/>
        </w:rPr>
      </w:pPr>
      <w:r w:rsidRPr="5311C3E3">
        <w:rPr>
          <w:rFonts w:cs="Arial"/>
          <w:color w:val="000000" w:themeColor="text1"/>
          <w:sz w:val="22"/>
          <w:szCs w:val="22"/>
        </w:rPr>
        <w:t xml:space="preserve"> </w:t>
      </w:r>
    </w:p>
    <w:p w14:paraId="0939D4D4" w14:textId="6E0EC7E7" w:rsidR="71A65E9A" w:rsidRDefault="65AB41CA" w:rsidP="2E0AB19A">
      <w:pPr>
        <w:rPr>
          <w:rFonts w:cs="Arial"/>
          <w:color w:val="000000" w:themeColor="text1"/>
          <w:sz w:val="22"/>
          <w:szCs w:val="22"/>
        </w:rPr>
      </w:pPr>
      <w:r w:rsidRPr="5311C3E3">
        <w:rPr>
          <w:rFonts w:cs="Arial"/>
          <w:sz w:val="22"/>
          <w:szCs w:val="22"/>
        </w:rPr>
        <w:t>When planning for discharge for service users requiring assistive feeding devices, information on how to acquire or purchase these will be provided by the relevant clinicians to service users, relatives or carers.</w:t>
      </w:r>
    </w:p>
    <w:p w14:paraId="174B9926" w14:textId="4FB1BA4D" w:rsidR="71A65E9A" w:rsidRDefault="7C45F0A7" w:rsidP="5311C3E3">
      <w:pPr>
        <w:rPr>
          <w:rFonts w:cs="Arial"/>
          <w:color w:val="000000" w:themeColor="text1"/>
          <w:sz w:val="22"/>
          <w:szCs w:val="22"/>
        </w:rPr>
      </w:pPr>
      <w:r w:rsidRPr="5311C3E3">
        <w:rPr>
          <w:rFonts w:cs="Arial"/>
          <w:color w:val="000000" w:themeColor="text1"/>
          <w:sz w:val="22"/>
          <w:szCs w:val="22"/>
        </w:rPr>
        <w:t xml:space="preserve"> </w:t>
      </w:r>
    </w:p>
    <w:p w14:paraId="4CE62AF9" w14:textId="1894AA72" w:rsidR="0CDEFA74" w:rsidRDefault="3AD8DE88" w:rsidP="5311C3E3">
      <w:pPr>
        <w:spacing w:before="240" w:after="240"/>
        <w:rPr>
          <w:rFonts w:cs="Arial"/>
          <w:sz w:val="22"/>
          <w:szCs w:val="22"/>
        </w:rPr>
      </w:pPr>
      <w:r w:rsidRPr="5311C3E3">
        <w:rPr>
          <w:rFonts w:cs="Arial"/>
          <w:sz w:val="22"/>
          <w:szCs w:val="22"/>
        </w:rPr>
        <w:t>Staff supporting autistic service users, service users with a learning disability, or any service user who may benefit from a hospital passport must ensure that the passport is completed and kept up to date</w:t>
      </w:r>
      <w:r w:rsidR="6CFB3DF0" w:rsidRPr="5311C3E3">
        <w:rPr>
          <w:rFonts w:cs="Arial"/>
          <w:sz w:val="22"/>
          <w:szCs w:val="22"/>
        </w:rPr>
        <w:t xml:space="preserve"> </w:t>
      </w:r>
      <w:sdt>
        <w:sdtPr>
          <w:rPr>
            <w:rFonts w:cs="Arial"/>
            <w:color w:val="000000" w:themeColor="text1"/>
            <w:sz w:val="22"/>
            <w:szCs w:val="22"/>
          </w:rPr>
          <w:tag w:val="MENDELEY_CITATION_v3_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"/>
          <w:id w:val="136977561"/>
          <w:placeholder>
            <w:docPart w:val="DefaultPlaceholder_-1854013440"/>
          </w:placeholder>
        </w:sdtPr>
        <w:sdtEndPr/>
        <w:sdtContent>
          <w:r w:rsidR="5311C3E3" w:rsidRPr="5311C3E3">
            <w:rPr>
              <w:rFonts w:cs="Arial"/>
              <w:color w:val="000000" w:themeColor="text1"/>
              <w:sz w:val="22"/>
              <w:szCs w:val="22"/>
            </w:rPr>
            <w:t>(NHS England, 2015)</w:t>
          </w:r>
        </w:sdtContent>
      </w:sdt>
      <w:r w:rsidRPr="5311C3E3">
        <w:rPr>
          <w:rFonts w:cs="Arial"/>
          <w:sz w:val="22"/>
          <w:szCs w:val="22"/>
        </w:rPr>
        <w:t xml:space="preserve"> Carers should be encouraged to bring the hospital passport to appointments and when accessing services.</w:t>
      </w:r>
    </w:p>
    <w:p w14:paraId="44A7BF9A" w14:textId="3BAFBEBA" w:rsidR="588E1ACA" w:rsidRDefault="3AD8DE88" w:rsidP="5311C3E3">
      <w:pPr>
        <w:spacing w:before="240" w:after="240"/>
        <w:rPr>
          <w:rFonts w:cs="Arial"/>
          <w:sz w:val="22"/>
          <w:szCs w:val="22"/>
        </w:rPr>
      </w:pPr>
      <w:r w:rsidRPr="5311C3E3">
        <w:rPr>
          <w:rFonts w:cs="Arial"/>
          <w:sz w:val="22"/>
          <w:szCs w:val="22"/>
        </w:rPr>
        <w:t xml:space="preserve">Acute staff must review the hospital passport on admission, use and update it as part of ongoing care where relevant, and ensure it is accurate and up to date at discharge to support safe and appropriate nutrition and </w:t>
      </w:r>
      <w:r w:rsidR="3D8C7E85" w:rsidRPr="5311C3E3">
        <w:rPr>
          <w:rFonts w:cs="Arial"/>
          <w:sz w:val="22"/>
          <w:szCs w:val="22"/>
        </w:rPr>
        <w:t>hydration</w:t>
      </w:r>
      <w:r w:rsidRPr="5311C3E3">
        <w:rPr>
          <w:rFonts w:cs="Arial"/>
          <w:sz w:val="22"/>
          <w:szCs w:val="22"/>
        </w:rPr>
        <w:t xml:space="preserve"> care planning.</w:t>
      </w:r>
    </w:p>
    <w:p w14:paraId="25391332" w14:textId="351BAA6A" w:rsidR="71A65E9A" w:rsidRDefault="7C45F0A7" w:rsidP="5311C3E3">
      <w:pPr>
        <w:rPr>
          <w:rFonts w:cs="Arial"/>
          <w:color w:val="000000" w:themeColor="text1"/>
          <w:sz w:val="22"/>
          <w:szCs w:val="22"/>
        </w:rPr>
      </w:pPr>
      <w:r w:rsidRPr="5311C3E3">
        <w:rPr>
          <w:rFonts w:cs="Arial"/>
          <w:color w:val="000000" w:themeColor="text1"/>
          <w:sz w:val="22"/>
          <w:szCs w:val="22"/>
        </w:rPr>
        <w:t xml:space="preserve"> </w:t>
      </w:r>
    </w:p>
    <w:p w14:paraId="4E5C3DD4" w14:textId="5FE243E4" w:rsidR="71A65E9A" w:rsidRDefault="041A16B2" w:rsidP="2E0AB19A">
      <w:pPr>
        <w:spacing w:line="240" w:lineRule="auto"/>
        <w:rPr>
          <w:rFonts w:cs="Arial"/>
          <w:color w:val="000000" w:themeColor="text1"/>
          <w:sz w:val="22"/>
          <w:szCs w:val="22"/>
        </w:rPr>
      </w:pPr>
      <w:r w:rsidRPr="5311C3E3">
        <w:rPr>
          <w:rFonts w:cs="Arial"/>
          <w:sz w:val="22"/>
          <w:szCs w:val="22"/>
        </w:rPr>
        <w:t>Community Health Services should continue to screen for nutrition</w:t>
      </w:r>
      <w:r w:rsidR="66D6FB89" w:rsidRPr="5311C3E3">
        <w:rPr>
          <w:rFonts w:cs="Arial"/>
          <w:sz w:val="22"/>
          <w:szCs w:val="22"/>
        </w:rPr>
        <w:t>al</w:t>
      </w:r>
      <w:r w:rsidRPr="5311C3E3">
        <w:rPr>
          <w:rFonts w:cs="Arial"/>
          <w:sz w:val="22"/>
          <w:szCs w:val="22"/>
        </w:rPr>
        <w:t xml:space="preserve"> risk locally as part of holistic assessment. Service users identified as being at high nutrition</w:t>
      </w:r>
      <w:r w:rsidR="2285EED5" w:rsidRPr="5311C3E3">
        <w:rPr>
          <w:rFonts w:cs="Arial"/>
          <w:sz w:val="22"/>
          <w:szCs w:val="22"/>
        </w:rPr>
        <w:t>al</w:t>
      </w:r>
      <w:r w:rsidRPr="5311C3E3">
        <w:rPr>
          <w:rFonts w:cs="Arial"/>
          <w:sz w:val="22"/>
          <w:szCs w:val="22"/>
        </w:rPr>
        <w:t xml:space="preserve"> risk </w:t>
      </w:r>
      <w:r w:rsidR="5E7A7732" w:rsidRPr="5311C3E3">
        <w:rPr>
          <w:rFonts w:cs="Arial"/>
          <w:sz w:val="22"/>
          <w:szCs w:val="22"/>
        </w:rPr>
        <w:t>must</w:t>
      </w:r>
      <w:r w:rsidRPr="5311C3E3">
        <w:rPr>
          <w:rFonts w:cs="Arial"/>
          <w:sz w:val="22"/>
          <w:szCs w:val="22"/>
        </w:rPr>
        <w:t xml:space="preserve"> be referred to local community dietetics services.</w:t>
      </w:r>
    </w:p>
    <w:p w14:paraId="31C0BFF3" w14:textId="36F802CE" w:rsidR="71A65E9A" w:rsidRDefault="6F2EDFFB" w:rsidP="5311C3E3">
      <w:pPr>
        <w:pStyle w:val="Heading1"/>
        <w:shd w:val="clear" w:color="auto" w:fill="FFFFFF" w:themeFill="background1"/>
        <w:spacing w:after="0" w:line="257" w:lineRule="auto"/>
        <w:rPr>
          <w:sz w:val="22"/>
          <w:szCs w:val="22"/>
        </w:rPr>
      </w:pPr>
      <w:r w:rsidRPr="5311C3E3">
        <w:rPr>
          <w:sz w:val="22"/>
          <w:szCs w:val="22"/>
        </w:rPr>
        <w:lastRenderedPageBreak/>
        <w:t xml:space="preserve"> </w:t>
      </w:r>
      <w:bookmarkStart w:id="187" w:name="_Toc224651859"/>
      <w:bookmarkStart w:id="188" w:name="_Toc224652036"/>
      <w:bookmarkStart w:id="189" w:name="_Toc227057859"/>
      <w:r w:rsidR="796F4575" w:rsidRPr="5311C3E3">
        <w:rPr>
          <w:rStyle w:val="Heading1Char"/>
        </w:rPr>
        <w:t xml:space="preserve">6 </w:t>
      </w:r>
      <w:r w:rsidR="041A16B2" w:rsidRPr="5311C3E3">
        <w:rPr>
          <w:rStyle w:val="Heading1Char"/>
        </w:rPr>
        <w:t>Artificial Nutrition</w:t>
      </w:r>
      <w:r w:rsidR="2D1CC983" w:rsidRPr="5311C3E3">
        <w:rPr>
          <w:rStyle w:val="Heading1Char"/>
        </w:rPr>
        <w:t xml:space="preserve"> and </w:t>
      </w:r>
      <w:r w:rsidR="5E9AB90C" w:rsidRPr="5311C3E3">
        <w:rPr>
          <w:rStyle w:val="Heading1Char"/>
        </w:rPr>
        <w:t>T</w:t>
      </w:r>
      <w:r w:rsidR="2D1CC983" w:rsidRPr="5311C3E3">
        <w:rPr>
          <w:rStyle w:val="Heading1Char"/>
        </w:rPr>
        <w:t>hickeners</w:t>
      </w:r>
      <w:bookmarkEnd w:id="187"/>
      <w:bookmarkEnd w:id="188"/>
      <w:bookmarkEnd w:id="189"/>
    </w:p>
    <w:p w14:paraId="12982C32" w14:textId="064BC71C" w:rsidR="71A65E9A" w:rsidRDefault="71A65E9A" w:rsidP="5311C3E3">
      <w:pPr>
        <w:rPr>
          <w:rFonts w:cs="Arial"/>
          <w:sz w:val="22"/>
          <w:szCs w:val="22"/>
        </w:rPr>
      </w:pPr>
    </w:p>
    <w:p w14:paraId="755D5CAD" w14:textId="12767399" w:rsidR="71A65E9A" w:rsidRDefault="04C90D1F" w:rsidP="5311C3E3">
      <w:pPr>
        <w:spacing w:before="240" w:after="240"/>
        <w:rPr>
          <w:rFonts w:cs="Arial"/>
          <w:sz w:val="22"/>
          <w:szCs w:val="22"/>
        </w:rPr>
      </w:pPr>
      <w:r w:rsidRPr="5311C3E3">
        <w:rPr>
          <w:rFonts w:cs="Arial"/>
          <w:sz w:val="22"/>
          <w:szCs w:val="22"/>
        </w:rPr>
        <w:t>Artificial nutrition must only be initiated where clinically indicated and following appropriate multidisciplinary assessment. Nutrition support must be delivered safely, monitored regularly, and reviewed to ensure ongoing clinical need.</w:t>
      </w:r>
    </w:p>
    <w:p w14:paraId="22CA540F" w14:textId="37D42AF2" w:rsidR="71A65E9A" w:rsidRDefault="71A65E9A" w:rsidP="5311C3E3">
      <w:pPr>
        <w:spacing w:before="240" w:after="240"/>
        <w:rPr>
          <w:rFonts w:cs="Arial"/>
          <w:sz w:val="22"/>
          <w:szCs w:val="22"/>
        </w:rPr>
      </w:pPr>
    </w:p>
    <w:p w14:paraId="55ABE17B" w14:textId="322E8A8E" w:rsidR="71A65E9A" w:rsidRDefault="34F075CF" w:rsidP="66992B7B">
      <w:pPr>
        <w:spacing w:before="240" w:after="240"/>
        <w:rPr>
          <w:rFonts w:cs="Arial"/>
          <w:sz w:val="22"/>
          <w:szCs w:val="22"/>
        </w:rPr>
      </w:pPr>
      <w:r w:rsidRPr="66992B7B">
        <w:rPr>
          <w:rFonts w:cs="Arial"/>
          <w:sz w:val="22"/>
          <w:szCs w:val="22"/>
        </w:rPr>
        <w:t xml:space="preserve">Nutrition support within ELFT includes oral nutritional supplements and enteral tube feeding. </w:t>
      </w:r>
      <w:r w:rsidR="47622394" w:rsidRPr="66992B7B">
        <w:rPr>
          <w:rFonts w:cs="Arial"/>
          <w:sz w:val="22"/>
          <w:szCs w:val="22"/>
        </w:rPr>
        <w:t xml:space="preserve">Artificial nutrition refers to nutrition support provided when oral intake is inadequate or unsafe. </w:t>
      </w:r>
    </w:p>
    <w:p w14:paraId="23337FCD" w14:textId="322BADAB" w:rsidR="71A65E9A" w:rsidRDefault="71A65E9A" w:rsidP="5311C3E3">
      <w:pPr>
        <w:spacing w:before="240" w:after="240"/>
        <w:jc w:val="right"/>
        <w:rPr>
          <w:rFonts w:cs="Arial"/>
          <w:sz w:val="22"/>
          <w:szCs w:val="22"/>
        </w:rPr>
      </w:pPr>
    </w:p>
    <w:p w14:paraId="642DD47E" w14:textId="012DED37" w:rsidR="71A65E9A" w:rsidRDefault="04C90D1F" w:rsidP="5311C3E3">
      <w:pPr>
        <w:spacing w:before="240" w:after="240"/>
        <w:rPr>
          <w:rFonts w:cs="Arial"/>
          <w:sz w:val="22"/>
          <w:szCs w:val="22"/>
        </w:rPr>
      </w:pPr>
      <w:r w:rsidRPr="5311C3E3">
        <w:rPr>
          <w:rFonts w:cs="Arial"/>
          <w:sz w:val="22"/>
          <w:szCs w:val="22"/>
        </w:rPr>
        <w:t>Artificial nutrition may be required where a service user:</w:t>
      </w:r>
    </w:p>
    <w:p w14:paraId="27055502" w14:textId="5E3D7FCF" w:rsidR="71A65E9A" w:rsidRDefault="04C90D1F" w:rsidP="00825F2C">
      <w:pPr>
        <w:pStyle w:val="ListParagraph"/>
        <w:numPr>
          <w:ilvl w:val="0"/>
          <w:numId w:val="19"/>
        </w:numPr>
        <w:spacing w:before="240" w:after="240"/>
        <w:rPr>
          <w:rFonts w:cs="Arial"/>
          <w:sz w:val="22"/>
          <w:szCs w:val="22"/>
        </w:rPr>
      </w:pPr>
      <w:r w:rsidRPr="5311C3E3">
        <w:rPr>
          <w:rFonts w:cs="Arial"/>
          <w:sz w:val="22"/>
          <w:szCs w:val="22"/>
        </w:rPr>
        <w:t>Cannot meet nutritional requirements through oral intake</w:t>
      </w:r>
    </w:p>
    <w:p w14:paraId="70DC715E" w14:textId="72EB3D4A" w:rsidR="71A65E9A" w:rsidRDefault="04C90D1F" w:rsidP="00825F2C">
      <w:pPr>
        <w:pStyle w:val="ListParagraph"/>
        <w:numPr>
          <w:ilvl w:val="0"/>
          <w:numId w:val="19"/>
        </w:numPr>
        <w:spacing w:before="240" w:after="240"/>
        <w:rPr>
          <w:rFonts w:cs="Arial"/>
          <w:sz w:val="22"/>
          <w:szCs w:val="22"/>
        </w:rPr>
      </w:pPr>
      <w:r w:rsidRPr="5311C3E3">
        <w:rPr>
          <w:rFonts w:cs="Arial"/>
          <w:sz w:val="22"/>
          <w:szCs w:val="22"/>
        </w:rPr>
        <w:t>Has swallowing difficulties</w:t>
      </w:r>
    </w:p>
    <w:p w14:paraId="44EE4BD7" w14:textId="339949AB" w:rsidR="71A65E9A" w:rsidRDefault="04C90D1F" w:rsidP="00825F2C">
      <w:pPr>
        <w:pStyle w:val="ListParagraph"/>
        <w:numPr>
          <w:ilvl w:val="0"/>
          <w:numId w:val="19"/>
        </w:numPr>
        <w:spacing w:before="240" w:after="240"/>
        <w:rPr>
          <w:rFonts w:cs="Arial"/>
          <w:sz w:val="22"/>
          <w:szCs w:val="22"/>
        </w:rPr>
      </w:pPr>
      <w:r w:rsidRPr="5311C3E3">
        <w:rPr>
          <w:rFonts w:cs="Arial"/>
          <w:sz w:val="22"/>
          <w:szCs w:val="22"/>
        </w:rPr>
        <w:t>Has increased nutritional requirements due to illness</w:t>
      </w:r>
    </w:p>
    <w:p w14:paraId="42EB95C8" w14:textId="75725F73" w:rsidR="71A65E9A" w:rsidRDefault="04C90D1F" w:rsidP="00825F2C">
      <w:pPr>
        <w:pStyle w:val="ListParagraph"/>
        <w:numPr>
          <w:ilvl w:val="0"/>
          <w:numId w:val="19"/>
        </w:numPr>
        <w:spacing w:before="240" w:after="240"/>
        <w:rPr>
          <w:rFonts w:cs="Arial"/>
          <w:sz w:val="22"/>
          <w:szCs w:val="22"/>
        </w:rPr>
      </w:pPr>
      <w:r w:rsidRPr="5311C3E3">
        <w:rPr>
          <w:rFonts w:cs="Arial"/>
          <w:sz w:val="22"/>
          <w:szCs w:val="22"/>
        </w:rPr>
        <w:t>Has conditions affecting nutrient absorption</w:t>
      </w:r>
    </w:p>
    <w:p w14:paraId="0BA6ADEE" w14:textId="22E1E45E" w:rsidR="5311C3E3" w:rsidRDefault="003E5E9D" w:rsidP="5311C3E3">
      <w:pPr>
        <w:pStyle w:val="ListParagraph"/>
        <w:spacing w:before="240" w:after="240"/>
        <w:jc w:val="right"/>
        <w:rPr>
          <w:rFonts w:cs="Arial"/>
          <w:color w:val="000000" w:themeColor="text1"/>
          <w:sz w:val="22"/>
          <w:szCs w:val="22"/>
        </w:rPr>
      </w:pPr>
      <w:sdt>
        <w:sdtPr>
          <w:tag w:val="MENDELEY_CITATION_v3_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"/>
          <w:id w:val="1134620615"/>
          <w:placeholder>
            <w:docPart w:val="DefaultPlaceholder_-1854013440"/>
          </w:placeholder>
        </w:sdtPr>
        <w:sdtEndPr/>
        <w:sdtContent>
          <w:r w:rsidR="5311C3E3" w:rsidRPr="5311C3E3">
            <w:rPr>
              <w:rFonts w:cs="Arial"/>
              <w:color w:val="000000" w:themeColor="text1"/>
              <w:sz w:val="22"/>
              <w:szCs w:val="22"/>
            </w:rPr>
            <w:t xml:space="preserve">(Bischoff </w:t>
          </w:r>
          <w:r w:rsidR="5311C3E3" w:rsidRPr="00517414">
            <w:rPr>
              <w:rFonts w:cs="Arial"/>
              <w:i/>
              <w:color w:val="000000" w:themeColor="text1"/>
              <w:sz w:val="22"/>
              <w:szCs w:val="22"/>
            </w:rPr>
            <w:t>et al</w:t>
          </w:r>
          <w:r w:rsidR="5311C3E3" w:rsidRPr="5311C3E3">
            <w:rPr>
              <w:rFonts w:cs="Arial"/>
              <w:color w:val="000000" w:themeColor="text1"/>
              <w:sz w:val="22"/>
              <w:szCs w:val="22"/>
            </w:rPr>
            <w:t>., 2020)</w:t>
          </w:r>
        </w:sdtContent>
      </w:sdt>
    </w:p>
    <w:p w14:paraId="09F4CF29" w14:textId="0B1472A0" w:rsidR="71A65E9A" w:rsidRDefault="04C90D1F" w:rsidP="5311C3E3">
      <w:pPr>
        <w:spacing w:before="240" w:after="240"/>
        <w:rPr>
          <w:rFonts w:cs="Arial"/>
          <w:sz w:val="22"/>
          <w:szCs w:val="22"/>
        </w:rPr>
      </w:pPr>
      <w:r w:rsidRPr="5311C3E3">
        <w:rPr>
          <w:rFonts w:cs="Arial"/>
          <w:sz w:val="22"/>
          <w:szCs w:val="22"/>
        </w:rPr>
        <w:t xml:space="preserve">Oral nutritional supplements and enteral feeds are classified as borderline substances and must be prescribed in accordance with Advisory Committee on Borderline Substances (ACBS) guidance, Trust prescribing policies, and relevant </w:t>
      </w:r>
      <w:r w:rsidR="00517414">
        <w:rPr>
          <w:rFonts w:cs="Arial"/>
          <w:sz w:val="22"/>
          <w:szCs w:val="22"/>
        </w:rPr>
        <w:t xml:space="preserve">ICB </w:t>
      </w:r>
      <w:r w:rsidRPr="5311C3E3">
        <w:rPr>
          <w:rFonts w:cs="Arial"/>
          <w:sz w:val="22"/>
          <w:szCs w:val="22"/>
        </w:rPr>
        <w:t>prescribing guidance.</w:t>
      </w:r>
    </w:p>
    <w:p w14:paraId="772DA7B1" w14:textId="64CB3A9A" w:rsidR="71A65E9A" w:rsidRDefault="71A65E9A" w:rsidP="5311C3E3">
      <w:pPr>
        <w:spacing w:before="240" w:after="240"/>
        <w:rPr>
          <w:rFonts w:cs="Arial"/>
          <w:sz w:val="22"/>
          <w:szCs w:val="22"/>
        </w:rPr>
      </w:pPr>
    </w:p>
    <w:p w14:paraId="7961A333" w14:textId="40DDC0A4" w:rsidR="71A65E9A" w:rsidRDefault="04C90D1F" w:rsidP="5311C3E3">
      <w:pPr>
        <w:spacing w:before="240" w:after="240"/>
        <w:rPr>
          <w:rFonts w:cs="Arial"/>
          <w:sz w:val="22"/>
          <w:szCs w:val="22"/>
        </w:rPr>
      </w:pPr>
      <w:r w:rsidRPr="5311C3E3">
        <w:rPr>
          <w:rFonts w:cs="Arial"/>
          <w:sz w:val="22"/>
          <w:szCs w:val="22"/>
        </w:rPr>
        <w:t>For ELFT services this includes guidance issued by Northeast London ICB and Bedfordshire, Luton and Milton Keynes ICB.</w:t>
      </w:r>
    </w:p>
    <w:p w14:paraId="439449B2" w14:textId="3540CC6D" w:rsidR="71A65E9A" w:rsidRDefault="71A65E9A" w:rsidP="5311C3E3">
      <w:pPr>
        <w:spacing w:before="240" w:after="240"/>
        <w:rPr>
          <w:rFonts w:cs="Arial"/>
          <w:sz w:val="22"/>
          <w:szCs w:val="22"/>
        </w:rPr>
      </w:pPr>
    </w:p>
    <w:p w14:paraId="440ADA28" w14:textId="4F354230" w:rsidR="71A65E9A" w:rsidRDefault="04C90D1F" w:rsidP="5311C3E3">
      <w:pPr>
        <w:spacing w:before="240" w:after="240"/>
        <w:rPr>
          <w:rFonts w:cs="Arial"/>
          <w:sz w:val="22"/>
          <w:szCs w:val="22"/>
        </w:rPr>
      </w:pPr>
      <w:r w:rsidRPr="5311C3E3">
        <w:rPr>
          <w:rFonts w:cs="Arial"/>
          <w:sz w:val="22"/>
          <w:szCs w:val="22"/>
        </w:rPr>
        <w:t>Dietitians provide specialist nutritional assessment and make recommendations for nutrition support. Prescribing remains the responsibility of an authorised prescriber.</w:t>
      </w:r>
    </w:p>
    <w:p w14:paraId="050A5015" w14:textId="64124202" w:rsidR="71A65E9A" w:rsidRDefault="71A65E9A" w:rsidP="5311C3E3">
      <w:pPr>
        <w:spacing w:before="240" w:after="240"/>
        <w:rPr>
          <w:rFonts w:cs="Arial"/>
          <w:sz w:val="22"/>
          <w:szCs w:val="22"/>
        </w:rPr>
      </w:pPr>
    </w:p>
    <w:p w14:paraId="62FD54C0" w14:textId="37A3692E" w:rsidR="71A65E9A" w:rsidRDefault="04C90D1F" w:rsidP="5311C3E3">
      <w:pPr>
        <w:spacing w:before="240" w:after="240"/>
        <w:rPr>
          <w:rFonts w:cs="Arial"/>
          <w:sz w:val="22"/>
          <w:szCs w:val="22"/>
        </w:rPr>
      </w:pPr>
      <w:r w:rsidRPr="5311C3E3">
        <w:rPr>
          <w:rFonts w:cs="Arial"/>
          <w:sz w:val="22"/>
          <w:szCs w:val="22"/>
        </w:rPr>
        <w:t>All service users receiving artificial nutrition must have an individualised nutrition care plan documented in the electronic patient record.</w:t>
      </w:r>
    </w:p>
    <w:p w14:paraId="732019F7" w14:textId="158BAC09" w:rsidR="71A65E9A" w:rsidRDefault="71A65E9A" w:rsidP="5311C3E3">
      <w:pPr>
        <w:spacing w:before="240" w:after="240"/>
        <w:rPr>
          <w:rFonts w:cs="Arial"/>
          <w:sz w:val="22"/>
          <w:szCs w:val="22"/>
        </w:rPr>
      </w:pPr>
    </w:p>
    <w:p w14:paraId="245E3D27" w14:textId="36D08B89" w:rsidR="71A65E9A" w:rsidRDefault="04C90D1F" w:rsidP="5311C3E3">
      <w:pPr>
        <w:spacing w:before="240" w:after="240"/>
        <w:rPr>
          <w:rFonts w:cs="Arial"/>
          <w:sz w:val="22"/>
          <w:szCs w:val="22"/>
        </w:rPr>
      </w:pPr>
      <w:r w:rsidRPr="5311C3E3">
        <w:rPr>
          <w:rFonts w:cs="Arial"/>
          <w:sz w:val="22"/>
          <w:szCs w:val="22"/>
        </w:rPr>
        <w:t>Service users receiving artificial nutrition must have ongoing monitoring of nutritional status, tolerance of feeding and clinical condition. Any deterioration, complications or feeding intolerance must be escalated to the multidisciplinary team and dietitian without delay.</w:t>
      </w:r>
    </w:p>
    <w:p w14:paraId="3549C5A0" w14:textId="3C2D4083" w:rsidR="71A65E9A" w:rsidRDefault="71A65E9A" w:rsidP="5311C3E3">
      <w:pPr>
        <w:rPr>
          <w:rFonts w:cs="Arial"/>
          <w:sz w:val="22"/>
          <w:szCs w:val="22"/>
        </w:rPr>
      </w:pPr>
    </w:p>
    <w:p w14:paraId="07E2D683" w14:textId="1D50E227" w:rsidR="71A65E9A" w:rsidRDefault="52532B12" w:rsidP="5311C3E3">
      <w:pPr>
        <w:pStyle w:val="Heading3"/>
        <w:rPr>
          <w:rFonts w:ascii="Arial" w:eastAsia="Arial" w:hAnsi="Arial" w:cs="Arial"/>
          <w:sz w:val="22"/>
          <w:szCs w:val="22"/>
        </w:rPr>
      </w:pPr>
      <w:r w:rsidRPr="5311C3E3">
        <w:rPr>
          <w:rFonts w:ascii="Arial" w:eastAsia="Arial" w:hAnsi="Arial" w:cs="Arial"/>
          <w:sz w:val="22"/>
          <w:szCs w:val="22"/>
        </w:rPr>
        <w:t xml:space="preserve"> </w:t>
      </w:r>
      <w:bookmarkStart w:id="190" w:name="_Toc224651860"/>
      <w:bookmarkStart w:id="191" w:name="_Toc224652037"/>
      <w:bookmarkStart w:id="192" w:name="_Toc227057860"/>
      <w:r w:rsidR="72CD9B43" w:rsidRPr="5311C3E3">
        <w:rPr>
          <w:rStyle w:val="Heading2Char"/>
        </w:rPr>
        <w:t xml:space="preserve">6.1 </w:t>
      </w:r>
      <w:r w:rsidRPr="5311C3E3">
        <w:rPr>
          <w:rStyle w:val="Heading2Char"/>
        </w:rPr>
        <w:t>Or</w:t>
      </w:r>
      <w:r w:rsidR="4337B044" w:rsidRPr="5311C3E3">
        <w:rPr>
          <w:rStyle w:val="Heading2Char"/>
        </w:rPr>
        <w:t>al Nutritional Supplements</w:t>
      </w:r>
      <w:bookmarkEnd w:id="190"/>
      <w:bookmarkEnd w:id="191"/>
      <w:bookmarkEnd w:id="192"/>
    </w:p>
    <w:p w14:paraId="3D03DAC6" w14:textId="629B9766" w:rsidR="71A65E9A" w:rsidRDefault="4337B044" w:rsidP="5311C3E3">
      <w:pPr>
        <w:spacing w:before="240" w:after="240"/>
        <w:rPr>
          <w:rFonts w:cs="Arial"/>
          <w:sz w:val="22"/>
          <w:szCs w:val="22"/>
        </w:rPr>
      </w:pPr>
      <w:r w:rsidRPr="5311C3E3">
        <w:rPr>
          <w:rFonts w:cs="Arial"/>
          <w:sz w:val="22"/>
          <w:szCs w:val="22"/>
        </w:rPr>
        <w:t xml:space="preserve">Oral nutritional supplements (ONS), also known as sip feeds, may be used to support nutritional intake where oral </w:t>
      </w:r>
      <w:r w:rsidR="6B184A3E" w:rsidRPr="5311C3E3">
        <w:rPr>
          <w:rFonts w:cs="Arial"/>
          <w:sz w:val="22"/>
          <w:szCs w:val="22"/>
        </w:rPr>
        <w:t>intake</w:t>
      </w:r>
      <w:r w:rsidRPr="5311C3E3">
        <w:rPr>
          <w:rFonts w:cs="Arial"/>
          <w:sz w:val="22"/>
          <w:szCs w:val="22"/>
        </w:rPr>
        <w:t xml:space="preserve"> alone is insufficient.</w:t>
      </w:r>
    </w:p>
    <w:p w14:paraId="229C3561" w14:textId="4C21FB5F" w:rsidR="71A65E9A" w:rsidRDefault="4337B044" w:rsidP="5311C3E3">
      <w:pPr>
        <w:spacing w:before="240" w:after="240"/>
        <w:rPr>
          <w:rFonts w:cs="Arial"/>
          <w:sz w:val="22"/>
          <w:szCs w:val="22"/>
        </w:rPr>
      </w:pPr>
      <w:r w:rsidRPr="1D6E3FFF">
        <w:rPr>
          <w:rFonts w:cs="Arial"/>
          <w:sz w:val="22"/>
          <w:szCs w:val="22"/>
        </w:rPr>
        <w:t>A Food First approach must be considered and implemented before initiating oral nutritional supplements where clinically appropriate. Food First strategies include dietary advice, food fortification and adjustments to meal patterns</w:t>
      </w:r>
      <w:r w:rsidR="05E8FC8B" w:rsidRPr="1D6E3FFF">
        <w:rPr>
          <w:rFonts w:cs="Arial"/>
          <w:sz w:val="22"/>
          <w:szCs w:val="22"/>
        </w:rPr>
        <w:t>, for example encouragement to eat little and often,</w:t>
      </w:r>
      <w:r w:rsidRPr="1D6E3FFF">
        <w:rPr>
          <w:rFonts w:cs="Arial"/>
          <w:sz w:val="22"/>
          <w:szCs w:val="22"/>
        </w:rPr>
        <w:t xml:space="preserve"> to increase energy and protein intake.</w:t>
      </w:r>
      <w:r w:rsidR="55ED28EE" w:rsidRPr="1D6E3FFF">
        <w:rPr>
          <w:rFonts w:cs="Arial"/>
          <w:sz w:val="22"/>
          <w:szCs w:val="22"/>
        </w:rPr>
        <w:t xml:space="preserve"> Supporting resources are available on the ELFT Nutrition and Dietetics Intranet page.</w:t>
      </w:r>
    </w:p>
    <w:p w14:paraId="29295A0F" w14:textId="46D45CE9" w:rsidR="71A65E9A" w:rsidRDefault="71A65E9A" w:rsidP="5311C3E3">
      <w:pPr>
        <w:spacing w:before="240" w:after="240"/>
        <w:rPr>
          <w:rFonts w:cs="Arial"/>
          <w:sz w:val="22"/>
          <w:szCs w:val="22"/>
        </w:rPr>
      </w:pPr>
    </w:p>
    <w:p w14:paraId="36DC1DE1" w14:textId="179C9E0E" w:rsidR="71A65E9A" w:rsidRDefault="4337B044" w:rsidP="5311C3E3">
      <w:pPr>
        <w:spacing w:before="240" w:after="240"/>
        <w:rPr>
          <w:rFonts w:cs="Arial"/>
          <w:sz w:val="22"/>
          <w:szCs w:val="22"/>
        </w:rPr>
      </w:pPr>
      <w:r w:rsidRPr="5311C3E3">
        <w:rPr>
          <w:rFonts w:cs="Arial"/>
          <w:sz w:val="22"/>
          <w:szCs w:val="22"/>
        </w:rPr>
        <w:t xml:space="preserve">ONS may be </w:t>
      </w:r>
      <w:r w:rsidR="18425E8B" w:rsidRPr="5311C3E3">
        <w:rPr>
          <w:rFonts w:cs="Arial"/>
          <w:sz w:val="22"/>
          <w:szCs w:val="22"/>
        </w:rPr>
        <w:t>prescribed</w:t>
      </w:r>
      <w:r w:rsidRPr="5311C3E3">
        <w:rPr>
          <w:rFonts w:cs="Arial"/>
          <w:sz w:val="22"/>
          <w:szCs w:val="22"/>
        </w:rPr>
        <w:t xml:space="preserve"> in accordance with guidance issued by North East London ICB and Bedfordshire, Luton and Milton Keynes ICB.</w:t>
      </w:r>
    </w:p>
    <w:p w14:paraId="72E3C72C" w14:textId="21EF92EB" w:rsidR="71A65E9A" w:rsidRDefault="71A65E9A" w:rsidP="5311C3E3">
      <w:pPr>
        <w:spacing w:before="240" w:after="240"/>
        <w:rPr>
          <w:rFonts w:cs="Arial"/>
          <w:sz w:val="22"/>
          <w:szCs w:val="22"/>
        </w:rPr>
      </w:pPr>
    </w:p>
    <w:p w14:paraId="2636DFD5" w14:textId="13A1412C" w:rsidR="71A65E9A" w:rsidRDefault="4337B044" w:rsidP="5311C3E3">
      <w:pPr>
        <w:spacing w:before="240" w:after="240"/>
        <w:rPr>
          <w:rFonts w:cs="Arial"/>
          <w:sz w:val="22"/>
          <w:szCs w:val="22"/>
        </w:rPr>
      </w:pPr>
      <w:r w:rsidRPr="5311C3E3">
        <w:rPr>
          <w:rFonts w:cs="Arial"/>
          <w:sz w:val="22"/>
          <w:szCs w:val="22"/>
        </w:rPr>
        <w:t xml:space="preserve">People living with </w:t>
      </w:r>
      <w:r w:rsidR="3ED151BE" w:rsidRPr="5311C3E3">
        <w:rPr>
          <w:rFonts w:cs="Arial"/>
          <w:sz w:val="22"/>
          <w:szCs w:val="22"/>
        </w:rPr>
        <w:t xml:space="preserve">SMI </w:t>
      </w:r>
      <w:r w:rsidRPr="5311C3E3">
        <w:rPr>
          <w:rFonts w:cs="Arial"/>
          <w:sz w:val="22"/>
          <w:szCs w:val="22"/>
        </w:rPr>
        <w:t>may experience nutritional risk despite not meeting standard prescribing thresholds. In these situations, clinicians may consider ONS based on holistic clinical judgement and multidisciplinary assessment.</w:t>
      </w:r>
    </w:p>
    <w:p w14:paraId="00240BE6" w14:textId="1B01B328" w:rsidR="71A65E9A" w:rsidRDefault="71A65E9A" w:rsidP="5311C3E3">
      <w:pPr>
        <w:spacing w:before="240" w:after="240"/>
        <w:rPr>
          <w:rFonts w:cs="Arial"/>
          <w:sz w:val="22"/>
          <w:szCs w:val="22"/>
        </w:rPr>
      </w:pPr>
    </w:p>
    <w:p w14:paraId="4F9C334B" w14:textId="2349CA99" w:rsidR="71A65E9A" w:rsidRDefault="4337B044" w:rsidP="5311C3E3">
      <w:pPr>
        <w:spacing w:before="240" w:after="240"/>
        <w:rPr>
          <w:rFonts w:cs="Arial"/>
          <w:sz w:val="22"/>
          <w:szCs w:val="22"/>
        </w:rPr>
      </w:pPr>
      <w:r w:rsidRPr="5311C3E3">
        <w:rPr>
          <w:rFonts w:cs="Arial"/>
          <w:sz w:val="22"/>
          <w:szCs w:val="22"/>
        </w:rPr>
        <w:t>ONS prescribing must be undertaken in accordance with:</w:t>
      </w:r>
    </w:p>
    <w:p w14:paraId="7B745E43" w14:textId="025FBB26" w:rsidR="71A65E9A" w:rsidRDefault="02F702A8" w:rsidP="00825F2C">
      <w:pPr>
        <w:pStyle w:val="ListParagraph"/>
        <w:numPr>
          <w:ilvl w:val="0"/>
          <w:numId w:val="18"/>
        </w:numPr>
        <w:spacing w:before="240" w:after="240"/>
        <w:rPr>
          <w:rFonts w:cs="Arial"/>
          <w:sz w:val="22"/>
          <w:szCs w:val="22"/>
        </w:rPr>
      </w:pPr>
      <w:r w:rsidRPr="5311C3E3">
        <w:rPr>
          <w:rFonts w:cs="Arial"/>
          <w:sz w:val="22"/>
          <w:szCs w:val="22"/>
        </w:rPr>
        <w:t>A</w:t>
      </w:r>
      <w:r w:rsidR="4337B044" w:rsidRPr="5311C3E3">
        <w:rPr>
          <w:rFonts w:cs="Arial"/>
          <w:sz w:val="22"/>
          <w:szCs w:val="22"/>
        </w:rPr>
        <w:t>dvisory Committee on Borderline Substances (ACBS) indications</w:t>
      </w:r>
    </w:p>
    <w:p w14:paraId="72997488" w14:textId="1D3F4456" w:rsidR="71A65E9A" w:rsidRDefault="1E8F1AF3" w:rsidP="00825F2C">
      <w:pPr>
        <w:pStyle w:val="ListParagraph"/>
        <w:numPr>
          <w:ilvl w:val="0"/>
          <w:numId w:val="18"/>
        </w:numPr>
        <w:spacing w:before="240" w:after="240"/>
        <w:rPr>
          <w:rFonts w:cs="Arial"/>
          <w:sz w:val="22"/>
          <w:szCs w:val="22"/>
        </w:rPr>
      </w:pPr>
      <w:r w:rsidRPr="5311C3E3">
        <w:rPr>
          <w:rFonts w:cs="Arial"/>
          <w:sz w:val="22"/>
          <w:szCs w:val="22"/>
        </w:rPr>
        <w:t>T</w:t>
      </w:r>
      <w:r w:rsidR="4337B044" w:rsidRPr="5311C3E3">
        <w:rPr>
          <w:rFonts w:cs="Arial"/>
          <w:sz w:val="22"/>
          <w:szCs w:val="22"/>
        </w:rPr>
        <w:t>rust prescribing policies</w:t>
      </w:r>
    </w:p>
    <w:p w14:paraId="7419CA0D" w14:textId="2B9265B4" w:rsidR="71A65E9A" w:rsidRDefault="6A3DE9D3" w:rsidP="00825F2C">
      <w:pPr>
        <w:pStyle w:val="ListParagraph"/>
        <w:numPr>
          <w:ilvl w:val="0"/>
          <w:numId w:val="18"/>
        </w:numPr>
        <w:spacing w:before="240" w:after="240"/>
        <w:rPr>
          <w:rFonts w:cs="Arial"/>
          <w:sz w:val="22"/>
          <w:szCs w:val="22"/>
        </w:rPr>
      </w:pPr>
      <w:r w:rsidRPr="5311C3E3">
        <w:rPr>
          <w:rFonts w:cs="Arial"/>
          <w:sz w:val="22"/>
          <w:szCs w:val="22"/>
        </w:rPr>
        <w:t>R</w:t>
      </w:r>
      <w:r w:rsidR="4337B044" w:rsidRPr="5311C3E3">
        <w:rPr>
          <w:rFonts w:cs="Arial"/>
          <w:sz w:val="22"/>
          <w:szCs w:val="22"/>
        </w:rPr>
        <w:t>elevant local ICB prescribing guidance</w:t>
      </w:r>
    </w:p>
    <w:p w14:paraId="3AEE1880" w14:textId="11F92E7D" w:rsidR="71A65E9A" w:rsidRDefault="4337B044" w:rsidP="5311C3E3">
      <w:pPr>
        <w:spacing w:before="240" w:after="240"/>
        <w:rPr>
          <w:rFonts w:cs="Arial"/>
          <w:sz w:val="22"/>
          <w:szCs w:val="22"/>
        </w:rPr>
      </w:pPr>
      <w:r w:rsidRPr="5311C3E3">
        <w:rPr>
          <w:rFonts w:cs="Arial"/>
          <w:sz w:val="22"/>
          <w:szCs w:val="22"/>
        </w:rPr>
        <w:t>Where dietetic services are available, service users admitted with an existing ONS prescription should be referred to a dietitian for assessment, individualised nutrition care planning and monitoring.</w:t>
      </w:r>
    </w:p>
    <w:p w14:paraId="1A49913F" w14:textId="2C7267C0" w:rsidR="71A65E9A" w:rsidRDefault="71A65E9A" w:rsidP="5311C3E3">
      <w:pPr>
        <w:spacing w:before="240" w:after="240"/>
        <w:rPr>
          <w:rFonts w:cs="Arial"/>
          <w:sz w:val="22"/>
          <w:szCs w:val="22"/>
        </w:rPr>
      </w:pPr>
    </w:p>
    <w:p w14:paraId="75439A48" w14:textId="46131EF4" w:rsidR="71A65E9A" w:rsidRDefault="4337B044" w:rsidP="5311C3E3">
      <w:pPr>
        <w:spacing w:before="240" w:after="240"/>
        <w:rPr>
          <w:rFonts w:cs="Arial"/>
          <w:sz w:val="22"/>
          <w:szCs w:val="22"/>
        </w:rPr>
      </w:pPr>
      <w:r w:rsidRPr="5311C3E3">
        <w:rPr>
          <w:rFonts w:cs="Arial"/>
          <w:sz w:val="22"/>
          <w:szCs w:val="22"/>
        </w:rPr>
        <w:t>In services where a dietitian is not directly available, staff must follow local nutrition care planning guidance and seek dietetic advice through established referral pathways where clinically indicated.</w:t>
      </w:r>
    </w:p>
    <w:p w14:paraId="3E8E0AF4" w14:textId="5C703D18" w:rsidR="71A65E9A" w:rsidRDefault="71A65E9A" w:rsidP="5311C3E3">
      <w:pPr>
        <w:spacing w:before="240" w:after="240"/>
        <w:rPr>
          <w:rFonts w:cs="Arial"/>
          <w:sz w:val="22"/>
          <w:szCs w:val="22"/>
        </w:rPr>
      </w:pPr>
    </w:p>
    <w:p w14:paraId="589C0151" w14:textId="09032BC4" w:rsidR="71A65E9A" w:rsidRDefault="4337B044" w:rsidP="5311C3E3">
      <w:pPr>
        <w:spacing w:before="240" w:after="240"/>
        <w:rPr>
          <w:rFonts w:cs="Arial"/>
          <w:sz w:val="22"/>
          <w:szCs w:val="22"/>
        </w:rPr>
      </w:pPr>
      <w:r w:rsidRPr="5311C3E3">
        <w:rPr>
          <w:rFonts w:cs="Arial"/>
          <w:sz w:val="22"/>
          <w:szCs w:val="22"/>
        </w:rPr>
        <w:t>ONS should not normally be initiated without dietetic input unless advised within local protocols or agreed through multidisciplinary clinical review.</w:t>
      </w:r>
    </w:p>
    <w:p w14:paraId="3F2E8EF7" w14:textId="20DBA2C7" w:rsidR="71A65E9A" w:rsidRDefault="71A65E9A" w:rsidP="5311C3E3">
      <w:pPr>
        <w:spacing w:before="240" w:after="240"/>
        <w:rPr>
          <w:rFonts w:cs="Arial"/>
          <w:sz w:val="22"/>
          <w:szCs w:val="22"/>
        </w:rPr>
      </w:pPr>
    </w:p>
    <w:p w14:paraId="3D91A5AD" w14:textId="1F11D49F" w:rsidR="71A65E9A" w:rsidRDefault="4337B044" w:rsidP="5311C3E3">
      <w:pPr>
        <w:spacing w:before="240" w:after="240"/>
        <w:rPr>
          <w:rFonts w:cs="Arial"/>
          <w:sz w:val="22"/>
          <w:szCs w:val="22"/>
        </w:rPr>
      </w:pPr>
      <w:r w:rsidRPr="5311C3E3">
        <w:rPr>
          <w:rFonts w:cs="Arial"/>
          <w:sz w:val="22"/>
          <w:szCs w:val="22"/>
        </w:rPr>
        <w:t>Prescriptions for oral nutritional supplements must be reviewed regularly to ensure ongoing clinical need and discontinued where no longer clinically indicated.</w:t>
      </w:r>
    </w:p>
    <w:p w14:paraId="77F879AF" w14:textId="5BBCB51A" w:rsidR="71A65E9A" w:rsidRDefault="71A65E9A" w:rsidP="5311C3E3">
      <w:pPr>
        <w:rPr>
          <w:rFonts w:cs="Arial"/>
          <w:sz w:val="22"/>
          <w:szCs w:val="22"/>
        </w:rPr>
      </w:pPr>
    </w:p>
    <w:p w14:paraId="76750F44" w14:textId="36AA1BC6" w:rsidR="71A65E9A" w:rsidRDefault="4337B044" w:rsidP="5311C3E3">
      <w:pPr>
        <w:pStyle w:val="Heading2"/>
        <w:rPr>
          <w:rFonts w:ascii="Arial" w:eastAsia="Arial" w:hAnsi="Arial" w:cs="Arial"/>
          <w:sz w:val="22"/>
          <w:szCs w:val="22"/>
        </w:rPr>
      </w:pPr>
      <w:r w:rsidRPr="5311C3E3">
        <w:rPr>
          <w:rFonts w:ascii="Arial" w:eastAsia="Arial" w:hAnsi="Arial" w:cs="Arial"/>
          <w:sz w:val="22"/>
          <w:szCs w:val="22"/>
        </w:rPr>
        <w:t xml:space="preserve"> </w:t>
      </w:r>
      <w:bookmarkStart w:id="193" w:name="_Toc224651861"/>
      <w:bookmarkStart w:id="194" w:name="_Toc224652038"/>
      <w:bookmarkStart w:id="195" w:name="_Toc227057861"/>
      <w:r w:rsidR="4C027312" w:rsidRPr="5311C3E3">
        <w:rPr>
          <w:rStyle w:val="Heading2Char"/>
        </w:rPr>
        <w:t xml:space="preserve">6.2 </w:t>
      </w:r>
      <w:r w:rsidRPr="5311C3E3">
        <w:rPr>
          <w:rStyle w:val="Heading2Char"/>
        </w:rPr>
        <w:t>Thickening Agents and Texture Modification</w:t>
      </w:r>
      <w:bookmarkEnd w:id="193"/>
      <w:bookmarkEnd w:id="194"/>
      <w:bookmarkEnd w:id="195"/>
    </w:p>
    <w:p w14:paraId="47EE9D2D" w14:textId="3EE4D022" w:rsidR="71A65E9A" w:rsidRDefault="4337B044" w:rsidP="5311C3E3">
      <w:pPr>
        <w:spacing w:before="240" w:after="240"/>
        <w:rPr>
          <w:rFonts w:cs="Arial"/>
          <w:sz w:val="22"/>
          <w:szCs w:val="22"/>
        </w:rPr>
      </w:pPr>
      <w:r w:rsidRPr="5311C3E3">
        <w:rPr>
          <w:rFonts w:cs="Arial"/>
          <w:sz w:val="22"/>
          <w:szCs w:val="22"/>
        </w:rPr>
        <w:t>Thickening agents and texture-modified diets may be required where a service user has dysphagia or swallowing difficulties.</w:t>
      </w:r>
    </w:p>
    <w:p w14:paraId="130F995E" w14:textId="1EC20A1F" w:rsidR="71A65E9A" w:rsidRDefault="71A65E9A" w:rsidP="5311C3E3">
      <w:pPr>
        <w:spacing w:before="240" w:after="240"/>
        <w:rPr>
          <w:rFonts w:cs="Arial"/>
          <w:sz w:val="22"/>
          <w:szCs w:val="22"/>
        </w:rPr>
      </w:pPr>
    </w:p>
    <w:p w14:paraId="0F241DC6" w14:textId="11E6E1F4" w:rsidR="71A65E9A" w:rsidRDefault="4337B044" w:rsidP="5311C3E3">
      <w:pPr>
        <w:spacing w:before="240" w:after="240"/>
        <w:rPr>
          <w:rFonts w:cs="Arial"/>
          <w:sz w:val="22"/>
          <w:szCs w:val="22"/>
        </w:rPr>
      </w:pPr>
      <w:r w:rsidRPr="5311C3E3">
        <w:rPr>
          <w:rFonts w:cs="Arial"/>
          <w:sz w:val="22"/>
          <w:szCs w:val="22"/>
        </w:rPr>
        <w:t>Recommendations for thickened fluids and modified texture diets must follow assessment and guidance from a SLT and must be documented within the service user’s care plan.</w:t>
      </w:r>
    </w:p>
    <w:p w14:paraId="07CAFCBA" w14:textId="522FB814" w:rsidR="71A65E9A" w:rsidRDefault="71A65E9A" w:rsidP="5311C3E3">
      <w:pPr>
        <w:spacing w:before="240" w:after="240"/>
        <w:rPr>
          <w:rFonts w:cs="Arial"/>
          <w:sz w:val="22"/>
          <w:szCs w:val="22"/>
        </w:rPr>
      </w:pPr>
    </w:p>
    <w:p w14:paraId="247B0E62" w14:textId="7CAAF66C" w:rsidR="71A65E9A" w:rsidRDefault="4337B044" w:rsidP="5311C3E3">
      <w:pPr>
        <w:spacing w:before="240" w:after="240"/>
        <w:rPr>
          <w:rFonts w:cs="Arial"/>
          <w:sz w:val="22"/>
          <w:szCs w:val="22"/>
        </w:rPr>
      </w:pPr>
      <w:r w:rsidRPr="5311C3E3">
        <w:rPr>
          <w:rFonts w:cs="Arial"/>
          <w:sz w:val="22"/>
          <w:szCs w:val="22"/>
        </w:rPr>
        <w:t>Where thickening agents or modified diets are prescribed:</w:t>
      </w:r>
    </w:p>
    <w:p w14:paraId="4C1E17A8" w14:textId="0B3EA6E0" w:rsidR="71A65E9A" w:rsidRDefault="29F8A0B5" w:rsidP="00825F2C">
      <w:pPr>
        <w:pStyle w:val="ListParagraph"/>
        <w:numPr>
          <w:ilvl w:val="0"/>
          <w:numId w:val="17"/>
        </w:numPr>
        <w:spacing w:before="240" w:after="240"/>
        <w:rPr>
          <w:rFonts w:cs="Arial"/>
          <w:sz w:val="22"/>
          <w:szCs w:val="22"/>
        </w:rPr>
      </w:pPr>
      <w:r w:rsidRPr="5311C3E3">
        <w:rPr>
          <w:rFonts w:cs="Arial"/>
          <w:sz w:val="22"/>
          <w:szCs w:val="22"/>
        </w:rPr>
        <w:t>P</w:t>
      </w:r>
      <w:r w:rsidR="4337B044" w:rsidRPr="5311C3E3">
        <w:rPr>
          <w:rFonts w:cs="Arial"/>
          <w:sz w:val="22"/>
          <w:szCs w:val="22"/>
        </w:rPr>
        <w:t>reparation and administration instructions must be clearly documented</w:t>
      </w:r>
    </w:p>
    <w:p w14:paraId="3A4B4389" w14:textId="51483DCF" w:rsidR="71A65E9A" w:rsidRDefault="0353B7C8" w:rsidP="00825F2C">
      <w:pPr>
        <w:pStyle w:val="ListParagraph"/>
        <w:numPr>
          <w:ilvl w:val="0"/>
          <w:numId w:val="17"/>
        </w:numPr>
        <w:spacing w:before="240" w:after="240"/>
        <w:rPr>
          <w:rFonts w:cs="Arial"/>
          <w:sz w:val="22"/>
          <w:szCs w:val="22"/>
        </w:rPr>
      </w:pPr>
      <w:r w:rsidRPr="5311C3E3">
        <w:rPr>
          <w:rFonts w:cs="Arial"/>
          <w:sz w:val="22"/>
          <w:szCs w:val="22"/>
        </w:rPr>
        <w:t>P</w:t>
      </w:r>
      <w:r w:rsidR="4337B044" w:rsidRPr="5311C3E3">
        <w:rPr>
          <w:rFonts w:cs="Arial"/>
          <w:sz w:val="22"/>
          <w:szCs w:val="22"/>
        </w:rPr>
        <w:t>roducts must be clearly labelled where required</w:t>
      </w:r>
    </w:p>
    <w:p w14:paraId="069A92E9" w14:textId="10B087E2" w:rsidR="71A65E9A" w:rsidRDefault="1C5CA8F7" w:rsidP="00825F2C">
      <w:pPr>
        <w:pStyle w:val="ListParagraph"/>
        <w:numPr>
          <w:ilvl w:val="0"/>
          <w:numId w:val="17"/>
        </w:numPr>
        <w:spacing w:before="240" w:after="240"/>
        <w:rPr>
          <w:rFonts w:cs="Arial"/>
          <w:sz w:val="22"/>
          <w:szCs w:val="22"/>
        </w:rPr>
      </w:pPr>
      <w:r w:rsidRPr="5311C3E3">
        <w:rPr>
          <w:rFonts w:cs="Arial"/>
          <w:sz w:val="22"/>
          <w:szCs w:val="22"/>
        </w:rPr>
        <w:t>S</w:t>
      </w:r>
      <w:r w:rsidR="4337B044" w:rsidRPr="5311C3E3">
        <w:rPr>
          <w:rFonts w:cs="Arial"/>
          <w:sz w:val="22"/>
          <w:szCs w:val="22"/>
        </w:rPr>
        <w:t>taff supporting eating and drinking must follow the documented care plan</w:t>
      </w:r>
    </w:p>
    <w:p w14:paraId="0A91436B" w14:textId="1CAE82F0" w:rsidR="71A65E9A" w:rsidRDefault="4337B044" w:rsidP="5311C3E3">
      <w:pPr>
        <w:spacing w:before="240" w:after="240"/>
        <w:rPr>
          <w:rFonts w:cs="Arial"/>
          <w:sz w:val="22"/>
          <w:szCs w:val="22"/>
        </w:rPr>
      </w:pPr>
      <w:r w:rsidRPr="5311C3E3">
        <w:rPr>
          <w:rFonts w:cs="Arial"/>
          <w:sz w:val="22"/>
          <w:szCs w:val="22"/>
        </w:rPr>
        <w:t>ONS and thickening agents must be stored safely and be accessible to staff responsible for preparing food and drinks.</w:t>
      </w:r>
    </w:p>
    <w:p w14:paraId="70A66373" w14:textId="6FAA8677" w:rsidR="71A65E9A" w:rsidRDefault="71A65E9A" w:rsidP="5311C3E3">
      <w:pPr>
        <w:spacing w:before="240" w:after="240"/>
        <w:rPr>
          <w:rFonts w:cs="Arial"/>
          <w:sz w:val="22"/>
          <w:szCs w:val="22"/>
        </w:rPr>
      </w:pPr>
    </w:p>
    <w:p w14:paraId="5CA254E9" w14:textId="6CBEDDC8" w:rsidR="71A65E9A" w:rsidRDefault="4337B044" w:rsidP="5311C3E3">
      <w:pPr>
        <w:spacing w:before="240" w:after="240"/>
        <w:rPr>
          <w:rFonts w:cs="Arial"/>
          <w:sz w:val="22"/>
          <w:szCs w:val="22"/>
        </w:rPr>
      </w:pPr>
      <w:r w:rsidRPr="5311C3E3">
        <w:rPr>
          <w:rFonts w:cs="Arial"/>
          <w:sz w:val="22"/>
          <w:szCs w:val="22"/>
        </w:rPr>
        <w:t>Nursing staff and other staff responsible for food and drink preparation in ELFT inpatient services are responsible for the safe storage and administration of these products.</w:t>
      </w:r>
    </w:p>
    <w:p w14:paraId="66DB18C0" w14:textId="2EED0B72" w:rsidR="71A65E9A" w:rsidRDefault="71A65E9A" w:rsidP="5311C3E3">
      <w:pPr>
        <w:rPr>
          <w:rFonts w:cs="Arial"/>
          <w:sz w:val="22"/>
          <w:szCs w:val="22"/>
        </w:rPr>
      </w:pPr>
    </w:p>
    <w:p w14:paraId="44E31EFC" w14:textId="6C6F96D9" w:rsidR="00011486" w:rsidRDefault="4337B044" w:rsidP="00666763">
      <w:pPr>
        <w:pStyle w:val="Heading2"/>
      </w:pPr>
      <w:r w:rsidRPr="5311C3E3">
        <w:rPr>
          <w:rFonts w:ascii="Arial" w:eastAsia="Arial" w:hAnsi="Arial" w:cs="Arial"/>
          <w:sz w:val="22"/>
          <w:szCs w:val="22"/>
        </w:rPr>
        <w:t xml:space="preserve"> </w:t>
      </w:r>
      <w:bookmarkStart w:id="196" w:name="_Toc224651862"/>
      <w:bookmarkStart w:id="197" w:name="_Toc224652039"/>
    </w:p>
    <w:p w14:paraId="7C8C7BB2" w14:textId="3B6FA393" w:rsidR="71A65E9A" w:rsidRDefault="5A434D7C" w:rsidP="5311C3E3">
      <w:pPr>
        <w:pStyle w:val="Heading2"/>
        <w:rPr>
          <w:rFonts w:ascii="Arial" w:eastAsia="Arial" w:hAnsi="Arial" w:cs="Arial"/>
          <w:sz w:val="22"/>
          <w:szCs w:val="22"/>
        </w:rPr>
      </w:pPr>
      <w:bookmarkStart w:id="198" w:name="_Toc227057862"/>
      <w:r w:rsidRPr="5311C3E3">
        <w:rPr>
          <w:rStyle w:val="Heading2Char"/>
        </w:rPr>
        <w:lastRenderedPageBreak/>
        <w:t xml:space="preserve">6.3 </w:t>
      </w:r>
      <w:r w:rsidR="4337B044" w:rsidRPr="5311C3E3">
        <w:rPr>
          <w:rStyle w:val="Heading2Char"/>
        </w:rPr>
        <w:t>Enteral Nutrition</w:t>
      </w:r>
      <w:bookmarkEnd w:id="196"/>
      <w:bookmarkEnd w:id="197"/>
      <w:bookmarkEnd w:id="198"/>
    </w:p>
    <w:p w14:paraId="3BB22B02" w14:textId="14E82103" w:rsidR="71A65E9A" w:rsidRDefault="4337B044" w:rsidP="5311C3E3">
      <w:pPr>
        <w:spacing w:before="240" w:after="240"/>
        <w:rPr>
          <w:rFonts w:cs="Arial"/>
          <w:sz w:val="22"/>
          <w:szCs w:val="22"/>
        </w:rPr>
      </w:pPr>
      <w:r w:rsidRPr="5311C3E3">
        <w:rPr>
          <w:rFonts w:cs="Arial"/>
          <w:sz w:val="22"/>
          <w:szCs w:val="22"/>
        </w:rPr>
        <w:t>Enteral tube feeding is indicated for service users who are malnourished or at risk of malnutrition and who have inadequate or unsafe oral intake, where the gastrointestinal tract is functional and accessible</w:t>
      </w:r>
      <w:r w:rsidR="03E32569" w:rsidRPr="5311C3E3">
        <w:rPr>
          <w:rFonts w:cs="Arial"/>
          <w:sz w:val="22"/>
          <w:szCs w:val="22"/>
        </w:rPr>
        <w:t xml:space="preserve"> </w:t>
      </w:r>
      <w:sdt>
        <w:sdtPr>
          <w:rPr>
            <w:rFonts w:cs="Arial"/>
            <w:color w:val="000000" w:themeColor="text1"/>
            <w:sz w:val="22"/>
            <w:szCs w:val="22"/>
          </w:rPr>
          <w:tag w:val="MENDELEY_CITATION_v3_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"/>
          <w:id w:val="1100288633"/>
          <w:placeholder>
            <w:docPart w:val="DefaultPlaceholder_-1854013440"/>
          </w:placeholder>
        </w:sdtPr>
        <w:sdtEndPr/>
        <w:sdtContent>
          <w:r w:rsidR="5311C3E3" w:rsidRPr="5311C3E3">
            <w:rPr>
              <w:rFonts w:cs="Arial"/>
              <w:color w:val="000000" w:themeColor="text1"/>
              <w:sz w:val="22"/>
              <w:szCs w:val="22"/>
            </w:rPr>
            <w:t>(Bischoff et al., 2020)</w:t>
          </w:r>
        </w:sdtContent>
      </w:sdt>
      <w:r w:rsidRPr="5311C3E3">
        <w:rPr>
          <w:rFonts w:cs="Arial"/>
          <w:sz w:val="22"/>
          <w:szCs w:val="22"/>
        </w:rPr>
        <w:t>.</w:t>
      </w:r>
    </w:p>
    <w:p w14:paraId="16EE364F" w14:textId="26D2BED1" w:rsidR="71A65E9A" w:rsidRDefault="71A65E9A" w:rsidP="5311C3E3">
      <w:pPr>
        <w:spacing w:before="240" w:after="240"/>
        <w:rPr>
          <w:rFonts w:cs="Arial"/>
          <w:sz w:val="22"/>
          <w:szCs w:val="22"/>
        </w:rPr>
      </w:pPr>
    </w:p>
    <w:p w14:paraId="663BECCB" w14:textId="5EB0616C" w:rsidR="71A65E9A" w:rsidRDefault="4337B044" w:rsidP="5311C3E3">
      <w:pPr>
        <w:spacing w:before="240" w:after="240"/>
        <w:rPr>
          <w:rFonts w:cs="Arial"/>
          <w:sz w:val="22"/>
          <w:szCs w:val="22"/>
        </w:rPr>
      </w:pPr>
      <w:r w:rsidRPr="5311C3E3">
        <w:rPr>
          <w:rFonts w:cs="Arial"/>
          <w:sz w:val="22"/>
          <w:szCs w:val="22"/>
        </w:rPr>
        <w:t>Common enteral feeding tubes are outlined in Table 6.1.</w:t>
      </w:r>
    </w:p>
    <w:p w14:paraId="3F1A76C6" w14:textId="60024A65" w:rsidR="5311C3E3" w:rsidRDefault="5311C3E3" w:rsidP="5311C3E3">
      <w:pPr>
        <w:rPr>
          <w:sz w:val="22"/>
          <w:szCs w:val="22"/>
        </w:rPr>
      </w:pPr>
    </w:p>
    <w:p w14:paraId="688CB565" w14:textId="5D67220F" w:rsidR="71A65E9A" w:rsidRDefault="4337B044" w:rsidP="5311C3E3">
      <w:pPr>
        <w:rPr>
          <w:rFonts w:cs="Arial"/>
          <w:sz w:val="22"/>
          <w:szCs w:val="22"/>
        </w:rPr>
      </w:pPr>
      <w:r w:rsidRPr="5311C3E3">
        <w:rPr>
          <w:sz w:val="22"/>
          <w:szCs w:val="22"/>
        </w:rPr>
        <w:t>Table</w:t>
      </w:r>
      <w:r w:rsidR="7C73D7BC" w:rsidRPr="5311C3E3">
        <w:rPr>
          <w:sz w:val="22"/>
          <w:szCs w:val="22"/>
        </w:rPr>
        <w:t xml:space="preserve"> 6.</w:t>
      </w:r>
      <w:r w:rsidRPr="5311C3E3">
        <w:rPr>
          <w:sz w:val="22"/>
          <w:szCs w:val="22"/>
        </w:rPr>
        <w:t xml:space="preserve">  Common Enteral Feeding Tubes</w:t>
      </w:r>
    </w:p>
    <w:tbl>
      <w:tblPr>
        <w:tblW w:w="0" w:type="auto"/>
        <w:tblLook w:val="06A0" w:firstRow="1" w:lastRow="0" w:firstColumn="1" w:lastColumn="0" w:noHBand="1" w:noVBand="1"/>
      </w:tblPr>
      <w:tblGrid>
        <w:gridCol w:w="2051"/>
        <w:gridCol w:w="1777"/>
        <w:gridCol w:w="1641"/>
        <w:gridCol w:w="3891"/>
      </w:tblGrid>
      <w:tr w:rsidR="5B7B2C7A" w14:paraId="6FF14416" w14:textId="77777777" w:rsidTr="1F0E8EA4">
        <w:trPr>
          <w:trHeight w:val="300"/>
        </w:trPr>
        <w:tc>
          <w:tcPr>
            <w:tcW w:w="2051" w:type="dxa"/>
          </w:tcPr>
          <w:p w14:paraId="12380337" w14:textId="726B951F" w:rsidR="5B7B2C7A" w:rsidRDefault="0A278432" w:rsidP="5311C3E3">
            <w:pPr>
              <w:spacing w:before="0"/>
              <w:jc w:val="center"/>
              <w:rPr>
                <w:rFonts w:cs="Arial"/>
                <w:b/>
                <w:bCs/>
                <w:sz w:val="22"/>
                <w:szCs w:val="22"/>
              </w:rPr>
            </w:pPr>
            <w:r w:rsidRPr="5311C3E3">
              <w:rPr>
                <w:rFonts w:cs="Arial"/>
                <w:b/>
                <w:bCs/>
                <w:sz w:val="22"/>
                <w:szCs w:val="22"/>
              </w:rPr>
              <w:t>Tube Type</w:t>
            </w:r>
          </w:p>
        </w:tc>
        <w:tc>
          <w:tcPr>
            <w:tcW w:w="1777" w:type="dxa"/>
          </w:tcPr>
          <w:p w14:paraId="40B20ED9" w14:textId="245ACB3F" w:rsidR="5B7B2C7A" w:rsidRDefault="0A278432" w:rsidP="5311C3E3">
            <w:pPr>
              <w:spacing w:before="0"/>
              <w:jc w:val="center"/>
              <w:rPr>
                <w:rFonts w:cs="Arial"/>
                <w:b/>
                <w:bCs/>
                <w:sz w:val="22"/>
                <w:szCs w:val="22"/>
              </w:rPr>
            </w:pPr>
            <w:r w:rsidRPr="5311C3E3">
              <w:rPr>
                <w:rFonts w:cs="Arial"/>
                <w:b/>
                <w:bCs/>
                <w:sz w:val="22"/>
                <w:szCs w:val="22"/>
              </w:rPr>
              <w:t>Insertion Route / Location</w:t>
            </w:r>
          </w:p>
        </w:tc>
        <w:tc>
          <w:tcPr>
            <w:tcW w:w="1641" w:type="dxa"/>
          </w:tcPr>
          <w:p w14:paraId="7D838BEF" w14:textId="3CAEB563" w:rsidR="5B7B2C7A" w:rsidRDefault="0A278432" w:rsidP="5311C3E3">
            <w:pPr>
              <w:spacing w:before="0"/>
              <w:jc w:val="center"/>
              <w:rPr>
                <w:rFonts w:cs="Arial"/>
                <w:b/>
                <w:bCs/>
                <w:sz w:val="22"/>
                <w:szCs w:val="22"/>
              </w:rPr>
            </w:pPr>
            <w:r w:rsidRPr="5311C3E3">
              <w:rPr>
                <w:rFonts w:cs="Arial"/>
                <w:b/>
                <w:bCs/>
                <w:sz w:val="22"/>
                <w:szCs w:val="22"/>
              </w:rPr>
              <w:t>Typical Duration of Use</w:t>
            </w:r>
          </w:p>
        </w:tc>
        <w:tc>
          <w:tcPr>
            <w:tcW w:w="3891" w:type="dxa"/>
          </w:tcPr>
          <w:p w14:paraId="59BBE138" w14:textId="0FEA8922" w:rsidR="5B7B2C7A" w:rsidRDefault="0A278432" w:rsidP="5311C3E3">
            <w:pPr>
              <w:spacing w:before="0"/>
              <w:jc w:val="center"/>
              <w:rPr>
                <w:rFonts w:cs="Arial"/>
                <w:b/>
                <w:bCs/>
                <w:sz w:val="22"/>
                <w:szCs w:val="22"/>
              </w:rPr>
            </w:pPr>
            <w:r w:rsidRPr="5311C3E3">
              <w:rPr>
                <w:rFonts w:cs="Arial"/>
                <w:b/>
                <w:bCs/>
                <w:sz w:val="22"/>
                <w:szCs w:val="22"/>
              </w:rPr>
              <w:t>Indications / Notes</w:t>
            </w:r>
          </w:p>
        </w:tc>
      </w:tr>
      <w:tr w:rsidR="5B7B2C7A" w14:paraId="243C6D82" w14:textId="77777777" w:rsidTr="1F0E8EA4">
        <w:trPr>
          <w:trHeight w:val="300"/>
        </w:trPr>
        <w:tc>
          <w:tcPr>
            <w:tcW w:w="2051" w:type="dxa"/>
          </w:tcPr>
          <w:p w14:paraId="7026EAF8" w14:textId="72E8BD17" w:rsidR="5B7B2C7A" w:rsidRDefault="0A278432" w:rsidP="00011486">
            <w:pPr>
              <w:spacing w:before="0"/>
              <w:jc w:val="left"/>
              <w:rPr>
                <w:rFonts w:cs="Arial"/>
                <w:sz w:val="22"/>
                <w:szCs w:val="22"/>
              </w:rPr>
            </w:pPr>
            <w:r w:rsidRPr="5311C3E3">
              <w:rPr>
                <w:rFonts w:cs="Arial"/>
                <w:sz w:val="22"/>
                <w:szCs w:val="22"/>
              </w:rPr>
              <w:t>Nasogastric (NG)</w:t>
            </w:r>
          </w:p>
        </w:tc>
        <w:tc>
          <w:tcPr>
            <w:tcW w:w="1777" w:type="dxa"/>
          </w:tcPr>
          <w:p w14:paraId="5C5B5E6C" w14:textId="26787DCA" w:rsidR="5B7B2C7A" w:rsidRDefault="0A278432" w:rsidP="00011486">
            <w:pPr>
              <w:spacing w:before="0"/>
              <w:jc w:val="left"/>
              <w:rPr>
                <w:rFonts w:cs="Arial"/>
                <w:sz w:val="22"/>
                <w:szCs w:val="22"/>
              </w:rPr>
            </w:pPr>
            <w:r w:rsidRPr="5311C3E3">
              <w:rPr>
                <w:rFonts w:cs="Arial"/>
                <w:sz w:val="22"/>
                <w:szCs w:val="22"/>
              </w:rPr>
              <w:t xml:space="preserve">Nose </w:t>
            </w:r>
            <w:r w:rsidR="00011486">
              <w:rPr>
                <w:rFonts w:cs="Arial"/>
                <w:sz w:val="22"/>
                <w:szCs w:val="22"/>
              </w:rPr>
              <w:t xml:space="preserve">to </w:t>
            </w:r>
            <w:r w:rsidRPr="5311C3E3">
              <w:rPr>
                <w:rFonts w:cs="Arial"/>
                <w:sz w:val="22"/>
                <w:szCs w:val="22"/>
              </w:rPr>
              <w:t>stomach</w:t>
            </w:r>
          </w:p>
        </w:tc>
        <w:tc>
          <w:tcPr>
            <w:tcW w:w="1641" w:type="dxa"/>
          </w:tcPr>
          <w:p w14:paraId="3654C4F4" w14:textId="64B73522" w:rsidR="5B7B2C7A" w:rsidRDefault="0A278432" w:rsidP="5311C3E3">
            <w:pPr>
              <w:spacing w:before="0"/>
              <w:rPr>
                <w:rFonts w:cs="Arial"/>
                <w:sz w:val="22"/>
                <w:szCs w:val="22"/>
              </w:rPr>
            </w:pPr>
            <w:r w:rsidRPr="5311C3E3">
              <w:rPr>
                <w:rFonts w:cs="Arial"/>
                <w:sz w:val="22"/>
                <w:szCs w:val="22"/>
              </w:rPr>
              <w:t xml:space="preserve">Short-term </w:t>
            </w:r>
          </w:p>
          <w:p w14:paraId="445844A5" w14:textId="40A781FF" w:rsidR="5B7B2C7A" w:rsidRDefault="0A278432" w:rsidP="5311C3E3">
            <w:pPr>
              <w:spacing w:before="0"/>
              <w:rPr>
                <w:rFonts w:cs="Arial"/>
                <w:sz w:val="22"/>
                <w:szCs w:val="22"/>
              </w:rPr>
            </w:pPr>
            <w:r w:rsidRPr="5311C3E3">
              <w:rPr>
                <w:rFonts w:cs="Arial"/>
                <w:sz w:val="22"/>
                <w:szCs w:val="22"/>
              </w:rPr>
              <w:t>(≤4–6 weeks)</w:t>
            </w:r>
          </w:p>
        </w:tc>
        <w:tc>
          <w:tcPr>
            <w:tcW w:w="3891" w:type="dxa"/>
          </w:tcPr>
          <w:p w14:paraId="500B2E57" w14:textId="2ED34FF3" w:rsidR="5B7B2C7A" w:rsidRDefault="0A278432" w:rsidP="00517414">
            <w:pPr>
              <w:spacing w:before="0"/>
              <w:jc w:val="left"/>
              <w:rPr>
                <w:rFonts w:cs="Arial"/>
                <w:sz w:val="22"/>
                <w:szCs w:val="22"/>
              </w:rPr>
            </w:pPr>
            <w:r w:rsidRPr="5311C3E3">
              <w:rPr>
                <w:rFonts w:cs="Arial"/>
                <w:sz w:val="22"/>
                <w:szCs w:val="22"/>
              </w:rPr>
              <w:t>Used where short-term enteral feeding is required. Placement must be confirmed before use.</w:t>
            </w:r>
          </w:p>
        </w:tc>
      </w:tr>
      <w:tr w:rsidR="5B7B2C7A" w14:paraId="7D5C1A6D" w14:textId="77777777" w:rsidTr="1F0E8EA4">
        <w:trPr>
          <w:trHeight w:val="300"/>
        </w:trPr>
        <w:tc>
          <w:tcPr>
            <w:tcW w:w="2051" w:type="dxa"/>
          </w:tcPr>
          <w:p w14:paraId="0B80521A" w14:textId="6932BCB7" w:rsidR="5B7B2C7A" w:rsidRDefault="0A278432" w:rsidP="00011486">
            <w:pPr>
              <w:spacing w:before="0"/>
              <w:jc w:val="left"/>
              <w:rPr>
                <w:rFonts w:cs="Arial"/>
                <w:sz w:val="22"/>
                <w:szCs w:val="22"/>
              </w:rPr>
            </w:pPr>
            <w:r w:rsidRPr="5311C3E3">
              <w:rPr>
                <w:rFonts w:cs="Arial"/>
                <w:sz w:val="22"/>
                <w:szCs w:val="22"/>
              </w:rPr>
              <w:t>Nasojejunal (NJ)</w:t>
            </w:r>
          </w:p>
        </w:tc>
        <w:tc>
          <w:tcPr>
            <w:tcW w:w="1777" w:type="dxa"/>
          </w:tcPr>
          <w:p w14:paraId="158F3521" w14:textId="3A811749" w:rsidR="5B7B2C7A" w:rsidRDefault="0A278432" w:rsidP="00011486">
            <w:pPr>
              <w:spacing w:before="0"/>
              <w:jc w:val="left"/>
              <w:rPr>
                <w:rFonts w:cs="Arial"/>
                <w:sz w:val="22"/>
                <w:szCs w:val="22"/>
              </w:rPr>
            </w:pPr>
            <w:r w:rsidRPr="5311C3E3">
              <w:rPr>
                <w:rFonts w:cs="Arial"/>
                <w:sz w:val="22"/>
                <w:szCs w:val="22"/>
              </w:rPr>
              <w:t xml:space="preserve">Nose </w:t>
            </w:r>
            <w:r w:rsidR="00011486">
              <w:rPr>
                <w:rFonts w:cs="Arial"/>
                <w:sz w:val="22"/>
                <w:szCs w:val="22"/>
              </w:rPr>
              <w:t xml:space="preserve">to </w:t>
            </w:r>
            <w:r w:rsidRPr="5311C3E3">
              <w:rPr>
                <w:rFonts w:cs="Arial"/>
                <w:sz w:val="22"/>
                <w:szCs w:val="22"/>
              </w:rPr>
              <w:t>jejunum</w:t>
            </w:r>
          </w:p>
        </w:tc>
        <w:tc>
          <w:tcPr>
            <w:tcW w:w="1641" w:type="dxa"/>
          </w:tcPr>
          <w:p w14:paraId="186F412A" w14:textId="3ACFC8D7" w:rsidR="5B7B2C7A" w:rsidRDefault="0A278432" w:rsidP="5311C3E3">
            <w:pPr>
              <w:spacing w:before="0"/>
              <w:rPr>
                <w:rFonts w:cs="Arial"/>
                <w:sz w:val="22"/>
                <w:szCs w:val="22"/>
              </w:rPr>
            </w:pPr>
            <w:r w:rsidRPr="5311C3E3">
              <w:rPr>
                <w:rFonts w:cs="Arial"/>
                <w:sz w:val="22"/>
                <w:szCs w:val="22"/>
              </w:rPr>
              <w:t>Short–medium term</w:t>
            </w:r>
          </w:p>
        </w:tc>
        <w:tc>
          <w:tcPr>
            <w:tcW w:w="3891" w:type="dxa"/>
          </w:tcPr>
          <w:p w14:paraId="73744A00" w14:textId="2F95191C" w:rsidR="5B7B2C7A" w:rsidRDefault="0A278432" w:rsidP="00517414">
            <w:pPr>
              <w:spacing w:before="0"/>
              <w:jc w:val="left"/>
              <w:rPr>
                <w:rFonts w:cs="Arial"/>
                <w:sz w:val="22"/>
                <w:szCs w:val="22"/>
              </w:rPr>
            </w:pPr>
            <w:r w:rsidRPr="5311C3E3">
              <w:rPr>
                <w:rFonts w:cs="Arial"/>
                <w:sz w:val="22"/>
                <w:szCs w:val="22"/>
              </w:rPr>
              <w:t>Used where gastric feeding is not tolerated or aspiration risk is increased.</w:t>
            </w:r>
          </w:p>
        </w:tc>
      </w:tr>
      <w:tr w:rsidR="5B7B2C7A" w14:paraId="01E88951" w14:textId="77777777" w:rsidTr="1F0E8EA4">
        <w:trPr>
          <w:trHeight w:val="300"/>
        </w:trPr>
        <w:tc>
          <w:tcPr>
            <w:tcW w:w="2051" w:type="dxa"/>
          </w:tcPr>
          <w:p w14:paraId="2B628773" w14:textId="77777777" w:rsidR="00011486" w:rsidRDefault="0A278432" w:rsidP="00011486">
            <w:pPr>
              <w:spacing w:before="0"/>
              <w:jc w:val="left"/>
              <w:rPr>
                <w:rFonts w:cs="Arial"/>
                <w:sz w:val="22"/>
                <w:szCs w:val="22"/>
              </w:rPr>
            </w:pPr>
            <w:r w:rsidRPr="5311C3E3">
              <w:rPr>
                <w:rFonts w:cs="Arial"/>
                <w:sz w:val="22"/>
                <w:szCs w:val="22"/>
              </w:rPr>
              <w:t xml:space="preserve">Gastrostomy </w:t>
            </w:r>
          </w:p>
          <w:p w14:paraId="11DD401A" w14:textId="412A2941" w:rsidR="5B7B2C7A" w:rsidRDefault="00011486" w:rsidP="00011486">
            <w:pPr>
              <w:spacing w:before="0"/>
              <w:jc w:val="left"/>
              <w:rPr>
                <w:rFonts w:cs="Arial"/>
                <w:sz w:val="22"/>
                <w:szCs w:val="22"/>
              </w:rPr>
            </w:pPr>
            <w:r>
              <w:rPr>
                <w:rFonts w:cs="Arial"/>
                <w:sz w:val="22"/>
                <w:szCs w:val="22"/>
              </w:rPr>
              <w:t>(PEG/RIG/Button</w:t>
            </w:r>
            <w:r w:rsidR="0A278432" w:rsidRPr="5311C3E3">
              <w:rPr>
                <w:rFonts w:cs="Arial"/>
                <w:sz w:val="22"/>
                <w:szCs w:val="22"/>
              </w:rPr>
              <w:t>)</w:t>
            </w:r>
          </w:p>
        </w:tc>
        <w:tc>
          <w:tcPr>
            <w:tcW w:w="1777" w:type="dxa"/>
          </w:tcPr>
          <w:p w14:paraId="3C8E3426" w14:textId="05325EFD" w:rsidR="5B7B2C7A" w:rsidRDefault="0A278432" w:rsidP="00011486">
            <w:pPr>
              <w:spacing w:before="0"/>
              <w:jc w:val="left"/>
              <w:rPr>
                <w:rFonts w:cs="Arial"/>
                <w:sz w:val="22"/>
                <w:szCs w:val="22"/>
              </w:rPr>
            </w:pPr>
            <w:r w:rsidRPr="5311C3E3">
              <w:rPr>
                <w:rFonts w:cs="Arial"/>
                <w:sz w:val="22"/>
                <w:szCs w:val="22"/>
              </w:rPr>
              <w:t xml:space="preserve">Abdominal wall </w:t>
            </w:r>
            <w:r w:rsidR="00011486">
              <w:rPr>
                <w:rFonts w:cs="Arial"/>
                <w:sz w:val="22"/>
                <w:szCs w:val="22"/>
              </w:rPr>
              <w:t xml:space="preserve">to </w:t>
            </w:r>
            <w:r w:rsidRPr="5311C3E3">
              <w:rPr>
                <w:rFonts w:cs="Arial"/>
                <w:sz w:val="22"/>
                <w:szCs w:val="22"/>
              </w:rPr>
              <w:t xml:space="preserve"> stomach</w:t>
            </w:r>
          </w:p>
        </w:tc>
        <w:tc>
          <w:tcPr>
            <w:tcW w:w="1641" w:type="dxa"/>
          </w:tcPr>
          <w:p w14:paraId="2633BEE9" w14:textId="52FCDF01" w:rsidR="5B7B2C7A" w:rsidRDefault="0A278432" w:rsidP="5311C3E3">
            <w:pPr>
              <w:spacing w:before="0"/>
              <w:rPr>
                <w:rFonts w:cs="Arial"/>
                <w:sz w:val="22"/>
                <w:szCs w:val="22"/>
              </w:rPr>
            </w:pPr>
            <w:r w:rsidRPr="5311C3E3">
              <w:rPr>
                <w:rFonts w:cs="Arial"/>
                <w:sz w:val="22"/>
                <w:szCs w:val="22"/>
              </w:rPr>
              <w:t>Long-term</w:t>
            </w:r>
          </w:p>
        </w:tc>
        <w:tc>
          <w:tcPr>
            <w:tcW w:w="3891" w:type="dxa"/>
          </w:tcPr>
          <w:p w14:paraId="511F91F4" w14:textId="41D8AB22" w:rsidR="5B7B2C7A" w:rsidRDefault="0A278432" w:rsidP="00517414">
            <w:pPr>
              <w:spacing w:before="0"/>
              <w:jc w:val="left"/>
              <w:rPr>
                <w:rFonts w:cs="Arial"/>
                <w:sz w:val="22"/>
                <w:szCs w:val="22"/>
              </w:rPr>
            </w:pPr>
            <w:r w:rsidRPr="5311C3E3">
              <w:rPr>
                <w:rFonts w:cs="Arial"/>
                <w:sz w:val="22"/>
                <w:szCs w:val="22"/>
              </w:rPr>
              <w:t>Used where prolonged enteral feeding is required and gastric feeding is appropriate.</w:t>
            </w:r>
          </w:p>
        </w:tc>
      </w:tr>
      <w:tr w:rsidR="5B7B2C7A" w14:paraId="0B8591F2" w14:textId="77777777" w:rsidTr="1F0E8EA4">
        <w:trPr>
          <w:trHeight w:val="300"/>
        </w:trPr>
        <w:tc>
          <w:tcPr>
            <w:tcW w:w="2051" w:type="dxa"/>
          </w:tcPr>
          <w:p w14:paraId="472824D8" w14:textId="77777777" w:rsidR="00011486" w:rsidRDefault="0A278432" w:rsidP="00011486">
            <w:pPr>
              <w:spacing w:before="0"/>
              <w:jc w:val="left"/>
              <w:rPr>
                <w:rFonts w:cs="Arial"/>
                <w:sz w:val="22"/>
                <w:szCs w:val="22"/>
              </w:rPr>
            </w:pPr>
            <w:r w:rsidRPr="5311C3E3">
              <w:rPr>
                <w:rFonts w:cs="Arial"/>
                <w:sz w:val="22"/>
                <w:szCs w:val="22"/>
              </w:rPr>
              <w:t xml:space="preserve">Jejunostomy </w:t>
            </w:r>
          </w:p>
          <w:p w14:paraId="532E35F6" w14:textId="19B81C73" w:rsidR="5B7B2C7A" w:rsidRDefault="0A278432" w:rsidP="00011486">
            <w:pPr>
              <w:spacing w:before="0"/>
              <w:jc w:val="left"/>
              <w:rPr>
                <w:rFonts w:cs="Arial"/>
                <w:sz w:val="22"/>
                <w:szCs w:val="22"/>
              </w:rPr>
            </w:pPr>
            <w:r w:rsidRPr="5311C3E3">
              <w:rPr>
                <w:rFonts w:cs="Arial"/>
                <w:sz w:val="22"/>
                <w:szCs w:val="22"/>
              </w:rPr>
              <w:t>(PEJ / RIJ)</w:t>
            </w:r>
          </w:p>
        </w:tc>
        <w:tc>
          <w:tcPr>
            <w:tcW w:w="1777" w:type="dxa"/>
          </w:tcPr>
          <w:p w14:paraId="421956BC" w14:textId="6D73E301" w:rsidR="5B7B2C7A" w:rsidRDefault="0A278432" w:rsidP="00011486">
            <w:pPr>
              <w:spacing w:before="0"/>
              <w:jc w:val="left"/>
              <w:rPr>
                <w:rFonts w:cs="Arial"/>
                <w:sz w:val="22"/>
                <w:szCs w:val="22"/>
              </w:rPr>
            </w:pPr>
            <w:r w:rsidRPr="5311C3E3">
              <w:rPr>
                <w:rFonts w:cs="Arial"/>
                <w:sz w:val="22"/>
                <w:szCs w:val="22"/>
              </w:rPr>
              <w:t xml:space="preserve">Abdominal wall </w:t>
            </w:r>
            <w:r w:rsidR="00011486">
              <w:rPr>
                <w:rFonts w:cs="Arial"/>
                <w:sz w:val="22"/>
                <w:szCs w:val="22"/>
              </w:rPr>
              <w:t xml:space="preserve">to </w:t>
            </w:r>
            <w:r w:rsidRPr="5311C3E3">
              <w:rPr>
                <w:rFonts w:cs="Arial"/>
                <w:sz w:val="22"/>
                <w:szCs w:val="22"/>
              </w:rPr>
              <w:t>jejunum</w:t>
            </w:r>
          </w:p>
        </w:tc>
        <w:tc>
          <w:tcPr>
            <w:tcW w:w="1641" w:type="dxa"/>
          </w:tcPr>
          <w:p w14:paraId="7418E799" w14:textId="551670F6" w:rsidR="5B7B2C7A" w:rsidRDefault="0A278432" w:rsidP="5311C3E3">
            <w:pPr>
              <w:spacing w:before="0"/>
              <w:rPr>
                <w:rFonts w:cs="Arial"/>
                <w:sz w:val="22"/>
                <w:szCs w:val="22"/>
              </w:rPr>
            </w:pPr>
            <w:r w:rsidRPr="5311C3E3">
              <w:rPr>
                <w:rFonts w:cs="Arial"/>
                <w:sz w:val="22"/>
                <w:szCs w:val="22"/>
              </w:rPr>
              <w:t>Long-term</w:t>
            </w:r>
          </w:p>
        </w:tc>
        <w:tc>
          <w:tcPr>
            <w:tcW w:w="3891" w:type="dxa"/>
          </w:tcPr>
          <w:p w14:paraId="16CCE130" w14:textId="63054E1E" w:rsidR="5B7B2C7A" w:rsidRDefault="0A278432" w:rsidP="00517414">
            <w:pPr>
              <w:spacing w:before="0"/>
              <w:jc w:val="left"/>
              <w:rPr>
                <w:rFonts w:cs="Arial"/>
                <w:sz w:val="22"/>
                <w:szCs w:val="22"/>
              </w:rPr>
            </w:pPr>
            <w:r w:rsidRPr="5311C3E3">
              <w:rPr>
                <w:rFonts w:cs="Arial"/>
                <w:sz w:val="22"/>
                <w:szCs w:val="22"/>
              </w:rPr>
              <w:t>Used where gastric feeding is unsuitable or contraindicated.</w:t>
            </w:r>
          </w:p>
        </w:tc>
      </w:tr>
      <w:tr w:rsidR="5B7B2C7A" w14:paraId="069919D6" w14:textId="77777777" w:rsidTr="1F0E8EA4">
        <w:trPr>
          <w:trHeight w:val="300"/>
        </w:trPr>
        <w:tc>
          <w:tcPr>
            <w:tcW w:w="2051" w:type="dxa"/>
          </w:tcPr>
          <w:p w14:paraId="215E8311" w14:textId="6B0C535E" w:rsidR="5B7B2C7A" w:rsidRDefault="0A278432" w:rsidP="00011486">
            <w:pPr>
              <w:spacing w:before="0"/>
              <w:jc w:val="left"/>
              <w:rPr>
                <w:rFonts w:cs="Arial"/>
                <w:sz w:val="22"/>
                <w:szCs w:val="22"/>
              </w:rPr>
            </w:pPr>
            <w:r w:rsidRPr="5311C3E3">
              <w:rPr>
                <w:rFonts w:cs="Arial"/>
                <w:sz w:val="22"/>
                <w:szCs w:val="22"/>
              </w:rPr>
              <w:t>Gastrojejunostomy (PEG-J / RIG-J)</w:t>
            </w:r>
          </w:p>
        </w:tc>
        <w:tc>
          <w:tcPr>
            <w:tcW w:w="1777" w:type="dxa"/>
          </w:tcPr>
          <w:p w14:paraId="735AE0EB" w14:textId="76DCFDA4" w:rsidR="5B7B2C7A" w:rsidRDefault="00011486" w:rsidP="00011486">
            <w:pPr>
              <w:spacing w:before="0"/>
              <w:jc w:val="left"/>
              <w:rPr>
                <w:rFonts w:cs="Arial"/>
                <w:sz w:val="22"/>
                <w:szCs w:val="22"/>
              </w:rPr>
            </w:pPr>
            <w:r>
              <w:rPr>
                <w:rFonts w:cs="Arial"/>
                <w:sz w:val="22"/>
                <w:szCs w:val="22"/>
              </w:rPr>
              <w:t xml:space="preserve">Nose to </w:t>
            </w:r>
            <w:r w:rsidR="0A278432" w:rsidRPr="5311C3E3">
              <w:rPr>
                <w:rFonts w:cs="Arial"/>
                <w:sz w:val="22"/>
                <w:szCs w:val="22"/>
              </w:rPr>
              <w:t>Stomach with jejunal extension</w:t>
            </w:r>
          </w:p>
        </w:tc>
        <w:tc>
          <w:tcPr>
            <w:tcW w:w="1641" w:type="dxa"/>
          </w:tcPr>
          <w:p w14:paraId="34D7F9DD" w14:textId="1DD219D6" w:rsidR="5B7B2C7A" w:rsidRDefault="0A278432" w:rsidP="5311C3E3">
            <w:pPr>
              <w:spacing w:before="0"/>
              <w:rPr>
                <w:rFonts w:cs="Arial"/>
                <w:sz w:val="22"/>
                <w:szCs w:val="22"/>
              </w:rPr>
            </w:pPr>
            <w:r w:rsidRPr="5311C3E3">
              <w:rPr>
                <w:rFonts w:cs="Arial"/>
                <w:sz w:val="22"/>
                <w:szCs w:val="22"/>
              </w:rPr>
              <w:t>Long-term</w:t>
            </w:r>
          </w:p>
        </w:tc>
        <w:tc>
          <w:tcPr>
            <w:tcW w:w="3891" w:type="dxa"/>
          </w:tcPr>
          <w:p w14:paraId="2BB31525" w14:textId="09382560" w:rsidR="5B7B2C7A" w:rsidRDefault="41D5CB27" w:rsidP="00517414">
            <w:pPr>
              <w:spacing w:before="0"/>
              <w:jc w:val="left"/>
              <w:rPr>
                <w:rFonts w:cs="Arial"/>
                <w:sz w:val="22"/>
                <w:szCs w:val="22"/>
              </w:rPr>
            </w:pPr>
            <w:r w:rsidRPr="1F0E8EA4">
              <w:rPr>
                <w:rFonts w:cs="Arial"/>
                <w:sz w:val="22"/>
                <w:szCs w:val="22"/>
              </w:rPr>
              <w:t>Allows gastric decompression and jejunal feeding via a single access site.</w:t>
            </w:r>
          </w:p>
        </w:tc>
      </w:tr>
    </w:tbl>
    <w:p w14:paraId="661C47D1" w14:textId="77777777" w:rsidR="00EF3237" w:rsidRDefault="00EF3237" w:rsidP="5311C3E3">
      <w:pPr>
        <w:spacing w:before="240" w:after="240"/>
        <w:rPr>
          <w:rFonts w:cs="Arial"/>
          <w:sz w:val="22"/>
          <w:szCs w:val="22"/>
        </w:rPr>
      </w:pPr>
    </w:p>
    <w:p w14:paraId="77ACFD7A" w14:textId="30DE958E" w:rsidR="71A65E9A" w:rsidRDefault="4337B044" w:rsidP="5311C3E3">
      <w:pPr>
        <w:spacing w:before="240" w:after="240"/>
        <w:rPr>
          <w:rFonts w:cs="Arial"/>
          <w:sz w:val="22"/>
          <w:szCs w:val="22"/>
        </w:rPr>
      </w:pPr>
      <w:r w:rsidRPr="5311C3E3">
        <w:rPr>
          <w:rFonts w:cs="Arial"/>
          <w:sz w:val="22"/>
          <w:szCs w:val="22"/>
        </w:rPr>
        <w:t>Enteral nutrition must be initiated following specialist assessment and multidisciplinary decision-making.</w:t>
      </w:r>
    </w:p>
    <w:p w14:paraId="6E5DE56F" w14:textId="0CD99BF3" w:rsidR="71A65E9A" w:rsidRDefault="71A65E9A" w:rsidP="5311C3E3">
      <w:pPr>
        <w:spacing w:before="240" w:after="240"/>
        <w:rPr>
          <w:rFonts w:cs="Arial"/>
          <w:sz w:val="22"/>
          <w:szCs w:val="22"/>
        </w:rPr>
      </w:pPr>
    </w:p>
    <w:p w14:paraId="1A3921E6" w14:textId="321551EF" w:rsidR="71A65E9A" w:rsidRDefault="4337B044" w:rsidP="5311C3E3">
      <w:pPr>
        <w:spacing w:before="240" w:after="240"/>
        <w:rPr>
          <w:rFonts w:cs="Arial"/>
          <w:sz w:val="22"/>
          <w:szCs w:val="22"/>
        </w:rPr>
      </w:pPr>
      <w:r w:rsidRPr="5311C3E3">
        <w:rPr>
          <w:rFonts w:cs="Arial"/>
          <w:sz w:val="22"/>
          <w:szCs w:val="22"/>
        </w:rPr>
        <w:t xml:space="preserve">Enteral feeding regimens and products should be recommended following dietetic assessment where </w:t>
      </w:r>
      <w:r w:rsidR="2BB82EE6" w:rsidRPr="5311C3E3">
        <w:rPr>
          <w:rFonts w:cs="Arial"/>
          <w:sz w:val="22"/>
          <w:szCs w:val="22"/>
        </w:rPr>
        <w:t>available and</w:t>
      </w:r>
      <w:r w:rsidRPr="5311C3E3">
        <w:rPr>
          <w:rFonts w:cs="Arial"/>
          <w:sz w:val="22"/>
          <w:szCs w:val="22"/>
        </w:rPr>
        <w:t xml:space="preserve"> prescribed in accordance with ACBS indications and local prescribing guidance.</w:t>
      </w:r>
    </w:p>
    <w:p w14:paraId="30B98DF7" w14:textId="7E2916E6" w:rsidR="71A65E9A" w:rsidRDefault="71A65E9A" w:rsidP="5311C3E3">
      <w:pPr>
        <w:spacing w:before="240" w:after="240"/>
        <w:rPr>
          <w:rFonts w:cs="Arial"/>
          <w:sz w:val="22"/>
          <w:szCs w:val="22"/>
        </w:rPr>
      </w:pPr>
    </w:p>
    <w:p w14:paraId="1B4FEEC6" w14:textId="7EB9A393" w:rsidR="71A65E9A" w:rsidRDefault="4337B044" w:rsidP="5311C3E3">
      <w:pPr>
        <w:spacing w:before="240" w:after="240"/>
        <w:rPr>
          <w:rFonts w:cs="Arial"/>
          <w:sz w:val="22"/>
          <w:szCs w:val="22"/>
        </w:rPr>
      </w:pPr>
      <w:r w:rsidRPr="5311C3E3">
        <w:rPr>
          <w:rFonts w:cs="Arial"/>
          <w:sz w:val="22"/>
          <w:szCs w:val="22"/>
        </w:rPr>
        <w:t>Where a service user is at risk of refeeding syndrome, management must follow the Trust Refeeding Syndrome Policy, including appropriate biochemical monitoring.</w:t>
      </w:r>
    </w:p>
    <w:p w14:paraId="48AC36AA" w14:textId="07099D8A" w:rsidR="71A65E9A" w:rsidRDefault="71A65E9A" w:rsidP="5311C3E3">
      <w:pPr>
        <w:rPr>
          <w:rFonts w:cs="Arial"/>
          <w:sz w:val="22"/>
          <w:szCs w:val="22"/>
        </w:rPr>
      </w:pPr>
    </w:p>
    <w:p w14:paraId="32004B4A" w14:textId="6A75AC22" w:rsidR="71A65E9A" w:rsidRDefault="7E561967" w:rsidP="5311C3E3">
      <w:pPr>
        <w:pStyle w:val="Heading2"/>
        <w:rPr>
          <w:rFonts w:ascii="Arial" w:eastAsia="Arial" w:hAnsi="Arial" w:cs="Arial"/>
          <w:sz w:val="22"/>
          <w:szCs w:val="22"/>
        </w:rPr>
      </w:pPr>
      <w:bookmarkStart w:id="199" w:name="_Toc224651863"/>
      <w:bookmarkStart w:id="200" w:name="_Toc224652040"/>
      <w:bookmarkStart w:id="201" w:name="_Toc227057863"/>
      <w:r w:rsidRPr="5311C3E3">
        <w:t xml:space="preserve">6.4 </w:t>
      </w:r>
      <w:r w:rsidR="4337B044" w:rsidRPr="5311C3E3">
        <w:t>Management of Enteral Feeding in ELFT Services</w:t>
      </w:r>
      <w:bookmarkEnd w:id="199"/>
      <w:bookmarkEnd w:id="200"/>
      <w:bookmarkEnd w:id="201"/>
    </w:p>
    <w:p w14:paraId="41B1095F" w14:textId="1393C072" w:rsidR="71A65E9A" w:rsidRDefault="4337B044" w:rsidP="5311C3E3">
      <w:pPr>
        <w:spacing w:before="240" w:after="240"/>
        <w:rPr>
          <w:rFonts w:cs="Arial"/>
          <w:sz w:val="22"/>
          <w:szCs w:val="22"/>
        </w:rPr>
      </w:pPr>
      <w:r w:rsidRPr="5311C3E3">
        <w:rPr>
          <w:rFonts w:cs="Arial"/>
          <w:sz w:val="22"/>
          <w:szCs w:val="22"/>
        </w:rPr>
        <w:t>Where a service user is admitted to ELFT services with an existing enteral feeding regimen:</w:t>
      </w:r>
    </w:p>
    <w:p w14:paraId="282CC8B4" w14:textId="27BE7C8D" w:rsidR="71A65E9A" w:rsidRDefault="1E17B0D3" w:rsidP="00825F2C">
      <w:pPr>
        <w:pStyle w:val="ListParagraph"/>
        <w:numPr>
          <w:ilvl w:val="0"/>
          <w:numId w:val="16"/>
        </w:numPr>
        <w:spacing w:before="240" w:after="240"/>
        <w:rPr>
          <w:rFonts w:cs="Arial"/>
          <w:sz w:val="22"/>
          <w:szCs w:val="22"/>
        </w:rPr>
      </w:pPr>
      <w:r w:rsidRPr="5311C3E3">
        <w:rPr>
          <w:rFonts w:cs="Arial"/>
          <w:sz w:val="22"/>
          <w:szCs w:val="22"/>
        </w:rPr>
        <w:t>T</w:t>
      </w:r>
      <w:r w:rsidR="4337B044" w:rsidRPr="5311C3E3">
        <w:rPr>
          <w:rFonts w:cs="Arial"/>
          <w:sz w:val="22"/>
          <w:szCs w:val="22"/>
        </w:rPr>
        <w:t>he dietitian should be informed where dietetic services are available</w:t>
      </w:r>
    </w:p>
    <w:p w14:paraId="7CAC1B3A" w14:textId="070312BF" w:rsidR="71A65E9A" w:rsidRDefault="73A507E6" w:rsidP="00825F2C">
      <w:pPr>
        <w:pStyle w:val="ListParagraph"/>
        <w:numPr>
          <w:ilvl w:val="0"/>
          <w:numId w:val="16"/>
        </w:numPr>
        <w:spacing w:before="240" w:after="240"/>
        <w:rPr>
          <w:rFonts w:cs="Arial"/>
          <w:sz w:val="22"/>
          <w:szCs w:val="22"/>
        </w:rPr>
      </w:pPr>
      <w:r w:rsidRPr="5311C3E3">
        <w:rPr>
          <w:rFonts w:cs="Arial"/>
          <w:sz w:val="22"/>
          <w:szCs w:val="22"/>
        </w:rPr>
        <w:t>T</w:t>
      </w:r>
      <w:r w:rsidR="4337B044" w:rsidRPr="5311C3E3">
        <w:rPr>
          <w:rFonts w:cs="Arial"/>
          <w:sz w:val="22"/>
          <w:szCs w:val="22"/>
        </w:rPr>
        <w:t>he nutrition care plan must be reviewed and implemented</w:t>
      </w:r>
    </w:p>
    <w:p w14:paraId="5D9BBB7B" w14:textId="577201BC" w:rsidR="71A65E9A" w:rsidRDefault="7A344960" w:rsidP="00825F2C">
      <w:pPr>
        <w:pStyle w:val="ListParagraph"/>
        <w:numPr>
          <w:ilvl w:val="0"/>
          <w:numId w:val="16"/>
        </w:numPr>
        <w:spacing w:before="240" w:after="240"/>
        <w:rPr>
          <w:rFonts w:cs="Arial"/>
          <w:sz w:val="22"/>
          <w:szCs w:val="22"/>
        </w:rPr>
      </w:pPr>
      <w:r w:rsidRPr="5311C3E3">
        <w:rPr>
          <w:rFonts w:cs="Arial"/>
          <w:sz w:val="22"/>
          <w:szCs w:val="22"/>
        </w:rPr>
        <w:t>S</w:t>
      </w:r>
      <w:r w:rsidR="4337B044" w:rsidRPr="5311C3E3">
        <w:rPr>
          <w:rFonts w:cs="Arial"/>
          <w:sz w:val="22"/>
          <w:szCs w:val="22"/>
        </w:rPr>
        <w:t>taff must follow established feeding and monitoring protocols</w:t>
      </w:r>
    </w:p>
    <w:p w14:paraId="561E0DCB" w14:textId="538D5F07" w:rsidR="71A65E9A" w:rsidRDefault="21D45B74" w:rsidP="5311C3E3">
      <w:pPr>
        <w:spacing w:before="240" w:after="240"/>
        <w:rPr>
          <w:rFonts w:cs="Arial"/>
          <w:sz w:val="22"/>
          <w:szCs w:val="22"/>
        </w:rPr>
      </w:pPr>
      <w:r w:rsidRPr="5311C3E3">
        <w:rPr>
          <w:rFonts w:cs="Arial"/>
          <w:sz w:val="22"/>
          <w:szCs w:val="22"/>
        </w:rPr>
        <w:lastRenderedPageBreak/>
        <w:t xml:space="preserve">In ELFT inpatient services where a dietitian is not part of the clinical team, staff must ensure the enteral feeding care plan is followed and seek specialist dietetic advice through established Trust referral pathways or the relevant community or acute dietetic service where clinical review is required. </w:t>
      </w:r>
    </w:p>
    <w:p w14:paraId="273A617E" w14:textId="4807099D" w:rsidR="71A65E9A" w:rsidRDefault="71A65E9A" w:rsidP="5311C3E3">
      <w:pPr>
        <w:spacing w:before="240" w:after="240"/>
        <w:rPr>
          <w:rFonts w:cs="Arial"/>
          <w:sz w:val="22"/>
          <w:szCs w:val="22"/>
        </w:rPr>
      </w:pPr>
    </w:p>
    <w:p w14:paraId="0F63F2A1" w14:textId="07164B20" w:rsidR="71A65E9A" w:rsidRDefault="4337B044" w:rsidP="5311C3E3">
      <w:pPr>
        <w:spacing w:before="240" w:after="240"/>
        <w:rPr>
          <w:rFonts w:cs="Arial"/>
          <w:sz w:val="22"/>
          <w:szCs w:val="22"/>
        </w:rPr>
      </w:pPr>
      <w:r w:rsidRPr="5311C3E3">
        <w:rPr>
          <w:rFonts w:cs="Arial"/>
          <w:sz w:val="22"/>
          <w:szCs w:val="22"/>
        </w:rPr>
        <w:t>Community enteral feeding services are delivered in partnership with locally commissioned home enteral feeding providers, who support equipment provision, staff training, and supply of feeding pumps and consumables.</w:t>
      </w:r>
    </w:p>
    <w:p w14:paraId="0F07D19B" w14:textId="28E2FF0D" w:rsidR="71A65E9A" w:rsidRDefault="71A65E9A" w:rsidP="5311C3E3">
      <w:pPr>
        <w:spacing w:before="240" w:after="240"/>
        <w:rPr>
          <w:rFonts w:cs="Arial"/>
          <w:sz w:val="22"/>
          <w:szCs w:val="22"/>
        </w:rPr>
      </w:pPr>
    </w:p>
    <w:p w14:paraId="2DE9F741" w14:textId="469FBACE" w:rsidR="71A65E9A" w:rsidRDefault="4337B044" w:rsidP="5311C3E3">
      <w:pPr>
        <w:spacing w:before="240" w:after="240"/>
        <w:rPr>
          <w:rFonts w:cs="Arial"/>
          <w:sz w:val="22"/>
          <w:szCs w:val="22"/>
        </w:rPr>
      </w:pPr>
      <w:r w:rsidRPr="5311C3E3">
        <w:rPr>
          <w:rFonts w:cs="Arial"/>
          <w:sz w:val="22"/>
          <w:szCs w:val="22"/>
        </w:rPr>
        <w:t>Community teams must follow local home enteral feeding policies and protocols when supporting service users receiving enteral nutrition in community settings.</w:t>
      </w:r>
    </w:p>
    <w:p w14:paraId="53895D1E" w14:textId="17095C64" w:rsidR="71A65E9A" w:rsidRDefault="71A65E9A" w:rsidP="5311C3E3">
      <w:pPr>
        <w:spacing w:before="240" w:after="240"/>
        <w:rPr>
          <w:rFonts w:cs="Arial"/>
          <w:sz w:val="22"/>
          <w:szCs w:val="22"/>
        </w:rPr>
      </w:pPr>
    </w:p>
    <w:p w14:paraId="7EA853D0" w14:textId="144FE65E" w:rsidR="71A65E9A" w:rsidRDefault="4337B044" w:rsidP="5311C3E3">
      <w:pPr>
        <w:spacing w:before="240" w:after="240"/>
        <w:rPr>
          <w:rFonts w:cs="Arial"/>
          <w:sz w:val="22"/>
          <w:szCs w:val="22"/>
        </w:rPr>
      </w:pPr>
      <w:r w:rsidRPr="5311C3E3">
        <w:rPr>
          <w:rFonts w:cs="Arial"/>
          <w:sz w:val="22"/>
          <w:szCs w:val="22"/>
        </w:rPr>
        <w:t>At discharge, service users receiving enteral feeding must be referred to community dietetic services where available to ensure continuity of care.</w:t>
      </w:r>
    </w:p>
    <w:p w14:paraId="799C8F0D" w14:textId="4D362550" w:rsidR="71A65E9A" w:rsidRDefault="71A65E9A" w:rsidP="5311C3E3">
      <w:pPr>
        <w:rPr>
          <w:rFonts w:cs="Arial"/>
          <w:sz w:val="22"/>
          <w:szCs w:val="22"/>
        </w:rPr>
      </w:pPr>
    </w:p>
    <w:p w14:paraId="7F43CA42" w14:textId="0300E366" w:rsidR="71A65E9A" w:rsidRDefault="4337B044" w:rsidP="5311C3E3">
      <w:pPr>
        <w:pStyle w:val="Heading2"/>
        <w:rPr>
          <w:rFonts w:ascii="Arial" w:eastAsia="Arial" w:hAnsi="Arial" w:cs="Arial"/>
          <w:sz w:val="22"/>
          <w:szCs w:val="22"/>
        </w:rPr>
      </w:pPr>
      <w:r w:rsidRPr="5311C3E3">
        <w:rPr>
          <w:rFonts w:ascii="Arial" w:eastAsia="Arial" w:hAnsi="Arial" w:cs="Arial"/>
          <w:sz w:val="22"/>
          <w:szCs w:val="22"/>
        </w:rPr>
        <w:t xml:space="preserve"> </w:t>
      </w:r>
      <w:bookmarkStart w:id="202" w:name="_Toc224651864"/>
      <w:bookmarkStart w:id="203" w:name="_Toc224652041"/>
      <w:bookmarkStart w:id="204" w:name="_Toc227057864"/>
      <w:r w:rsidR="52065012" w:rsidRPr="5311C3E3">
        <w:rPr>
          <w:rStyle w:val="Heading2Char"/>
        </w:rPr>
        <w:t xml:space="preserve">6.5 </w:t>
      </w:r>
      <w:r w:rsidRPr="5311C3E3">
        <w:rPr>
          <w:rStyle w:val="Heading2Char"/>
        </w:rPr>
        <w:t>Nasogastric Feeding</w:t>
      </w:r>
      <w:bookmarkEnd w:id="202"/>
      <w:bookmarkEnd w:id="203"/>
      <w:bookmarkEnd w:id="204"/>
    </w:p>
    <w:p w14:paraId="23077F99" w14:textId="0A0C76AC" w:rsidR="71A65E9A" w:rsidRDefault="4337B044" w:rsidP="5311C3E3">
      <w:pPr>
        <w:spacing w:before="240" w:after="240"/>
        <w:rPr>
          <w:rFonts w:cs="Arial"/>
          <w:sz w:val="22"/>
          <w:szCs w:val="22"/>
        </w:rPr>
      </w:pPr>
      <w:r w:rsidRPr="5311C3E3">
        <w:rPr>
          <w:rFonts w:cs="Arial"/>
          <w:sz w:val="22"/>
          <w:szCs w:val="22"/>
        </w:rPr>
        <w:t>Routine initiation of nasogastric (NG) feeding is not normally undertaken within ELFT inpatient or community settings.</w:t>
      </w:r>
    </w:p>
    <w:p w14:paraId="09EDE749" w14:textId="7B80F1CF" w:rsidR="71A65E9A" w:rsidRDefault="71A65E9A" w:rsidP="5311C3E3">
      <w:pPr>
        <w:spacing w:before="240" w:after="240"/>
        <w:rPr>
          <w:rFonts w:cs="Arial"/>
          <w:sz w:val="22"/>
          <w:szCs w:val="22"/>
        </w:rPr>
      </w:pPr>
    </w:p>
    <w:p w14:paraId="029BF526" w14:textId="685C5B90" w:rsidR="71A65E9A" w:rsidRDefault="4337B044" w:rsidP="5311C3E3">
      <w:pPr>
        <w:spacing w:before="240" w:after="240"/>
        <w:rPr>
          <w:rFonts w:cs="Arial"/>
          <w:sz w:val="22"/>
          <w:szCs w:val="22"/>
        </w:rPr>
      </w:pPr>
      <w:r w:rsidRPr="5311C3E3">
        <w:rPr>
          <w:rFonts w:cs="Arial"/>
          <w:sz w:val="22"/>
          <w:szCs w:val="22"/>
        </w:rPr>
        <w:t>Where NG feeding is required, care must be coordinated with local physical health services and the multidisciplinary team, including dietetic advice where available.</w:t>
      </w:r>
    </w:p>
    <w:p w14:paraId="0A30F8AD" w14:textId="4B65A30C" w:rsidR="71A65E9A" w:rsidRDefault="407A7F69" w:rsidP="5311C3E3">
      <w:pPr>
        <w:spacing w:before="240" w:after="240"/>
        <w:rPr>
          <w:rFonts w:cs="Arial"/>
          <w:sz w:val="22"/>
          <w:szCs w:val="22"/>
        </w:rPr>
      </w:pPr>
      <w:r w:rsidRPr="5311C3E3">
        <w:rPr>
          <w:rFonts w:cs="Arial"/>
          <w:sz w:val="22"/>
          <w:szCs w:val="22"/>
        </w:rPr>
        <w:t xml:space="preserve"> </w:t>
      </w:r>
    </w:p>
    <w:p w14:paraId="6A6DAE06" w14:textId="7B9536F1" w:rsidR="71A65E9A" w:rsidRDefault="4337B044" w:rsidP="5311C3E3">
      <w:pPr>
        <w:spacing w:before="240" w:after="240"/>
        <w:rPr>
          <w:rFonts w:cs="Arial"/>
          <w:sz w:val="22"/>
          <w:szCs w:val="22"/>
        </w:rPr>
      </w:pPr>
      <w:r w:rsidRPr="5311C3E3">
        <w:rPr>
          <w:rFonts w:cs="Arial"/>
          <w:sz w:val="22"/>
          <w:szCs w:val="22"/>
        </w:rPr>
        <w:t>Service users transferring into ELFT services with NG feeding in place must have their care discussed between the referring and receiving teams to ensure safe management.</w:t>
      </w:r>
    </w:p>
    <w:p w14:paraId="25EF39BB" w14:textId="32CA3088" w:rsidR="71A65E9A" w:rsidRDefault="71A65E9A" w:rsidP="5311C3E3">
      <w:pPr>
        <w:spacing w:before="240" w:after="240"/>
        <w:rPr>
          <w:rFonts w:cs="Arial"/>
          <w:sz w:val="22"/>
          <w:szCs w:val="22"/>
        </w:rPr>
      </w:pPr>
    </w:p>
    <w:p w14:paraId="1F7DF254" w14:textId="33F9329E" w:rsidR="71A65E9A" w:rsidRDefault="4337B044" w:rsidP="5311C3E3">
      <w:pPr>
        <w:spacing w:before="240" w:after="240"/>
        <w:rPr>
          <w:rFonts w:cs="Arial"/>
          <w:sz w:val="22"/>
          <w:szCs w:val="22"/>
        </w:rPr>
      </w:pPr>
      <w:r w:rsidRPr="5311C3E3">
        <w:rPr>
          <w:rFonts w:cs="Arial"/>
          <w:sz w:val="22"/>
          <w:szCs w:val="22"/>
        </w:rPr>
        <w:t>In children and young people’s services, nasogastric feeding may be undertaken in accordance with local clinical protocols following multidisciplinary assessment.</w:t>
      </w:r>
    </w:p>
    <w:p w14:paraId="379D4AEA" w14:textId="0B0D3413" w:rsidR="71A65E9A" w:rsidRDefault="71A65E9A" w:rsidP="5311C3E3">
      <w:pPr>
        <w:rPr>
          <w:rFonts w:cs="Arial"/>
          <w:sz w:val="22"/>
          <w:szCs w:val="22"/>
        </w:rPr>
      </w:pPr>
    </w:p>
    <w:p w14:paraId="7EC223CD" w14:textId="79158097" w:rsidR="71A65E9A" w:rsidRDefault="4337B044" w:rsidP="5311C3E3">
      <w:pPr>
        <w:pStyle w:val="Heading2"/>
        <w:rPr>
          <w:rFonts w:ascii="Arial" w:eastAsia="Arial" w:hAnsi="Arial" w:cs="Arial"/>
          <w:sz w:val="22"/>
          <w:szCs w:val="22"/>
        </w:rPr>
      </w:pPr>
      <w:r w:rsidRPr="5311C3E3">
        <w:rPr>
          <w:rFonts w:ascii="Arial" w:eastAsia="Arial" w:hAnsi="Arial" w:cs="Arial"/>
          <w:sz w:val="22"/>
          <w:szCs w:val="22"/>
        </w:rPr>
        <w:t xml:space="preserve"> </w:t>
      </w:r>
      <w:bookmarkStart w:id="205" w:name="_Toc224651865"/>
      <w:bookmarkStart w:id="206" w:name="_Toc224652042"/>
      <w:bookmarkStart w:id="207" w:name="_Toc227057865"/>
      <w:r w:rsidR="14F4C6DB" w:rsidRPr="5311C3E3">
        <w:rPr>
          <w:rStyle w:val="Heading2Char"/>
        </w:rPr>
        <w:t xml:space="preserve">6.6 </w:t>
      </w:r>
      <w:r w:rsidRPr="5311C3E3">
        <w:rPr>
          <w:rStyle w:val="Heading2Char"/>
        </w:rPr>
        <w:t>Enteral Feeding in Eating Disorder Services</w:t>
      </w:r>
      <w:bookmarkEnd w:id="205"/>
      <w:bookmarkEnd w:id="206"/>
      <w:bookmarkEnd w:id="207"/>
    </w:p>
    <w:p w14:paraId="6C4577A3" w14:textId="4AD2CEB0" w:rsidR="71A65E9A" w:rsidRDefault="4337B044" w:rsidP="5311C3E3">
      <w:pPr>
        <w:spacing w:before="240" w:after="240"/>
        <w:rPr>
          <w:rFonts w:cs="Arial"/>
          <w:sz w:val="22"/>
          <w:szCs w:val="22"/>
        </w:rPr>
      </w:pPr>
      <w:r w:rsidRPr="5311C3E3">
        <w:rPr>
          <w:rFonts w:cs="Arial"/>
          <w:sz w:val="22"/>
          <w:szCs w:val="22"/>
        </w:rPr>
        <w:t>Enteral feeding for service users receiving specialist eating disorder care must follow:</w:t>
      </w:r>
    </w:p>
    <w:p w14:paraId="7C806225" w14:textId="6E23FBDE" w:rsidR="71A65E9A" w:rsidRDefault="4337B044" w:rsidP="00825F2C">
      <w:pPr>
        <w:pStyle w:val="ListParagraph"/>
        <w:numPr>
          <w:ilvl w:val="0"/>
          <w:numId w:val="15"/>
        </w:numPr>
        <w:spacing w:before="240" w:after="240"/>
        <w:rPr>
          <w:rFonts w:cs="Arial"/>
          <w:sz w:val="22"/>
          <w:szCs w:val="22"/>
        </w:rPr>
      </w:pPr>
      <w:r w:rsidRPr="5311C3E3">
        <w:rPr>
          <w:rFonts w:cs="Arial"/>
          <w:sz w:val="22"/>
          <w:szCs w:val="22"/>
        </w:rPr>
        <w:t>NICE NG69</w:t>
      </w:r>
    </w:p>
    <w:p w14:paraId="0AA07391" w14:textId="5B55DA04" w:rsidR="71A65E9A" w:rsidRDefault="4337B044" w:rsidP="00825F2C">
      <w:pPr>
        <w:pStyle w:val="ListParagraph"/>
        <w:numPr>
          <w:ilvl w:val="0"/>
          <w:numId w:val="15"/>
        </w:numPr>
        <w:spacing w:before="240" w:after="240"/>
        <w:rPr>
          <w:rFonts w:cs="Arial"/>
          <w:sz w:val="22"/>
          <w:szCs w:val="22"/>
        </w:rPr>
      </w:pPr>
      <w:r w:rsidRPr="5311C3E3">
        <w:rPr>
          <w:rFonts w:cs="Arial"/>
          <w:sz w:val="22"/>
          <w:szCs w:val="22"/>
        </w:rPr>
        <w:t>Medical Emergencies in Eating Disorders (MEED) guidance</w:t>
      </w:r>
    </w:p>
    <w:p w14:paraId="51FB1BE0" w14:textId="2F600D0A" w:rsidR="71A65E9A" w:rsidRDefault="11958BCB" w:rsidP="00825F2C">
      <w:pPr>
        <w:pStyle w:val="ListParagraph"/>
        <w:numPr>
          <w:ilvl w:val="0"/>
          <w:numId w:val="15"/>
        </w:numPr>
        <w:spacing w:before="240" w:after="240"/>
        <w:rPr>
          <w:rFonts w:cs="Arial"/>
          <w:sz w:val="22"/>
          <w:szCs w:val="22"/>
        </w:rPr>
      </w:pPr>
      <w:r w:rsidRPr="5311C3E3">
        <w:rPr>
          <w:rFonts w:cs="Arial"/>
          <w:sz w:val="22"/>
          <w:szCs w:val="22"/>
        </w:rPr>
        <w:t>L</w:t>
      </w:r>
      <w:r w:rsidR="4337B044" w:rsidRPr="5311C3E3">
        <w:rPr>
          <w:rFonts w:cs="Arial"/>
          <w:sz w:val="22"/>
          <w:szCs w:val="22"/>
        </w:rPr>
        <w:t>ocal specialist service protocols</w:t>
      </w:r>
    </w:p>
    <w:p w14:paraId="53F57A53" w14:textId="31B5BCE3" w:rsidR="71A65E9A" w:rsidRDefault="4337B044" w:rsidP="5311C3E3">
      <w:pPr>
        <w:spacing w:before="240" w:after="240"/>
        <w:rPr>
          <w:rFonts w:cs="Arial"/>
          <w:sz w:val="22"/>
          <w:szCs w:val="22"/>
        </w:rPr>
      </w:pPr>
      <w:r w:rsidRPr="5311C3E3">
        <w:rPr>
          <w:rFonts w:cs="Arial"/>
          <w:sz w:val="22"/>
          <w:szCs w:val="22"/>
        </w:rPr>
        <w:t>Where feeding under restraint is required, this must be undertaken in accordance with legal frameworks, national guidance and the principles of least restrictive practice.</w:t>
      </w:r>
    </w:p>
    <w:p w14:paraId="377945BF" w14:textId="57D42920" w:rsidR="71A65E9A" w:rsidRDefault="71A65E9A" w:rsidP="5311C3E3">
      <w:pPr>
        <w:rPr>
          <w:rFonts w:cs="Arial"/>
          <w:color w:val="000000" w:themeColor="text1"/>
          <w:sz w:val="22"/>
          <w:szCs w:val="22"/>
        </w:rPr>
      </w:pPr>
    </w:p>
    <w:p w14:paraId="05155DCE" w14:textId="77777777" w:rsidR="00011486" w:rsidRDefault="00011486">
      <w:pPr>
        <w:keepNext w:val="0"/>
        <w:keepLines w:val="0"/>
        <w:spacing w:before="0" w:after="160"/>
        <w:contextualSpacing w:val="0"/>
        <w:jc w:val="left"/>
        <w:outlineLvl w:val="9"/>
        <w:rPr>
          <w:rFonts w:cs="Arial"/>
          <w:color w:val="1F4E79" w:themeColor="accent1" w:themeShade="80"/>
          <w:sz w:val="36"/>
          <w:szCs w:val="36"/>
        </w:rPr>
      </w:pPr>
      <w:bookmarkStart w:id="208" w:name="_Toc224651866"/>
      <w:bookmarkStart w:id="209" w:name="_Toc224652043"/>
      <w:r>
        <w:br w:type="page"/>
      </w:r>
    </w:p>
    <w:p w14:paraId="36CD1613" w14:textId="169C4BD1" w:rsidR="71A65E9A" w:rsidRDefault="60F5EB22" w:rsidP="5311C3E3">
      <w:pPr>
        <w:pStyle w:val="Heading1"/>
        <w:rPr>
          <w:sz w:val="22"/>
          <w:szCs w:val="22"/>
        </w:rPr>
      </w:pPr>
      <w:bookmarkStart w:id="210" w:name="_Toc227057866"/>
      <w:r>
        <w:lastRenderedPageBreak/>
        <w:t xml:space="preserve">7. </w:t>
      </w:r>
      <w:r w:rsidR="041A16B2">
        <w:t xml:space="preserve">Public Health Nutrition </w:t>
      </w:r>
      <w:r w:rsidR="480CB679">
        <w:t>and Health Promotion</w:t>
      </w:r>
      <w:bookmarkEnd w:id="208"/>
      <w:bookmarkEnd w:id="209"/>
      <w:bookmarkEnd w:id="210"/>
    </w:p>
    <w:p w14:paraId="504083BE" w14:textId="61A48A00" w:rsidR="71A65E9A" w:rsidRDefault="480CB679" w:rsidP="5311C3E3">
      <w:pPr>
        <w:spacing w:before="240" w:after="240"/>
        <w:rPr>
          <w:rFonts w:cs="Arial"/>
          <w:sz w:val="22"/>
          <w:szCs w:val="22"/>
        </w:rPr>
      </w:pPr>
      <w:r w:rsidRPr="730FCF52">
        <w:rPr>
          <w:rFonts w:cs="Arial"/>
          <w:sz w:val="22"/>
          <w:szCs w:val="22"/>
        </w:rPr>
        <w:t>Healthy eating is a key determinant of population health and an important contributor to both physical and mental wellbeing. In England, around two-thirds of adults are above a healthy weight, and approximately half of these individuals are living with obesity (NHS Digital, 2023). Obesity prevalence is highest among the most socioeconomically deprived populations, contributing to widening health inequalities (Office for Health Improvement and Disparities, 2023). Children living in the most deprived areas are more than twice as likely</w:t>
      </w:r>
      <w:r w:rsidR="1B4144C3" w:rsidRPr="730FCF52">
        <w:rPr>
          <w:rFonts w:cs="Arial"/>
          <w:sz w:val="22"/>
          <w:szCs w:val="22"/>
        </w:rPr>
        <w:t xml:space="preserve"> to</w:t>
      </w:r>
      <w:r w:rsidRPr="730FCF52">
        <w:rPr>
          <w:rFonts w:cs="Arial"/>
          <w:sz w:val="22"/>
          <w:szCs w:val="22"/>
        </w:rPr>
        <w:t xml:space="preserve"> </w:t>
      </w:r>
      <w:r w:rsidR="605173E9" w:rsidRPr="730FCF52">
        <w:rPr>
          <w:rFonts w:cs="Arial"/>
          <w:sz w:val="22"/>
          <w:szCs w:val="22"/>
        </w:rPr>
        <w:t>live with</w:t>
      </w:r>
      <w:r w:rsidRPr="730FCF52">
        <w:rPr>
          <w:rFonts w:cs="Arial"/>
          <w:sz w:val="22"/>
          <w:szCs w:val="22"/>
        </w:rPr>
        <w:t xml:space="preserve"> </w:t>
      </w:r>
      <w:r w:rsidR="293B700A" w:rsidRPr="730FCF52">
        <w:rPr>
          <w:rFonts w:cs="Arial"/>
          <w:sz w:val="22"/>
          <w:szCs w:val="22"/>
        </w:rPr>
        <w:t>obesity</w:t>
      </w:r>
      <w:r w:rsidRPr="730FCF52">
        <w:rPr>
          <w:rFonts w:cs="Arial"/>
          <w:sz w:val="22"/>
          <w:szCs w:val="22"/>
        </w:rPr>
        <w:t xml:space="preserve"> as those living in the least deprived areas, increasing the risk of long-term health conditions from early life (NHS England, 2023).</w:t>
      </w:r>
    </w:p>
    <w:p w14:paraId="57D9B39F" w14:textId="53DF875F" w:rsidR="71A65E9A" w:rsidRDefault="71A65E9A" w:rsidP="5311C3E3">
      <w:pPr>
        <w:spacing w:before="240" w:after="240"/>
        <w:rPr>
          <w:rFonts w:cs="Arial"/>
          <w:sz w:val="22"/>
          <w:szCs w:val="22"/>
        </w:rPr>
      </w:pPr>
    </w:p>
    <w:p w14:paraId="4CDE0161" w14:textId="44AFCA8D" w:rsidR="71A65E9A" w:rsidRDefault="480CB679" w:rsidP="5311C3E3">
      <w:pPr>
        <w:spacing w:before="240" w:after="240"/>
        <w:rPr>
          <w:rFonts w:cs="Arial"/>
          <w:sz w:val="22"/>
          <w:szCs w:val="22"/>
        </w:rPr>
      </w:pPr>
      <w:r w:rsidRPr="5311C3E3">
        <w:rPr>
          <w:rFonts w:cs="Arial"/>
          <w:sz w:val="22"/>
          <w:szCs w:val="22"/>
        </w:rPr>
        <w:t xml:space="preserve">People living with </w:t>
      </w:r>
      <w:r w:rsidR="30E177A6" w:rsidRPr="5311C3E3">
        <w:rPr>
          <w:rFonts w:cs="Arial"/>
          <w:sz w:val="22"/>
          <w:szCs w:val="22"/>
        </w:rPr>
        <w:t xml:space="preserve">SMI </w:t>
      </w:r>
      <w:r w:rsidRPr="5311C3E3">
        <w:rPr>
          <w:rFonts w:cs="Arial"/>
          <w:sz w:val="22"/>
          <w:szCs w:val="22"/>
        </w:rPr>
        <w:t>experience significantly poorer physical health outcomes than the general population and die on average 1</w:t>
      </w:r>
      <w:r w:rsidR="6C61AB96" w:rsidRPr="5311C3E3">
        <w:rPr>
          <w:rFonts w:cs="Arial"/>
          <w:sz w:val="22"/>
          <w:szCs w:val="22"/>
        </w:rPr>
        <w:t>0</w:t>
      </w:r>
      <w:r w:rsidRPr="5311C3E3">
        <w:rPr>
          <w:rFonts w:cs="Arial"/>
          <w:sz w:val="22"/>
          <w:szCs w:val="22"/>
        </w:rPr>
        <w:t>–20 years earlier, largely due to preventable physical health conditions including cardiovascular disease, diabetes and obesity (NHS England, 2019). Factors contributing to this increased risk include the metabolic effects of psychotropic medication, socioeconomic disadvantage, barriers to accessing healthy food, and reduced opportunities for physical activity. Supporting good nutrition</w:t>
      </w:r>
      <w:r w:rsidR="3DEA3F78" w:rsidRPr="5311C3E3">
        <w:rPr>
          <w:rFonts w:cs="Arial"/>
          <w:sz w:val="22"/>
          <w:szCs w:val="22"/>
        </w:rPr>
        <w:t>, hydration</w:t>
      </w:r>
      <w:r w:rsidRPr="5311C3E3">
        <w:rPr>
          <w:rFonts w:cs="Arial"/>
          <w:sz w:val="22"/>
          <w:szCs w:val="22"/>
        </w:rPr>
        <w:t xml:space="preserve"> and healthy lifestyle behaviours is therefore an important component of improving physical health outcomes and reducing the mortality gap for people using mental health services.</w:t>
      </w:r>
    </w:p>
    <w:p w14:paraId="63918B4C" w14:textId="131732CE" w:rsidR="5311C3E3" w:rsidRDefault="5311C3E3" w:rsidP="5311C3E3">
      <w:pPr>
        <w:spacing w:before="240" w:after="240"/>
        <w:rPr>
          <w:rFonts w:cs="Arial"/>
          <w:sz w:val="22"/>
          <w:szCs w:val="22"/>
        </w:rPr>
      </w:pPr>
    </w:p>
    <w:p w14:paraId="4B7F2A1D" w14:textId="486CE961" w:rsidR="71A65E9A" w:rsidRDefault="480CB679" w:rsidP="5311C3E3">
      <w:pPr>
        <w:spacing w:before="240" w:after="240"/>
        <w:rPr>
          <w:rFonts w:cs="Arial"/>
          <w:sz w:val="22"/>
          <w:szCs w:val="22"/>
        </w:rPr>
      </w:pPr>
      <w:r w:rsidRPr="5311C3E3">
        <w:rPr>
          <w:rFonts w:cs="Arial"/>
          <w:sz w:val="22"/>
          <w:szCs w:val="22"/>
        </w:rPr>
        <w:t>Addressing inequalities in nutrition</w:t>
      </w:r>
      <w:r w:rsidR="35B2F21F" w:rsidRPr="5311C3E3">
        <w:rPr>
          <w:rFonts w:cs="Arial"/>
          <w:sz w:val="22"/>
          <w:szCs w:val="22"/>
        </w:rPr>
        <w:t>, hydration</w:t>
      </w:r>
      <w:r w:rsidRPr="5311C3E3">
        <w:rPr>
          <w:rFonts w:cs="Arial"/>
          <w:sz w:val="22"/>
          <w:szCs w:val="22"/>
        </w:rPr>
        <w:t xml:space="preserve"> and diet-related health outcomes aligns with the NHS Long Term Plan</w:t>
      </w:r>
      <w:r w:rsidR="73D6F823" w:rsidRPr="5311C3E3">
        <w:rPr>
          <w:rFonts w:cs="Arial"/>
          <w:sz w:val="22"/>
          <w:szCs w:val="22"/>
        </w:rPr>
        <w:t xml:space="preserve">, LeDeR Action from Learning Report and the </w:t>
      </w:r>
      <w:r w:rsidRPr="5311C3E3">
        <w:rPr>
          <w:rFonts w:cs="Arial"/>
          <w:sz w:val="22"/>
          <w:szCs w:val="22"/>
        </w:rPr>
        <w:t xml:space="preserve">NHS Core20PLUS5 approach to reducing health inequalities, which identifies people living with severe mental illness </w:t>
      </w:r>
      <w:r w:rsidR="56A7C9F7" w:rsidRPr="5311C3E3">
        <w:rPr>
          <w:rFonts w:cs="Arial"/>
          <w:sz w:val="22"/>
          <w:szCs w:val="22"/>
        </w:rPr>
        <w:t xml:space="preserve">and/or learning disabilities </w:t>
      </w:r>
      <w:r w:rsidRPr="5311C3E3">
        <w:rPr>
          <w:rFonts w:cs="Arial"/>
          <w:sz w:val="22"/>
          <w:szCs w:val="22"/>
        </w:rPr>
        <w:t>as a priority population group (NHS England, 2019; NHS England, 2021).</w:t>
      </w:r>
    </w:p>
    <w:p w14:paraId="7C19D024" w14:textId="65328EFC" w:rsidR="71A65E9A" w:rsidRDefault="71A65E9A" w:rsidP="5311C3E3">
      <w:pPr>
        <w:spacing w:before="240" w:after="240"/>
        <w:rPr>
          <w:rFonts w:cs="Arial"/>
          <w:sz w:val="22"/>
          <w:szCs w:val="22"/>
        </w:rPr>
      </w:pPr>
    </w:p>
    <w:p w14:paraId="14B0A1EA" w14:textId="7E13179D" w:rsidR="71A65E9A" w:rsidRDefault="480CB679" w:rsidP="5311C3E3">
      <w:pPr>
        <w:spacing w:before="240" w:after="240"/>
        <w:rPr>
          <w:rFonts w:cs="Arial"/>
          <w:sz w:val="22"/>
          <w:szCs w:val="22"/>
        </w:rPr>
      </w:pPr>
      <w:r w:rsidRPr="5311C3E3">
        <w:rPr>
          <w:rFonts w:cs="Arial"/>
          <w:sz w:val="22"/>
          <w:szCs w:val="22"/>
        </w:rPr>
        <w:t>Promoting access to appropriate nutrition and hydration also supports the Trust’s responsibilities under the Health and Social Care Act 2008 (Regulated Activities) Regulations 2014, including Regulation 14 relating to meeting service users’ nutritional and hydration needs (UK Government, 2014).</w:t>
      </w:r>
    </w:p>
    <w:p w14:paraId="5450FB05" w14:textId="03E61A7A" w:rsidR="71A65E9A" w:rsidRDefault="71A65E9A" w:rsidP="5311C3E3">
      <w:pPr>
        <w:spacing w:before="240" w:after="240"/>
        <w:rPr>
          <w:rFonts w:cs="Arial"/>
          <w:sz w:val="22"/>
          <w:szCs w:val="22"/>
        </w:rPr>
      </w:pPr>
    </w:p>
    <w:p w14:paraId="6C482AC8" w14:textId="2CF00031" w:rsidR="71A65E9A" w:rsidRDefault="0851B427" w:rsidP="5311C3E3">
      <w:pPr>
        <w:spacing w:before="240" w:after="240"/>
        <w:rPr>
          <w:rFonts w:cs="Arial"/>
          <w:sz w:val="22"/>
          <w:szCs w:val="22"/>
        </w:rPr>
      </w:pPr>
      <w:r w:rsidRPr="5311C3E3">
        <w:rPr>
          <w:rFonts w:cs="Arial"/>
          <w:sz w:val="22"/>
          <w:szCs w:val="22"/>
        </w:rPr>
        <w:t>P</w:t>
      </w:r>
      <w:r w:rsidR="480CB679" w:rsidRPr="5311C3E3">
        <w:rPr>
          <w:rFonts w:cs="Arial"/>
          <w:sz w:val="22"/>
          <w:szCs w:val="22"/>
        </w:rPr>
        <w:t>romoting healthy eating and access to appropriate nutrition</w:t>
      </w:r>
      <w:r w:rsidR="2EA597EC" w:rsidRPr="5311C3E3">
        <w:rPr>
          <w:rFonts w:cs="Arial"/>
          <w:sz w:val="22"/>
          <w:szCs w:val="22"/>
        </w:rPr>
        <w:t xml:space="preserve"> and hydration</w:t>
      </w:r>
      <w:r w:rsidR="480CB679" w:rsidRPr="5311C3E3">
        <w:rPr>
          <w:rFonts w:cs="Arial"/>
          <w:sz w:val="22"/>
          <w:szCs w:val="22"/>
        </w:rPr>
        <w:t xml:space="preserve"> is an important component of improving population health and reducing health inequalities. All staff have a role in supporting service users to access </w:t>
      </w:r>
      <w:r w:rsidR="33C5FEB9" w:rsidRPr="5311C3E3">
        <w:rPr>
          <w:rFonts w:cs="Arial"/>
          <w:sz w:val="22"/>
          <w:szCs w:val="22"/>
        </w:rPr>
        <w:t>healthy food choices</w:t>
      </w:r>
      <w:r w:rsidR="480CB679" w:rsidRPr="5311C3E3">
        <w:rPr>
          <w:rFonts w:cs="Arial"/>
          <w:sz w:val="22"/>
          <w:szCs w:val="22"/>
        </w:rPr>
        <w:t xml:space="preserve"> and develop sustainable lifestyle practices.</w:t>
      </w:r>
    </w:p>
    <w:p w14:paraId="3F18122C" w14:textId="1C44A3A0" w:rsidR="71A65E9A" w:rsidRDefault="71A65E9A" w:rsidP="5311C3E3">
      <w:pPr>
        <w:spacing w:before="240" w:after="240"/>
        <w:rPr>
          <w:rFonts w:cs="Arial"/>
          <w:sz w:val="22"/>
          <w:szCs w:val="22"/>
        </w:rPr>
      </w:pPr>
    </w:p>
    <w:p w14:paraId="2EE49B44" w14:textId="55BC1FB8" w:rsidR="71A65E9A" w:rsidRDefault="480CB679" w:rsidP="5311C3E3">
      <w:pPr>
        <w:spacing w:before="240" w:after="240"/>
        <w:rPr>
          <w:rFonts w:cs="Arial"/>
          <w:sz w:val="22"/>
          <w:szCs w:val="22"/>
        </w:rPr>
      </w:pPr>
      <w:r w:rsidRPr="5311C3E3">
        <w:rPr>
          <w:rFonts w:cs="Arial"/>
          <w:sz w:val="22"/>
          <w:szCs w:val="22"/>
        </w:rPr>
        <w:t>ELFT will include nutrition</w:t>
      </w:r>
      <w:r w:rsidR="6846A5B4" w:rsidRPr="5311C3E3">
        <w:rPr>
          <w:rFonts w:cs="Arial"/>
          <w:sz w:val="22"/>
          <w:szCs w:val="22"/>
        </w:rPr>
        <w:t xml:space="preserve"> and hydration </w:t>
      </w:r>
      <w:r w:rsidRPr="5311C3E3">
        <w:rPr>
          <w:rFonts w:cs="Arial"/>
          <w:sz w:val="22"/>
          <w:szCs w:val="22"/>
        </w:rPr>
        <w:t>education within health promotion and healthy lifestyle initiatives for both service users and staff, where appropriate.</w:t>
      </w:r>
    </w:p>
    <w:p w14:paraId="69E8C2FB" w14:textId="3930A66F" w:rsidR="71A65E9A" w:rsidRDefault="71A65E9A" w:rsidP="5311C3E3">
      <w:pPr>
        <w:spacing w:before="240" w:after="240"/>
        <w:rPr>
          <w:rFonts w:cs="Arial"/>
          <w:sz w:val="22"/>
          <w:szCs w:val="22"/>
        </w:rPr>
      </w:pPr>
    </w:p>
    <w:p w14:paraId="7C150413" w14:textId="1F49EB27" w:rsidR="71A65E9A" w:rsidRDefault="480CB679" w:rsidP="5311C3E3">
      <w:pPr>
        <w:spacing w:before="240" w:after="240"/>
        <w:rPr>
          <w:rFonts w:cs="Arial"/>
          <w:sz w:val="22"/>
          <w:szCs w:val="22"/>
        </w:rPr>
      </w:pPr>
      <w:r w:rsidRPr="5311C3E3">
        <w:rPr>
          <w:rFonts w:cs="Arial"/>
          <w:sz w:val="22"/>
          <w:szCs w:val="22"/>
        </w:rPr>
        <w:t xml:space="preserve">Dietitians will ensure that practical, evidence-based nutrition </w:t>
      </w:r>
      <w:r w:rsidR="5232446C" w:rsidRPr="5311C3E3">
        <w:rPr>
          <w:rFonts w:cs="Arial"/>
          <w:sz w:val="22"/>
          <w:szCs w:val="22"/>
        </w:rPr>
        <w:t xml:space="preserve">and hydration </w:t>
      </w:r>
      <w:r w:rsidRPr="5311C3E3">
        <w:rPr>
          <w:rFonts w:cs="Arial"/>
          <w:sz w:val="22"/>
          <w:szCs w:val="22"/>
        </w:rPr>
        <w:t xml:space="preserve">advice and resources are available on the Trust intranet. These resources will include guidance for groups at higher risk of poor health outcomes related to nutrition and hydration, including people affected by medication side effects, people with learning disabilities, and those </w:t>
      </w:r>
      <w:r w:rsidR="0AD716D2" w:rsidRPr="5311C3E3">
        <w:rPr>
          <w:rFonts w:cs="Arial"/>
          <w:sz w:val="22"/>
          <w:szCs w:val="22"/>
        </w:rPr>
        <w:t>experiencing food insecurity</w:t>
      </w:r>
      <w:r w:rsidRPr="5311C3E3">
        <w:rPr>
          <w:rFonts w:cs="Arial"/>
          <w:sz w:val="22"/>
          <w:szCs w:val="22"/>
        </w:rPr>
        <w:t>.</w:t>
      </w:r>
    </w:p>
    <w:p w14:paraId="4BB675EF" w14:textId="2528D6BC" w:rsidR="71A65E9A" w:rsidRDefault="71A65E9A" w:rsidP="5311C3E3">
      <w:pPr>
        <w:spacing w:before="240" w:after="240"/>
        <w:rPr>
          <w:rFonts w:cs="Arial"/>
          <w:sz w:val="22"/>
          <w:szCs w:val="22"/>
        </w:rPr>
      </w:pPr>
    </w:p>
    <w:p w14:paraId="556BFAB2" w14:textId="5CC2B017" w:rsidR="71A65E9A" w:rsidRDefault="480CB679" w:rsidP="5311C3E3">
      <w:pPr>
        <w:spacing w:before="240" w:after="240"/>
        <w:rPr>
          <w:rFonts w:cs="Arial"/>
          <w:sz w:val="22"/>
          <w:szCs w:val="22"/>
        </w:rPr>
      </w:pPr>
      <w:r w:rsidRPr="5311C3E3">
        <w:rPr>
          <w:rFonts w:cs="Arial"/>
          <w:sz w:val="22"/>
          <w:szCs w:val="22"/>
        </w:rPr>
        <w:lastRenderedPageBreak/>
        <w:t xml:space="preserve">Staff should encourage and support service users to take an interest in their diet and lifestyle and to make </w:t>
      </w:r>
      <w:r w:rsidR="2D252D1E" w:rsidRPr="5311C3E3">
        <w:rPr>
          <w:rFonts w:cs="Arial"/>
          <w:sz w:val="22"/>
          <w:szCs w:val="22"/>
        </w:rPr>
        <w:t>dietar</w:t>
      </w:r>
      <w:r w:rsidRPr="5311C3E3">
        <w:rPr>
          <w:rFonts w:cs="Arial"/>
          <w:sz w:val="22"/>
          <w:szCs w:val="22"/>
        </w:rPr>
        <w:t>y</w:t>
      </w:r>
      <w:r w:rsidR="2D252D1E" w:rsidRPr="5311C3E3">
        <w:rPr>
          <w:rFonts w:cs="Arial"/>
          <w:sz w:val="22"/>
          <w:szCs w:val="22"/>
        </w:rPr>
        <w:t xml:space="preserve"> choices appropriate for them to improve and maintain their health.</w:t>
      </w:r>
      <w:r w:rsidRPr="5311C3E3">
        <w:rPr>
          <w:rFonts w:cs="Arial"/>
          <w:sz w:val="22"/>
          <w:szCs w:val="22"/>
        </w:rPr>
        <w:t xml:space="preserve"> Staff should use available nutrition </w:t>
      </w:r>
      <w:r w:rsidR="7DFDBA1E" w:rsidRPr="5311C3E3">
        <w:rPr>
          <w:rFonts w:cs="Arial"/>
          <w:sz w:val="22"/>
          <w:szCs w:val="22"/>
        </w:rPr>
        <w:t xml:space="preserve">and hydration </w:t>
      </w:r>
      <w:r w:rsidRPr="5311C3E3">
        <w:rPr>
          <w:rFonts w:cs="Arial"/>
          <w:sz w:val="22"/>
          <w:szCs w:val="22"/>
        </w:rPr>
        <w:t xml:space="preserve">guidance, </w:t>
      </w:r>
      <w:r w:rsidR="416C05E4" w:rsidRPr="5311C3E3">
        <w:rPr>
          <w:rFonts w:cs="Arial"/>
          <w:sz w:val="22"/>
          <w:szCs w:val="22"/>
        </w:rPr>
        <w:t>refer</w:t>
      </w:r>
      <w:r w:rsidRPr="5311C3E3">
        <w:rPr>
          <w:rFonts w:cs="Arial"/>
          <w:sz w:val="22"/>
          <w:szCs w:val="22"/>
        </w:rPr>
        <w:t xml:space="preserve"> to</w:t>
      </w:r>
      <w:r w:rsidR="539CBCC3" w:rsidRPr="5311C3E3">
        <w:rPr>
          <w:rFonts w:cs="Arial"/>
          <w:sz w:val="22"/>
          <w:szCs w:val="22"/>
        </w:rPr>
        <w:t xml:space="preserve"> </w:t>
      </w:r>
      <w:r w:rsidRPr="5311C3E3">
        <w:rPr>
          <w:rFonts w:cs="Arial"/>
          <w:sz w:val="22"/>
          <w:szCs w:val="22"/>
        </w:rPr>
        <w:t>ELFT health promotion initiatives where appropriate, signpost to accessible local services, and encourage participation in physical activity programmes.</w:t>
      </w:r>
    </w:p>
    <w:p w14:paraId="29064F2B" w14:textId="1E288747" w:rsidR="71A65E9A" w:rsidRDefault="71A65E9A" w:rsidP="5311C3E3">
      <w:pPr>
        <w:spacing w:before="240" w:after="240"/>
        <w:rPr>
          <w:rFonts w:cs="Arial"/>
          <w:sz w:val="22"/>
          <w:szCs w:val="22"/>
        </w:rPr>
      </w:pPr>
    </w:p>
    <w:p w14:paraId="05D2DC95" w14:textId="5C7B1EC5" w:rsidR="71A65E9A" w:rsidRDefault="480CB679" w:rsidP="5311C3E3">
      <w:pPr>
        <w:spacing w:before="240" w:after="240"/>
        <w:rPr>
          <w:rFonts w:cs="Arial"/>
          <w:sz w:val="22"/>
          <w:szCs w:val="22"/>
        </w:rPr>
      </w:pPr>
      <w:r w:rsidRPr="5311C3E3">
        <w:rPr>
          <w:rFonts w:cs="Arial"/>
          <w:sz w:val="22"/>
          <w:szCs w:val="22"/>
        </w:rPr>
        <w:t>ELFT will also promote staff wellbeing by supporting healthy workplace environments and aligning nutrition and hydration practices with the NHS England National Standards for Healthcare Food and Drink</w:t>
      </w:r>
      <w:r w:rsidR="7B029DA1" w:rsidRPr="5311C3E3">
        <w:rPr>
          <w:rFonts w:cs="Arial"/>
          <w:sz w:val="22"/>
          <w:szCs w:val="22"/>
        </w:rPr>
        <w:t>, the</w:t>
      </w:r>
      <w:r w:rsidR="21438273" w:rsidRPr="5311C3E3">
        <w:rPr>
          <w:rFonts w:cs="Arial"/>
          <w:sz w:val="22"/>
          <w:szCs w:val="22"/>
        </w:rPr>
        <w:t xml:space="preserve"> BDA Nutrition and Hydration Digest</w:t>
      </w:r>
      <w:r w:rsidR="7B029DA1" w:rsidRPr="5311C3E3">
        <w:rPr>
          <w:rFonts w:cs="Arial"/>
          <w:sz w:val="22"/>
          <w:szCs w:val="22"/>
        </w:rPr>
        <w:t xml:space="preserve"> </w:t>
      </w:r>
      <w:sdt>
        <w:sdtPr>
          <w:rPr>
            <w:rFonts w:cs="Arial"/>
            <w:color w:val="000000" w:themeColor="text1"/>
            <w:sz w:val="22"/>
            <w:szCs w:val="22"/>
          </w:rPr>
          <w:tag w:val="MENDELEY_CITATION_v3_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"/>
          <w:id w:val="444085831"/>
          <w:placeholder>
            <w:docPart w:val="DefaultPlaceholder_-1854013440"/>
          </w:placeholder>
        </w:sdtPr>
        <w:sdtEndPr/>
        <w:sdtContent/>
      </w:sdt>
      <w:sdt>
        <w:sdtPr>
          <w:rPr>
            <w:rFonts w:cs="Arial"/>
            <w:color w:val="000000" w:themeColor="text1"/>
            <w:sz w:val="22"/>
            <w:szCs w:val="22"/>
          </w:rPr>
          <w:tag w:val="MENDELEY_CITATION_v3_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"/>
          <w:id w:val="1252468514"/>
          <w:placeholder>
            <w:docPart w:val="DefaultPlaceholder_-1854013440"/>
          </w:placeholder>
        </w:sdtPr>
        <w:sdtEndPr/>
        <w:sdtContent>
          <w:r w:rsidR="5311C3E3" w:rsidRPr="5311C3E3">
            <w:rPr>
              <w:rFonts w:cs="Arial"/>
              <w:color w:val="000000" w:themeColor="text1"/>
              <w:sz w:val="22"/>
              <w:szCs w:val="22"/>
            </w:rPr>
            <w:t>(British Dietetic Association Food Services Specialist Group, 2023)</w:t>
          </w:r>
        </w:sdtContent>
      </w:sdt>
      <w:r w:rsidR="7B029DA1" w:rsidRPr="5311C3E3">
        <w:rPr>
          <w:rFonts w:cs="Arial"/>
          <w:sz w:val="22"/>
          <w:szCs w:val="22"/>
        </w:rPr>
        <w:t xml:space="preserve">, </w:t>
      </w:r>
      <w:r w:rsidRPr="5311C3E3">
        <w:rPr>
          <w:rFonts w:cs="Arial"/>
          <w:sz w:val="22"/>
          <w:szCs w:val="22"/>
        </w:rPr>
        <w:t>and the Government Eatwell Guide (NHS England, 2022; Public Health England, 2016).</w:t>
      </w:r>
    </w:p>
    <w:p w14:paraId="3240979B" w14:textId="782DD1C1" w:rsidR="71A65E9A" w:rsidRDefault="71A65E9A" w:rsidP="5311C3E3">
      <w:pPr>
        <w:rPr>
          <w:rFonts w:cs="Arial"/>
          <w:color w:val="000000" w:themeColor="text1"/>
          <w:sz w:val="22"/>
          <w:szCs w:val="22"/>
        </w:rPr>
      </w:pPr>
    </w:p>
    <w:p w14:paraId="40A6B669" w14:textId="0DFC1ABA" w:rsidR="71A65E9A" w:rsidRDefault="47C9B0DE" w:rsidP="5311C3E3">
      <w:pPr>
        <w:pStyle w:val="Heading1"/>
        <w:rPr>
          <w:sz w:val="22"/>
          <w:szCs w:val="22"/>
        </w:rPr>
      </w:pPr>
      <w:bookmarkStart w:id="211" w:name="_Toc224651867"/>
      <w:bookmarkStart w:id="212" w:name="_Toc224652044"/>
      <w:bookmarkStart w:id="213" w:name="_Toc227057867"/>
      <w:r>
        <w:t xml:space="preserve">8. </w:t>
      </w:r>
      <w:r w:rsidR="65AB41CA">
        <w:t>Catering</w:t>
      </w:r>
      <w:r w:rsidR="3FF52A2D">
        <w:t xml:space="preserve"> and </w:t>
      </w:r>
      <w:r w:rsidR="09D51E1C">
        <w:t>F</w:t>
      </w:r>
      <w:r w:rsidR="3FF52A2D">
        <w:t xml:space="preserve">ood </w:t>
      </w:r>
      <w:r w:rsidR="55103753">
        <w:t>P</w:t>
      </w:r>
      <w:r w:rsidR="3FF52A2D">
        <w:t>rovision</w:t>
      </w:r>
      <w:bookmarkEnd w:id="211"/>
      <w:bookmarkEnd w:id="212"/>
      <w:bookmarkEnd w:id="213"/>
    </w:p>
    <w:p w14:paraId="714C409B" w14:textId="6274FB02" w:rsidR="71A65E9A" w:rsidRDefault="06DCB688" w:rsidP="5311C3E3">
      <w:pPr>
        <w:pStyle w:val="Heading2"/>
        <w:rPr>
          <w:rFonts w:ascii="Arial" w:eastAsia="Arial" w:hAnsi="Arial" w:cs="Arial"/>
          <w:sz w:val="22"/>
          <w:szCs w:val="22"/>
        </w:rPr>
      </w:pPr>
      <w:bookmarkStart w:id="214" w:name="_Toc224651868"/>
      <w:bookmarkStart w:id="215" w:name="_Toc224652045"/>
      <w:bookmarkStart w:id="216" w:name="_Toc227057868"/>
      <w:r>
        <w:t xml:space="preserve">8.1 </w:t>
      </w:r>
      <w:r w:rsidR="6CEC6C7D">
        <w:t>Menu Provision and Dietary Requirements</w:t>
      </w:r>
      <w:bookmarkEnd w:id="214"/>
      <w:bookmarkEnd w:id="215"/>
      <w:bookmarkEnd w:id="216"/>
    </w:p>
    <w:p w14:paraId="74441F72" w14:textId="3AA8CE98" w:rsidR="71A65E9A" w:rsidRDefault="6BEB4AA3" w:rsidP="5311C3E3">
      <w:pPr>
        <w:spacing w:before="240" w:after="240"/>
        <w:rPr>
          <w:rFonts w:cs="Arial"/>
          <w:sz w:val="22"/>
          <w:szCs w:val="22"/>
        </w:rPr>
      </w:pPr>
      <w:r w:rsidRPr="5311C3E3">
        <w:rPr>
          <w:rFonts w:cs="Arial"/>
          <w:sz w:val="22"/>
          <w:szCs w:val="22"/>
        </w:rPr>
        <w:t>Catering and food provision must meet the nutritional, therapeutic, cultural, religious and communication needs of service users across ELFT services. Service users must have access to food and drink across a 24-hour period, including appropriate out-of-hours provision. Catering provision must comply with the Trust Catering Service Specification and align with the NHS England National Standards for Healthcare Food and Drink, the BDA Nutrition and Hydration Digest, and the BDA Mental Health and Learning Disability Inpatient Supplement (NHS England, 2022; British Dietetic Association, 2023; British Dietetic Association, 2025).</w:t>
      </w:r>
    </w:p>
    <w:p w14:paraId="0CC50091" w14:textId="193D2636" w:rsidR="71A65E9A" w:rsidRDefault="6BEB4AA3" w:rsidP="5311C3E3">
      <w:pPr>
        <w:spacing w:before="240" w:after="240"/>
        <w:rPr>
          <w:rFonts w:cs="Arial"/>
          <w:sz w:val="22"/>
          <w:szCs w:val="22"/>
        </w:rPr>
      </w:pPr>
      <w:r w:rsidRPr="5311C3E3">
        <w:rPr>
          <w:rFonts w:cs="Arial"/>
          <w:sz w:val="22"/>
          <w:szCs w:val="22"/>
        </w:rPr>
        <w:t>Food provision in mental health, learning disability and forensic inpatient settings should reflect longer lengths of stay and recognise the therapeutic role of meals in supporting recovery, wellbeing and social engagement (British Dietetic Association, 2025).</w:t>
      </w:r>
    </w:p>
    <w:p w14:paraId="44204E46" w14:textId="12835F73" w:rsidR="71A65E9A" w:rsidRDefault="71A65E9A" w:rsidP="5311C3E3">
      <w:pPr>
        <w:spacing w:before="240" w:after="240"/>
        <w:rPr>
          <w:rFonts w:cs="Arial"/>
          <w:color w:val="000000" w:themeColor="text1"/>
          <w:sz w:val="22"/>
          <w:szCs w:val="22"/>
        </w:rPr>
      </w:pPr>
    </w:p>
    <w:p w14:paraId="412D9229" w14:textId="1A3ABFAC" w:rsidR="71A65E9A" w:rsidRDefault="6CEC6C7D" w:rsidP="5311C3E3">
      <w:pPr>
        <w:spacing w:before="240" w:after="240"/>
        <w:rPr>
          <w:rFonts w:cs="Arial"/>
          <w:color w:val="000000" w:themeColor="text1"/>
          <w:sz w:val="22"/>
          <w:szCs w:val="22"/>
        </w:rPr>
      </w:pPr>
      <w:r w:rsidRPr="5311C3E3">
        <w:rPr>
          <w:rFonts w:cs="Arial"/>
          <w:color w:val="000000" w:themeColor="text1"/>
          <w:sz w:val="22"/>
          <w:szCs w:val="22"/>
        </w:rPr>
        <w:t>Menus must provide clearly identifiable options that support:</w:t>
      </w:r>
    </w:p>
    <w:p w14:paraId="6E2024E8" w14:textId="0C48379E" w:rsidR="71A65E9A" w:rsidRDefault="59044770" w:rsidP="00825F2C">
      <w:pPr>
        <w:pStyle w:val="ListParagraph"/>
        <w:numPr>
          <w:ilvl w:val="0"/>
          <w:numId w:val="14"/>
        </w:numPr>
        <w:spacing w:before="240" w:after="240"/>
        <w:rPr>
          <w:rFonts w:cs="Arial"/>
          <w:color w:val="000000" w:themeColor="text1"/>
          <w:sz w:val="22"/>
          <w:szCs w:val="22"/>
        </w:rPr>
      </w:pPr>
      <w:r w:rsidRPr="5311C3E3">
        <w:rPr>
          <w:rFonts w:cs="Arial"/>
          <w:color w:val="000000" w:themeColor="text1"/>
          <w:sz w:val="22"/>
          <w:szCs w:val="22"/>
        </w:rPr>
        <w:t>B</w:t>
      </w:r>
      <w:r w:rsidR="6CEC6C7D" w:rsidRPr="5311C3E3">
        <w:rPr>
          <w:rFonts w:cs="Arial"/>
          <w:color w:val="000000" w:themeColor="text1"/>
          <w:sz w:val="22"/>
          <w:szCs w:val="22"/>
        </w:rPr>
        <w:t>alanced healthy eating</w:t>
      </w:r>
    </w:p>
    <w:p w14:paraId="0DBD6960" w14:textId="377C37D6" w:rsidR="71A65E9A" w:rsidRDefault="7B43BB42" w:rsidP="00825F2C">
      <w:pPr>
        <w:pStyle w:val="ListParagraph"/>
        <w:numPr>
          <w:ilvl w:val="0"/>
          <w:numId w:val="14"/>
        </w:numPr>
        <w:spacing w:before="240" w:after="240"/>
        <w:rPr>
          <w:rFonts w:cs="Arial"/>
          <w:color w:val="000000" w:themeColor="text1"/>
          <w:sz w:val="22"/>
          <w:szCs w:val="22"/>
        </w:rPr>
      </w:pPr>
      <w:r w:rsidRPr="5311C3E3">
        <w:rPr>
          <w:rFonts w:cs="Arial"/>
          <w:color w:val="000000" w:themeColor="text1"/>
          <w:sz w:val="22"/>
          <w:szCs w:val="22"/>
        </w:rPr>
        <w:t>N</w:t>
      </w:r>
      <w:r w:rsidR="6CEC6C7D" w:rsidRPr="5311C3E3">
        <w:rPr>
          <w:rFonts w:cs="Arial"/>
          <w:color w:val="000000" w:themeColor="text1"/>
          <w:sz w:val="22"/>
          <w:szCs w:val="22"/>
        </w:rPr>
        <w:t>utrition support requirements</w:t>
      </w:r>
    </w:p>
    <w:p w14:paraId="0E9EADE1" w14:textId="553DACB8" w:rsidR="71A65E9A" w:rsidRDefault="104AC41E" w:rsidP="00825F2C">
      <w:pPr>
        <w:pStyle w:val="ListParagraph"/>
        <w:numPr>
          <w:ilvl w:val="0"/>
          <w:numId w:val="14"/>
        </w:numPr>
        <w:spacing w:before="240" w:after="240"/>
        <w:rPr>
          <w:rFonts w:cs="Arial"/>
          <w:color w:val="000000" w:themeColor="text1"/>
          <w:sz w:val="22"/>
          <w:szCs w:val="22"/>
        </w:rPr>
      </w:pPr>
      <w:r w:rsidRPr="5311C3E3">
        <w:rPr>
          <w:rFonts w:cs="Arial"/>
          <w:color w:val="000000" w:themeColor="text1"/>
          <w:sz w:val="22"/>
          <w:szCs w:val="22"/>
        </w:rPr>
        <w:t>T</w:t>
      </w:r>
      <w:r w:rsidR="6CEC6C7D" w:rsidRPr="5311C3E3">
        <w:rPr>
          <w:rFonts w:cs="Arial"/>
          <w:color w:val="000000" w:themeColor="text1"/>
          <w:sz w:val="22"/>
          <w:szCs w:val="22"/>
        </w:rPr>
        <w:t>exture-modified diets and thickened fluids</w:t>
      </w:r>
    </w:p>
    <w:p w14:paraId="0736A750" w14:textId="7EB7D934" w:rsidR="71A65E9A" w:rsidRDefault="28908EDD" w:rsidP="00825F2C">
      <w:pPr>
        <w:pStyle w:val="ListParagraph"/>
        <w:numPr>
          <w:ilvl w:val="0"/>
          <w:numId w:val="14"/>
        </w:numPr>
        <w:spacing w:before="240" w:after="240"/>
        <w:rPr>
          <w:rFonts w:cs="Arial"/>
          <w:color w:val="000000" w:themeColor="text1"/>
          <w:sz w:val="22"/>
          <w:szCs w:val="22"/>
        </w:rPr>
      </w:pPr>
      <w:r w:rsidRPr="5311C3E3">
        <w:rPr>
          <w:rFonts w:cs="Arial"/>
          <w:color w:val="000000" w:themeColor="text1"/>
          <w:sz w:val="22"/>
          <w:szCs w:val="22"/>
        </w:rPr>
        <w:t>C</w:t>
      </w:r>
      <w:r w:rsidR="6CEC6C7D" w:rsidRPr="5311C3E3">
        <w:rPr>
          <w:rFonts w:cs="Arial"/>
          <w:color w:val="000000" w:themeColor="text1"/>
          <w:sz w:val="22"/>
          <w:szCs w:val="22"/>
        </w:rPr>
        <w:t>ultural and religious dietary needs</w:t>
      </w:r>
    </w:p>
    <w:p w14:paraId="461161F2" w14:textId="28BB7E96" w:rsidR="71A65E9A" w:rsidRDefault="06FD0909" w:rsidP="00825F2C">
      <w:pPr>
        <w:pStyle w:val="ListParagraph"/>
        <w:numPr>
          <w:ilvl w:val="0"/>
          <w:numId w:val="14"/>
        </w:numPr>
        <w:spacing w:before="240" w:after="240"/>
        <w:rPr>
          <w:rFonts w:cs="Arial"/>
          <w:color w:val="000000" w:themeColor="text1"/>
          <w:sz w:val="22"/>
          <w:szCs w:val="22"/>
        </w:rPr>
      </w:pPr>
      <w:r w:rsidRPr="5311C3E3">
        <w:rPr>
          <w:rFonts w:cs="Arial"/>
          <w:color w:val="000000" w:themeColor="text1"/>
          <w:sz w:val="22"/>
          <w:szCs w:val="22"/>
        </w:rPr>
        <w:t>M</w:t>
      </w:r>
      <w:r w:rsidR="6CEC6C7D" w:rsidRPr="5311C3E3">
        <w:rPr>
          <w:rFonts w:cs="Arial"/>
          <w:color w:val="000000" w:themeColor="text1"/>
          <w:sz w:val="22"/>
          <w:szCs w:val="22"/>
        </w:rPr>
        <w:t>anagement of food allergies and intolerances</w:t>
      </w:r>
    </w:p>
    <w:p w14:paraId="2C2CA8CB" w14:textId="5BA849FE" w:rsidR="71A65E9A" w:rsidRDefault="13F7D8FE" w:rsidP="00825F2C">
      <w:pPr>
        <w:pStyle w:val="ListParagraph"/>
        <w:numPr>
          <w:ilvl w:val="0"/>
          <w:numId w:val="14"/>
        </w:numPr>
        <w:spacing w:before="240" w:after="240"/>
        <w:rPr>
          <w:rFonts w:cs="Arial"/>
          <w:color w:val="000000" w:themeColor="text1"/>
          <w:sz w:val="22"/>
          <w:szCs w:val="22"/>
        </w:rPr>
      </w:pPr>
      <w:r w:rsidRPr="5311C3E3">
        <w:rPr>
          <w:rFonts w:cs="Arial"/>
          <w:color w:val="000000" w:themeColor="text1"/>
          <w:sz w:val="22"/>
          <w:szCs w:val="22"/>
        </w:rPr>
        <w:t>S</w:t>
      </w:r>
      <w:r w:rsidR="6CEC6C7D" w:rsidRPr="5311C3E3">
        <w:rPr>
          <w:rFonts w:cs="Arial"/>
          <w:color w:val="000000" w:themeColor="text1"/>
          <w:sz w:val="22"/>
          <w:szCs w:val="22"/>
        </w:rPr>
        <w:t>pecialist therapeutic diets where clinically indicated</w:t>
      </w:r>
    </w:p>
    <w:p w14:paraId="5C84D8BF" w14:textId="5CE523EF" w:rsidR="71A65E9A" w:rsidRDefault="6CEC6C7D" w:rsidP="5311C3E3">
      <w:pPr>
        <w:spacing w:before="240" w:after="240"/>
        <w:rPr>
          <w:rFonts w:cs="Arial"/>
          <w:color w:val="000000" w:themeColor="text1"/>
          <w:sz w:val="22"/>
          <w:szCs w:val="22"/>
        </w:rPr>
      </w:pPr>
      <w:r w:rsidRPr="5311C3E3">
        <w:rPr>
          <w:rFonts w:cs="Arial"/>
          <w:color w:val="000000" w:themeColor="text1"/>
          <w:sz w:val="22"/>
          <w:szCs w:val="22"/>
        </w:rPr>
        <w:t xml:space="preserve">Staff supporting menu ordering, or acting in a service user’s best interests, must complete relevant nutrition </w:t>
      </w:r>
      <w:r w:rsidR="371940CC" w:rsidRPr="5311C3E3">
        <w:rPr>
          <w:rFonts w:cs="Arial"/>
          <w:color w:val="000000" w:themeColor="text1"/>
          <w:sz w:val="22"/>
          <w:szCs w:val="22"/>
        </w:rPr>
        <w:t xml:space="preserve">and hydration </w:t>
      </w:r>
      <w:r w:rsidRPr="5311C3E3">
        <w:rPr>
          <w:rFonts w:cs="Arial"/>
          <w:color w:val="000000" w:themeColor="text1"/>
          <w:sz w:val="22"/>
          <w:szCs w:val="22"/>
        </w:rPr>
        <w:t>training. Staff must support service users to make informed choices based on assessed nutrition and hydration needs and documented care plans. Assistance to read or interpret menus must be provided where required.</w:t>
      </w:r>
    </w:p>
    <w:p w14:paraId="03B5EC59" w14:textId="69C1D53B" w:rsidR="71A65E9A" w:rsidRDefault="71A65E9A" w:rsidP="5311C3E3">
      <w:pPr>
        <w:spacing w:before="240" w:after="240"/>
        <w:rPr>
          <w:rFonts w:cs="Arial"/>
          <w:color w:val="000000" w:themeColor="text1"/>
          <w:sz w:val="22"/>
          <w:szCs w:val="22"/>
        </w:rPr>
      </w:pPr>
    </w:p>
    <w:p w14:paraId="191BE823" w14:textId="77777777" w:rsidR="00011486" w:rsidRDefault="00011486">
      <w:pPr>
        <w:keepNext w:val="0"/>
        <w:keepLines w:val="0"/>
        <w:spacing w:before="0" w:after="160"/>
        <w:contextualSpacing w:val="0"/>
        <w:jc w:val="left"/>
        <w:outlineLvl w:val="9"/>
        <w:rPr>
          <w:rFonts w:cs="Arial"/>
          <w:color w:val="000000" w:themeColor="text1"/>
          <w:sz w:val="22"/>
          <w:szCs w:val="22"/>
        </w:rPr>
      </w:pPr>
      <w:r>
        <w:rPr>
          <w:rFonts w:cs="Arial"/>
          <w:color w:val="000000" w:themeColor="text1"/>
          <w:sz w:val="22"/>
          <w:szCs w:val="22"/>
        </w:rPr>
        <w:br w:type="page"/>
      </w:r>
    </w:p>
    <w:p w14:paraId="1CA453D9" w14:textId="40F52F14" w:rsidR="71A65E9A" w:rsidRDefault="6CEC6C7D" w:rsidP="5311C3E3">
      <w:pPr>
        <w:spacing w:before="240" w:after="240"/>
        <w:rPr>
          <w:rFonts w:cs="Arial"/>
          <w:color w:val="000000" w:themeColor="text1"/>
          <w:sz w:val="22"/>
          <w:szCs w:val="22"/>
        </w:rPr>
      </w:pPr>
      <w:r w:rsidRPr="5311C3E3">
        <w:rPr>
          <w:rFonts w:cs="Arial"/>
          <w:color w:val="000000" w:themeColor="text1"/>
          <w:sz w:val="22"/>
          <w:szCs w:val="22"/>
        </w:rPr>
        <w:lastRenderedPageBreak/>
        <w:t>When supporting menu selection, staff must consider:</w:t>
      </w:r>
    </w:p>
    <w:p w14:paraId="29C0CB03" w14:textId="06FF6C8F" w:rsidR="71A65E9A" w:rsidRDefault="04736AA1" w:rsidP="00825F2C">
      <w:pPr>
        <w:pStyle w:val="ListParagraph"/>
        <w:numPr>
          <w:ilvl w:val="0"/>
          <w:numId w:val="13"/>
        </w:numPr>
        <w:spacing w:before="240" w:after="240"/>
        <w:rPr>
          <w:rFonts w:cs="Arial"/>
          <w:color w:val="000000" w:themeColor="text1"/>
          <w:sz w:val="22"/>
          <w:szCs w:val="22"/>
        </w:rPr>
      </w:pPr>
      <w:r w:rsidRPr="5311C3E3">
        <w:rPr>
          <w:rFonts w:cs="Arial"/>
          <w:color w:val="000000" w:themeColor="text1"/>
          <w:sz w:val="22"/>
          <w:szCs w:val="22"/>
        </w:rPr>
        <w:t>C</w:t>
      </w:r>
      <w:r w:rsidR="6CEC6C7D" w:rsidRPr="5311C3E3">
        <w:rPr>
          <w:rFonts w:cs="Arial"/>
          <w:color w:val="000000" w:themeColor="text1"/>
          <w:sz w:val="22"/>
          <w:szCs w:val="22"/>
        </w:rPr>
        <w:t>ultural and religious dietary requirements (e.g. Halal</w:t>
      </w:r>
      <w:r w:rsidR="46F1178C" w:rsidRPr="5311C3E3">
        <w:rPr>
          <w:rFonts w:cs="Arial"/>
          <w:color w:val="000000" w:themeColor="text1"/>
          <w:sz w:val="22"/>
          <w:szCs w:val="22"/>
        </w:rPr>
        <w:t xml:space="preserve">, </w:t>
      </w:r>
      <w:r w:rsidR="6CEC6C7D" w:rsidRPr="5311C3E3">
        <w:rPr>
          <w:rFonts w:cs="Arial"/>
          <w:color w:val="000000" w:themeColor="text1"/>
          <w:sz w:val="22"/>
          <w:szCs w:val="22"/>
        </w:rPr>
        <w:t>Kosher</w:t>
      </w:r>
      <w:r w:rsidR="3070FF5F" w:rsidRPr="5311C3E3">
        <w:rPr>
          <w:rFonts w:cs="Arial"/>
          <w:color w:val="000000" w:themeColor="text1"/>
          <w:sz w:val="22"/>
          <w:szCs w:val="22"/>
        </w:rPr>
        <w:t xml:space="preserve">, Rastafari </w:t>
      </w:r>
      <w:r w:rsidR="6CEC6C7D" w:rsidRPr="5311C3E3">
        <w:rPr>
          <w:rFonts w:cs="Arial"/>
          <w:color w:val="000000" w:themeColor="text1"/>
          <w:sz w:val="22"/>
          <w:szCs w:val="22"/>
        </w:rPr>
        <w:t>diets)</w:t>
      </w:r>
    </w:p>
    <w:p w14:paraId="3C43E67B" w14:textId="38E01ACD" w:rsidR="71A65E9A" w:rsidRDefault="30CEEA2E" w:rsidP="00825F2C">
      <w:pPr>
        <w:pStyle w:val="ListParagraph"/>
        <w:numPr>
          <w:ilvl w:val="0"/>
          <w:numId w:val="13"/>
        </w:numPr>
        <w:spacing w:before="240" w:after="240"/>
        <w:rPr>
          <w:rFonts w:cs="Arial"/>
          <w:color w:val="000000" w:themeColor="text1"/>
          <w:sz w:val="22"/>
          <w:szCs w:val="22"/>
        </w:rPr>
      </w:pPr>
      <w:r w:rsidRPr="5311C3E3">
        <w:rPr>
          <w:rFonts w:cs="Arial"/>
          <w:color w:val="000000" w:themeColor="text1"/>
          <w:sz w:val="22"/>
          <w:szCs w:val="22"/>
        </w:rPr>
        <w:t>T</w:t>
      </w:r>
      <w:r w:rsidR="6CEC6C7D" w:rsidRPr="5311C3E3">
        <w:rPr>
          <w:rFonts w:cs="Arial"/>
          <w:color w:val="000000" w:themeColor="text1"/>
          <w:sz w:val="22"/>
          <w:szCs w:val="22"/>
        </w:rPr>
        <w:t>exture-modified diets and thickened fluids prescribed in accordance with the International Dysphagia Diet Standardisation Initiative (IDDSI) framework and Speech and Language Therapy guidance (</w:t>
      </w:r>
      <w:proofErr w:type="spellStart"/>
      <w:r w:rsidR="6CEC6C7D" w:rsidRPr="5311C3E3">
        <w:rPr>
          <w:rFonts w:cs="Arial"/>
          <w:color w:val="000000" w:themeColor="text1"/>
          <w:sz w:val="22"/>
          <w:szCs w:val="22"/>
        </w:rPr>
        <w:t>Cichero</w:t>
      </w:r>
      <w:proofErr w:type="spellEnd"/>
      <w:r w:rsidR="6CEC6C7D" w:rsidRPr="5311C3E3">
        <w:rPr>
          <w:rFonts w:cs="Arial"/>
          <w:color w:val="000000" w:themeColor="text1"/>
          <w:sz w:val="22"/>
          <w:szCs w:val="22"/>
        </w:rPr>
        <w:t xml:space="preserve"> et al., 2017)</w:t>
      </w:r>
    </w:p>
    <w:p w14:paraId="1EBDD8A9" w14:textId="38DE40A7" w:rsidR="71A65E9A" w:rsidRDefault="143C9F43" w:rsidP="00825F2C">
      <w:pPr>
        <w:pStyle w:val="ListParagraph"/>
        <w:numPr>
          <w:ilvl w:val="0"/>
          <w:numId w:val="13"/>
        </w:numPr>
        <w:spacing w:before="240" w:after="240"/>
        <w:rPr>
          <w:rFonts w:cs="Arial"/>
          <w:color w:val="000000" w:themeColor="text1"/>
          <w:sz w:val="22"/>
          <w:szCs w:val="22"/>
        </w:rPr>
      </w:pPr>
      <w:r w:rsidRPr="5311C3E3">
        <w:rPr>
          <w:rFonts w:cs="Arial"/>
          <w:color w:val="000000" w:themeColor="text1"/>
          <w:sz w:val="22"/>
          <w:szCs w:val="22"/>
        </w:rPr>
        <w:t>F</w:t>
      </w:r>
      <w:r w:rsidR="6CEC6C7D" w:rsidRPr="5311C3E3">
        <w:rPr>
          <w:rFonts w:cs="Arial"/>
          <w:color w:val="000000" w:themeColor="text1"/>
          <w:sz w:val="22"/>
          <w:szCs w:val="22"/>
        </w:rPr>
        <w:t>ood allergies and intolerances</w:t>
      </w:r>
    </w:p>
    <w:p w14:paraId="4AD950B7" w14:textId="023A97D9" w:rsidR="71A65E9A" w:rsidRDefault="431EEAD6" w:rsidP="00825F2C">
      <w:pPr>
        <w:pStyle w:val="ListParagraph"/>
        <w:numPr>
          <w:ilvl w:val="0"/>
          <w:numId w:val="13"/>
        </w:numPr>
        <w:spacing w:before="240" w:after="240"/>
        <w:rPr>
          <w:rFonts w:cs="Arial"/>
          <w:color w:val="000000" w:themeColor="text1"/>
          <w:sz w:val="22"/>
          <w:szCs w:val="22"/>
        </w:rPr>
      </w:pPr>
      <w:r w:rsidRPr="5311C3E3">
        <w:rPr>
          <w:rFonts w:cs="Arial"/>
          <w:color w:val="000000" w:themeColor="text1"/>
          <w:sz w:val="22"/>
          <w:szCs w:val="22"/>
        </w:rPr>
        <w:t>S</w:t>
      </w:r>
      <w:r w:rsidR="6CEC6C7D" w:rsidRPr="5311C3E3">
        <w:rPr>
          <w:rFonts w:cs="Arial"/>
          <w:color w:val="000000" w:themeColor="text1"/>
          <w:sz w:val="22"/>
          <w:szCs w:val="22"/>
        </w:rPr>
        <w:t>pecialist therapeutic diets (e.g. high-protein, renal, low sodium or fluid-restricted diets)</w:t>
      </w:r>
    </w:p>
    <w:p w14:paraId="7584DA1C" w14:textId="09BBE300" w:rsidR="71A65E9A" w:rsidRDefault="048EB445" w:rsidP="00825F2C">
      <w:pPr>
        <w:pStyle w:val="ListParagraph"/>
        <w:numPr>
          <w:ilvl w:val="0"/>
          <w:numId w:val="13"/>
        </w:numPr>
        <w:spacing w:before="240" w:after="240"/>
        <w:rPr>
          <w:rFonts w:cs="Arial"/>
          <w:color w:val="000000" w:themeColor="text1"/>
          <w:sz w:val="22"/>
          <w:szCs w:val="22"/>
        </w:rPr>
      </w:pPr>
      <w:r w:rsidRPr="5311C3E3">
        <w:rPr>
          <w:rFonts w:cs="Arial"/>
          <w:color w:val="000000" w:themeColor="text1"/>
          <w:sz w:val="22"/>
          <w:szCs w:val="22"/>
        </w:rPr>
        <w:t>R</w:t>
      </w:r>
      <w:r w:rsidR="6CEC6C7D" w:rsidRPr="5311C3E3">
        <w:rPr>
          <w:rFonts w:cs="Arial"/>
          <w:color w:val="000000" w:themeColor="text1"/>
          <w:sz w:val="22"/>
          <w:szCs w:val="22"/>
        </w:rPr>
        <w:t>easonable adjustments, including accessible menu formats and communication support</w:t>
      </w:r>
    </w:p>
    <w:p w14:paraId="1D731DFC" w14:textId="0E3BB2FB" w:rsidR="71A65E9A" w:rsidRDefault="2DAC2B6A" w:rsidP="5311C3E3">
      <w:pPr>
        <w:spacing w:before="240" w:after="240"/>
        <w:rPr>
          <w:rFonts w:cs="Arial"/>
          <w:sz w:val="22"/>
          <w:szCs w:val="22"/>
        </w:rPr>
      </w:pPr>
      <w:r w:rsidRPr="5311C3E3">
        <w:rPr>
          <w:rFonts w:cs="Arial"/>
          <w:sz w:val="22"/>
          <w:szCs w:val="22"/>
        </w:rPr>
        <w:t>Staff must communicate relevant nutrition and hydration needs, including allergies, texture-modified diets and therapeutic dietary requirements, to catering services and the multidisciplinary team in accordance with the Trust Food Safety and Hygiene Policy and this Nutrition and Hydration Policy.</w:t>
      </w:r>
    </w:p>
    <w:p w14:paraId="4F5ED7AF" w14:textId="41621B56" w:rsidR="71A65E9A" w:rsidRDefault="71A65E9A" w:rsidP="5311C3E3">
      <w:pPr>
        <w:spacing w:before="240" w:after="240"/>
        <w:rPr>
          <w:rFonts w:cs="Arial"/>
          <w:color w:val="000000" w:themeColor="text1"/>
          <w:sz w:val="22"/>
          <w:szCs w:val="22"/>
        </w:rPr>
      </w:pPr>
    </w:p>
    <w:p w14:paraId="2F67C102" w14:textId="5532AE19" w:rsidR="71A65E9A" w:rsidRDefault="6CEC6C7D" w:rsidP="5311C3E3">
      <w:pPr>
        <w:spacing w:before="240" w:after="240"/>
        <w:rPr>
          <w:rFonts w:cs="Arial"/>
          <w:color w:val="000000" w:themeColor="text1"/>
          <w:sz w:val="22"/>
          <w:szCs w:val="22"/>
        </w:rPr>
      </w:pPr>
      <w:r w:rsidRPr="5311C3E3">
        <w:rPr>
          <w:rFonts w:cs="Arial"/>
          <w:color w:val="000000" w:themeColor="text1"/>
          <w:sz w:val="22"/>
          <w:szCs w:val="22"/>
        </w:rPr>
        <w:t>In specialist eating disorder inpatient services, meal provision must follow documented meal plans and local specialist protocols. In community eating disorder services, staff should support service users and carers with consistent approaches to meal planning and nutrition in line with the agreed care plan and national guidance (National Institute for Health and Care Excellence, 2017).</w:t>
      </w:r>
    </w:p>
    <w:p w14:paraId="75A2EE18" w14:textId="08F91951" w:rsidR="71A65E9A" w:rsidRDefault="71A65E9A" w:rsidP="5311C3E3">
      <w:pPr>
        <w:spacing w:before="240" w:after="240"/>
        <w:rPr>
          <w:rFonts w:cs="Arial"/>
          <w:color w:val="000000" w:themeColor="text1"/>
          <w:sz w:val="22"/>
          <w:szCs w:val="22"/>
        </w:rPr>
      </w:pPr>
    </w:p>
    <w:p w14:paraId="10BA41C5" w14:textId="2489C958" w:rsidR="71A65E9A" w:rsidRDefault="6CEC6C7D" w:rsidP="5311C3E3">
      <w:pPr>
        <w:spacing w:before="240" w:after="240"/>
        <w:rPr>
          <w:rFonts w:cs="Arial"/>
          <w:color w:val="000000" w:themeColor="text1"/>
          <w:sz w:val="22"/>
          <w:szCs w:val="22"/>
        </w:rPr>
      </w:pPr>
      <w:r w:rsidRPr="5311C3E3">
        <w:rPr>
          <w:rFonts w:cs="Arial"/>
          <w:color w:val="000000" w:themeColor="text1"/>
          <w:sz w:val="22"/>
          <w:szCs w:val="22"/>
        </w:rPr>
        <w:t>Detailed operational information regarding menu formats, ordering processes, ingredient information and out-of-hours food provision is set out in the Trust Catering Service Specification and associated intranet resources.</w:t>
      </w:r>
    </w:p>
    <w:p w14:paraId="1D1B77AD" w14:textId="59192E34" w:rsidR="71A65E9A" w:rsidRDefault="71A65E9A" w:rsidP="5311C3E3">
      <w:pPr>
        <w:spacing w:before="240" w:after="240"/>
        <w:rPr>
          <w:rFonts w:cs="Arial"/>
          <w:color w:val="000000" w:themeColor="text1"/>
          <w:sz w:val="22"/>
          <w:szCs w:val="22"/>
        </w:rPr>
      </w:pPr>
    </w:p>
    <w:p w14:paraId="48BAE39F" w14:textId="1FF7BAEF" w:rsidR="71A65E9A" w:rsidRDefault="6CEC6C7D" w:rsidP="5311C3E3">
      <w:pPr>
        <w:spacing w:before="240" w:after="240"/>
        <w:rPr>
          <w:rFonts w:cs="Arial"/>
          <w:color w:val="000000" w:themeColor="text1"/>
          <w:sz w:val="22"/>
          <w:szCs w:val="22"/>
        </w:rPr>
      </w:pPr>
      <w:r w:rsidRPr="5311C3E3">
        <w:rPr>
          <w:rFonts w:cs="Arial"/>
          <w:color w:val="000000" w:themeColor="text1"/>
          <w:sz w:val="22"/>
          <w:szCs w:val="22"/>
        </w:rPr>
        <w:t>All aspects of food safety, hygiene, food handling, storage, temperature monitoring, allergen management and ward-level food preparation must be managed in accordance with the Trust Food Safety and Hygiene Policy (East London NHS Foundation Trust, 2025).</w:t>
      </w:r>
    </w:p>
    <w:p w14:paraId="44243A62" w14:textId="50FC358E" w:rsidR="71A65E9A" w:rsidRDefault="71A65E9A" w:rsidP="5311C3E3">
      <w:pPr>
        <w:spacing w:before="240" w:after="240"/>
        <w:rPr>
          <w:rFonts w:cs="Arial"/>
          <w:color w:val="000000" w:themeColor="text1"/>
          <w:sz w:val="22"/>
          <w:szCs w:val="22"/>
        </w:rPr>
      </w:pPr>
    </w:p>
    <w:p w14:paraId="69837ED3" w14:textId="34938047" w:rsidR="64D7B435" w:rsidRDefault="64D7B435" w:rsidP="5311C3E3">
      <w:pPr>
        <w:pStyle w:val="Heading3"/>
        <w:rPr>
          <w:rFonts w:ascii="Arial" w:eastAsia="Arial" w:hAnsi="Arial" w:cs="Arial"/>
          <w:sz w:val="22"/>
          <w:szCs w:val="22"/>
        </w:rPr>
      </w:pPr>
      <w:r w:rsidRPr="5311C3E3">
        <w:rPr>
          <w:rFonts w:ascii="Arial" w:eastAsia="Arial" w:hAnsi="Arial" w:cs="Arial"/>
          <w:sz w:val="22"/>
          <w:szCs w:val="22"/>
        </w:rPr>
        <w:t xml:space="preserve"> </w:t>
      </w:r>
      <w:bookmarkStart w:id="217" w:name="_Toc224651869"/>
      <w:bookmarkStart w:id="218" w:name="_Toc224652046"/>
      <w:bookmarkStart w:id="219" w:name="_Toc227057869"/>
      <w:r w:rsidR="61078750" w:rsidRPr="5311C3E3">
        <w:rPr>
          <w:rStyle w:val="Heading2Char"/>
        </w:rPr>
        <w:t xml:space="preserve">8.2 </w:t>
      </w:r>
      <w:r w:rsidRPr="5311C3E3">
        <w:rPr>
          <w:rStyle w:val="Heading2Char"/>
        </w:rPr>
        <w:t>Mealtime Environment and Support</w:t>
      </w:r>
      <w:bookmarkEnd w:id="217"/>
      <w:bookmarkEnd w:id="218"/>
      <w:bookmarkEnd w:id="219"/>
    </w:p>
    <w:p w14:paraId="7F8CC211" w14:textId="41F94045" w:rsidR="64D7B435" w:rsidRDefault="64D7B435" w:rsidP="5311C3E3">
      <w:pPr>
        <w:spacing w:before="240" w:after="240"/>
        <w:rPr>
          <w:rFonts w:cs="Arial"/>
          <w:sz w:val="22"/>
          <w:szCs w:val="22"/>
        </w:rPr>
      </w:pPr>
      <w:r w:rsidRPr="5311C3E3">
        <w:rPr>
          <w:rFonts w:cs="Arial"/>
          <w:sz w:val="22"/>
          <w:szCs w:val="22"/>
        </w:rPr>
        <w:t>In inpatient settings, wards should implement protected mealtimes to allow service users adequate time to eat with minimal avoidable interruption while maintaining privacy and dignity (NHS England, 2022</w:t>
      </w:r>
      <w:r w:rsidR="7B7B023C" w:rsidRPr="5311C3E3">
        <w:rPr>
          <w:rFonts w:cs="Arial"/>
          <w:sz w:val="22"/>
          <w:szCs w:val="22"/>
        </w:rPr>
        <w:t>; Department of Health, 2007</w:t>
      </w:r>
      <w:r w:rsidRPr="5311C3E3">
        <w:rPr>
          <w:rFonts w:cs="Arial"/>
          <w:sz w:val="22"/>
          <w:szCs w:val="22"/>
        </w:rPr>
        <w:t>).</w:t>
      </w:r>
    </w:p>
    <w:p w14:paraId="34F0481C" w14:textId="4DEBD203" w:rsidR="5311C3E3" w:rsidRDefault="5311C3E3" w:rsidP="5311C3E3">
      <w:pPr>
        <w:spacing w:before="240" w:after="240"/>
        <w:rPr>
          <w:rFonts w:cs="Arial"/>
          <w:sz w:val="22"/>
          <w:szCs w:val="22"/>
        </w:rPr>
      </w:pPr>
    </w:p>
    <w:p w14:paraId="50F290B4" w14:textId="45A63F88" w:rsidR="64D7B435" w:rsidRDefault="64D7B435" w:rsidP="5311C3E3">
      <w:pPr>
        <w:spacing w:before="240" w:after="240"/>
        <w:rPr>
          <w:rFonts w:cs="Arial"/>
          <w:sz w:val="22"/>
          <w:szCs w:val="22"/>
        </w:rPr>
      </w:pPr>
      <w:r w:rsidRPr="5311C3E3">
        <w:rPr>
          <w:rFonts w:cs="Arial"/>
          <w:sz w:val="22"/>
          <w:szCs w:val="22"/>
        </w:rPr>
        <w:t>Wards should facilitate environments that support adequate nutrition and hydration and encourage appropriate social interaction during meals.</w:t>
      </w:r>
    </w:p>
    <w:p w14:paraId="45FA2ADB" w14:textId="0C56F036" w:rsidR="5311C3E3" w:rsidRDefault="5311C3E3" w:rsidP="5311C3E3">
      <w:pPr>
        <w:spacing w:before="240" w:after="240"/>
        <w:rPr>
          <w:rFonts w:cs="Arial"/>
          <w:sz w:val="22"/>
          <w:szCs w:val="22"/>
        </w:rPr>
      </w:pPr>
    </w:p>
    <w:p w14:paraId="18A0012C" w14:textId="362400EC" w:rsidR="64D7B435" w:rsidRDefault="64D7B435" w:rsidP="5311C3E3">
      <w:pPr>
        <w:spacing w:before="240" w:after="240"/>
        <w:rPr>
          <w:rFonts w:cs="Arial"/>
          <w:sz w:val="22"/>
          <w:szCs w:val="22"/>
        </w:rPr>
      </w:pPr>
      <w:r w:rsidRPr="5311C3E3">
        <w:rPr>
          <w:rFonts w:cs="Arial"/>
          <w:sz w:val="22"/>
          <w:szCs w:val="22"/>
        </w:rPr>
        <w:t>Staff must support service users who require assistance to eat or drink safely, in line with documented care plans and relevant clinical guidance.</w:t>
      </w:r>
    </w:p>
    <w:p w14:paraId="69D5D533" w14:textId="0B9038B1" w:rsidR="5311C3E3" w:rsidRDefault="5311C3E3" w:rsidP="5311C3E3">
      <w:pPr>
        <w:spacing w:before="240" w:after="240"/>
        <w:rPr>
          <w:rFonts w:cs="Arial"/>
          <w:sz w:val="22"/>
          <w:szCs w:val="22"/>
        </w:rPr>
      </w:pPr>
    </w:p>
    <w:p w14:paraId="0D556912" w14:textId="3BFE6621" w:rsidR="64D7B435" w:rsidRDefault="64D7B435" w:rsidP="5311C3E3">
      <w:pPr>
        <w:spacing w:before="240" w:after="240"/>
        <w:rPr>
          <w:rFonts w:cs="Arial"/>
          <w:sz w:val="22"/>
          <w:szCs w:val="22"/>
        </w:rPr>
      </w:pPr>
      <w:r w:rsidRPr="5311C3E3">
        <w:rPr>
          <w:rFonts w:cs="Arial"/>
          <w:sz w:val="22"/>
          <w:szCs w:val="22"/>
        </w:rPr>
        <w:t>Staff must recognise that mealtimes may be distressing or anxiety-provoking for some service users, particularly those with eating disorders, trauma histories or sensory sensitivities. Staff should adopt a trauma-informed and person-centred approach, promoting choice, dignity, psychological safety and respectful engagement wherever possible (NHS England, 2023; B</w:t>
      </w:r>
      <w:r w:rsidR="5273D70A" w:rsidRPr="5311C3E3">
        <w:rPr>
          <w:rFonts w:cs="Arial"/>
          <w:sz w:val="22"/>
          <w:szCs w:val="22"/>
        </w:rPr>
        <w:t>DA</w:t>
      </w:r>
      <w:r w:rsidRPr="5311C3E3">
        <w:rPr>
          <w:rFonts w:cs="Arial"/>
          <w:sz w:val="22"/>
          <w:szCs w:val="22"/>
        </w:rPr>
        <w:t>, 2025)</w:t>
      </w:r>
      <w:r w:rsidR="4DC94D81" w:rsidRPr="5311C3E3">
        <w:rPr>
          <w:rFonts w:cs="Arial"/>
          <w:sz w:val="22"/>
          <w:szCs w:val="22"/>
        </w:rPr>
        <w:t>.</w:t>
      </w:r>
    </w:p>
    <w:p w14:paraId="45BF786E" w14:textId="16AE3363" w:rsidR="5311C3E3" w:rsidRDefault="5311C3E3" w:rsidP="5311C3E3">
      <w:pPr>
        <w:spacing w:before="240" w:after="240"/>
        <w:rPr>
          <w:rFonts w:cs="Arial"/>
          <w:sz w:val="22"/>
          <w:szCs w:val="22"/>
        </w:rPr>
      </w:pPr>
    </w:p>
    <w:p w14:paraId="18185CB2" w14:textId="0B02296B" w:rsidR="64D7B435" w:rsidRDefault="64D7B435" w:rsidP="5311C3E3">
      <w:pPr>
        <w:spacing w:before="240" w:after="240"/>
        <w:rPr>
          <w:rFonts w:cs="Arial"/>
          <w:sz w:val="22"/>
          <w:szCs w:val="22"/>
        </w:rPr>
      </w:pPr>
      <w:r w:rsidRPr="5311C3E3">
        <w:rPr>
          <w:rFonts w:cs="Arial"/>
          <w:sz w:val="22"/>
          <w:szCs w:val="22"/>
        </w:rPr>
        <w:lastRenderedPageBreak/>
        <w:t>Where clinically appropriate, staff should also consider environmental and individual factors that may influence food intake, including:</w:t>
      </w:r>
    </w:p>
    <w:p w14:paraId="3FF0D438" w14:textId="66A6AFC9" w:rsidR="49C215A5" w:rsidRDefault="49C215A5" w:rsidP="00825F2C">
      <w:pPr>
        <w:pStyle w:val="ListParagraph"/>
        <w:numPr>
          <w:ilvl w:val="0"/>
          <w:numId w:val="12"/>
        </w:numPr>
        <w:spacing w:before="240" w:after="240"/>
        <w:rPr>
          <w:rFonts w:cs="Arial"/>
          <w:sz w:val="22"/>
          <w:szCs w:val="22"/>
        </w:rPr>
      </w:pPr>
      <w:r w:rsidRPr="5311C3E3">
        <w:rPr>
          <w:rFonts w:cs="Arial"/>
          <w:sz w:val="22"/>
          <w:szCs w:val="22"/>
        </w:rPr>
        <w:t>N</w:t>
      </w:r>
      <w:r w:rsidR="64D7B435" w:rsidRPr="5311C3E3">
        <w:rPr>
          <w:rFonts w:cs="Arial"/>
          <w:sz w:val="22"/>
          <w:szCs w:val="22"/>
        </w:rPr>
        <w:t>oise, lighting and sensory stimulation within the dining environment</w:t>
      </w:r>
    </w:p>
    <w:p w14:paraId="7285B9A4" w14:textId="6303DB64" w:rsidR="7E6C6864" w:rsidRDefault="7E6C6864" w:rsidP="00825F2C">
      <w:pPr>
        <w:pStyle w:val="ListParagraph"/>
        <w:numPr>
          <w:ilvl w:val="0"/>
          <w:numId w:val="12"/>
        </w:numPr>
        <w:spacing w:before="240" w:after="240"/>
        <w:rPr>
          <w:rFonts w:cs="Arial"/>
          <w:sz w:val="22"/>
          <w:szCs w:val="22"/>
        </w:rPr>
      </w:pPr>
      <w:r w:rsidRPr="5311C3E3">
        <w:rPr>
          <w:rFonts w:cs="Arial"/>
          <w:sz w:val="22"/>
          <w:szCs w:val="22"/>
        </w:rPr>
        <w:t>S</w:t>
      </w:r>
      <w:r w:rsidR="64D7B435" w:rsidRPr="5311C3E3">
        <w:rPr>
          <w:rFonts w:cs="Arial"/>
          <w:sz w:val="22"/>
          <w:szCs w:val="22"/>
        </w:rPr>
        <w:t>eating arrangements, posture and accessibility of food and drinks</w:t>
      </w:r>
    </w:p>
    <w:p w14:paraId="7B98B0C9" w14:textId="525F9541" w:rsidR="4B55F12F" w:rsidRDefault="4B55F12F" w:rsidP="00825F2C">
      <w:pPr>
        <w:pStyle w:val="ListParagraph"/>
        <w:numPr>
          <w:ilvl w:val="0"/>
          <w:numId w:val="12"/>
        </w:numPr>
        <w:spacing w:before="240" w:after="240"/>
        <w:rPr>
          <w:rFonts w:cs="Arial"/>
          <w:sz w:val="22"/>
          <w:szCs w:val="22"/>
        </w:rPr>
      </w:pPr>
      <w:r w:rsidRPr="5311C3E3">
        <w:rPr>
          <w:rFonts w:cs="Arial"/>
          <w:sz w:val="22"/>
          <w:szCs w:val="22"/>
        </w:rPr>
        <w:t>T</w:t>
      </w:r>
      <w:r w:rsidR="64D7B435" w:rsidRPr="5311C3E3">
        <w:rPr>
          <w:rFonts w:cs="Arial"/>
          <w:sz w:val="22"/>
          <w:szCs w:val="22"/>
        </w:rPr>
        <w:t>he need for encouragement, prompting or supervised support during meals</w:t>
      </w:r>
    </w:p>
    <w:p w14:paraId="5E630B96" w14:textId="383CDB86" w:rsidR="64D7B435" w:rsidRDefault="64D7B435" w:rsidP="5311C3E3">
      <w:pPr>
        <w:spacing w:before="240" w:after="240"/>
        <w:rPr>
          <w:rFonts w:cs="Arial"/>
          <w:sz w:val="22"/>
          <w:szCs w:val="22"/>
        </w:rPr>
      </w:pPr>
      <w:r w:rsidRPr="5311C3E3">
        <w:rPr>
          <w:rFonts w:cs="Arial"/>
          <w:sz w:val="22"/>
          <w:szCs w:val="22"/>
        </w:rPr>
        <w:t>Mealtime support should be delivered in a way that maintains dignity and independence wherever possible while ensuring that individuals requiring assistance receive timely and safe support.</w:t>
      </w:r>
    </w:p>
    <w:p w14:paraId="10023A34" w14:textId="3600E566" w:rsidR="5311C3E3" w:rsidRDefault="5311C3E3" w:rsidP="5311C3E3">
      <w:pPr>
        <w:spacing w:before="240" w:after="240"/>
        <w:rPr>
          <w:rFonts w:cs="Arial"/>
          <w:sz w:val="22"/>
          <w:szCs w:val="22"/>
        </w:rPr>
      </w:pPr>
    </w:p>
    <w:p w14:paraId="393E4D7D" w14:textId="40A78197" w:rsidR="64D7B435" w:rsidRDefault="64D7B435" w:rsidP="5311C3E3">
      <w:pPr>
        <w:spacing w:before="240" w:after="240"/>
        <w:rPr>
          <w:rFonts w:cs="Arial"/>
          <w:sz w:val="22"/>
          <w:szCs w:val="22"/>
        </w:rPr>
      </w:pPr>
      <w:r w:rsidRPr="32E0C5E7">
        <w:rPr>
          <w:rFonts w:cs="Arial"/>
          <w:sz w:val="22"/>
          <w:szCs w:val="22"/>
        </w:rPr>
        <w:t>Mealtimes also provide an opportunity for staff to observe food and fluid intake. Concerns regarding poor intake, swallowing difficulty, or changes in eating behaviour must be escalated in accordance with the Trust nutrition screening and care planning processes</w:t>
      </w:r>
      <w:r w:rsidR="001D7D2A" w:rsidRPr="32E0C5E7">
        <w:rPr>
          <w:rFonts w:cs="Arial"/>
          <w:sz w:val="22"/>
          <w:szCs w:val="22"/>
        </w:rPr>
        <w:t xml:space="preserve"> </w:t>
      </w:r>
      <w:r w:rsidRPr="32E0C5E7">
        <w:rPr>
          <w:rFonts w:cs="Arial"/>
          <w:sz w:val="22"/>
          <w:szCs w:val="22"/>
        </w:rPr>
        <w:t>to ensure timely assessment and intervention.</w:t>
      </w:r>
    </w:p>
    <w:p w14:paraId="403A70DB" w14:textId="10B9F5AF" w:rsidR="5311C3E3" w:rsidRDefault="5311C3E3" w:rsidP="5311C3E3">
      <w:pPr>
        <w:spacing w:before="240" w:after="240"/>
        <w:rPr>
          <w:rFonts w:cs="Arial"/>
          <w:sz w:val="22"/>
          <w:szCs w:val="22"/>
        </w:rPr>
      </w:pPr>
    </w:p>
    <w:p w14:paraId="5F3B16CE" w14:textId="1A40A611" w:rsidR="64D7B435" w:rsidRDefault="64D7B435" w:rsidP="5797C427">
      <w:pPr>
        <w:spacing w:before="240" w:after="240"/>
        <w:rPr>
          <w:rFonts w:cs="Arial"/>
          <w:sz w:val="22"/>
          <w:szCs w:val="22"/>
        </w:rPr>
      </w:pPr>
      <w:r w:rsidRPr="46BBC149">
        <w:rPr>
          <w:rFonts w:cs="Arial"/>
          <w:sz w:val="22"/>
          <w:szCs w:val="22"/>
        </w:rPr>
        <w:t>In inpatient settings with contracted catering services, ward kitchens are designated controlled food preparation areas. The management of food brought into services by visitors, takeaway food or food used in therapeutic cooking activities must follow the processes outlined in the Trust Food Safety and Hygiene Policy (East London NHS Foundation Trust, 2025).</w:t>
      </w:r>
      <w:r w:rsidR="3D413363" w:rsidRPr="46BBC149">
        <w:rPr>
          <w:rFonts w:cs="Arial"/>
          <w:sz w:val="22"/>
          <w:szCs w:val="22"/>
        </w:rPr>
        <w:t xml:space="preserve"> Staff should support service users to make informed choices when selecting takeaway meals, ensuring options align with their individual nutritional needs, dietary requirements, and care plans. This includes encouraging balanced choices, appropriate portion sizes, and consideration of any medical conditions, allergies, or swallowing needs. </w:t>
      </w:r>
      <w:r w:rsidR="267CBE96" w:rsidRPr="46BBC149">
        <w:rPr>
          <w:rFonts w:cs="Arial"/>
          <w:sz w:val="22"/>
          <w:szCs w:val="22"/>
        </w:rPr>
        <w:t>They must consider the service user’s capacity to make these decisions, offering support or acting in their best interests where required. Support should respect preferences and promote independence, with relevant decisions documented.</w:t>
      </w:r>
    </w:p>
    <w:p w14:paraId="507D196D" w14:textId="0B6192C2" w:rsidR="5311C3E3" w:rsidRDefault="5311C3E3" w:rsidP="5311C3E3">
      <w:pPr>
        <w:spacing w:before="240" w:after="240"/>
        <w:rPr>
          <w:rFonts w:cs="Arial"/>
          <w:sz w:val="22"/>
          <w:szCs w:val="22"/>
        </w:rPr>
      </w:pPr>
    </w:p>
    <w:p w14:paraId="483E304B" w14:textId="5AE632AA" w:rsidR="5311C3E3" w:rsidRPr="00011486" w:rsidRDefault="64D7B435" w:rsidP="5311C3E3">
      <w:pPr>
        <w:spacing w:before="240" w:after="240"/>
        <w:rPr>
          <w:rFonts w:cs="Arial"/>
          <w:sz w:val="22"/>
          <w:szCs w:val="22"/>
        </w:rPr>
      </w:pPr>
      <w:r w:rsidRPr="5311C3E3">
        <w:rPr>
          <w:rFonts w:cs="Arial"/>
          <w:sz w:val="22"/>
          <w:szCs w:val="22"/>
        </w:rPr>
        <w:t xml:space="preserve">In specialist eating disorder settings, relatives and carers may be permitted to bring food into clinical areas where </w:t>
      </w:r>
      <w:r w:rsidR="3181DB8A" w:rsidRPr="5311C3E3">
        <w:rPr>
          <w:rFonts w:cs="Arial"/>
          <w:sz w:val="22"/>
          <w:szCs w:val="22"/>
        </w:rPr>
        <w:t>these supports</w:t>
      </w:r>
      <w:r w:rsidRPr="5311C3E3">
        <w:rPr>
          <w:rFonts w:cs="Arial"/>
          <w:sz w:val="22"/>
          <w:szCs w:val="22"/>
        </w:rPr>
        <w:t xml:space="preserve"> agreed meal plans or family-based meal support in accordance with local clinical protocols.</w:t>
      </w:r>
    </w:p>
    <w:p w14:paraId="4367AE86" w14:textId="68155FBB" w:rsidR="71A65E9A" w:rsidRDefault="7B1D718A" w:rsidP="5311C3E3">
      <w:pPr>
        <w:pStyle w:val="Heading1"/>
        <w:rPr>
          <w:sz w:val="22"/>
          <w:szCs w:val="22"/>
        </w:rPr>
      </w:pPr>
      <w:r w:rsidRPr="5311C3E3">
        <w:rPr>
          <w:sz w:val="22"/>
          <w:szCs w:val="22"/>
        </w:rPr>
        <w:t xml:space="preserve"> </w:t>
      </w:r>
      <w:bookmarkStart w:id="220" w:name="_Toc224651870"/>
      <w:bookmarkStart w:id="221" w:name="_Toc224652047"/>
      <w:bookmarkStart w:id="222" w:name="_Toc227057870"/>
      <w:r w:rsidR="7ECC2CAA" w:rsidRPr="5311C3E3">
        <w:rPr>
          <w:rStyle w:val="Heading1Char"/>
        </w:rPr>
        <w:t xml:space="preserve">9. </w:t>
      </w:r>
      <w:r w:rsidR="65AB41CA" w:rsidRPr="5311C3E3">
        <w:rPr>
          <w:rStyle w:val="Heading1Char"/>
        </w:rPr>
        <w:t xml:space="preserve">Staff </w:t>
      </w:r>
      <w:r w:rsidR="3A85979E" w:rsidRPr="5311C3E3">
        <w:rPr>
          <w:rStyle w:val="Heading1Char"/>
        </w:rPr>
        <w:t>training and competency</w:t>
      </w:r>
      <w:bookmarkEnd w:id="220"/>
      <w:bookmarkEnd w:id="221"/>
      <w:bookmarkEnd w:id="222"/>
    </w:p>
    <w:p w14:paraId="4692D51D" w14:textId="4E278F72" w:rsidR="71A65E9A" w:rsidRDefault="7C45F0A7" w:rsidP="5311C3E3">
      <w:pPr>
        <w:rPr>
          <w:rFonts w:cs="Arial"/>
          <w:color w:val="000000" w:themeColor="text1"/>
          <w:sz w:val="22"/>
          <w:szCs w:val="22"/>
        </w:rPr>
      </w:pPr>
      <w:r w:rsidRPr="5311C3E3">
        <w:rPr>
          <w:rFonts w:cs="Arial"/>
          <w:color w:val="000000" w:themeColor="text1"/>
          <w:sz w:val="22"/>
          <w:szCs w:val="22"/>
        </w:rPr>
        <w:t xml:space="preserve"> </w:t>
      </w:r>
    </w:p>
    <w:p w14:paraId="0E4FADF8" w14:textId="7CB57226" w:rsidR="71A65E9A" w:rsidRDefault="502E88B9" w:rsidP="5311C3E3">
      <w:pPr>
        <w:spacing w:before="240" w:after="240"/>
        <w:rPr>
          <w:rFonts w:cs="Arial"/>
          <w:sz w:val="22"/>
          <w:szCs w:val="22"/>
        </w:rPr>
      </w:pPr>
      <w:r w:rsidRPr="5311C3E3">
        <w:rPr>
          <w:rFonts w:cs="Arial"/>
          <w:sz w:val="22"/>
          <w:szCs w:val="22"/>
        </w:rPr>
        <w:t>The Trust will support staff to develop the knowledge and skills required to identify, monitor and escalate nutrition and hydration risks in accordance with this policy.</w:t>
      </w:r>
    </w:p>
    <w:p w14:paraId="18E21D8C" w14:textId="48AC34E6" w:rsidR="71A65E9A" w:rsidRDefault="71A65E9A" w:rsidP="5311C3E3">
      <w:pPr>
        <w:spacing w:before="240" w:after="240"/>
        <w:rPr>
          <w:rFonts w:cs="Arial"/>
          <w:sz w:val="22"/>
          <w:szCs w:val="22"/>
        </w:rPr>
      </w:pPr>
    </w:p>
    <w:p w14:paraId="3CB1F3D5" w14:textId="46F9526E" w:rsidR="71A65E9A" w:rsidRDefault="502E88B9" w:rsidP="730FCF52">
      <w:pPr>
        <w:spacing w:before="240" w:after="240"/>
        <w:rPr>
          <w:rFonts w:cs="Arial"/>
          <w:sz w:val="22"/>
          <w:szCs w:val="22"/>
        </w:rPr>
      </w:pPr>
      <w:r w:rsidRPr="730FCF52">
        <w:rPr>
          <w:rFonts w:cs="Arial"/>
          <w:sz w:val="22"/>
          <w:szCs w:val="22"/>
        </w:rPr>
        <w:t xml:space="preserve">Core nutrition training is available through the ELFT Learning Academy, including the </w:t>
      </w:r>
      <w:r w:rsidRPr="730FCF52">
        <w:rPr>
          <w:rFonts w:cs="Arial"/>
          <w:i/>
          <w:iCs/>
          <w:sz w:val="22"/>
          <w:szCs w:val="22"/>
        </w:rPr>
        <w:t>Nutrition Screening and Nutrition Care Planning</w:t>
      </w:r>
      <w:r w:rsidRPr="730FCF52">
        <w:rPr>
          <w:rFonts w:cs="Arial"/>
          <w:sz w:val="22"/>
          <w:szCs w:val="22"/>
        </w:rPr>
        <w:t xml:space="preserve"> module. Service managers and clinical leads are responsible for ensuring that relevant staff complete required training and maintain competency in nutrition screening and care planning processes.</w:t>
      </w:r>
      <w:r w:rsidR="7BD39B01" w:rsidRPr="730FCF52">
        <w:rPr>
          <w:rFonts w:cs="Arial"/>
          <w:sz w:val="22"/>
          <w:szCs w:val="22"/>
        </w:rPr>
        <w:t xml:space="preserve"> Adequate staff knowledge and competence in nutrition and hydration care are essential to reducing the risk of patient safety incidents related to malnutrition, dehydration, choking and feeding-related harm.</w:t>
      </w:r>
    </w:p>
    <w:p w14:paraId="0CB530DD" w14:textId="5EB92392" w:rsidR="71A65E9A" w:rsidRDefault="71A65E9A" w:rsidP="5311C3E3">
      <w:pPr>
        <w:spacing w:before="240" w:after="240"/>
        <w:rPr>
          <w:rFonts w:cs="Arial"/>
          <w:sz w:val="22"/>
          <w:szCs w:val="22"/>
        </w:rPr>
      </w:pPr>
    </w:p>
    <w:p w14:paraId="67D976F9" w14:textId="12937171" w:rsidR="71A65E9A" w:rsidRDefault="502E88B9" w:rsidP="5311C3E3">
      <w:pPr>
        <w:spacing w:before="240" w:after="240"/>
        <w:rPr>
          <w:rFonts w:cs="Arial"/>
          <w:sz w:val="22"/>
          <w:szCs w:val="22"/>
        </w:rPr>
      </w:pPr>
      <w:r w:rsidRPr="5311C3E3">
        <w:rPr>
          <w:rFonts w:cs="Arial"/>
          <w:sz w:val="22"/>
          <w:szCs w:val="22"/>
        </w:rPr>
        <w:t>The Nutrition Steering Group provides oversight of nutrition training resources and may support the development or review of training materials where required. Delivery of additional training or awareness sessions will depend on service priorities and available workforce capacity.</w:t>
      </w:r>
    </w:p>
    <w:p w14:paraId="5504015A" w14:textId="5941733D" w:rsidR="71A65E9A" w:rsidRDefault="71A65E9A" w:rsidP="5311C3E3">
      <w:pPr>
        <w:spacing w:before="240" w:after="240"/>
        <w:rPr>
          <w:rFonts w:cs="Arial"/>
          <w:sz w:val="22"/>
          <w:szCs w:val="22"/>
        </w:rPr>
      </w:pPr>
    </w:p>
    <w:p w14:paraId="20F392E8" w14:textId="067CC369" w:rsidR="71A65E9A" w:rsidRDefault="502E88B9" w:rsidP="5311C3E3">
      <w:pPr>
        <w:spacing w:before="240" w:after="240"/>
        <w:rPr>
          <w:rFonts w:cs="Arial"/>
          <w:sz w:val="22"/>
          <w:szCs w:val="22"/>
        </w:rPr>
      </w:pPr>
      <w:r w:rsidRPr="5311C3E3">
        <w:rPr>
          <w:rFonts w:cs="Arial"/>
          <w:sz w:val="22"/>
          <w:szCs w:val="22"/>
        </w:rPr>
        <w:lastRenderedPageBreak/>
        <w:t xml:space="preserve">Additional nutrition </w:t>
      </w:r>
      <w:r w:rsidR="5249C91E" w:rsidRPr="5311C3E3">
        <w:rPr>
          <w:rFonts w:cs="Arial"/>
          <w:sz w:val="22"/>
          <w:szCs w:val="22"/>
        </w:rPr>
        <w:t xml:space="preserve">and hydration </w:t>
      </w:r>
      <w:r w:rsidRPr="5311C3E3">
        <w:rPr>
          <w:rFonts w:cs="Arial"/>
          <w:sz w:val="22"/>
          <w:szCs w:val="22"/>
        </w:rPr>
        <w:t>resources are available on the Nutrition and Dietetics intranet pages, including:</w:t>
      </w:r>
    </w:p>
    <w:p w14:paraId="0CC251BD" w14:textId="33BBD6D6" w:rsidR="71A65E9A" w:rsidRDefault="198FDA23" w:rsidP="00825F2C">
      <w:pPr>
        <w:pStyle w:val="ListParagraph"/>
        <w:numPr>
          <w:ilvl w:val="0"/>
          <w:numId w:val="11"/>
        </w:numPr>
        <w:spacing w:before="240" w:after="240"/>
        <w:rPr>
          <w:rFonts w:cs="Arial"/>
          <w:sz w:val="22"/>
          <w:szCs w:val="22"/>
        </w:rPr>
      </w:pPr>
      <w:r w:rsidRPr="5311C3E3">
        <w:rPr>
          <w:rFonts w:cs="Arial"/>
          <w:sz w:val="22"/>
          <w:szCs w:val="22"/>
        </w:rPr>
        <w:t>N</w:t>
      </w:r>
      <w:r w:rsidR="502E88B9" w:rsidRPr="5311C3E3">
        <w:rPr>
          <w:rFonts w:cs="Arial"/>
          <w:sz w:val="22"/>
          <w:szCs w:val="22"/>
        </w:rPr>
        <w:t>utrition screening tools and guidance</w:t>
      </w:r>
    </w:p>
    <w:p w14:paraId="0FAB90B4" w14:textId="2F6D4B06" w:rsidR="71A65E9A" w:rsidRDefault="7C0D1FA5" w:rsidP="00825F2C">
      <w:pPr>
        <w:pStyle w:val="ListParagraph"/>
        <w:numPr>
          <w:ilvl w:val="0"/>
          <w:numId w:val="11"/>
        </w:numPr>
        <w:spacing w:before="240" w:after="240"/>
        <w:rPr>
          <w:rFonts w:cs="Arial"/>
          <w:sz w:val="22"/>
          <w:szCs w:val="22"/>
        </w:rPr>
      </w:pPr>
      <w:r w:rsidRPr="5311C3E3">
        <w:rPr>
          <w:rFonts w:cs="Arial"/>
          <w:sz w:val="22"/>
          <w:szCs w:val="22"/>
        </w:rPr>
        <w:t>M</w:t>
      </w:r>
      <w:r w:rsidR="502E88B9" w:rsidRPr="5311C3E3">
        <w:rPr>
          <w:rFonts w:cs="Arial"/>
          <w:sz w:val="22"/>
          <w:szCs w:val="22"/>
        </w:rPr>
        <w:t>onitoring and care planning resources</w:t>
      </w:r>
    </w:p>
    <w:p w14:paraId="6AA441DC" w14:textId="11A32F89" w:rsidR="71A65E9A" w:rsidRDefault="5F1BDEEA" w:rsidP="00825F2C">
      <w:pPr>
        <w:pStyle w:val="ListParagraph"/>
        <w:numPr>
          <w:ilvl w:val="0"/>
          <w:numId w:val="11"/>
        </w:numPr>
        <w:spacing w:before="240" w:after="240"/>
        <w:rPr>
          <w:rFonts w:cs="Arial"/>
          <w:sz w:val="22"/>
          <w:szCs w:val="22"/>
        </w:rPr>
      </w:pPr>
      <w:r w:rsidRPr="5311C3E3">
        <w:rPr>
          <w:rFonts w:cs="Arial"/>
          <w:sz w:val="22"/>
          <w:szCs w:val="22"/>
        </w:rPr>
        <w:t xml:space="preserve">Staff and </w:t>
      </w:r>
      <w:r w:rsidR="502E88B9" w:rsidRPr="5311C3E3">
        <w:rPr>
          <w:rFonts w:cs="Arial"/>
          <w:sz w:val="22"/>
          <w:szCs w:val="22"/>
        </w:rPr>
        <w:t>patient information resources and diet sheets</w:t>
      </w:r>
    </w:p>
    <w:p w14:paraId="76423049" w14:textId="7A06E292" w:rsidR="71A65E9A" w:rsidRDefault="502E88B9" w:rsidP="5311C3E3">
      <w:pPr>
        <w:spacing w:before="240" w:after="240"/>
        <w:rPr>
          <w:rFonts w:cs="Arial"/>
          <w:sz w:val="22"/>
          <w:szCs w:val="22"/>
        </w:rPr>
      </w:pPr>
      <w:r w:rsidRPr="5311C3E3">
        <w:rPr>
          <w:rFonts w:cs="Arial"/>
          <w:sz w:val="22"/>
          <w:szCs w:val="22"/>
        </w:rPr>
        <w:t xml:space="preserve">Where available, dietitians may support training or provide clinical advice to services. As not all services have direct access to a dietitian, staff should use the training resources and guidance available through the Learning Academy and intranet resources and escalate complex nutrition </w:t>
      </w:r>
      <w:r w:rsidR="47986DE4" w:rsidRPr="5311C3E3">
        <w:rPr>
          <w:rFonts w:cs="Arial"/>
          <w:sz w:val="22"/>
          <w:szCs w:val="22"/>
        </w:rPr>
        <w:t xml:space="preserve">and hydration </w:t>
      </w:r>
      <w:r w:rsidRPr="5311C3E3">
        <w:rPr>
          <w:rFonts w:cs="Arial"/>
          <w:sz w:val="22"/>
          <w:szCs w:val="22"/>
        </w:rPr>
        <w:t>concerns through established clinical pathways.</w:t>
      </w:r>
    </w:p>
    <w:p w14:paraId="3766FA61" w14:textId="559CE65F" w:rsidR="71A65E9A" w:rsidRDefault="71A65E9A" w:rsidP="5311C3E3">
      <w:pPr>
        <w:spacing w:before="240" w:after="240"/>
        <w:rPr>
          <w:rFonts w:cs="Arial"/>
          <w:sz w:val="22"/>
          <w:szCs w:val="22"/>
        </w:rPr>
      </w:pPr>
    </w:p>
    <w:p w14:paraId="5C6ECD29" w14:textId="40536D6D" w:rsidR="71A65E9A" w:rsidRDefault="502E88B9" w:rsidP="5311C3E3">
      <w:pPr>
        <w:spacing w:before="240" w:after="240"/>
        <w:rPr>
          <w:rFonts w:cs="Arial"/>
          <w:sz w:val="22"/>
          <w:szCs w:val="22"/>
        </w:rPr>
      </w:pPr>
      <w:r w:rsidRPr="5311C3E3">
        <w:rPr>
          <w:rFonts w:cs="Arial"/>
          <w:sz w:val="22"/>
          <w:szCs w:val="22"/>
        </w:rPr>
        <w:t xml:space="preserve">Staff supporting service users with eating, drinking or swallowing difficulties must complete relevant training and follow guidance on dysphagia management, including the International Dysphagia Diet Standardisation Initiative (IDDSI) framework and local </w:t>
      </w:r>
      <w:r w:rsidR="002A6CDC">
        <w:rPr>
          <w:rFonts w:cs="Arial"/>
          <w:sz w:val="22"/>
          <w:szCs w:val="22"/>
        </w:rPr>
        <w:t>SLT</w:t>
      </w:r>
      <w:r w:rsidRPr="5311C3E3">
        <w:rPr>
          <w:rFonts w:cs="Arial"/>
          <w:sz w:val="22"/>
          <w:szCs w:val="22"/>
        </w:rPr>
        <w:t xml:space="preserve"> recommendations.</w:t>
      </w:r>
    </w:p>
    <w:p w14:paraId="5AED1A86" w14:textId="753B1159" w:rsidR="71A65E9A" w:rsidRDefault="71A65E9A" w:rsidP="5311C3E3">
      <w:pPr>
        <w:spacing w:before="240" w:after="240"/>
        <w:rPr>
          <w:rFonts w:cs="Arial"/>
          <w:sz w:val="22"/>
          <w:szCs w:val="22"/>
        </w:rPr>
      </w:pPr>
    </w:p>
    <w:p w14:paraId="7C0FD7E8" w14:textId="30E549A7" w:rsidR="71A65E9A" w:rsidRDefault="502E88B9" w:rsidP="5311C3E3">
      <w:pPr>
        <w:spacing w:before="240" w:after="240"/>
        <w:rPr>
          <w:rFonts w:cs="Arial"/>
          <w:sz w:val="22"/>
          <w:szCs w:val="22"/>
        </w:rPr>
      </w:pPr>
      <w:r w:rsidRPr="5311C3E3">
        <w:rPr>
          <w:rFonts w:cs="Arial"/>
          <w:sz w:val="22"/>
          <w:szCs w:val="22"/>
        </w:rPr>
        <w:t xml:space="preserve">Staff providing direct assistance with eating and drinking must be competent to do so and must follow documented care plans, including guidance from </w:t>
      </w:r>
      <w:r w:rsidR="002A6CDC">
        <w:rPr>
          <w:rFonts w:cs="Arial"/>
          <w:sz w:val="22"/>
          <w:szCs w:val="22"/>
        </w:rPr>
        <w:t>SLT</w:t>
      </w:r>
      <w:r w:rsidRPr="5311C3E3">
        <w:rPr>
          <w:rFonts w:cs="Arial"/>
          <w:sz w:val="22"/>
          <w:szCs w:val="22"/>
        </w:rPr>
        <w:t xml:space="preserve"> or other relevant professionals.</w:t>
      </w:r>
    </w:p>
    <w:p w14:paraId="203B3B64" w14:textId="0D9A6392" w:rsidR="71A65E9A" w:rsidRDefault="71A65E9A" w:rsidP="5311C3E3">
      <w:pPr>
        <w:spacing w:before="240" w:after="240"/>
        <w:rPr>
          <w:rFonts w:cs="Arial"/>
          <w:sz w:val="22"/>
          <w:szCs w:val="22"/>
        </w:rPr>
      </w:pPr>
    </w:p>
    <w:p w14:paraId="75D29886" w14:textId="2B579C7A" w:rsidR="71A65E9A" w:rsidRDefault="502E88B9" w:rsidP="5311C3E3">
      <w:pPr>
        <w:spacing w:before="240" w:after="240"/>
        <w:rPr>
          <w:rFonts w:cs="Arial"/>
          <w:sz w:val="22"/>
          <w:szCs w:val="22"/>
        </w:rPr>
      </w:pPr>
      <w:r w:rsidRPr="5311C3E3">
        <w:rPr>
          <w:rFonts w:cs="Arial"/>
          <w:sz w:val="22"/>
          <w:szCs w:val="22"/>
        </w:rPr>
        <w:t>Bank, agency, student and volunteer staff must work within their level of competence and receive appropriate local orientation or supervision before supporting service users with nutrition or hydration-related care.</w:t>
      </w:r>
    </w:p>
    <w:p w14:paraId="37AC7FFF" w14:textId="43D5361D" w:rsidR="71A65E9A" w:rsidRDefault="71A65E9A" w:rsidP="5311C3E3">
      <w:pPr>
        <w:spacing w:before="240" w:after="240"/>
        <w:rPr>
          <w:rFonts w:cs="Arial"/>
          <w:sz w:val="22"/>
          <w:szCs w:val="22"/>
        </w:rPr>
      </w:pPr>
    </w:p>
    <w:p w14:paraId="780F14CB" w14:textId="68ECB244" w:rsidR="71A65E9A" w:rsidRDefault="002A6CDC" w:rsidP="5311C3E3">
      <w:pPr>
        <w:spacing w:before="240" w:after="240"/>
        <w:rPr>
          <w:rFonts w:cs="Arial"/>
          <w:sz w:val="22"/>
          <w:szCs w:val="22"/>
        </w:rPr>
      </w:pPr>
      <w:r>
        <w:rPr>
          <w:rFonts w:cs="Arial"/>
          <w:sz w:val="22"/>
          <w:szCs w:val="22"/>
        </w:rPr>
        <w:t>Depending on service needs and available resources, t</w:t>
      </w:r>
      <w:r w:rsidR="502E88B9" w:rsidRPr="5311C3E3">
        <w:rPr>
          <w:rFonts w:cs="Arial"/>
          <w:sz w:val="22"/>
          <w:szCs w:val="22"/>
        </w:rPr>
        <w:t>raining may be delivered through a combination of:</w:t>
      </w:r>
    </w:p>
    <w:p w14:paraId="167C91F8" w14:textId="7F7FAF81" w:rsidR="71A65E9A" w:rsidRDefault="665B029E" w:rsidP="00825F2C">
      <w:pPr>
        <w:pStyle w:val="ListParagraph"/>
        <w:numPr>
          <w:ilvl w:val="0"/>
          <w:numId w:val="10"/>
        </w:numPr>
        <w:spacing w:before="240" w:after="240"/>
        <w:rPr>
          <w:rFonts w:cs="Arial"/>
          <w:sz w:val="22"/>
          <w:szCs w:val="22"/>
        </w:rPr>
      </w:pPr>
      <w:r w:rsidRPr="5311C3E3">
        <w:rPr>
          <w:rFonts w:cs="Arial"/>
          <w:sz w:val="22"/>
          <w:szCs w:val="22"/>
        </w:rPr>
        <w:t>O</w:t>
      </w:r>
      <w:r w:rsidR="502E88B9" w:rsidRPr="5311C3E3">
        <w:rPr>
          <w:rFonts w:cs="Arial"/>
          <w:sz w:val="22"/>
          <w:szCs w:val="22"/>
        </w:rPr>
        <w:t>nline learning modules</w:t>
      </w:r>
    </w:p>
    <w:p w14:paraId="100992E3" w14:textId="7E4921FF" w:rsidR="71A65E9A" w:rsidRDefault="27FCE489" w:rsidP="00825F2C">
      <w:pPr>
        <w:pStyle w:val="ListParagraph"/>
        <w:numPr>
          <w:ilvl w:val="0"/>
          <w:numId w:val="10"/>
        </w:numPr>
        <w:spacing w:before="240" w:after="240"/>
        <w:rPr>
          <w:rFonts w:cs="Arial"/>
          <w:sz w:val="22"/>
          <w:szCs w:val="22"/>
        </w:rPr>
      </w:pPr>
      <w:r w:rsidRPr="5311C3E3">
        <w:rPr>
          <w:rFonts w:cs="Arial"/>
          <w:sz w:val="22"/>
          <w:szCs w:val="22"/>
        </w:rPr>
        <w:t>L</w:t>
      </w:r>
      <w:r w:rsidR="502E88B9" w:rsidRPr="5311C3E3">
        <w:rPr>
          <w:rFonts w:cs="Arial"/>
          <w:sz w:val="22"/>
          <w:szCs w:val="22"/>
        </w:rPr>
        <w:t>ocal induction</w:t>
      </w:r>
    </w:p>
    <w:p w14:paraId="041C35EB" w14:textId="750E9C2D" w:rsidR="71A65E9A" w:rsidRDefault="05C02B98" w:rsidP="00825F2C">
      <w:pPr>
        <w:pStyle w:val="ListParagraph"/>
        <w:numPr>
          <w:ilvl w:val="0"/>
          <w:numId w:val="10"/>
        </w:numPr>
        <w:spacing w:before="240" w:after="240"/>
        <w:rPr>
          <w:rFonts w:cs="Arial"/>
          <w:sz w:val="22"/>
          <w:szCs w:val="22"/>
        </w:rPr>
      </w:pPr>
      <w:r w:rsidRPr="5311C3E3">
        <w:rPr>
          <w:rFonts w:cs="Arial"/>
          <w:sz w:val="22"/>
          <w:szCs w:val="22"/>
        </w:rPr>
        <w:t>S</w:t>
      </w:r>
      <w:r w:rsidR="502E88B9" w:rsidRPr="5311C3E3">
        <w:rPr>
          <w:rFonts w:cs="Arial"/>
          <w:sz w:val="22"/>
          <w:szCs w:val="22"/>
        </w:rPr>
        <w:t>ervice-based education sessions</w:t>
      </w:r>
    </w:p>
    <w:p w14:paraId="0D91773F" w14:textId="2B1CFEEA" w:rsidR="71A65E9A" w:rsidRDefault="71A65E9A" w:rsidP="5311C3E3">
      <w:pPr>
        <w:spacing w:before="240" w:after="240"/>
        <w:rPr>
          <w:rFonts w:cs="Arial"/>
          <w:sz w:val="22"/>
          <w:szCs w:val="22"/>
        </w:rPr>
      </w:pPr>
    </w:p>
    <w:p w14:paraId="7C005C4A" w14:textId="2A680AAF" w:rsidR="71A65E9A" w:rsidRDefault="502E88B9" w:rsidP="5311C3E3">
      <w:pPr>
        <w:spacing w:before="240" w:after="240"/>
        <w:rPr>
          <w:rFonts w:cs="Arial"/>
          <w:sz w:val="22"/>
          <w:szCs w:val="22"/>
        </w:rPr>
      </w:pPr>
      <w:r w:rsidRPr="5311C3E3">
        <w:rPr>
          <w:rFonts w:cs="Arial"/>
          <w:sz w:val="22"/>
          <w:szCs w:val="22"/>
        </w:rPr>
        <w:t>Nutrition</w:t>
      </w:r>
      <w:r w:rsidR="394883A1" w:rsidRPr="5311C3E3">
        <w:rPr>
          <w:rFonts w:cs="Arial"/>
          <w:sz w:val="22"/>
          <w:szCs w:val="22"/>
        </w:rPr>
        <w:t>, hydration and swallow/choking</w:t>
      </w:r>
      <w:r w:rsidRPr="5311C3E3">
        <w:rPr>
          <w:rFonts w:cs="Arial"/>
          <w:sz w:val="22"/>
          <w:szCs w:val="22"/>
        </w:rPr>
        <w:t>-related incidents, risks or learning identified through clinical governance processes should inform future training needs and service improvement.</w:t>
      </w:r>
    </w:p>
    <w:p w14:paraId="5B37DEBC" w14:textId="0F21A0D7" w:rsidR="71A65E9A" w:rsidRDefault="71A65E9A" w:rsidP="5311C3E3">
      <w:pPr>
        <w:rPr>
          <w:rFonts w:cs="Arial"/>
          <w:sz w:val="22"/>
          <w:szCs w:val="22"/>
        </w:rPr>
      </w:pPr>
    </w:p>
    <w:p w14:paraId="66160AD2" w14:textId="2E8EC9F1" w:rsidR="71A65E9A" w:rsidRDefault="45FBAF4C" w:rsidP="5311C3E3">
      <w:pPr>
        <w:pStyle w:val="Heading2"/>
        <w:rPr>
          <w:rFonts w:ascii="Arial" w:eastAsia="Arial" w:hAnsi="Arial" w:cs="Arial"/>
          <w:sz w:val="22"/>
          <w:szCs w:val="22"/>
        </w:rPr>
      </w:pPr>
      <w:bookmarkStart w:id="223" w:name="_Toc224651871"/>
      <w:bookmarkStart w:id="224" w:name="_Toc224652048"/>
      <w:bookmarkStart w:id="225" w:name="_Toc227057871"/>
      <w:r w:rsidRPr="32E0C5E7">
        <w:rPr>
          <w:rStyle w:val="Heading1Char"/>
        </w:rPr>
        <w:t xml:space="preserve">10. </w:t>
      </w:r>
      <w:r w:rsidR="45180A84" w:rsidRPr="32E0C5E7">
        <w:rPr>
          <w:rStyle w:val="Heading1Char"/>
        </w:rPr>
        <w:t>Governance and Stakeholder Oversight</w:t>
      </w:r>
      <w:bookmarkEnd w:id="223"/>
      <w:bookmarkEnd w:id="224"/>
      <w:bookmarkEnd w:id="225"/>
    </w:p>
    <w:p w14:paraId="17B6241B" w14:textId="3642FCEE" w:rsidR="71A65E9A" w:rsidRDefault="0910747D" w:rsidP="32E0C5E7">
      <w:pPr>
        <w:spacing w:before="240" w:after="240"/>
        <w:rPr>
          <w:rFonts w:cs="Arial"/>
          <w:sz w:val="22"/>
          <w:szCs w:val="22"/>
        </w:rPr>
      </w:pPr>
      <w:r w:rsidRPr="32E0C5E7">
        <w:rPr>
          <w:rFonts w:cs="Arial"/>
          <w:sz w:val="22"/>
          <w:szCs w:val="22"/>
        </w:rPr>
        <w:t xml:space="preserve">The </w:t>
      </w:r>
      <w:r w:rsidR="7A2D9D6F" w:rsidRPr="32E0C5E7">
        <w:rPr>
          <w:rFonts w:cs="Arial"/>
          <w:sz w:val="22"/>
          <w:szCs w:val="22"/>
        </w:rPr>
        <w:t>N</w:t>
      </w:r>
      <w:r w:rsidRPr="32E0C5E7">
        <w:rPr>
          <w:rFonts w:cs="Arial"/>
          <w:sz w:val="22"/>
          <w:szCs w:val="22"/>
        </w:rPr>
        <w:t>S</w:t>
      </w:r>
      <w:r w:rsidR="7F3AFB32" w:rsidRPr="32E0C5E7">
        <w:rPr>
          <w:rFonts w:cs="Arial"/>
          <w:sz w:val="22"/>
          <w:szCs w:val="22"/>
        </w:rPr>
        <w:t>G</w:t>
      </w:r>
      <w:r w:rsidRPr="32E0C5E7">
        <w:rPr>
          <w:rFonts w:cs="Arial"/>
          <w:sz w:val="22"/>
          <w:szCs w:val="22"/>
        </w:rPr>
        <w:t xml:space="preserve"> provides multidisciplinary oversight of nutrition and hydration practice across the Trust and supports the implementation and review of this policy. The </w:t>
      </w:r>
      <w:r w:rsidR="002A6CDC">
        <w:rPr>
          <w:rFonts w:cs="Arial"/>
          <w:sz w:val="22"/>
          <w:szCs w:val="22"/>
        </w:rPr>
        <w:t xml:space="preserve">NSG </w:t>
      </w:r>
      <w:r w:rsidRPr="32E0C5E7">
        <w:rPr>
          <w:rFonts w:cs="Arial"/>
          <w:sz w:val="22"/>
          <w:szCs w:val="22"/>
        </w:rPr>
        <w:t>may escalate identified risks or service gaps through the Trust governance structure where appropriate.</w:t>
      </w:r>
    </w:p>
    <w:p w14:paraId="3A335F3F" w14:textId="7BC9581D" w:rsidR="71A65E9A" w:rsidRDefault="71A65E9A" w:rsidP="5311C3E3">
      <w:pPr>
        <w:spacing w:before="240" w:after="240"/>
        <w:rPr>
          <w:rFonts w:cs="Arial"/>
          <w:sz w:val="22"/>
          <w:szCs w:val="22"/>
        </w:rPr>
      </w:pPr>
    </w:p>
    <w:p w14:paraId="5B99586C" w14:textId="2233B840" w:rsidR="71A65E9A" w:rsidRDefault="0910747D" w:rsidP="5311C3E3">
      <w:pPr>
        <w:spacing w:before="240" w:after="240"/>
        <w:rPr>
          <w:rFonts w:cs="Arial"/>
          <w:sz w:val="22"/>
          <w:szCs w:val="22"/>
        </w:rPr>
      </w:pPr>
      <w:r w:rsidRPr="5311C3E3">
        <w:rPr>
          <w:rFonts w:cs="Arial"/>
          <w:sz w:val="22"/>
          <w:szCs w:val="22"/>
        </w:rPr>
        <w:t>The group reports to the Trust</w:t>
      </w:r>
      <w:r w:rsidR="002A6CDC">
        <w:rPr>
          <w:rFonts w:cs="Arial"/>
          <w:sz w:val="22"/>
          <w:szCs w:val="22"/>
        </w:rPr>
        <w:t>’s</w:t>
      </w:r>
      <w:r w:rsidRPr="5311C3E3">
        <w:rPr>
          <w:rFonts w:cs="Arial"/>
          <w:sz w:val="22"/>
          <w:szCs w:val="22"/>
        </w:rPr>
        <w:t xml:space="preserve"> Physical Health Working Group and contributes to the development and monitoring of nutrition and hydration practice across services.</w:t>
      </w:r>
    </w:p>
    <w:p w14:paraId="5C9871B4" w14:textId="59D615FF" w:rsidR="71A65E9A" w:rsidRDefault="71A65E9A" w:rsidP="5311C3E3">
      <w:pPr>
        <w:spacing w:before="240" w:after="240"/>
        <w:rPr>
          <w:rFonts w:cs="Arial"/>
          <w:sz w:val="22"/>
          <w:szCs w:val="22"/>
        </w:rPr>
      </w:pPr>
    </w:p>
    <w:p w14:paraId="1197F688" w14:textId="5C27DC87" w:rsidR="0910747D" w:rsidRDefault="0910747D" w:rsidP="32E0C5E7">
      <w:pPr>
        <w:spacing w:before="240" w:after="240"/>
        <w:rPr>
          <w:rFonts w:cs="Arial"/>
          <w:sz w:val="22"/>
          <w:szCs w:val="22"/>
        </w:rPr>
      </w:pPr>
      <w:r w:rsidRPr="32E0C5E7">
        <w:rPr>
          <w:rFonts w:cs="Arial"/>
          <w:sz w:val="22"/>
          <w:szCs w:val="22"/>
        </w:rPr>
        <w:t xml:space="preserve">The role, membership and responsibilities of the </w:t>
      </w:r>
      <w:r w:rsidR="002A6CDC">
        <w:rPr>
          <w:rFonts w:cs="Arial"/>
          <w:sz w:val="22"/>
          <w:szCs w:val="22"/>
        </w:rPr>
        <w:t>NSG</w:t>
      </w:r>
      <w:r w:rsidRPr="32E0C5E7">
        <w:rPr>
          <w:rFonts w:cs="Arial"/>
          <w:sz w:val="22"/>
          <w:szCs w:val="22"/>
        </w:rPr>
        <w:t xml:space="preserve"> are defined in the Group</w:t>
      </w:r>
      <w:r w:rsidR="002A6CDC">
        <w:rPr>
          <w:rFonts w:cs="Arial"/>
          <w:sz w:val="22"/>
          <w:szCs w:val="22"/>
        </w:rPr>
        <w:t>’s</w:t>
      </w:r>
      <w:r w:rsidRPr="32E0C5E7">
        <w:rPr>
          <w:rFonts w:cs="Arial"/>
          <w:sz w:val="22"/>
          <w:szCs w:val="22"/>
        </w:rPr>
        <w:t xml:space="preserve"> Terms of Reference.</w:t>
      </w:r>
    </w:p>
    <w:p w14:paraId="68EE2181" w14:textId="77777777" w:rsidR="00EF3237" w:rsidRDefault="00EF3237">
      <w:pPr>
        <w:keepNext w:val="0"/>
        <w:keepLines w:val="0"/>
        <w:spacing w:before="0" w:after="160"/>
        <w:contextualSpacing w:val="0"/>
        <w:jc w:val="left"/>
        <w:outlineLvl w:val="9"/>
        <w:rPr>
          <w:rStyle w:val="Heading1Char"/>
        </w:rPr>
      </w:pPr>
      <w:bookmarkStart w:id="226" w:name="_Toc224651872"/>
      <w:bookmarkStart w:id="227" w:name="_Toc224652049"/>
      <w:r>
        <w:rPr>
          <w:rStyle w:val="Heading1Char"/>
        </w:rPr>
        <w:br w:type="page"/>
      </w:r>
    </w:p>
    <w:p w14:paraId="320E6A87" w14:textId="36EACE03" w:rsidR="71A65E9A" w:rsidRDefault="7940739E" w:rsidP="32E0C5E7">
      <w:pPr>
        <w:pStyle w:val="Heading2"/>
        <w:spacing w:before="240" w:after="240"/>
        <w:rPr>
          <w:rFonts w:ascii="Arial" w:eastAsia="Arial" w:hAnsi="Arial" w:cs="Arial"/>
          <w:sz w:val="22"/>
          <w:szCs w:val="22"/>
        </w:rPr>
      </w:pPr>
      <w:bookmarkStart w:id="228" w:name="_Toc227057872"/>
      <w:r w:rsidRPr="32E0C5E7">
        <w:rPr>
          <w:rStyle w:val="Heading1Char"/>
        </w:rPr>
        <w:lastRenderedPageBreak/>
        <w:t xml:space="preserve">11. </w:t>
      </w:r>
      <w:r w:rsidR="45180A84" w:rsidRPr="32E0C5E7">
        <w:rPr>
          <w:rStyle w:val="Heading1Char"/>
        </w:rPr>
        <w:t>Monitoring Compliance and Audit</w:t>
      </w:r>
      <w:bookmarkEnd w:id="226"/>
      <w:bookmarkEnd w:id="227"/>
      <w:bookmarkEnd w:id="228"/>
    </w:p>
    <w:p w14:paraId="75AE0C41" w14:textId="5FF5A016" w:rsidR="71A65E9A" w:rsidRDefault="4114A945" w:rsidP="5311C3E3">
      <w:pPr>
        <w:spacing w:before="240" w:after="240"/>
        <w:rPr>
          <w:rFonts w:cs="Arial"/>
          <w:sz w:val="22"/>
          <w:szCs w:val="22"/>
        </w:rPr>
      </w:pPr>
      <w:r w:rsidRPr="5311C3E3">
        <w:rPr>
          <w:rFonts w:cs="Arial"/>
          <w:sz w:val="22"/>
          <w:szCs w:val="22"/>
        </w:rPr>
        <w:t>Implementation of this policy will be supported through Trust clinical governance processes and service monitoring arrangements in accordance with the Trust Risk Management Framework.</w:t>
      </w:r>
    </w:p>
    <w:p w14:paraId="18028FEB" w14:textId="7EB638E5" w:rsidR="71A65E9A" w:rsidRDefault="71A65E9A" w:rsidP="5311C3E3">
      <w:pPr>
        <w:spacing w:before="240" w:after="240"/>
        <w:rPr>
          <w:rFonts w:cs="Arial"/>
          <w:sz w:val="22"/>
          <w:szCs w:val="22"/>
        </w:rPr>
      </w:pPr>
    </w:p>
    <w:p w14:paraId="75B106C8" w14:textId="7E642C82" w:rsidR="71A65E9A" w:rsidRDefault="4114A945" w:rsidP="5311C3E3">
      <w:pPr>
        <w:spacing w:before="240" w:after="240"/>
        <w:rPr>
          <w:rFonts w:cs="Arial"/>
          <w:sz w:val="22"/>
          <w:szCs w:val="22"/>
        </w:rPr>
      </w:pPr>
      <w:r w:rsidRPr="5311C3E3">
        <w:rPr>
          <w:rFonts w:cs="Arial"/>
          <w:sz w:val="22"/>
          <w:szCs w:val="22"/>
        </w:rPr>
        <w:t>Nutrition, hydration and swallowing-related incidents must be reported through the Trust incident reporting system in accordance with the Trust Patient Safety Incident Response Framework (PSIRF)</w:t>
      </w:r>
      <w:r w:rsidR="00DB1194">
        <w:rPr>
          <w:rFonts w:cs="Arial"/>
          <w:sz w:val="22"/>
          <w:szCs w:val="22"/>
        </w:rPr>
        <w:t>,</w:t>
      </w:r>
      <w:r w:rsidR="00EF3237">
        <w:rPr>
          <w:rFonts w:cs="Arial"/>
          <w:sz w:val="22"/>
          <w:szCs w:val="22"/>
        </w:rPr>
        <w:t xml:space="preserve"> </w:t>
      </w:r>
      <w:r w:rsidRPr="5311C3E3">
        <w:rPr>
          <w:rFonts w:cs="Arial"/>
          <w:sz w:val="22"/>
          <w:szCs w:val="22"/>
        </w:rPr>
        <w:t>Incident Reporting and Management Policy</w:t>
      </w:r>
      <w:r w:rsidR="00DB1194">
        <w:rPr>
          <w:rFonts w:cs="Arial"/>
          <w:sz w:val="22"/>
          <w:szCs w:val="22"/>
        </w:rPr>
        <w:t xml:space="preserve"> and Clinical Risk Assessment &amp; Management Policy</w:t>
      </w:r>
      <w:r w:rsidRPr="5311C3E3">
        <w:rPr>
          <w:rFonts w:cs="Arial"/>
          <w:sz w:val="22"/>
          <w:szCs w:val="22"/>
        </w:rPr>
        <w:t>.</w:t>
      </w:r>
    </w:p>
    <w:p w14:paraId="23E7E0B0" w14:textId="546432CA" w:rsidR="71A65E9A" w:rsidRDefault="71A65E9A" w:rsidP="5311C3E3">
      <w:pPr>
        <w:spacing w:before="240" w:after="240"/>
        <w:rPr>
          <w:rFonts w:cs="Arial"/>
          <w:sz w:val="22"/>
          <w:szCs w:val="22"/>
        </w:rPr>
      </w:pPr>
    </w:p>
    <w:p w14:paraId="5197FF65" w14:textId="241F23E0" w:rsidR="71A65E9A" w:rsidRDefault="4114A945" w:rsidP="5311C3E3">
      <w:pPr>
        <w:spacing w:before="240" w:after="240"/>
        <w:rPr>
          <w:rFonts w:cs="Arial"/>
          <w:sz w:val="22"/>
          <w:szCs w:val="22"/>
        </w:rPr>
      </w:pPr>
      <w:r w:rsidRPr="5311C3E3">
        <w:rPr>
          <w:rFonts w:cs="Arial"/>
          <w:sz w:val="22"/>
          <w:szCs w:val="22"/>
        </w:rPr>
        <w:t>Staff should refer to the Nutrition and Hydration Incident Reporting Staff Crib Sheet for guidance on reporting nutrition</w:t>
      </w:r>
      <w:r w:rsidR="28ED19FF" w:rsidRPr="5311C3E3">
        <w:rPr>
          <w:rFonts w:cs="Arial"/>
          <w:sz w:val="22"/>
          <w:szCs w:val="22"/>
        </w:rPr>
        <w:t>, hydration and swallow/choking</w:t>
      </w:r>
      <w:r w:rsidRPr="5311C3E3">
        <w:rPr>
          <w:rFonts w:cs="Arial"/>
          <w:sz w:val="22"/>
          <w:szCs w:val="22"/>
        </w:rPr>
        <w:t>-related incidents, including choking events and feeding-related safety incidents.</w:t>
      </w:r>
      <w:r w:rsidR="64120EF7" w:rsidRPr="5311C3E3">
        <w:rPr>
          <w:rFonts w:cs="Arial"/>
          <w:sz w:val="22"/>
          <w:szCs w:val="22"/>
        </w:rPr>
        <w:t xml:space="preserve"> </w:t>
      </w:r>
      <w:r w:rsidRPr="5311C3E3">
        <w:rPr>
          <w:rFonts w:cs="Arial"/>
          <w:sz w:val="22"/>
          <w:szCs w:val="22"/>
        </w:rPr>
        <w:t>The crib sheet is available on the Nutrition and Dietetics Intra</w:t>
      </w:r>
      <w:r w:rsidR="1BABCDC8" w:rsidRPr="5311C3E3">
        <w:rPr>
          <w:rFonts w:cs="Arial"/>
          <w:sz w:val="22"/>
          <w:szCs w:val="22"/>
        </w:rPr>
        <w:t xml:space="preserve">net webpage. </w:t>
      </w:r>
    </w:p>
    <w:p w14:paraId="27E1C679" w14:textId="10E9DBD4" w:rsidR="71A65E9A" w:rsidRDefault="71A65E9A" w:rsidP="5311C3E3">
      <w:pPr>
        <w:spacing w:before="240" w:after="240"/>
        <w:rPr>
          <w:rFonts w:cs="Arial"/>
          <w:sz w:val="22"/>
          <w:szCs w:val="22"/>
        </w:rPr>
      </w:pPr>
    </w:p>
    <w:p w14:paraId="28AD991A" w14:textId="41E992BA" w:rsidR="71A65E9A" w:rsidRDefault="4114A945" w:rsidP="5311C3E3">
      <w:pPr>
        <w:spacing w:before="240" w:after="240"/>
        <w:rPr>
          <w:rFonts w:cs="Arial"/>
          <w:sz w:val="22"/>
          <w:szCs w:val="22"/>
        </w:rPr>
      </w:pPr>
      <w:r w:rsidRPr="5311C3E3">
        <w:rPr>
          <w:rFonts w:cs="Arial"/>
          <w:sz w:val="22"/>
          <w:szCs w:val="22"/>
        </w:rPr>
        <w:t>Where incidents result in harm or potential harm to a service user, staff must follow relevant Trust procedures including safeguarding processes and the statutory Duty of Candour requirements (Department of Health and Social Care, 2014).</w:t>
      </w:r>
    </w:p>
    <w:p w14:paraId="06D5BAAE" w14:textId="5DA90D92" w:rsidR="71A65E9A" w:rsidRDefault="71A65E9A" w:rsidP="5311C3E3">
      <w:pPr>
        <w:spacing w:before="240" w:after="240"/>
        <w:rPr>
          <w:rFonts w:cs="Arial"/>
          <w:sz w:val="22"/>
          <w:szCs w:val="22"/>
        </w:rPr>
      </w:pPr>
    </w:p>
    <w:p w14:paraId="28380266" w14:textId="02A7A169" w:rsidR="71A65E9A" w:rsidRDefault="4114A945" w:rsidP="5311C3E3">
      <w:pPr>
        <w:spacing w:before="240" w:after="240"/>
        <w:rPr>
          <w:rFonts w:cs="Arial"/>
          <w:sz w:val="22"/>
          <w:szCs w:val="22"/>
        </w:rPr>
      </w:pPr>
      <w:r w:rsidRPr="5311C3E3">
        <w:rPr>
          <w:rFonts w:cs="Arial"/>
          <w:sz w:val="22"/>
          <w:szCs w:val="22"/>
        </w:rPr>
        <w:t>Risks identified through incidents, audits or service reviews must be managed and escalated through appropriate governance structures and risk registers in line with the Trust Risk Management Framework.</w:t>
      </w:r>
    </w:p>
    <w:p w14:paraId="1DE83864" w14:textId="51814E0D" w:rsidR="71A65E9A" w:rsidRDefault="4CF6EF9E" w:rsidP="32E0C5E7">
      <w:pPr>
        <w:pStyle w:val="Heading1"/>
        <w:spacing w:before="240" w:after="240"/>
        <w:rPr>
          <w:sz w:val="22"/>
          <w:szCs w:val="22"/>
        </w:rPr>
      </w:pPr>
      <w:bookmarkStart w:id="229" w:name="_Toc224651873"/>
      <w:bookmarkStart w:id="230" w:name="_Toc224652050"/>
      <w:bookmarkStart w:id="231" w:name="_Toc227057873"/>
      <w:r w:rsidRPr="32E0C5E7">
        <w:rPr>
          <w:rStyle w:val="Heading1Char"/>
        </w:rPr>
        <w:t xml:space="preserve">12. </w:t>
      </w:r>
      <w:r w:rsidR="65AB41CA" w:rsidRPr="32E0C5E7">
        <w:rPr>
          <w:rStyle w:val="Heading1Char"/>
        </w:rPr>
        <w:t>Sustainability</w:t>
      </w:r>
      <w:bookmarkEnd w:id="229"/>
      <w:bookmarkEnd w:id="230"/>
      <w:bookmarkEnd w:id="231"/>
    </w:p>
    <w:p w14:paraId="17FC584C" w14:textId="36C19E92" w:rsidR="71A65E9A" w:rsidRDefault="7C45F0A7" w:rsidP="5311C3E3">
      <w:pPr>
        <w:rPr>
          <w:rFonts w:cs="Arial"/>
          <w:color w:val="000000" w:themeColor="text1"/>
          <w:sz w:val="22"/>
          <w:szCs w:val="22"/>
        </w:rPr>
      </w:pPr>
      <w:r w:rsidRPr="5311C3E3">
        <w:rPr>
          <w:rFonts w:cs="Arial"/>
          <w:color w:val="000000" w:themeColor="text1"/>
          <w:sz w:val="22"/>
          <w:szCs w:val="22"/>
        </w:rPr>
        <w:t xml:space="preserve">For further details on ELFT’s works on sustainability related to nutrition and hydration please see The Green Agenda, Net Zero team statement, and ELFT intranet for current initiatives. </w:t>
      </w:r>
    </w:p>
    <w:p w14:paraId="73307B66" w14:textId="313234A0" w:rsidR="71A65E9A" w:rsidRDefault="7C45F0A7" w:rsidP="5311C3E3">
      <w:pPr>
        <w:rPr>
          <w:rFonts w:cs="Arial"/>
          <w:color w:val="000000" w:themeColor="text1"/>
          <w:sz w:val="22"/>
          <w:szCs w:val="22"/>
        </w:rPr>
      </w:pPr>
      <w:r w:rsidRPr="5311C3E3">
        <w:rPr>
          <w:rFonts w:cs="Arial"/>
          <w:color w:val="000000" w:themeColor="text1"/>
          <w:sz w:val="22"/>
          <w:szCs w:val="22"/>
        </w:rPr>
        <w:t xml:space="preserve"> </w:t>
      </w:r>
    </w:p>
    <w:p w14:paraId="652E6190" w14:textId="66FE30D0" w:rsidR="00011486" w:rsidRDefault="7C45F0A7" w:rsidP="00EF3237">
      <w:pPr>
        <w:rPr>
          <w:rFonts w:cs="Arial"/>
          <w:color w:val="000000" w:themeColor="text1"/>
          <w:sz w:val="22"/>
          <w:szCs w:val="22"/>
        </w:rPr>
      </w:pPr>
      <w:r w:rsidRPr="5311C3E3">
        <w:rPr>
          <w:rFonts w:cs="Arial"/>
          <w:color w:val="000000" w:themeColor="text1"/>
          <w:sz w:val="22"/>
          <w:szCs w:val="22"/>
        </w:rPr>
        <w:t xml:space="preserve">All members of the NSG will support ELFT’s sustainability initiatives </w:t>
      </w:r>
      <w:r w:rsidR="283E2D55" w:rsidRPr="5311C3E3">
        <w:rPr>
          <w:rFonts w:cs="Arial"/>
          <w:color w:val="000000" w:themeColor="text1"/>
          <w:sz w:val="22"/>
          <w:szCs w:val="22"/>
        </w:rPr>
        <w:t>related</w:t>
      </w:r>
      <w:r w:rsidRPr="5311C3E3">
        <w:rPr>
          <w:rFonts w:cs="Arial"/>
          <w:color w:val="000000" w:themeColor="text1"/>
          <w:sz w:val="22"/>
          <w:szCs w:val="22"/>
        </w:rPr>
        <w:t xml:space="preserve"> to nutrition and hydration to achieve the NHS Net Zero Target. </w:t>
      </w:r>
      <w:bookmarkStart w:id="232" w:name="_Toc224651874"/>
      <w:bookmarkStart w:id="233" w:name="_Toc224652051"/>
    </w:p>
    <w:p w14:paraId="40A39146" w14:textId="77777777" w:rsidR="00EF3237" w:rsidRPr="00EF3237" w:rsidRDefault="00EF3237" w:rsidP="00EF3237">
      <w:pPr>
        <w:rPr>
          <w:rFonts w:cs="Arial"/>
          <w:color w:val="000000" w:themeColor="text1"/>
          <w:sz w:val="22"/>
          <w:szCs w:val="22"/>
        </w:rPr>
      </w:pPr>
    </w:p>
    <w:p w14:paraId="3A646B5B" w14:textId="0426F269" w:rsidR="00FD1109" w:rsidRDefault="00B36D8A" w:rsidP="00EF3237">
      <w:pPr>
        <w:pStyle w:val="Heading1"/>
        <w:spacing w:before="240" w:after="240"/>
      </w:pPr>
      <w:bookmarkStart w:id="234" w:name="_Toc227057874"/>
      <w:r>
        <w:t xml:space="preserve">13. </w:t>
      </w:r>
      <w:r w:rsidR="00FD1109" w:rsidRPr="00FD1109">
        <w:t>Document Development and Acknowledgements</w:t>
      </w:r>
      <w:bookmarkEnd w:id="232"/>
      <w:bookmarkEnd w:id="233"/>
      <w:bookmarkEnd w:id="234"/>
    </w:p>
    <w:p w14:paraId="215F25BD" w14:textId="33155D28" w:rsidR="00FD1109" w:rsidRPr="00FD1109" w:rsidRDefault="00FD1109" w:rsidP="00FD1109">
      <w:pPr>
        <w:rPr>
          <w:sz w:val="22"/>
          <w:szCs w:val="22"/>
        </w:rPr>
      </w:pPr>
      <w:r w:rsidRPr="00FD1109">
        <w:rPr>
          <w:sz w:val="22"/>
          <w:szCs w:val="22"/>
        </w:rPr>
        <w:t>This document was developed with the support of digital tools (e.g. Microsoft Copilot) to assist drafting and formatting. All content has been reviewed and aligned with current clinical guidance and Trust policy.</w:t>
      </w:r>
    </w:p>
    <w:p w14:paraId="1A325AE0" w14:textId="77777777" w:rsidR="00011486" w:rsidRDefault="00011486">
      <w:pPr>
        <w:keepNext w:val="0"/>
        <w:keepLines w:val="0"/>
        <w:spacing w:before="0" w:after="160"/>
        <w:contextualSpacing w:val="0"/>
        <w:jc w:val="left"/>
        <w:outlineLvl w:val="9"/>
        <w:rPr>
          <w:rFonts w:cs="Arial"/>
          <w:color w:val="1F4E79" w:themeColor="accent1" w:themeShade="80"/>
          <w:sz w:val="36"/>
          <w:szCs w:val="36"/>
        </w:rPr>
      </w:pPr>
      <w:bookmarkStart w:id="235" w:name="_Toc224651875"/>
      <w:bookmarkStart w:id="236" w:name="_Toc224652052"/>
      <w:r>
        <w:br w:type="page"/>
      </w:r>
    </w:p>
    <w:p w14:paraId="48E83E67" w14:textId="11C052BA" w:rsidR="00FD1109" w:rsidRPr="00FD1109" w:rsidRDefault="00B36D8A" w:rsidP="00FD1109">
      <w:pPr>
        <w:pStyle w:val="Heading1"/>
      </w:pPr>
      <w:bookmarkStart w:id="237" w:name="_Toc227057875"/>
      <w:r>
        <w:lastRenderedPageBreak/>
        <w:t>14</w:t>
      </w:r>
      <w:r w:rsidR="7A7BE6DC">
        <w:t xml:space="preserve">. </w:t>
      </w:r>
      <w:r w:rsidR="65AB41CA">
        <w:t>References</w:t>
      </w:r>
      <w:bookmarkEnd w:id="235"/>
      <w:bookmarkEnd w:id="236"/>
      <w:bookmarkEnd w:id="237"/>
    </w:p>
    <w:p w14:paraId="6EDDDD40" w14:textId="562BD576" w:rsidR="71A65E9A" w:rsidRDefault="7C53CAA5" w:rsidP="5311C3E3">
      <w:pPr>
        <w:spacing w:before="240" w:after="240"/>
      </w:pPr>
      <w:r w:rsidRPr="5311C3E3">
        <w:rPr>
          <w:rFonts w:cs="Arial"/>
          <w:sz w:val="22"/>
          <w:szCs w:val="22"/>
        </w:rPr>
        <w:t xml:space="preserve">Bedfordshire, Luton and Milton Keynes Integrated Care Board (2022) </w:t>
      </w:r>
      <w:r w:rsidRPr="5311C3E3">
        <w:rPr>
          <w:rFonts w:cs="Arial"/>
          <w:i/>
          <w:iCs/>
          <w:sz w:val="22"/>
          <w:szCs w:val="22"/>
        </w:rPr>
        <w:t>Adult Oral Nutritional Supplement Prescribing Guidelines</w:t>
      </w:r>
      <w:r w:rsidRPr="5311C3E3">
        <w:rPr>
          <w:rFonts w:cs="Arial"/>
          <w:sz w:val="22"/>
          <w:szCs w:val="22"/>
        </w:rPr>
        <w:t>. Bedford: Bedfordshire, Luton and Milton Keynes ICB.</w:t>
      </w:r>
    </w:p>
    <w:p w14:paraId="096B6516" w14:textId="39DF0653" w:rsidR="71A65E9A" w:rsidRDefault="71A65E9A" w:rsidP="5311C3E3">
      <w:pPr>
        <w:spacing w:before="240" w:after="240"/>
        <w:rPr>
          <w:rFonts w:cs="Arial"/>
          <w:sz w:val="22"/>
          <w:szCs w:val="22"/>
        </w:rPr>
      </w:pPr>
    </w:p>
    <w:p w14:paraId="70DCF5BA" w14:textId="1A339954" w:rsidR="71A65E9A" w:rsidRDefault="7C53CAA5" w:rsidP="5311C3E3">
      <w:pPr>
        <w:spacing w:before="240" w:after="240"/>
      </w:pPr>
      <w:r w:rsidRPr="5311C3E3">
        <w:rPr>
          <w:rFonts w:cs="Arial"/>
          <w:sz w:val="22"/>
          <w:szCs w:val="22"/>
        </w:rPr>
        <w:t xml:space="preserve">Bischoff, S.C., Austin, P., </w:t>
      </w:r>
      <w:proofErr w:type="spellStart"/>
      <w:r w:rsidRPr="5311C3E3">
        <w:rPr>
          <w:rFonts w:cs="Arial"/>
          <w:sz w:val="22"/>
          <w:szCs w:val="22"/>
        </w:rPr>
        <w:t>Boeykens</w:t>
      </w:r>
      <w:proofErr w:type="spellEnd"/>
      <w:r w:rsidRPr="5311C3E3">
        <w:rPr>
          <w:rFonts w:cs="Arial"/>
          <w:sz w:val="22"/>
          <w:szCs w:val="22"/>
        </w:rPr>
        <w:t xml:space="preserve">, K., </w:t>
      </w:r>
      <w:proofErr w:type="spellStart"/>
      <w:r w:rsidRPr="5311C3E3">
        <w:rPr>
          <w:rFonts w:cs="Arial"/>
          <w:sz w:val="22"/>
          <w:szCs w:val="22"/>
        </w:rPr>
        <w:t>Chourdakis</w:t>
      </w:r>
      <w:proofErr w:type="spellEnd"/>
      <w:r w:rsidRPr="5311C3E3">
        <w:rPr>
          <w:rFonts w:cs="Arial"/>
          <w:sz w:val="22"/>
          <w:szCs w:val="22"/>
        </w:rPr>
        <w:t xml:space="preserve">, M., </w:t>
      </w:r>
      <w:proofErr w:type="spellStart"/>
      <w:r w:rsidRPr="5311C3E3">
        <w:rPr>
          <w:rFonts w:cs="Arial"/>
          <w:sz w:val="22"/>
          <w:szCs w:val="22"/>
        </w:rPr>
        <w:t>Cuerda</w:t>
      </w:r>
      <w:proofErr w:type="spellEnd"/>
      <w:r w:rsidRPr="5311C3E3">
        <w:rPr>
          <w:rFonts w:cs="Arial"/>
          <w:sz w:val="22"/>
          <w:szCs w:val="22"/>
        </w:rPr>
        <w:t xml:space="preserve">, C., Jonkers-Schuitema, C., Lichota, M., Nyulasi, I., Schneider, S.M., Stanga, Z., </w:t>
      </w:r>
      <w:proofErr w:type="spellStart"/>
      <w:r w:rsidRPr="5311C3E3">
        <w:rPr>
          <w:rFonts w:cs="Arial"/>
          <w:sz w:val="22"/>
          <w:szCs w:val="22"/>
        </w:rPr>
        <w:t>Pironi</w:t>
      </w:r>
      <w:proofErr w:type="spellEnd"/>
      <w:r w:rsidRPr="5311C3E3">
        <w:rPr>
          <w:rFonts w:cs="Arial"/>
          <w:sz w:val="22"/>
          <w:szCs w:val="22"/>
        </w:rPr>
        <w:t xml:space="preserve">, L. and Singer, P. (2020) ‘ESPEN guideline on home enteral nutrition’, </w:t>
      </w:r>
      <w:r w:rsidRPr="5311C3E3">
        <w:rPr>
          <w:rFonts w:cs="Arial"/>
          <w:i/>
          <w:iCs/>
          <w:sz w:val="22"/>
          <w:szCs w:val="22"/>
        </w:rPr>
        <w:t>Clinical Nutrition</w:t>
      </w:r>
      <w:r w:rsidRPr="5311C3E3">
        <w:rPr>
          <w:rFonts w:cs="Arial"/>
          <w:sz w:val="22"/>
          <w:szCs w:val="22"/>
        </w:rPr>
        <w:t>, 39(1), pp. 5–22.</w:t>
      </w:r>
    </w:p>
    <w:p w14:paraId="16CC9BB8" w14:textId="073ACC89" w:rsidR="71A65E9A" w:rsidRDefault="71A65E9A" w:rsidP="5311C3E3">
      <w:pPr>
        <w:spacing w:before="240" w:after="240"/>
        <w:rPr>
          <w:rFonts w:cs="Arial"/>
          <w:sz w:val="22"/>
          <w:szCs w:val="22"/>
        </w:rPr>
      </w:pPr>
    </w:p>
    <w:p w14:paraId="060447B4" w14:textId="1A148E15" w:rsidR="71A65E9A" w:rsidRDefault="7C53CAA5" w:rsidP="5311C3E3">
      <w:pPr>
        <w:spacing w:before="240" w:after="240"/>
        <w:rPr>
          <w:rFonts w:cs="Arial"/>
          <w:sz w:val="22"/>
          <w:szCs w:val="22"/>
        </w:rPr>
      </w:pPr>
      <w:r w:rsidRPr="5311C3E3">
        <w:rPr>
          <w:rFonts w:cs="Arial"/>
          <w:sz w:val="22"/>
          <w:szCs w:val="22"/>
        </w:rPr>
        <w:t xml:space="preserve">British Dietetic Association Food Services Specialist Group (2023) </w:t>
      </w:r>
      <w:r w:rsidRPr="5311C3E3">
        <w:rPr>
          <w:rFonts w:cs="Arial"/>
          <w:i/>
          <w:iCs/>
          <w:sz w:val="22"/>
          <w:szCs w:val="22"/>
        </w:rPr>
        <w:t>The Nutrition and Hydration Digest</w:t>
      </w:r>
      <w:r w:rsidRPr="5311C3E3">
        <w:rPr>
          <w:rFonts w:cs="Arial"/>
          <w:sz w:val="22"/>
          <w:szCs w:val="22"/>
        </w:rPr>
        <w:t xml:space="preserve">. 3rd </w:t>
      </w:r>
      <w:proofErr w:type="spellStart"/>
      <w:r w:rsidRPr="5311C3E3">
        <w:rPr>
          <w:rFonts w:cs="Arial"/>
          <w:sz w:val="22"/>
          <w:szCs w:val="22"/>
        </w:rPr>
        <w:t>edn</w:t>
      </w:r>
      <w:proofErr w:type="spellEnd"/>
      <w:r w:rsidRPr="5311C3E3">
        <w:rPr>
          <w:rFonts w:cs="Arial"/>
          <w:sz w:val="22"/>
          <w:szCs w:val="22"/>
        </w:rPr>
        <w:t>. Birmingham: British Dietetic Association.</w:t>
      </w:r>
    </w:p>
    <w:p w14:paraId="219B8C67" w14:textId="77777777" w:rsidR="00B36D8A" w:rsidRDefault="00B36D8A" w:rsidP="5311C3E3">
      <w:pPr>
        <w:spacing w:before="240" w:after="240"/>
      </w:pPr>
    </w:p>
    <w:p w14:paraId="75B9E4A2" w14:textId="649079D4" w:rsidR="71A65E9A" w:rsidRDefault="7C53CAA5" w:rsidP="5311C3E3">
      <w:pPr>
        <w:spacing w:before="240" w:after="240"/>
      </w:pPr>
      <w:r w:rsidRPr="5311C3E3">
        <w:rPr>
          <w:rFonts w:cs="Arial"/>
          <w:sz w:val="22"/>
          <w:szCs w:val="22"/>
        </w:rPr>
        <w:t xml:space="preserve">Caleyachetty, R., Barber, T.M., Mohammed, N.I., Cappuccio, F.P., Hardy, R., Mathur, R., van </w:t>
      </w:r>
    </w:p>
    <w:p w14:paraId="2DDD9D46" w14:textId="5270D45A" w:rsidR="71A65E9A" w:rsidRDefault="71A65E9A" w:rsidP="5311C3E3">
      <w:pPr>
        <w:spacing w:before="240" w:after="240"/>
        <w:rPr>
          <w:rFonts w:cs="Arial"/>
          <w:sz w:val="22"/>
          <w:szCs w:val="22"/>
        </w:rPr>
      </w:pPr>
    </w:p>
    <w:p w14:paraId="1EAE39EC" w14:textId="2398069A" w:rsidR="71A65E9A" w:rsidRDefault="7C53CAA5" w:rsidP="5311C3E3">
      <w:pPr>
        <w:spacing w:before="240" w:after="240"/>
      </w:pPr>
      <w:r w:rsidRPr="5311C3E3">
        <w:rPr>
          <w:rFonts w:cs="Arial"/>
          <w:sz w:val="22"/>
          <w:szCs w:val="22"/>
        </w:rPr>
        <w:t xml:space="preserve">Wely, M., Gill, P., Whincup, P.H. and Sattar, N. (2021) ‘Ethnicity-specific BMI cut-offs for obesity based on type 2 diabetes risk in England: a population-based cohort study’, </w:t>
      </w:r>
      <w:r w:rsidRPr="5311C3E3">
        <w:rPr>
          <w:rFonts w:cs="Arial"/>
          <w:i/>
          <w:iCs/>
          <w:sz w:val="22"/>
          <w:szCs w:val="22"/>
        </w:rPr>
        <w:t>The Lancet Diabetes &amp; Endocrinology</w:t>
      </w:r>
      <w:r w:rsidRPr="5311C3E3">
        <w:rPr>
          <w:rFonts w:cs="Arial"/>
          <w:sz w:val="22"/>
          <w:szCs w:val="22"/>
        </w:rPr>
        <w:t>, 9(7), pp. 419–426.</w:t>
      </w:r>
    </w:p>
    <w:p w14:paraId="3DB61F84" w14:textId="0EC80242" w:rsidR="71A65E9A" w:rsidRDefault="71A65E9A" w:rsidP="5311C3E3">
      <w:pPr>
        <w:spacing w:before="240" w:after="240"/>
        <w:rPr>
          <w:rFonts w:cs="Arial"/>
          <w:sz w:val="22"/>
          <w:szCs w:val="22"/>
        </w:rPr>
      </w:pPr>
    </w:p>
    <w:p w14:paraId="433FFD21" w14:textId="609A72B2" w:rsidR="71A65E9A" w:rsidRDefault="7C53CAA5" w:rsidP="5311C3E3">
      <w:pPr>
        <w:spacing w:before="240" w:after="240"/>
      </w:pPr>
      <w:r w:rsidRPr="5311C3E3">
        <w:rPr>
          <w:rFonts w:cs="Arial"/>
          <w:sz w:val="22"/>
          <w:szCs w:val="22"/>
        </w:rPr>
        <w:t xml:space="preserve">Care Quality Commission (2014) </w:t>
      </w:r>
      <w:r w:rsidRPr="5311C3E3">
        <w:rPr>
          <w:rFonts w:cs="Arial"/>
          <w:i/>
          <w:iCs/>
          <w:sz w:val="22"/>
          <w:szCs w:val="22"/>
        </w:rPr>
        <w:t>Health and Social Care Act 2008 (Regulated Activities) Regulations 2014: Regulation 14 – Meeting Nutritional and Hydration Needs</w:t>
      </w:r>
      <w:r w:rsidRPr="5311C3E3">
        <w:rPr>
          <w:rFonts w:cs="Arial"/>
          <w:sz w:val="22"/>
          <w:szCs w:val="22"/>
        </w:rPr>
        <w:t>. Newcastle upon Tyne: Care Quality Commission.</w:t>
      </w:r>
    </w:p>
    <w:p w14:paraId="57642242" w14:textId="0FB5F166" w:rsidR="71A65E9A" w:rsidRDefault="71A65E9A" w:rsidP="5311C3E3">
      <w:pPr>
        <w:spacing w:before="240" w:after="240"/>
        <w:rPr>
          <w:rFonts w:cs="Arial"/>
          <w:sz w:val="22"/>
          <w:szCs w:val="22"/>
        </w:rPr>
      </w:pPr>
    </w:p>
    <w:p w14:paraId="24DC8E66" w14:textId="0B5300EB" w:rsidR="71A65E9A" w:rsidRDefault="7C53CAA5" w:rsidP="5311C3E3">
      <w:pPr>
        <w:spacing w:before="240" w:after="240"/>
      </w:pPr>
      <w:proofErr w:type="spellStart"/>
      <w:r w:rsidRPr="5311C3E3">
        <w:rPr>
          <w:rFonts w:cs="Arial"/>
          <w:sz w:val="22"/>
          <w:szCs w:val="22"/>
        </w:rPr>
        <w:t>Cichero</w:t>
      </w:r>
      <w:proofErr w:type="spellEnd"/>
      <w:r w:rsidRPr="5311C3E3">
        <w:rPr>
          <w:rFonts w:cs="Arial"/>
          <w:sz w:val="22"/>
          <w:szCs w:val="22"/>
        </w:rPr>
        <w:t xml:space="preserve">, J.A.Y., Lam, P., Steele, C.M., Hanson, B., Chen, J., Dantas, R.O., </w:t>
      </w:r>
      <w:proofErr w:type="spellStart"/>
      <w:r w:rsidRPr="5311C3E3">
        <w:rPr>
          <w:rFonts w:cs="Arial"/>
          <w:sz w:val="22"/>
          <w:szCs w:val="22"/>
        </w:rPr>
        <w:t>Duivestein</w:t>
      </w:r>
      <w:proofErr w:type="spellEnd"/>
      <w:r w:rsidRPr="5311C3E3">
        <w:rPr>
          <w:rFonts w:cs="Arial"/>
          <w:sz w:val="22"/>
          <w:szCs w:val="22"/>
        </w:rPr>
        <w:t xml:space="preserve">, J., </w:t>
      </w:r>
      <w:proofErr w:type="spellStart"/>
      <w:r w:rsidRPr="5311C3E3">
        <w:rPr>
          <w:rFonts w:cs="Arial"/>
          <w:sz w:val="22"/>
          <w:szCs w:val="22"/>
        </w:rPr>
        <w:t>Kayashita</w:t>
      </w:r>
      <w:proofErr w:type="spellEnd"/>
      <w:r w:rsidRPr="5311C3E3">
        <w:rPr>
          <w:rFonts w:cs="Arial"/>
          <w:sz w:val="22"/>
          <w:szCs w:val="22"/>
        </w:rPr>
        <w:t xml:space="preserve">, J., </w:t>
      </w:r>
      <w:proofErr w:type="spellStart"/>
      <w:r w:rsidRPr="5311C3E3">
        <w:rPr>
          <w:rFonts w:cs="Arial"/>
          <w:sz w:val="22"/>
          <w:szCs w:val="22"/>
        </w:rPr>
        <w:t>Lecko</w:t>
      </w:r>
      <w:proofErr w:type="spellEnd"/>
      <w:r w:rsidRPr="5311C3E3">
        <w:rPr>
          <w:rFonts w:cs="Arial"/>
          <w:sz w:val="22"/>
          <w:szCs w:val="22"/>
        </w:rPr>
        <w:t xml:space="preserve">, C., Murray, J., Pillay, M., Riquelme, L., </w:t>
      </w:r>
      <w:proofErr w:type="spellStart"/>
      <w:r w:rsidRPr="5311C3E3">
        <w:rPr>
          <w:rFonts w:cs="Arial"/>
          <w:sz w:val="22"/>
          <w:szCs w:val="22"/>
        </w:rPr>
        <w:t>Stanschus</w:t>
      </w:r>
      <w:proofErr w:type="spellEnd"/>
      <w:r w:rsidRPr="5311C3E3">
        <w:rPr>
          <w:rFonts w:cs="Arial"/>
          <w:sz w:val="22"/>
          <w:szCs w:val="22"/>
        </w:rPr>
        <w:t xml:space="preserve">, S., Wang, H. and Yeates, E. (2017) ‘Development of international terminology and definitions for texture-modified foods and thickened fluids used in dysphagia management: The IDDSI framework’, </w:t>
      </w:r>
      <w:r w:rsidRPr="5311C3E3">
        <w:rPr>
          <w:rFonts w:cs="Arial"/>
          <w:i/>
          <w:iCs/>
          <w:sz w:val="22"/>
          <w:szCs w:val="22"/>
        </w:rPr>
        <w:t>Dysphagia</w:t>
      </w:r>
      <w:r w:rsidRPr="5311C3E3">
        <w:rPr>
          <w:rFonts w:cs="Arial"/>
          <w:sz w:val="22"/>
          <w:szCs w:val="22"/>
        </w:rPr>
        <w:t>, 32(2), pp. 293–314.</w:t>
      </w:r>
    </w:p>
    <w:p w14:paraId="76890CFA" w14:textId="719C7A6F" w:rsidR="71A65E9A" w:rsidRDefault="71A65E9A" w:rsidP="5311C3E3">
      <w:pPr>
        <w:spacing w:before="240" w:after="240"/>
        <w:rPr>
          <w:rFonts w:cs="Arial"/>
          <w:sz w:val="22"/>
          <w:szCs w:val="22"/>
        </w:rPr>
      </w:pPr>
    </w:p>
    <w:p w14:paraId="4598427B" w14:textId="37052CA7" w:rsidR="71A65E9A" w:rsidRDefault="7C53CAA5" w:rsidP="5311C3E3">
      <w:pPr>
        <w:spacing w:before="240" w:after="240"/>
      </w:pPr>
      <w:r w:rsidRPr="5311C3E3">
        <w:rPr>
          <w:rFonts w:cs="Arial"/>
          <w:sz w:val="22"/>
          <w:szCs w:val="22"/>
        </w:rPr>
        <w:t xml:space="preserve">De Hert, M., </w:t>
      </w:r>
      <w:proofErr w:type="spellStart"/>
      <w:r w:rsidRPr="5311C3E3">
        <w:rPr>
          <w:rFonts w:cs="Arial"/>
          <w:sz w:val="22"/>
          <w:szCs w:val="22"/>
        </w:rPr>
        <w:t>Detraux</w:t>
      </w:r>
      <w:proofErr w:type="spellEnd"/>
      <w:r w:rsidRPr="5311C3E3">
        <w:rPr>
          <w:rFonts w:cs="Arial"/>
          <w:sz w:val="22"/>
          <w:szCs w:val="22"/>
        </w:rPr>
        <w:t xml:space="preserve">, J., van Winkel, R., Yu, W. and Correll, C.U. (2011) ‘Metabolic and cardiovascular adverse effects associated with antipsychotic drugs’, </w:t>
      </w:r>
      <w:r w:rsidRPr="5311C3E3">
        <w:rPr>
          <w:rFonts w:cs="Arial"/>
          <w:i/>
          <w:iCs/>
          <w:sz w:val="22"/>
          <w:szCs w:val="22"/>
        </w:rPr>
        <w:t>Nature Reviews Endocrinology</w:t>
      </w:r>
      <w:r w:rsidRPr="5311C3E3">
        <w:rPr>
          <w:rFonts w:cs="Arial"/>
          <w:sz w:val="22"/>
          <w:szCs w:val="22"/>
        </w:rPr>
        <w:t>, 8(2), pp. 114–126.</w:t>
      </w:r>
    </w:p>
    <w:p w14:paraId="6C983514" w14:textId="7F65C451" w:rsidR="71A65E9A" w:rsidRDefault="71A65E9A" w:rsidP="5311C3E3">
      <w:pPr>
        <w:spacing w:before="240" w:after="240"/>
        <w:rPr>
          <w:rFonts w:cs="Arial"/>
          <w:sz w:val="22"/>
          <w:szCs w:val="22"/>
        </w:rPr>
      </w:pPr>
    </w:p>
    <w:p w14:paraId="07E5607B" w14:textId="2A3133EE" w:rsidR="71A65E9A" w:rsidRDefault="7C53CAA5" w:rsidP="5311C3E3">
      <w:pPr>
        <w:spacing w:before="240" w:after="240"/>
      </w:pPr>
      <w:r w:rsidRPr="5311C3E3">
        <w:rPr>
          <w:rFonts w:cs="Arial"/>
          <w:sz w:val="22"/>
          <w:szCs w:val="22"/>
        </w:rPr>
        <w:t xml:space="preserve">Department of Health (2007) </w:t>
      </w:r>
      <w:r w:rsidRPr="5311C3E3">
        <w:rPr>
          <w:rFonts w:cs="Arial"/>
          <w:i/>
          <w:iCs/>
          <w:sz w:val="22"/>
          <w:szCs w:val="22"/>
        </w:rPr>
        <w:t>Improving Nutritional Care: Protected Mealtimes Guidance</w:t>
      </w:r>
      <w:r w:rsidRPr="5311C3E3">
        <w:rPr>
          <w:rFonts w:cs="Arial"/>
          <w:sz w:val="22"/>
          <w:szCs w:val="22"/>
        </w:rPr>
        <w:t>. London: Department of Health.</w:t>
      </w:r>
    </w:p>
    <w:p w14:paraId="1EB38992" w14:textId="44340B24" w:rsidR="71A65E9A" w:rsidRDefault="71A65E9A" w:rsidP="5311C3E3">
      <w:pPr>
        <w:spacing w:before="240" w:after="240"/>
        <w:rPr>
          <w:rFonts w:cs="Arial"/>
          <w:sz w:val="22"/>
          <w:szCs w:val="22"/>
        </w:rPr>
      </w:pPr>
    </w:p>
    <w:p w14:paraId="0AF0FF16" w14:textId="692E2991" w:rsidR="71A65E9A" w:rsidRDefault="7C53CAA5" w:rsidP="5311C3E3">
      <w:pPr>
        <w:spacing w:before="240" w:after="240"/>
        <w:rPr>
          <w:rFonts w:cs="Arial"/>
          <w:sz w:val="22"/>
          <w:szCs w:val="22"/>
        </w:rPr>
      </w:pPr>
      <w:r w:rsidRPr="5311C3E3">
        <w:rPr>
          <w:rFonts w:cs="Arial"/>
          <w:sz w:val="22"/>
          <w:szCs w:val="22"/>
        </w:rPr>
        <w:t xml:space="preserve">Department of Health and Social Care (2014) </w:t>
      </w:r>
      <w:r w:rsidRPr="5311C3E3">
        <w:rPr>
          <w:rFonts w:cs="Arial"/>
          <w:i/>
          <w:iCs/>
          <w:sz w:val="22"/>
          <w:szCs w:val="22"/>
        </w:rPr>
        <w:t>Statutory Duty of Candour: Guidance for Providers</w:t>
      </w:r>
      <w:r w:rsidRPr="5311C3E3">
        <w:rPr>
          <w:rFonts w:cs="Arial"/>
          <w:sz w:val="22"/>
          <w:szCs w:val="22"/>
        </w:rPr>
        <w:t>. London: DHSC.</w:t>
      </w:r>
    </w:p>
    <w:p w14:paraId="2AFD825C" w14:textId="28C05510" w:rsidR="004468BC" w:rsidRDefault="004468BC" w:rsidP="5311C3E3">
      <w:pPr>
        <w:spacing w:before="240" w:after="240"/>
        <w:rPr>
          <w:rFonts w:cs="Arial"/>
          <w:sz w:val="22"/>
          <w:szCs w:val="22"/>
        </w:rPr>
      </w:pPr>
    </w:p>
    <w:p w14:paraId="758C170F" w14:textId="720CBF77" w:rsidR="004468BC" w:rsidRPr="00825F2C" w:rsidRDefault="004468BC" w:rsidP="5311C3E3">
      <w:pPr>
        <w:spacing w:before="240" w:after="240"/>
        <w:rPr>
          <w:sz w:val="22"/>
          <w:szCs w:val="22"/>
        </w:rPr>
      </w:pPr>
      <w:r w:rsidRPr="00825F2C">
        <w:rPr>
          <w:rStyle w:val="Strong"/>
          <w:b w:val="0"/>
          <w:sz w:val="22"/>
          <w:szCs w:val="22"/>
        </w:rPr>
        <w:t>East London NHS Foundation Trust (2022)</w:t>
      </w:r>
      <w:r w:rsidRPr="00825F2C">
        <w:rPr>
          <w:sz w:val="22"/>
          <w:szCs w:val="22"/>
        </w:rPr>
        <w:t xml:space="preserve"> </w:t>
      </w:r>
      <w:r w:rsidRPr="00825F2C">
        <w:rPr>
          <w:rStyle w:val="Emphasis"/>
          <w:sz w:val="22"/>
          <w:szCs w:val="22"/>
        </w:rPr>
        <w:t>ELFT Strategy 2022–2027: Improving Lives We Touch.</w:t>
      </w:r>
      <w:r w:rsidRPr="00825F2C">
        <w:rPr>
          <w:sz w:val="22"/>
          <w:szCs w:val="22"/>
        </w:rPr>
        <w:t xml:space="preserve"> London: East London NHS Foundation Trust.</w:t>
      </w:r>
    </w:p>
    <w:p w14:paraId="0884F290" w14:textId="5C18199B" w:rsidR="71A65E9A" w:rsidRPr="004468BC" w:rsidRDefault="71A65E9A" w:rsidP="5311C3E3">
      <w:pPr>
        <w:spacing w:before="240" w:after="240"/>
        <w:rPr>
          <w:rFonts w:cs="Arial"/>
          <w:sz w:val="22"/>
          <w:szCs w:val="22"/>
        </w:rPr>
      </w:pPr>
    </w:p>
    <w:p w14:paraId="0606AF9F" w14:textId="4536EEE1" w:rsidR="71A65E9A" w:rsidRDefault="7C53CAA5" w:rsidP="5311C3E3">
      <w:pPr>
        <w:spacing w:before="240" w:after="240"/>
      </w:pPr>
      <w:r w:rsidRPr="5311C3E3">
        <w:rPr>
          <w:rFonts w:cs="Arial"/>
          <w:sz w:val="22"/>
          <w:szCs w:val="22"/>
        </w:rPr>
        <w:t xml:space="preserve">Friedli, N., Stanga, Z., Culkin, A., Crook, M., Laviano, A., Sobotka, L., </w:t>
      </w:r>
      <w:proofErr w:type="spellStart"/>
      <w:r w:rsidRPr="5311C3E3">
        <w:rPr>
          <w:rFonts w:cs="Arial"/>
          <w:sz w:val="22"/>
          <w:szCs w:val="22"/>
        </w:rPr>
        <w:t>Kressig</w:t>
      </w:r>
      <w:proofErr w:type="spellEnd"/>
      <w:r w:rsidRPr="5311C3E3">
        <w:rPr>
          <w:rFonts w:cs="Arial"/>
          <w:sz w:val="22"/>
          <w:szCs w:val="22"/>
        </w:rPr>
        <w:t xml:space="preserve">, R.W., Kondrup, J. and Mueller, B. (2018) ‘Management and prevention of refeeding syndrome in medical inpatients: an evidence-based and consensus-supported algorithm’, </w:t>
      </w:r>
      <w:r w:rsidRPr="5311C3E3">
        <w:rPr>
          <w:rFonts w:cs="Arial"/>
          <w:i/>
          <w:iCs/>
          <w:sz w:val="22"/>
          <w:szCs w:val="22"/>
        </w:rPr>
        <w:t>Nutrition</w:t>
      </w:r>
      <w:r w:rsidRPr="5311C3E3">
        <w:rPr>
          <w:rFonts w:cs="Arial"/>
          <w:sz w:val="22"/>
          <w:szCs w:val="22"/>
        </w:rPr>
        <w:t>, 47, pp. 13–20.</w:t>
      </w:r>
    </w:p>
    <w:p w14:paraId="5715034F" w14:textId="7AF97F70" w:rsidR="71A65E9A" w:rsidRDefault="71A65E9A" w:rsidP="5311C3E3">
      <w:pPr>
        <w:spacing w:before="240" w:after="240"/>
        <w:rPr>
          <w:rFonts w:cs="Arial"/>
          <w:sz w:val="22"/>
          <w:szCs w:val="22"/>
        </w:rPr>
      </w:pPr>
    </w:p>
    <w:p w14:paraId="3C8C1566" w14:textId="7AEB2E9D" w:rsidR="71A65E9A" w:rsidRDefault="7C53CAA5" w:rsidP="5311C3E3">
      <w:pPr>
        <w:spacing w:before="240" w:after="240"/>
      </w:pPr>
      <w:r w:rsidRPr="5311C3E3">
        <w:rPr>
          <w:rFonts w:cs="Arial"/>
          <w:sz w:val="22"/>
          <w:szCs w:val="22"/>
        </w:rPr>
        <w:lastRenderedPageBreak/>
        <w:t xml:space="preserve">Fuller, S.J. and Philpot, U. (2020) ‘The development of consensus-based guidelines for dietetic practice in nasogastric tube feeding under restraint for patients with anorexia nervosa using a modified Delphi process’, </w:t>
      </w:r>
      <w:r w:rsidRPr="5311C3E3">
        <w:rPr>
          <w:rFonts w:cs="Arial"/>
          <w:i/>
          <w:iCs/>
          <w:sz w:val="22"/>
          <w:szCs w:val="22"/>
        </w:rPr>
        <w:t>Journal of Human Nutrition and Dietetics</w:t>
      </w:r>
      <w:r w:rsidRPr="5311C3E3">
        <w:rPr>
          <w:rFonts w:cs="Arial"/>
          <w:sz w:val="22"/>
          <w:szCs w:val="22"/>
        </w:rPr>
        <w:t>, 33(3), pp. 287–294.</w:t>
      </w:r>
    </w:p>
    <w:p w14:paraId="6D9D1F14" w14:textId="4CCB8D4D" w:rsidR="71A65E9A" w:rsidRDefault="71A65E9A" w:rsidP="5311C3E3">
      <w:pPr>
        <w:spacing w:before="240" w:after="240"/>
        <w:rPr>
          <w:rFonts w:cs="Arial"/>
          <w:sz w:val="22"/>
          <w:szCs w:val="22"/>
        </w:rPr>
      </w:pPr>
    </w:p>
    <w:p w14:paraId="354A59B5" w14:textId="560398E6" w:rsidR="71A65E9A" w:rsidRDefault="7C53CAA5" w:rsidP="5311C3E3">
      <w:pPr>
        <w:spacing w:before="240" w:after="240"/>
      </w:pPr>
      <w:r w:rsidRPr="5311C3E3">
        <w:rPr>
          <w:rFonts w:cs="Arial"/>
          <w:sz w:val="22"/>
          <w:szCs w:val="22"/>
        </w:rPr>
        <w:t xml:space="preserve">Hooper, L., Bunn, D., Jimoh, F.O. and Fairweather-Tait, S.J. (2015) ‘Water-loss dehydration and ageing’, </w:t>
      </w:r>
      <w:r w:rsidRPr="5311C3E3">
        <w:rPr>
          <w:rFonts w:cs="Arial"/>
          <w:i/>
          <w:iCs/>
          <w:sz w:val="22"/>
          <w:szCs w:val="22"/>
        </w:rPr>
        <w:t>Mechanisms of Ageing and Development</w:t>
      </w:r>
      <w:r w:rsidRPr="5311C3E3">
        <w:rPr>
          <w:rFonts w:cs="Arial"/>
          <w:sz w:val="22"/>
          <w:szCs w:val="22"/>
        </w:rPr>
        <w:t>, 151, pp. 10–21.</w:t>
      </w:r>
    </w:p>
    <w:p w14:paraId="6E48E453" w14:textId="56BF6C80" w:rsidR="71A65E9A" w:rsidRDefault="71A65E9A" w:rsidP="5311C3E3">
      <w:pPr>
        <w:spacing w:before="240" w:after="240"/>
        <w:rPr>
          <w:rFonts w:cs="Arial"/>
          <w:sz w:val="22"/>
          <w:szCs w:val="22"/>
        </w:rPr>
      </w:pPr>
    </w:p>
    <w:p w14:paraId="62BDAEC6" w14:textId="49A26726" w:rsidR="71A65E9A" w:rsidRDefault="7C53CAA5" w:rsidP="5311C3E3">
      <w:pPr>
        <w:spacing w:before="240" w:after="240"/>
      </w:pPr>
      <w:r w:rsidRPr="5311C3E3">
        <w:rPr>
          <w:rFonts w:cs="Arial"/>
          <w:sz w:val="22"/>
          <w:szCs w:val="22"/>
        </w:rPr>
        <w:t xml:space="preserve">Malnutrition Taskforce (2017) </w:t>
      </w:r>
      <w:r w:rsidRPr="5311C3E3">
        <w:rPr>
          <w:rFonts w:cs="Arial"/>
          <w:i/>
          <w:iCs/>
          <w:sz w:val="22"/>
          <w:szCs w:val="22"/>
        </w:rPr>
        <w:t>The Cost of Malnutrition in England and Potential Cost Savings from Nutritional Interventions</w:t>
      </w:r>
      <w:r w:rsidRPr="5311C3E3">
        <w:rPr>
          <w:rFonts w:cs="Arial"/>
          <w:sz w:val="22"/>
          <w:szCs w:val="22"/>
        </w:rPr>
        <w:t>. London: Malnutrition Taskforce.</w:t>
      </w:r>
    </w:p>
    <w:p w14:paraId="354555B7" w14:textId="1B6B04B1" w:rsidR="71A65E9A" w:rsidRDefault="71A65E9A" w:rsidP="5311C3E3">
      <w:pPr>
        <w:spacing w:before="240" w:after="240"/>
        <w:rPr>
          <w:rFonts w:cs="Arial"/>
          <w:sz w:val="22"/>
          <w:szCs w:val="22"/>
        </w:rPr>
      </w:pPr>
    </w:p>
    <w:p w14:paraId="5FB250C0" w14:textId="55CFAE84" w:rsidR="71A65E9A" w:rsidRDefault="000A469E" w:rsidP="5311C3E3">
      <w:pPr>
        <w:spacing w:before="240" w:after="240"/>
      </w:pPr>
      <w:r>
        <w:rPr>
          <w:rFonts w:cs="Arial"/>
          <w:sz w:val="22"/>
          <w:szCs w:val="22"/>
        </w:rPr>
        <w:t>NICE (</w:t>
      </w:r>
      <w:r w:rsidR="7C53CAA5" w:rsidRPr="5311C3E3">
        <w:rPr>
          <w:rFonts w:cs="Arial"/>
          <w:sz w:val="22"/>
          <w:szCs w:val="22"/>
        </w:rPr>
        <w:t>National Institute for Health and Care Excellence</w:t>
      </w:r>
      <w:r>
        <w:rPr>
          <w:rFonts w:cs="Arial"/>
          <w:sz w:val="22"/>
          <w:szCs w:val="22"/>
        </w:rPr>
        <w:t>)</w:t>
      </w:r>
      <w:r w:rsidR="7C53CAA5" w:rsidRPr="5311C3E3">
        <w:rPr>
          <w:rFonts w:cs="Arial"/>
          <w:sz w:val="22"/>
          <w:szCs w:val="22"/>
        </w:rPr>
        <w:t xml:space="preserve"> (2006) </w:t>
      </w:r>
      <w:r w:rsidR="7C53CAA5" w:rsidRPr="5311C3E3">
        <w:rPr>
          <w:rFonts w:cs="Arial"/>
          <w:i/>
          <w:iCs/>
          <w:sz w:val="22"/>
          <w:szCs w:val="22"/>
        </w:rPr>
        <w:t>Nutrition Support for Adults: Oral Nutrition Support, Enteral Tube Feeding and Parenteral Nutrition (CG32)</w:t>
      </w:r>
      <w:r w:rsidR="7C53CAA5" w:rsidRPr="5311C3E3">
        <w:rPr>
          <w:rFonts w:cs="Arial"/>
          <w:sz w:val="22"/>
          <w:szCs w:val="22"/>
        </w:rPr>
        <w:t>. London: NICE.</w:t>
      </w:r>
    </w:p>
    <w:p w14:paraId="498AE23D" w14:textId="5696FF72" w:rsidR="71A65E9A" w:rsidRDefault="71A65E9A" w:rsidP="5311C3E3">
      <w:pPr>
        <w:spacing w:before="240" w:after="240"/>
        <w:rPr>
          <w:rFonts w:cs="Arial"/>
          <w:sz w:val="22"/>
          <w:szCs w:val="22"/>
        </w:rPr>
      </w:pPr>
    </w:p>
    <w:p w14:paraId="7A9CDB73" w14:textId="76A315CF" w:rsidR="71A65E9A" w:rsidRDefault="000A469E" w:rsidP="5311C3E3">
      <w:pPr>
        <w:spacing w:before="240" w:after="240"/>
      </w:pPr>
      <w:r>
        <w:rPr>
          <w:rFonts w:cs="Arial"/>
          <w:sz w:val="22"/>
          <w:szCs w:val="22"/>
        </w:rPr>
        <w:t>NICE (</w:t>
      </w:r>
      <w:r w:rsidRPr="5311C3E3">
        <w:rPr>
          <w:rFonts w:cs="Arial"/>
          <w:sz w:val="22"/>
          <w:szCs w:val="22"/>
        </w:rPr>
        <w:t>National Institute for Health and Care Excellence</w:t>
      </w:r>
      <w:r>
        <w:rPr>
          <w:rFonts w:cs="Arial"/>
          <w:sz w:val="22"/>
          <w:szCs w:val="22"/>
        </w:rPr>
        <w:t xml:space="preserve"> </w:t>
      </w:r>
      <w:r w:rsidR="7C53CAA5" w:rsidRPr="5311C3E3">
        <w:rPr>
          <w:rFonts w:cs="Arial"/>
          <w:sz w:val="22"/>
          <w:szCs w:val="22"/>
        </w:rPr>
        <w:t xml:space="preserve">(2012) </w:t>
      </w:r>
      <w:r w:rsidR="7C53CAA5" w:rsidRPr="5311C3E3">
        <w:rPr>
          <w:rFonts w:cs="Arial"/>
          <w:i/>
          <w:iCs/>
          <w:sz w:val="22"/>
          <w:szCs w:val="22"/>
        </w:rPr>
        <w:t>Nutrition Support in Adults: Quality Standard (QS24)</w:t>
      </w:r>
      <w:r w:rsidR="7C53CAA5" w:rsidRPr="5311C3E3">
        <w:rPr>
          <w:rFonts w:cs="Arial"/>
          <w:sz w:val="22"/>
          <w:szCs w:val="22"/>
        </w:rPr>
        <w:t>. London: NICE.</w:t>
      </w:r>
    </w:p>
    <w:p w14:paraId="52F381A0" w14:textId="3F0A8175" w:rsidR="71A65E9A" w:rsidRDefault="71A65E9A" w:rsidP="5311C3E3">
      <w:pPr>
        <w:spacing w:before="240" w:after="240"/>
        <w:rPr>
          <w:rFonts w:cs="Arial"/>
          <w:sz w:val="22"/>
          <w:szCs w:val="22"/>
        </w:rPr>
      </w:pPr>
    </w:p>
    <w:p w14:paraId="24B72BC1" w14:textId="2646406E" w:rsidR="71A65E9A" w:rsidRDefault="000A469E" w:rsidP="00825F2C">
      <w:r>
        <w:rPr>
          <w:rFonts w:cs="Arial"/>
          <w:sz w:val="22"/>
          <w:szCs w:val="22"/>
        </w:rPr>
        <w:t>NICE (</w:t>
      </w:r>
      <w:r w:rsidRPr="5311C3E3">
        <w:rPr>
          <w:rFonts w:cs="Arial"/>
          <w:sz w:val="22"/>
          <w:szCs w:val="22"/>
        </w:rPr>
        <w:t>National Institute for Health and Care Excellence</w:t>
      </w:r>
      <w:r>
        <w:rPr>
          <w:rFonts w:cs="Arial"/>
          <w:sz w:val="22"/>
          <w:szCs w:val="22"/>
        </w:rPr>
        <w:t xml:space="preserve"> </w:t>
      </w:r>
      <w:r w:rsidR="7C53CAA5" w:rsidRPr="5311C3E3">
        <w:rPr>
          <w:rFonts w:cs="Arial"/>
          <w:sz w:val="22"/>
          <w:szCs w:val="22"/>
        </w:rPr>
        <w:t xml:space="preserve">(2017) </w:t>
      </w:r>
      <w:r w:rsidR="7C53CAA5" w:rsidRPr="5311C3E3">
        <w:rPr>
          <w:rFonts w:cs="Arial"/>
          <w:i/>
          <w:iCs/>
          <w:sz w:val="22"/>
          <w:szCs w:val="22"/>
        </w:rPr>
        <w:t>Eating Disorders: Recognition an</w:t>
      </w:r>
      <w:r>
        <w:rPr>
          <w:rFonts w:cs="Arial"/>
          <w:i/>
          <w:iCs/>
          <w:sz w:val="22"/>
          <w:szCs w:val="22"/>
        </w:rPr>
        <w:t xml:space="preserve">d </w:t>
      </w:r>
      <w:r w:rsidR="00825F2C">
        <w:rPr>
          <w:rFonts w:cs="Arial"/>
          <w:i/>
          <w:iCs/>
          <w:sz w:val="22"/>
          <w:szCs w:val="22"/>
        </w:rPr>
        <w:t>t</w:t>
      </w:r>
      <w:r w:rsidRPr="5311C3E3">
        <w:t>reatment (NG69)</w:t>
      </w:r>
      <w:r>
        <w:t xml:space="preserve">. London: NICE </w:t>
      </w:r>
    </w:p>
    <w:p w14:paraId="702292BA" w14:textId="77777777" w:rsidR="00B36D8A" w:rsidRDefault="00B36D8A" w:rsidP="00825F2C">
      <w:pPr>
        <w:rPr>
          <w:rFonts w:cs="Arial"/>
          <w:sz w:val="22"/>
          <w:szCs w:val="22"/>
        </w:rPr>
      </w:pPr>
    </w:p>
    <w:p w14:paraId="4E734DF5" w14:textId="2EB48E23" w:rsidR="71A65E9A" w:rsidRDefault="7C53CAA5" w:rsidP="5311C3E3">
      <w:pPr>
        <w:spacing w:before="240" w:after="240"/>
      </w:pPr>
      <w:r w:rsidRPr="5311C3E3">
        <w:rPr>
          <w:rFonts w:cs="Arial"/>
          <w:sz w:val="22"/>
          <w:szCs w:val="22"/>
        </w:rPr>
        <w:t xml:space="preserve">NHS Digital (2023) </w:t>
      </w:r>
      <w:r w:rsidRPr="5311C3E3">
        <w:rPr>
          <w:rFonts w:cs="Arial"/>
          <w:i/>
          <w:iCs/>
          <w:sz w:val="22"/>
          <w:szCs w:val="22"/>
        </w:rPr>
        <w:t>Health Survey for England: Overweight and Obesity Statistics</w:t>
      </w:r>
      <w:r w:rsidRPr="5311C3E3">
        <w:rPr>
          <w:rFonts w:cs="Arial"/>
          <w:sz w:val="22"/>
          <w:szCs w:val="22"/>
        </w:rPr>
        <w:t>. Leeds: NHS Digital.</w:t>
      </w:r>
      <w:r w:rsidR="00825F2C">
        <w:rPr>
          <w:rFonts w:cs="Arial"/>
          <w:sz w:val="22"/>
          <w:szCs w:val="22"/>
        </w:rPr>
        <w:t xml:space="preserve"> </w:t>
      </w:r>
      <w:r w:rsidRPr="5311C3E3">
        <w:rPr>
          <w:rFonts w:cs="Arial"/>
          <w:sz w:val="22"/>
          <w:szCs w:val="22"/>
        </w:rPr>
        <w:t xml:space="preserve">NHS England (2015) </w:t>
      </w:r>
      <w:r w:rsidRPr="5311C3E3">
        <w:rPr>
          <w:rFonts w:cs="Arial"/>
          <w:i/>
          <w:iCs/>
          <w:sz w:val="22"/>
          <w:szCs w:val="22"/>
        </w:rPr>
        <w:t>Hospital Passports: A Guide for Healthcare Staff</w:t>
      </w:r>
      <w:r w:rsidRPr="5311C3E3">
        <w:rPr>
          <w:rFonts w:cs="Arial"/>
          <w:sz w:val="22"/>
          <w:szCs w:val="22"/>
        </w:rPr>
        <w:t>. London: NHS England.</w:t>
      </w:r>
    </w:p>
    <w:p w14:paraId="6F24376B" w14:textId="2C08C8A9" w:rsidR="71A65E9A" w:rsidRDefault="71A65E9A" w:rsidP="5311C3E3">
      <w:pPr>
        <w:spacing w:before="240" w:after="240"/>
        <w:rPr>
          <w:rFonts w:cs="Arial"/>
          <w:sz w:val="22"/>
          <w:szCs w:val="22"/>
        </w:rPr>
      </w:pPr>
    </w:p>
    <w:p w14:paraId="2B359082" w14:textId="5D979D4D" w:rsidR="71A65E9A" w:rsidRDefault="7C53CAA5" w:rsidP="5311C3E3">
      <w:pPr>
        <w:spacing w:before="240" w:after="240"/>
      </w:pPr>
      <w:r w:rsidRPr="5311C3E3">
        <w:rPr>
          <w:rFonts w:cs="Arial"/>
          <w:sz w:val="22"/>
          <w:szCs w:val="22"/>
        </w:rPr>
        <w:t xml:space="preserve">NHS England (2019) </w:t>
      </w:r>
      <w:r w:rsidRPr="5311C3E3">
        <w:rPr>
          <w:rFonts w:cs="Arial"/>
          <w:i/>
          <w:iCs/>
          <w:sz w:val="22"/>
          <w:szCs w:val="22"/>
        </w:rPr>
        <w:t>The NHS Long Term Plan</w:t>
      </w:r>
      <w:r w:rsidRPr="5311C3E3">
        <w:rPr>
          <w:rFonts w:cs="Arial"/>
          <w:sz w:val="22"/>
          <w:szCs w:val="22"/>
        </w:rPr>
        <w:t>. London: NHS England.</w:t>
      </w:r>
    </w:p>
    <w:p w14:paraId="41273790" w14:textId="571D879F" w:rsidR="71A65E9A" w:rsidRDefault="71A65E9A" w:rsidP="5311C3E3">
      <w:pPr>
        <w:spacing w:before="240" w:after="240"/>
        <w:rPr>
          <w:rFonts w:cs="Arial"/>
          <w:sz w:val="22"/>
          <w:szCs w:val="22"/>
        </w:rPr>
      </w:pPr>
    </w:p>
    <w:p w14:paraId="56C77E52" w14:textId="353216D2" w:rsidR="71A65E9A" w:rsidRDefault="7C53CAA5" w:rsidP="5311C3E3">
      <w:pPr>
        <w:spacing w:before="240" w:after="240"/>
      </w:pPr>
      <w:r w:rsidRPr="5311C3E3">
        <w:rPr>
          <w:rFonts w:cs="Arial"/>
          <w:sz w:val="22"/>
          <w:szCs w:val="22"/>
        </w:rPr>
        <w:t xml:space="preserve">NHS England (2022) </w:t>
      </w:r>
      <w:r w:rsidRPr="5311C3E3">
        <w:rPr>
          <w:rFonts w:cs="Arial"/>
          <w:i/>
          <w:iCs/>
          <w:sz w:val="22"/>
          <w:szCs w:val="22"/>
        </w:rPr>
        <w:t>National Standards for Healthcare Food and Drink</w:t>
      </w:r>
      <w:r w:rsidRPr="5311C3E3">
        <w:rPr>
          <w:rFonts w:cs="Arial"/>
          <w:sz w:val="22"/>
          <w:szCs w:val="22"/>
        </w:rPr>
        <w:t>. London: NHS England.</w:t>
      </w:r>
    </w:p>
    <w:p w14:paraId="2BF4B092" w14:textId="49A39283" w:rsidR="71A65E9A" w:rsidRDefault="71A65E9A" w:rsidP="5311C3E3">
      <w:pPr>
        <w:spacing w:before="240" w:after="240"/>
        <w:rPr>
          <w:rFonts w:cs="Arial"/>
          <w:sz w:val="22"/>
          <w:szCs w:val="22"/>
        </w:rPr>
      </w:pPr>
    </w:p>
    <w:p w14:paraId="419134E6" w14:textId="1BDC9D96" w:rsidR="71A65E9A" w:rsidRDefault="7C53CAA5" w:rsidP="5311C3E3">
      <w:pPr>
        <w:spacing w:before="240" w:after="240"/>
      </w:pPr>
      <w:r w:rsidRPr="5311C3E3">
        <w:rPr>
          <w:rFonts w:cs="Arial"/>
          <w:sz w:val="22"/>
          <w:szCs w:val="22"/>
        </w:rPr>
        <w:t xml:space="preserve">North East London Integrated Care Board (2024) </w:t>
      </w:r>
      <w:r w:rsidRPr="5311C3E3">
        <w:rPr>
          <w:rFonts w:cs="Arial"/>
          <w:i/>
          <w:iCs/>
          <w:sz w:val="22"/>
          <w:szCs w:val="22"/>
        </w:rPr>
        <w:t>Guidelines on the Identification, Treatment and Management of Malnutrition in Adults, including the Appropriate Prescribing of Oral Nutritional Supplements</w:t>
      </w:r>
      <w:r w:rsidRPr="5311C3E3">
        <w:rPr>
          <w:rFonts w:cs="Arial"/>
          <w:sz w:val="22"/>
          <w:szCs w:val="22"/>
        </w:rPr>
        <w:t>. London: North East London ICB.</w:t>
      </w:r>
    </w:p>
    <w:p w14:paraId="13A3EBBA" w14:textId="3EECB9F7" w:rsidR="71A65E9A" w:rsidRDefault="71A65E9A" w:rsidP="5311C3E3">
      <w:pPr>
        <w:spacing w:before="240" w:after="240"/>
        <w:rPr>
          <w:rFonts w:cs="Arial"/>
          <w:sz w:val="22"/>
          <w:szCs w:val="22"/>
        </w:rPr>
      </w:pPr>
    </w:p>
    <w:p w14:paraId="05DEDDDD" w14:textId="262147B9" w:rsidR="71A65E9A" w:rsidRDefault="7C53CAA5" w:rsidP="5311C3E3">
      <w:pPr>
        <w:spacing w:before="240" w:after="240"/>
      </w:pPr>
      <w:r w:rsidRPr="5311C3E3">
        <w:rPr>
          <w:rFonts w:cs="Arial"/>
          <w:sz w:val="22"/>
          <w:szCs w:val="22"/>
        </w:rPr>
        <w:t xml:space="preserve">Office for Health Improvement and Disparities (2023) </w:t>
      </w:r>
      <w:r w:rsidRPr="5311C3E3">
        <w:rPr>
          <w:rFonts w:cs="Arial"/>
          <w:i/>
          <w:iCs/>
          <w:sz w:val="22"/>
          <w:szCs w:val="22"/>
        </w:rPr>
        <w:t>Obesity Profile: Adult and Child Obesity Prevalence and Inequalities</w:t>
      </w:r>
      <w:r w:rsidRPr="5311C3E3">
        <w:rPr>
          <w:rFonts w:cs="Arial"/>
          <w:sz w:val="22"/>
          <w:szCs w:val="22"/>
        </w:rPr>
        <w:t>. London: OHID.</w:t>
      </w:r>
    </w:p>
    <w:p w14:paraId="7652E7C9" w14:textId="3B982CB2" w:rsidR="71A65E9A" w:rsidRDefault="71A65E9A" w:rsidP="5311C3E3">
      <w:pPr>
        <w:spacing w:before="240" w:after="240"/>
        <w:rPr>
          <w:rFonts w:cs="Arial"/>
          <w:sz w:val="22"/>
          <w:szCs w:val="22"/>
        </w:rPr>
      </w:pPr>
    </w:p>
    <w:p w14:paraId="540F7372" w14:textId="194E0A8B" w:rsidR="71A65E9A" w:rsidRDefault="7C53CAA5" w:rsidP="5311C3E3">
      <w:pPr>
        <w:spacing w:before="240" w:after="240"/>
      </w:pPr>
      <w:r w:rsidRPr="5311C3E3">
        <w:rPr>
          <w:rFonts w:cs="Arial"/>
          <w:sz w:val="22"/>
          <w:szCs w:val="22"/>
        </w:rPr>
        <w:t xml:space="preserve">Public Health England (2016) </w:t>
      </w:r>
      <w:r w:rsidRPr="5311C3E3">
        <w:rPr>
          <w:rFonts w:cs="Arial"/>
          <w:i/>
          <w:iCs/>
          <w:sz w:val="22"/>
          <w:szCs w:val="22"/>
        </w:rPr>
        <w:t>The Eatwell Guide</w:t>
      </w:r>
      <w:r w:rsidRPr="5311C3E3">
        <w:rPr>
          <w:rFonts w:cs="Arial"/>
          <w:sz w:val="22"/>
          <w:szCs w:val="22"/>
        </w:rPr>
        <w:t>. London: Public Health England.</w:t>
      </w:r>
    </w:p>
    <w:p w14:paraId="2E14E503" w14:textId="4A2C4351" w:rsidR="71A65E9A" w:rsidRDefault="71A65E9A" w:rsidP="5311C3E3">
      <w:pPr>
        <w:spacing w:before="240" w:after="240"/>
        <w:rPr>
          <w:rFonts w:cs="Arial"/>
          <w:sz w:val="22"/>
          <w:szCs w:val="22"/>
        </w:rPr>
      </w:pPr>
    </w:p>
    <w:p w14:paraId="2B580AD7" w14:textId="7B01209E" w:rsidR="71A65E9A" w:rsidRDefault="7C53CAA5" w:rsidP="5311C3E3">
      <w:pPr>
        <w:spacing w:before="240" w:after="240"/>
      </w:pPr>
      <w:r w:rsidRPr="5311C3E3">
        <w:rPr>
          <w:rFonts w:cs="Arial"/>
          <w:sz w:val="22"/>
          <w:szCs w:val="22"/>
        </w:rPr>
        <w:t xml:space="preserve">Public Health England (2018) </w:t>
      </w:r>
      <w:r w:rsidRPr="5311C3E3">
        <w:rPr>
          <w:rFonts w:cs="Arial"/>
          <w:i/>
          <w:iCs/>
          <w:sz w:val="22"/>
          <w:szCs w:val="22"/>
        </w:rPr>
        <w:t>Severe Mental Illness and Physical Health Inequalities Briefing</w:t>
      </w:r>
      <w:r w:rsidRPr="5311C3E3">
        <w:rPr>
          <w:rFonts w:cs="Arial"/>
          <w:sz w:val="22"/>
          <w:szCs w:val="22"/>
        </w:rPr>
        <w:t>. London: Public Health England.</w:t>
      </w:r>
    </w:p>
    <w:p w14:paraId="28F68F42" w14:textId="50914957" w:rsidR="71A65E9A" w:rsidRDefault="71A65E9A" w:rsidP="5311C3E3">
      <w:pPr>
        <w:spacing w:before="240" w:after="240"/>
        <w:rPr>
          <w:rFonts w:cs="Arial"/>
          <w:sz w:val="22"/>
          <w:szCs w:val="22"/>
        </w:rPr>
      </w:pPr>
    </w:p>
    <w:p w14:paraId="1134FC4F" w14:textId="091E4519" w:rsidR="71A65E9A" w:rsidRDefault="7C53CAA5" w:rsidP="5311C3E3">
      <w:pPr>
        <w:spacing w:before="240" w:after="240"/>
      </w:pPr>
      <w:r w:rsidRPr="5311C3E3">
        <w:rPr>
          <w:rFonts w:cs="Arial"/>
          <w:sz w:val="22"/>
          <w:szCs w:val="22"/>
        </w:rPr>
        <w:t xml:space="preserve">Royal College of Psychiatrists (2022) </w:t>
      </w:r>
      <w:r w:rsidRPr="5311C3E3">
        <w:rPr>
          <w:rFonts w:cs="Arial"/>
          <w:i/>
          <w:iCs/>
          <w:sz w:val="22"/>
          <w:szCs w:val="22"/>
        </w:rPr>
        <w:t xml:space="preserve">Medical Emergencies in Eating Disorders (MEED): </w:t>
      </w:r>
    </w:p>
    <w:p w14:paraId="77B9EA4E" w14:textId="7C320958" w:rsidR="71A65E9A" w:rsidRDefault="7C53CAA5" w:rsidP="5311C3E3">
      <w:pPr>
        <w:spacing w:before="240" w:after="240"/>
      </w:pPr>
      <w:r w:rsidRPr="5311C3E3">
        <w:rPr>
          <w:rFonts w:cs="Arial"/>
          <w:i/>
          <w:iCs/>
          <w:sz w:val="22"/>
          <w:szCs w:val="22"/>
        </w:rPr>
        <w:t>Guidance on Recognising and Managing Medical Emergencies in Eating Disorders</w:t>
      </w:r>
      <w:r w:rsidRPr="5311C3E3">
        <w:rPr>
          <w:rFonts w:cs="Arial"/>
          <w:sz w:val="22"/>
          <w:szCs w:val="22"/>
        </w:rPr>
        <w:t>. London: Royal College of Psychiatrists.</w:t>
      </w:r>
    </w:p>
    <w:p w14:paraId="7F20886A" w14:textId="0B0A7E40" w:rsidR="71A65E9A" w:rsidRDefault="71A65E9A" w:rsidP="5311C3E3">
      <w:pPr>
        <w:spacing w:before="240" w:after="240"/>
        <w:rPr>
          <w:rFonts w:cs="Arial"/>
          <w:sz w:val="22"/>
          <w:szCs w:val="22"/>
        </w:rPr>
      </w:pPr>
    </w:p>
    <w:p w14:paraId="25D5EE50" w14:textId="4E2ACCD8" w:rsidR="71A65E9A" w:rsidRDefault="7C53CAA5" w:rsidP="5311C3E3">
      <w:pPr>
        <w:spacing w:before="240" w:after="240"/>
      </w:pPr>
      <w:r w:rsidRPr="5311C3E3">
        <w:rPr>
          <w:rFonts w:cs="Arial"/>
          <w:sz w:val="22"/>
          <w:szCs w:val="22"/>
        </w:rPr>
        <w:t xml:space="preserve">Taylor, D., Barnes, T.R.E. and Young, A.H. (2021) </w:t>
      </w:r>
      <w:r w:rsidRPr="5311C3E3">
        <w:rPr>
          <w:rFonts w:cs="Arial"/>
          <w:i/>
          <w:iCs/>
          <w:sz w:val="22"/>
          <w:szCs w:val="22"/>
        </w:rPr>
        <w:t>The Maudsley Prescribing Guidelines in Psychiatry</w:t>
      </w:r>
      <w:r w:rsidRPr="5311C3E3">
        <w:rPr>
          <w:rFonts w:cs="Arial"/>
          <w:sz w:val="22"/>
          <w:szCs w:val="22"/>
        </w:rPr>
        <w:t xml:space="preserve">. 14th </w:t>
      </w:r>
      <w:proofErr w:type="spellStart"/>
      <w:r w:rsidRPr="5311C3E3">
        <w:rPr>
          <w:rFonts w:cs="Arial"/>
          <w:sz w:val="22"/>
          <w:szCs w:val="22"/>
        </w:rPr>
        <w:t>edn</w:t>
      </w:r>
      <w:proofErr w:type="spellEnd"/>
      <w:r w:rsidRPr="5311C3E3">
        <w:rPr>
          <w:rFonts w:cs="Arial"/>
          <w:sz w:val="22"/>
          <w:szCs w:val="22"/>
        </w:rPr>
        <w:t>. London: Wiley-Blackwell.</w:t>
      </w:r>
    </w:p>
    <w:p w14:paraId="516D151A" w14:textId="444F5D71" w:rsidR="71A65E9A" w:rsidRDefault="71A65E9A" w:rsidP="5311C3E3">
      <w:pPr>
        <w:spacing w:before="240" w:after="240"/>
        <w:rPr>
          <w:rFonts w:cs="Arial"/>
          <w:sz w:val="22"/>
          <w:szCs w:val="22"/>
        </w:rPr>
      </w:pPr>
    </w:p>
    <w:p w14:paraId="2D3912F0" w14:textId="1F7A300E" w:rsidR="71A65E9A" w:rsidRDefault="7C53CAA5" w:rsidP="5311C3E3">
      <w:pPr>
        <w:spacing w:before="240" w:after="240"/>
        <w:rPr>
          <w:rFonts w:cs="Arial"/>
          <w:color w:val="000000" w:themeColor="text1"/>
          <w:sz w:val="22"/>
          <w:szCs w:val="22"/>
        </w:rPr>
      </w:pPr>
      <w:r w:rsidRPr="5311C3E3">
        <w:rPr>
          <w:rFonts w:cs="Arial"/>
          <w:sz w:val="22"/>
          <w:szCs w:val="22"/>
        </w:rPr>
        <w:lastRenderedPageBreak/>
        <w:t xml:space="preserve">UK Government (2014) </w:t>
      </w:r>
      <w:r w:rsidRPr="5311C3E3">
        <w:rPr>
          <w:rFonts w:cs="Arial"/>
          <w:i/>
          <w:iCs/>
          <w:sz w:val="22"/>
          <w:szCs w:val="22"/>
        </w:rPr>
        <w:t>Health and Social Care Act 2008 (Regulated Activities) Regulations 2014</w:t>
      </w:r>
      <w:r w:rsidRPr="5311C3E3">
        <w:rPr>
          <w:rFonts w:cs="Arial"/>
          <w:sz w:val="22"/>
          <w:szCs w:val="22"/>
        </w:rPr>
        <w:t>. London: The Stationery Office.</w:t>
      </w:r>
      <w:r w:rsidR="7C45F0A7" w:rsidRPr="5311C3E3">
        <w:rPr>
          <w:rFonts w:cs="Arial"/>
          <w:color w:val="000000" w:themeColor="text1"/>
          <w:sz w:val="22"/>
          <w:szCs w:val="22"/>
        </w:rPr>
        <w:t xml:space="preserve"> </w:t>
      </w:r>
    </w:p>
    <w:p w14:paraId="47A2CA20" w14:textId="77777777" w:rsidR="00011486" w:rsidRDefault="00011486">
      <w:pPr>
        <w:keepNext w:val="0"/>
        <w:keepLines w:val="0"/>
        <w:spacing w:before="0" w:after="160"/>
        <w:contextualSpacing w:val="0"/>
        <w:jc w:val="left"/>
        <w:outlineLvl w:val="9"/>
        <w:rPr>
          <w:rFonts w:cs="Arial"/>
          <w:color w:val="1F4E79" w:themeColor="accent1" w:themeShade="80"/>
          <w:sz w:val="36"/>
          <w:szCs w:val="36"/>
        </w:rPr>
      </w:pPr>
      <w:bookmarkStart w:id="238" w:name="_Toc224651876"/>
      <w:bookmarkStart w:id="239" w:name="_Toc224652053"/>
      <w:r>
        <w:br w:type="page"/>
      </w:r>
    </w:p>
    <w:p w14:paraId="77F75232" w14:textId="5F77B4AD" w:rsidR="7140B1B4" w:rsidRDefault="00517414" w:rsidP="00EF3237">
      <w:pPr>
        <w:pStyle w:val="Heading1"/>
        <w:spacing w:before="240" w:after="240"/>
      </w:pPr>
      <w:bookmarkStart w:id="240" w:name="_Toc227057876"/>
      <w:r>
        <w:lastRenderedPageBreak/>
        <w:t xml:space="preserve">15. </w:t>
      </w:r>
      <w:r w:rsidR="7140B1B4">
        <w:t>Associated documents</w:t>
      </w:r>
      <w:bookmarkEnd w:id="238"/>
      <w:bookmarkEnd w:id="239"/>
      <w:bookmarkEnd w:id="240"/>
    </w:p>
    <w:p w14:paraId="4C3B93CB" w14:textId="04431E54" w:rsidR="00DB1194" w:rsidRPr="00DB1194" w:rsidRDefault="00DB1194" w:rsidP="00DB1194">
      <w:pPr>
        <w:pStyle w:val="ListParagraph"/>
        <w:numPr>
          <w:ilvl w:val="0"/>
          <w:numId w:val="3"/>
        </w:numPr>
        <w:rPr>
          <w:sz w:val="22"/>
          <w:szCs w:val="22"/>
        </w:rPr>
      </w:pPr>
      <w:r w:rsidRPr="00DB1194">
        <w:rPr>
          <w:sz w:val="22"/>
          <w:szCs w:val="22"/>
        </w:rPr>
        <w:t>Advance Decision to Refuse Treatment Policy</w:t>
      </w:r>
    </w:p>
    <w:p w14:paraId="24A1B534" w14:textId="7433764B" w:rsidR="00DB1194" w:rsidRPr="00DB1194" w:rsidRDefault="00DB1194" w:rsidP="00DB1194">
      <w:pPr>
        <w:pStyle w:val="ListParagraph"/>
        <w:numPr>
          <w:ilvl w:val="0"/>
          <w:numId w:val="3"/>
        </w:numPr>
        <w:rPr>
          <w:sz w:val="22"/>
          <w:szCs w:val="22"/>
        </w:rPr>
      </w:pPr>
      <w:r w:rsidRPr="00DB1194">
        <w:rPr>
          <w:sz w:val="22"/>
          <w:szCs w:val="22"/>
        </w:rPr>
        <w:t>Antipsychotics and Mood Stabilisers Physical Health Monitoring Policy</w:t>
      </w:r>
    </w:p>
    <w:p w14:paraId="6AB1594A" w14:textId="7D1046DD" w:rsidR="00DB1194" w:rsidRPr="00DB1194" w:rsidRDefault="00DB1194" w:rsidP="00DB1194">
      <w:pPr>
        <w:pStyle w:val="ListParagraph"/>
        <w:numPr>
          <w:ilvl w:val="0"/>
          <w:numId w:val="3"/>
        </w:numPr>
        <w:rPr>
          <w:sz w:val="22"/>
          <w:szCs w:val="22"/>
        </w:rPr>
      </w:pPr>
      <w:r w:rsidRPr="00DB1194">
        <w:rPr>
          <w:sz w:val="22"/>
          <w:szCs w:val="22"/>
        </w:rPr>
        <w:t>Clinical Record Keeping Policy</w:t>
      </w:r>
    </w:p>
    <w:p w14:paraId="30BB5E13" w14:textId="69DB5595" w:rsidR="00DB1194" w:rsidRPr="00DB1194" w:rsidRDefault="00DB1194" w:rsidP="00DB1194">
      <w:pPr>
        <w:pStyle w:val="ListParagraph"/>
        <w:numPr>
          <w:ilvl w:val="0"/>
          <w:numId w:val="3"/>
        </w:numPr>
        <w:rPr>
          <w:sz w:val="22"/>
          <w:szCs w:val="22"/>
        </w:rPr>
      </w:pPr>
      <w:r w:rsidRPr="00DB1194">
        <w:rPr>
          <w:sz w:val="22"/>
          <w:szCs w:val="22"/>
        </w:rPr>
        <w:t>Clinical Risk Assessment and Management Policy</w:t>
      </w:r>
    </w:p>
    <w:p w14:paraId="1F14D1DA" w14:textId="378753B6" w:rsidR="00DB1194" w:rsidRPr="00DB1194" w:rsidRDefault="00DB1194" w:rsidP="00DB1194">
      <w:pPr>
        <w:pStyle w:val="ListParagraph"/>
        <w:numPr>
          <w:ilvl w:val="0"/>
          <w:numId w:val="3"/>
        </w:numPr>
        <w:rPr>
          <w:sz w:val="22"/>
          <w:szCs w:val="22"/>
        </w:rPr>
      </w:pPr>
      <w:r w:rsidRPr="00DB1194">
        <w:rPr>
          <w:sz w:val="22"/>
          <w:szCs w:val="22"/>
        </w:rPr>
        <w:t>Consent to Treatment Policy</w:t>
      </w:r>
    </w:p>
    <w:p w14:paraId="7CC34E97" w14:textId="0F6C83B4" w:rsidR="00DB1194" w:rsidRPr="00DB1194" w:rsidRDefault="00DB1194" w:rsidP="00DB1194">
      <w:pPr>
        <w:pStyle w:val="ListParagraph"/>
        <w:numPr>
          <w:ilvl w:val="0"/>
          <w:numId w:val="3"/>
        </w:numPr>
        <w:rPr>
          <w:sz w:val="22"/>
          <w:szCs w:val="22"/>
        </w:rPr>
      </w:pPr>
      <w:r w:rsidRPr="00DB1194">
        <w:rPr>
          <w:sz w:val="22"/>
          <w:szCs w:val="22"/>
        </w:rPr>
        <w:t>Food Safety and Hygiene Policy</w:t>
      </w:r>
    </w:p>
    <w:p w14:paraId="6BAAF21C" w14:textId="0D0600DF" w:rsidR="00DB1194" w:rsidRPr="00DB1194" w:rsidRDefault="00DB1194" w:rsidP="00DB1194">
      <w:pPr>
        <w:pStyle w:val="ListParagraph"/>
        <w:numPr>
          <w:ilvl w:val="0"/>
          <w:numId w:val="3"/>
        </w:numPr>
        <w:rPr>
          <w:sz w:val="22"/>
          <w:szCs w:val="22"/>
        </w:rPr>
      </w:pPr>
      <w:r w:rsidRPr="00DB1194">
        <w:rPr>
          <w:sz w:val="22"/>
          <w:szCs w:val="22"/>
        </w:rPr>
        <w:t>Long Term Segregation Policy</w:t>
      </w:r>
    </w:p>
    <w:p w14:paraId="181714BC" w14:textId="5796CF14" w:rsidR="00DB1194" w:rsidRPr="00DB1194" w:rsidRDefault="00DB1194" w:rsidP="00DB1194">
      <w:pPr>
        <w:pStyle w:val="ListParagraph"/>
        <w:numPr>
          <w:ilvl w:val="0"/>
          <w:numId w:val="3"/>
        </w:numPr>
        <w:rPr>
          <w:sz w:val="22"/>
          <w:szCs w:val="22"/>
        </w:rPr>
      </w:pPr>
      <w:r w:rsidRPr="00DB1194">
        <w:rPr>
          <w:sz w:val="22"/>
          <w:szCs w:val="22"/>
        </w:rPr>
        <w:t>Medicines Policy</w:t>
      </w:r>
    </w:p>
    <w:p w14:paraId="48832DD0" w14:textId="34230334" w:rsidR="00DB1194" w:rsidRPr="00DB1194" w:rsidRDefault="00DB1194" w:rsidP="00DB1194">
      <w:pPr>
        <w:pStyle w:val="ListParagraph"/>
        <w:numPr>
          <w:ilvl w:val="0"/>
          <w:numId w:val="3"/>
        </w:numPr>
        <w:rPr>
          <w:sz w:val="22"/>
          <w:szCs w:val="22"/>
        </w:rPr>
      </w:pPr>
      <w:r w:rsidRPr="00DB1194">
        <w:rPr>
          <w:sz w:val="22"/>
          <w:szCs w:val="22"/>
        </w:rPr>
        <w:t>Patient Safety Incident Response Framework (PSIRF)</w:t>
      </w:r>
    </w:p>
    <w:p w14:paraId="6B816345" w14:textId="746E052E" w:rsidR="00DB1194" w:rsidRPr="00DB1194" w:rsidRDefault="00DB1194" w:rsidP="00DB1194">
      <w:pPr>
        <w:pStyle w:val="ListParagraph"/>
        <w:numPr>
          <w:ilvl w:val="0"/>
          <w:numId w:val="3"/>
        </w:numPr>
        <w:rPr>
          <w:sz w:val="22"/>
          <w:szCs w:val="22"/>
        </w:rPr>
      </w:pPr>
      <w:r w:rsidRPr="00DB1194">
        <w:rPr>
          <w:sz w:val="22"/>
          <w:szCs w:val="22"/>
        </w:rPr>
        <w:t>Physical Healthcare Policy</w:t>
      </w:r>
    </w:p>
    <w:p w14:paraId="5DCA3EAF" w14:textId="51C6EADA" w:rsidR="00DB1194" w:rsidRPr="00DB1194" w:rsidRDefault="00DB1194" w:rsidP="00DB1194">
      <w:pPr>
        <w:pStyle w:val="ListParagraph"/>
        <w:numPr>
          <w:ilvl w:val="0"/>
          <w:numId w:val="3"/>
        </w:numPr>
        <w:rPr>
          <w:sz w:val="22"/>
          <w:szCs w:val="22"/>
        </w:rPr>
      </w:pPr>
      <w:r w:rsidRPr="00DB1194">
        <w:rPr>
          <w:sz w:val="22"/>
          <w:szCs w:val="22"/>
        </w:rPr>
        <w:t>Policy for the Use of High Dose Antipsychotic Therapy</w:t>
      </w:r>
    </w:p>
    <w:p w14:paraId="32D399B7" w14:textId="138609E2" w:rsidR="00DB1194" w:rsidRPr="00DB1194" w:rsidRDefault="00DB1194" w:rsidP="00DB1194">
      <w:pPr>
        <w:pStyle w:val="ListParagraph"/>
        <w:numPr>
          <w:ilvl w:val="0"/>
          <w:numId w:val="3"/>
        </w:numPr>
        <w:rPr>
          <w:sz w:val="22"/>
          <w:szCs w:val="22"/>
        </w:rPr>
      </w:pPr>
      <w:r w:rsidRPr="00DB1194">
        <w:rPr>
          <w:sz w:val="22"/>
          <w:szCs w:val="22"/>
        </w:rPr>
        <w:t>Rapid Tranquillisation Policy (Adults and Older People)</w:t>
      </w:r>
    </w:p>
    <w:p w14:paraId="7ABCC8A9" w14:textId="6E75DE8C" w:rsidR="00DB1194" w:rsidRPr="00DB1194" w:rsidRDefault="00DB1194" w:rsidP="00DB1194">
      <w:pPr>
        <w:pStyle w:val="ListParagraph"/>
        <w:numPr>
          <w:ilvl w:val="0"/>
          <w:numId w:val="3"/>
        </w:numPr>
        <w:rPr>
          <w:sz w:val="22"/>
          <w:szCs w:val="22"/>
        </w:rPr>
      </w:pPr>
      <w:r w:rsidRPr="00DB1194">
        <w:rPr>
          <w:sz w:val="22"/>
          <w:szCs w:val="22"/>
        </w:rPr>
        <w:t>Refeeding Syndrome Policy</w:t>
      </w:r>
    </w:p>
    <w:p w14:paraId="376AEAAA" w14:textId="13071EF9" w:rsidR="00DB1194" w:rsidRPr="00DB1194" w:rsidRDefault="00DB1194" w:rsidP="00DB1194">
      <w:pPr>
        <w:pStyle w:val="ListParagraph"/>
        <w:numPr>
          <w:ilvl w:val="0"/>
          <w:numId w:val="3"/>
        </w:numPr>
        <w:rPr>
          <w:sz w:val="22"/>
          <w:szCs w:val="22"/>
        </w:rPr>
      </w:pPr>
      <w:r w:rsidRPr="00DB1194">
        <w:rPr>
          <w:sz w:val="22"/>
          <w:szCs w:val="22"/>
        </w:rPr>
        <w:t>Risk Management Framework</w:t>
      </w:r>
    </w:p>
    <w:p w14:paraId="1BB94B8F" w14:textId="510FB65A" w:rsidR="00DB1194" w:rsidRPr="00DB1194" w:rsidRDefault="00DB1194" w:rsidP="00DB1194">
      <w:pPr>
        <w:pStyle w:val="ListParagraph"/>
        <w:numPr>
          <w:ilvl w:val="0"/>
          <w:numId w:val="3"/>
        </w:numPr>
        <w:rPr>
          <w:sz w:val="22"/>
          <w:szCs w:val="22"/>
        </w:rPr>
      </w:pPr>
      <w:r w:rsidRPr="00DB1194">
        <w:rPr>
          <w:sz w:val="22"/>
          <w:szCs w:val="22"/>
        </w:rPr>
        <w:t>Safe Use of Insulin Policy</w:t>
      </w:r>
    </w:p>
    <w:p w14:paraId="2E947196" w14:textId="2FC07CD3" w:rsidR="00DB1194" w:rsidRPr="00DB1194" w:rsidRDefault="00DB1194" w:rsidP="00DB1194">
      <w:pPr>
        <w:pStyle w:val="ListParagraph"/>
        <w:numPr>
          <w:ilvl w:val="0"/>
          <w:numId w:val="3"/>
        </w:numPr>
        <w:rPr>
          <w:sz w:val="22"/>
          <w:szCs w:val="22"/>
        </w:rPr>
      </w:pPr>
      <w:r w:rsidRPr="00DB1194">
        <w:rPr>
          <w:sz w:val="22"/>
          <w:szCs w:val="22"/>
        </w:rPr>
        <w:t>Seclusion Policy</w:t>
      </w:r>
    </w:p>
    <w:p w14:paraId="1DA0702C" w14:textId="7394364E" w:rsidR="00011486" w:rsidRPr="00086B57" w:rsidRDefault="00DB1194" w:rsidP="00086B57">
      <w:pPr>
        <w:pStyle w:val="ListParagraph"/>
        <w:numPr>
          <w:ilvl w:val="0"/>
          <w:numId w:val="3"/>
        </w:numPr>
        <w:rPr>
          <w:sz w:val="22"/>
          <w:szCs w:val="22"/>
        </w:rPr>
      </w:pPr>
      <w:r w:rsidRPr="00DB1194">
        <w:rPr>
          <w:sz w:val="22"/>
          <w:szCs w:val="22"/>
        </w:rPr>
        <w:t>Therapeutic Engagement and Observation Policy</w:t>
      </w:r>
      <w:bookmarkStart w:id="241" w:name="_Toc224651877"/>
      <w:bookmarkStart w:id="242" w:name="_Toc224652054"/>
      <w:r w:rsidR="00011486">
        <w:br w:type="page"/>
      </w:r>
    </w:p>
    <w:p w14:paraId="68A52735" w14:textId="6897ABA3" w:rsidR="0E542182" w:rsidRDefault="0E542182" w:rsidP="00EF3237">
      <w:pPr>
        <w:pStyle w:val="Heading1"/>
        <w:spacing w:before="240" w:after="240"/>
      </w:pPr>
      <w:bookmarkStart w:id="243" w:name="_Toc227057877"/>
      <w:r>
        <w:lastRenderedPageBreak/>
        <w:t>Appendi</w:t>
      </w:r>
      <w:r w:rsidR="00B36D8A">
        <w:t>x 1</w:t>
      </w:r>
      <w:bookmarkEnd w:id="241"/>
      <w:bookmarkEnd w:id="242"/>
      <w:bookmarkEnd w:id="243"/>
    </w:p>
    <w:p w14:paraId="38A2E2E6" w14:textId="0E657671" w:rsidR="32E0C5E7" w:rsidRDefault="564F48FB" w:rsidP="00B36D8A">
      <w:pPr>
        <w:pStyle w:val="Heading2"/>
      </w:pPr>
      <w:bookmarkStart w:id="244" w:name="_Toc224651878"/>
      <w:bookmarkStart w:id="245" w:name="_Toc224652055"/>
      <w:bookmarkStart w:id="246" w:name="_Toc227057878"/>
      <w:r>
        <w:t>Equality Impact Assessment</w:t>
      </w:r>
      <w:bookmarkEnd w:id="244"/>
      <w:bookmarkEnd w:id="245"/>
      <w:bookmarkEnd w:id="246"/>
    </w:p>
    <w:tbl>
      <w:tblPr>
        <w:tblStyle w:val="TableGrid1"/>
        <w:tblW w:w="5000" w:type="pct"/>
        <w:tblLook w:val="04A0" w:firstRow="1" w:lastRow="0" w:firstColumn="1" w:lastColumn="0" w:noHBand="0" w:noVBand="1"/>
      </w:tblPr>
      <w:tblGrid>
        <w:gridCol w:w="1979"/>
        <w:gridCol w:w="3082"/>
        <w:gridCol w:w="817"/>
        <w:gridCol w:w="97"/>
        <w:gridCol w:w="77"/>
        <w:gridCol w:w="1311"/>
        <w:gridCol w:w="60"/>
        <w:gridCol w:w="21"/>
        <w:gridCol w:w="834"/>
        <w:gridCol w:w="1072"/>
      </w:tblGrid>
      <w:tr w:rsidR="00086B57" w:rsidRPr="00086B57" w14:paraId="4A3A5AA5" w14:textId="77777777" w:rsidTr="1F0E8EA4">
        <w:trPr>
          <w:trHeight w:val="663"/>
        </w:trPr>
        <w:tc>
          <w:tcPr>
            <w:tcW w:w="1059" w:type="pct"/>
            <w:vAlign w:val="center"/>
          </w:tcPr>
          <w:p w14:paraId="6F35D0E8"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Cs/>
                <w:sz w:val="22"/>
                <w:szCs w:val="22"/>
              </w:rPr>
            </w:pPr>
            <w:r w:rsidRPr="00086B57">
              <w:rPr>
                <w:rFonts w:asciiTheme="minorHAnsi" w:eastAsiaTheme="minorHAnsi" w:hAnsiTheme="minorHAnsi" w:cs="Arial"/>
                <w:bCs/>
                <w:sz w:val="22"/>
                <w:szCs w:val="22"/>
              </w:rPr>
              <w:t xml:space="preserve">Name of </w:t>
            </w:r>
            <w:r w:rsidRPr="00086B57">
              <w:rPr>
                <w:rFonts w:asciiTheme="minorHAnsi" w:eastAsiaTheme="minorHAnsi" w:hAnsiTheme="minorHAnsi" w:cs="Arial"/>
                <w:sz w:val="22"/>
                <w:szCs w:val="22"/>
              </w:rPr>
              <w:t>service, function or policy</w:t>
            </w:r>
          </w:p>
        </w:tc>
        <w:tc>
          <w:tcPr>
            <w:tcW w:w="3941" w:type="pct"/>
            <w:gridSpan w:val="9"/>
          </w:tcPr>
          <w:p w14:paraId="7E9C38C2"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Nutrition and Hydration Policy</w:t>
            </w:r>
          </w:p>
        </w:tc>
      </w:tr>
      <w:tr w:rsidR="00086B57" w:rsidRPr="00086B57" w14:paraId="2D31697C" w14:textId="77777777" w:rsidTr="1F0E8EA4">
        <w:trPr>
          <w:trHeight w:val="663"/>
        </w:trPr>
        <w:tc>
          <w:tcPr>
            <w:tcW w:w="1059" w:type="pct"/>
            <w:vAlign w:val="center"/>
          </w:tcPr>
          <w:p w14:paraId="3BB442A2"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Brief description of service, function or policy (</w:t>
            </w:r>
            <w:r w:rsidRPr="00086B57">
              <w:rPr>
                <w:rFonts w:asciiTheme="minorHAnsi" w:eastAsiaTheme="minorHAnsi" w:hAnsiTheme="minorHAnsi" w:cs="Arial"/>
                <w:i/>
                <w:iCs/>
                <w:sz w:val="22"/>
                <w:szCs w:val="22"/>
              </w:rPr>
              <w:t>purpose</w:t>
            </w:r>
            <w:r w:rsidRPr="00086B57">
              <w:rPr>
                <w:rFonts w:asciiTheme="minorHAnsi" w:eastAsiaTheme="minorHAnsi" w:hAnsiTheme="minorHAnsi" w:cs="Arial"/>
                <w:sz w:val="22"/>
                <w:szCs w:val="22"/>
              </w:rPr>
              <w:t>)</w:t>
            </w:r>
          </w:p>
        </w:tc>
        <w:tc>
          <w:tcPr>
            <w:tcW w:w="3941" w:type="pct"/>
            <w:gridSpan w:val="9"/>
          </w:tcPr>
          <w:p w14:paraId="0D6D20C3"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noProof/>
                <w:sz w:val="22"/>
                <w:szCs w:val="22"/>
              </w:rPr>
            </w:pPr>
            <w:r w:rsidRPr="00086B57">
              <w:rPr>
                <w:rFonts w:asciiTheme="minorHAnsi" w:eastAsiaTheme="minorHAnsi" w:hAnsiTheme="minorHAnsi" w:cs="Arial"/>
                <w:noProof/>
                <w:sz w:val="22"/>
                <w:szCs w:val="22"/>
              </w:rPr>
              <w:t>This policy sets out the standards for the identification, assessment, monitoring and management of nutrition and hydration needs for people receiving care from East London NHS Foundation Trust.</w:t>
            </w:r>
          </w:p>
          <w:p w14:paraId="2E8E9F80"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noProof/>
                <w:sz w:val="22"/>
                <w:szCs w:val="22"/>
              </w:rPr>
            </w:pPr>
            <w:r w:rsidRPr="00086B57">
              <w:rPr>
                <w:rFonts w:asciiTheme="minorHAnsi" w:eastAsiaTheme="minorHAnsi" w:hAnsiTheme="minorHAnsi" w:cs="Arial"/>
                <w:noProof/>
                <w:sz w:val="22"/>
                <w:szCs w:val="22"/>
              </w:rPr>
              <w:t xml:space="preserve">It establishes consistent processes for nutrition screening, hydration assessment, care planning, escalation and multidisciplinary management across inpatient and community services. </w:t>
            </w:r>
          </w:p>
          <w:p w14:paraId="3089AFFE"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noProof/>
                <w:sz w:val="22"/>
                <w:szCs w:val="22"/>
              </w:rPr>
            </w:pPr>
            <w:r w:rsidRPr="00086B57">
              <w:rPr>
                <w:rFonts w:asciiTheme="minorHAnsi" w:eastAsiaTheme="minorHAnsi" w:hAnsiTheme="minorHAnsi" w:cs="Arial"/>
                <w:noProof/>
                <w:sz w:val="22"/>
                <w:szCs w:val="22"/>
              </w:rPr>
              <w:t>The policy also supports the prevention and management of malnutrition, dehydration, obesity and diet-related health conditions, and promotes equitable access to safe, appropriate and culturally sensitive food and drink provision.</w:t>
            </w:r>
          </w:p>
        </w:tc>
      </w:tr>
      <w:tr w:rsidR="00086B57" w:rsidRPr="00086B57" w14:paraId="5A1B9B70" w14:textId="77777777" w:rsidTr="1F0E8EA4">
        <w:trPr>
          <w:trHeight w:val="461"/>
        </w:trPr>
        <w:tc>
          <w:tcPr>
            <w:tcW w:w="1059" w:type="pct"/>
            <w:vAlign w:val="center"/>
          </w:tcPr>
          <w:p w14:paraId="5BA87517"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Cs/>
                <w:sz w:val="22"/>
                <w:szCs w:val="22"/>
              </w:rPr>
            </w:pPr>
            <w:r w:rsidRPr="00086B57">
              <w:rPr>
                <w:rFonts w:asciiTheme="minorHAnsi" w:eastAsiaTheme="minorHAnsi" w:hAnsiTheme="minorHAnsi" w:cs="Arial"/>
                <w:sz w:val="22"/>
                <w:szCs w:val="22"/>
              </w:rPr>
              <w:t>Is the service, function or policy</w:t>
            </w:r>
          </w:p>
        </w:tc>
        <w:tc>
          <w:tcPr>
            <w:tcW w:w="1648" w:type="pct"/>
          </w:tcPr>
          <w:p w14:paraId="68A0D24A"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sz w:val="22"/>
                <w:szCs w:val="22"/>
              </w:rPr>
            </w:pPr>
            <w:r w:rsidRPr="00086B57">
              <w:rPr>
                <w:rFonts w:asciiTheme="minorHAnsi" w:eastAsiaTheme="minorHAnsi" w:hAnsiTheme="minorHAnsi" w:cs="Arial"/>
                <w:bCs/>
                <w:sz w:val="22"/>
                <w:szCs w:val="22"/>
              </w:rPr>
              <w:fldChar w:fldCharType="begin">
                <w:ffData>
                  <w:name w:val="Check2"/>
                  <w:enabled/>
                  <w:calcOnExit w:val="0"/>
                  <w:checkBox>
                    <w:sizeAuto/>
                    <w:default w:val="1"/>
                    <w:checked w:val="0"/>
                  </w:checkBox>
                </w:ffData>
              </w:fldChar>
            </w:r>
            <w:r w:rsidRPr="00086B57">
              <w:rPr>
                <w:rFonts w:asciiTheme="minorHAnsi" w:eastAsiaTheme="minorHAnsi" w:hAnsiTheme="minorHAnsi" w:cs="Arial"/>
                <w:bCs/>
                <w:sz w:val="22"/>
                <w:szCs w:val="22"/>
              </w:rPr>
              <w:instrText xml:space="preserve"> FORMCHECKBOX </w:instrText>
            </w:r>
            <w:r w:rsidRPr="00086B57">
              <w:rPr>
                <w:rFonts w:asciiTheme="minorHAnsi" w:eastAsiaTheme="minorHAnsi" w:hAnsiTheme="minorHAnsi" w:cs="Arial"/>
                <w:bCs/>
                <w:sz w:val="22"/>
                <w:szCs w:val="22"/>
              </w:rPr>
            </w:r>
            <w:r w:rsidRPr="00086B57">
              <w:rPr>
                <w:rFonts w:asciiTheme="minorHAnsi" w:eastAsiaTheme="minorHAnsi" w:hAnsiTheme="minorHAnsi" w:cs="Arial"/>
                <w:bCs/>
                <w:sz w:val="22"/>
                <w:szCs w:val="22"/>
              </w:rPr>
              <w:fldChar w:fldCharType="separate"/>
            </w:r>
            <w:r w:rsidRPr="00086B57">
              <w:rPr>
                <w:rFonts w:asciiTheme="minorHAnsi" w:eastAsiaTheme="minorHAnsi" w:hAnsiTheme="minorHAnsi" w:cs="Arial"/>
                <w:bCs/>
                <w:sz w:val="22"/>
                <w:szCs w:val="22"/>
              </w:rPr>
              <w:fldChar w:fldCharType="end"/>
            </w:r>
            <w:r w:rsidRPr="00086B57">
              <w:rPr>
                <w:rFonts w:asciiTheme="minorHAnsi" w:eastAsiaTheme="minorHAnsi" w:hAnsiTheme="minorHAnsi" w:cs="Arial"/>
                <w:bCs/>
                <w:sz w:val="22"/>
                <w:szCs w:val="22"/>
              </w:rPr>
              <w:t xml:space="preserve"> </w:t>
            </w:r>
            <w:r w:rsidRPr="00086B57">
              <w:rPr>
                <w:rFonts w:asciiTheme="minorHAnsi" w:eastAsiaTheme="minorHAnsi" w:hAnsiTheme="minorHAnsi" w:cs="Arial"/>
                <w:sz w:val="22"/>
                <w:szCs w:val="22"/>
              </w:rPr>
              <w:t>Existing</w:t>
            </w:r>
            <w:r w:rsidRPr="00086B57">
              <w:rPr>
                <w:rFonts w:asciiTheme="minorHAnsi" w:eastAsiaTheme="minorHAnsi" w:hAnsiTheme="minorHAnsi" w:cs="Arial"/>
                <w:b/>
                <w:bCs/>
                <w:sz w:val="22"/>
                <w:szCs w:val="22"/>
              </w:rPr>
              <w:t xml:space="preserve">     </w:t>
            </w:r>
          </w:p>
        </w:tc>
        <w:tc>
          <w:tcPr>
            <w:tcW w:w="1274" w:type="pct"/>
            <w:gridSpan w:val="6"/>
          </w:tcPr>
          <w:p w14:paraId="7CB0400A"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sz w:val="22"/>
                <w:szCs w:val="22"/>
              </w:rPr>
            </w:pPr>
            <w:r w:rsidRPr="00086B57">
              <w:rPr>
                <w:rFonts w:asciiTheme="minorHAnsi" w:eastAsiaTheme="minorHAnsi" w:hAnsiTheme="minorHAnsi" w:cs="Arial"/>
                <w:bCs/>
                <w:sz w:val="22"/>
                <w:szCs w:val="22"/>
              </w:rPr>
              <w:fldChar w:fldCharType="begin">
                <w:ffData>
                  <w:name w:val="Check2"/>
                  <w:enabled/>
                  <w:calcOnExit w:val="0"/>
                  <w:checkBox>
                    <w:sizeAuto/>
                    <w:default w:val="1"/>
                    <w:checked w:val="0"/>
                  </w:checkBox>
                </w:ffData>
              </w:fldChar>
            </w:r>
            <w:bookmarkStart w:id="247" w:name="Check2"/>
            <w:r w:rsidRPr="00086B57">
              <w:rPr>
                <w:rFonts w:asciiTheme="minorHAnsi" w:eastAsiaTheme="minorHAnsi" w:hAnsiTheme="minorHAnsi" w:cs="Arial"/>
                <w:bCs/>
                <w:sz w:val="22"/>
                <w:szCs w:val="22"/>
              </w:rPr>
              <w:instrText xml:space="preserve"> FORMCHECKBOX </w:instrText>
            </w:r>
            <w:r w:rsidRPr="00086B57">
              <w:rPr>
                <w:rFonts w:asciiTheme="minorHAnsi" w:eastAsiaTheme="minorHAnsi" w:hAnsiTheme="minorHAnsi" w:cs="Arial"/>
                <w:bCs/>
                <w:sz w:val="22"/>
                <w:szCs w:val="22"/>
              </w:rPr>
            </w:r>
            <w:r w:rsidRPr="00086B57">
              <w:rPr>
                <w:rFonts w:asciiTheme="minorHAnsi" w:eastAsiaTheme="minorHAnsi" w:hAnsiTheme="minorHAnsi" w:cs="Arial"/>
                <w:bCs/>
                <w:sz w:val="22"/>
                <w:szCs w:val="22"/>
              </w:rPr>
              <w:fldChar w:fldCharType="separate"/>
            </w:r>
            <w:r w:rsidRPr="00086B57">
              <w:rPr>
                <w:rFonts w:asciiTheme="minorHAnsi" w:eastAsiaTheme="minorHAnsi" w:hAnsiTheme="minorHAnsi" w:cs="Arial"/>
                <w:bCs/>
                <w:sz w:val="22"/>
                <w:szCs w:val="22"/>
              </w:rPr>
              <w:fldChar w:fldCharType="end"/>
            </w:r>
            <w:bookmarkEnd w:id="247"/>
            <w:r w:rsidRPr="00086B57">
              <w:rPr>
                <w:rFonts w:asciiTheme="minorHAnsi" w:eastAsiaTheme="minorHAnsi" w:hAnsiTheme="minorHAnsi" w:cs="Arial"/>
                <w:bCs/>
                <w:sz w:val="22"/>
                <w:szCs w:val="22"/>
              </w:rPr>
              <w:t xml:space="preserve">  New</w:t>
            </w:r>
            <w:r w:rsidRPr="00086B57">
              <w:rPr>
                <w:rFonts w:asciiTheme="minorHAnsi" w:eastAsiaTheme="minorHAnsi" w:hAnsiTheme="minorHAnsi" w:cs="Arial"/>
                <w:b/>
                <w:bCs/>
                <w:sz w:val="22"/>
                <w:szCs w:val="22"/>
              </w:rPr>
              <w:tab/>
              <w:t xml:space="preserve">     </w:t>
            </w:r>
          </w:p>
        </w:tc>
        <w:tc>
          <w:tcPr>
            <w:tcW w:w="1018" w:type="pct"/>
            <w:gridSpan w:val="2"/>
          </w:tcPr>
          <w:p w14:paraId="1095B3B3" w14:textId="239147C5"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sz w:val="22"/>
                <w:szCs w:val="22"/>
              </w:rPr>
            </w:pPr>
            <w:r w:rsidRPr="1D6E3FFF">
              <w:rPr>
                <w:rFonts w:asciiTheme="minorHAnsi" w:eastAsiaTheme="minorEastAsia" w:hAnsiTheme="minorHAnsi" w:cs="Arial"/>
                <w:sz w:val="22"/>
                <w:szCs w:val="22"/>
              </w:rPr>
              <w:fldChar w:fldCharType="begin">
                <w:ffData>
                  <w:name w:val="Check3"/>
                  <w:enabled/>
                  <w:calcOnExit w:val="0"/>
                  <w:checkBox>
                    <w:sizeAuto/>
                    <w:default w:val="1"/>
                  </w:checkBox>
                </w:ffData>
              </w:fldChar>
            </w:r>
            <w:bookmarkStart w:id="248" w:name="Check3"/>
            <w:r w:rsidRPr="1D6E3FFF">
              <w:rPr>
                <w:rFonts w:asciiTheme="minorHAnsi" w:eastAsiaTheme="minorEastAsia" w:hAnsiTheme="minorHAnsi" w:cs="Arial"/>
                <w:sz w:val="22"/>
                <w:szCs w:val="22"/>
              </w:rPr>
              <w:instrText xml:space="preserve"> FORMCHECKBOX </w:instrText>
            </w:r>
            <w:r w:rsidRPr="1D6E3FFF">
              <w:rPr>
                <w:rFonts w:asciiTheme="minorHAnsi" w:eastAsiaTheme="minorEastAsia" w:hAnsiTheme="minorHAnsi" w:cs="Arial"/>
                <w:sz w:val="22"/>
                <w:szCs w:val="22"/>
              </w:rPr>
            </w:r>
            <w:r w:rsidRPr="1D6E3FFF">
              <w:rPr>
                <w:rFonts w:asciiTheme="minorHAnsi" w:eastAsiaTheme="minorEastAsia" w:hAnsiTheme="minorHAnsi" w:cs="Arial"/>
                <w:sz w:val="22"/>
                <w:szCs w:val="22"/>
              </w:rPr>
              <w:fldChar w:fldCharType="separate"/>
            </w:r>
            <w:r w:rsidRPr="1D6E3FFF">
              <w:rPr>
                <w:rFonts w:asciiTheme="minorHAnsi" w:eastAsiaTheme="minorEastAsia" w:hAnsiTheme="minorHAnsi" w:cs="Arial"/>
                <w:sz w:val="22"/>
                <w:szCs w:val="22"/>
              </w:rPr>
              <w:fldChar w:fldCharType="end"/>
            </w:r>
            <w:bookmarkEnd w:id="248"/>
            <w:r w:rsidR="24DCCCE0" w:rsidRPr="1D6E3FFF">
              <w:rPr>
                <w:rFonts w:asciiTheme="minorHAnsi" w:eastAsiaTheme="minorEastAsia" w:hAnsiTheme="minorHAnsi" w:cs="Arial"/>
                <w:sz w:val="22"/>
                <w:szCs w:val="22"/>
              </w:rPr>
              <w:t xml:space="preserve">  Under review</w:t>
            </w:r>
            <w:r w:rsidR="24DCCCE0" w:rsidRPr="1D6E3FFF">
              <w:rPr>
                <w:rFonts w:asciiTheme="minorHAnsi" w:eastAsiaTheme="minorEastAsia" w:hAnsiTheme="minorHAnsi" w:cs="Arial"/>
                <w:b/>
                <w:bCs/>
                <w:sz w:val="22"/>
                <w:szCs w:val="22"/>
              </w:rPr>
              <w:t xml:space="preserve">   </w:t>
            </w:r>
          </w:p>
        </w:tc>
      </w:tr>
      <w:tr w:rsidR="00086B57" w:rsidRPr="00086B57" w14:paraId="20411685" w14:textId="77777777" w:rsidTr="1F0E8EA4">
        <w:tc>
          <w:tcPr>
            <w:tcW w:w="1059" w:type="pct"/>
            <w:vAlign w:val="center"/>
          </w:tcPr>
          <w:p w14:paraId="7027077A"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t>Directorate</w:t>
            </w:r>
          </w:p>
          <w:p w14:paraId="2456D3D3"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i/>
                <w:iCs/>
                <w:sz w:val="22"/>
                <w:szCs w:val="22"/>
              </w:rPr>
            </w:pPr>
            <w:r w:rsidRPr="00086B57">
              <w:rPr>
                <w:rFonts w:asciiTheme="minorHAnsi" w:eastAsiaTheme="minorHAnsi" w:hAnsiTheme="minorHAnsi" w:cs="Arial"/>
                <w:i/>
                <w:iCs/>
                <w:sz w:val="20"/>
                <w:szCs w:val="20"/>
              </w:rPr>
              <w:t>(If all groups are impacted, please state ‘Trust-wide’</w:t>
            </w:r>
          </w:p>
        </w:tc>
        <w:tc>
          <w:tcPr>
            <w:tcW w:w="3941" w:type="pct"/>
            <w:gridSpan w:val="9"/>
          </w:tcPr>
          <w:p w14:paraId="32090CE9"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Trust-wide</w:t>
            </w:r>
          </w:p>
        </w:tc>
      </w:tr>
      <w:tr w:rsidR="00086B57" w:rsidRPr="00086B57" w14:paraId="2581D3DC" w14:textId="77777777" w:rsidTr="1F0E8EA4">
        <w:trPr>
          <w:trHeight w:val="605"/>
        </w:trPr>
        <w:tc>
          <w:tcPr>
            <w:tcW w:w="1059" w:type="pct"/>
            <w:vAlign w:val="center"/>
          </w:tcPr>
          <w:p w14:paraId="7C09B7EA"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b/>
                <w:bCs/>
                <w:sz w:val="22"/>
                <w:szCs w:val="22"/>
              </w:rPr>
              <w:t>Who</w:t>
            </w:r>
            <w:r w:rsidRPr="00086B57">
              <w:rPr>
                <w:rFonts w:asciiTheme="minorHAnsi" w:eastAsiaTheme="minorHAnsi" w:hAnsiTheme="minorHAnsi" w:cs="Arial"/>
                <w:sz w:val="22"/>
                <w:szCs w:val="22"/>
              </w:rPr>
              <w:t xml:space="preserve"> is completing the EIA?</w:t>
            </w:r>
          </w:p>
          <w:p w14:paraId="1BE196C7"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i/>
                <w:iCs/>
                <w:sz w:val="22"/>
                <w:szCs w:val="22"/>
              </w:rPr>
            </w:pPr>
            <w:r w:rsidRPr="00086B57">
              <w:rPr>
                <w:rFonts w:asciiTheme="minorHAnsi" w:eastAsiaTheme="minorHAnsi" w:hAnsiTheme="minorHAnsi" w:cs="Arial"/>
                <w:i/>
                <w:iCs/>
                <w:sz w:val="20"/>
                <w:szCs w:val="20"/>
              </w:rPr>
              <w:t>(name/role)</w:t>
            </w:r>
          </w:p>
        </w:tc>
        <w:tc>
          <w:tcPr>
            <w:tcW w:w="3941" w:type="pct"/>
            <w:gridSpan w:val="9"/>
          </w:tcPr>
          <w:p w14:paraId="3862130E"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Iduna Heinrich / Professional Lead and Development Dietitian</w:t>
            </w:r>
          </w:p>
        </w:tc>
      </w:tr>
      <w:tr w:rsidR="00086B57" w:rsidRPr="00086B57" w14:paraId="581521F2" w14:textId="77777777" w:rsidTr="1F0E8EA4">
        <w:trPr>
          <w:trHeight w:val="127"/>
        </w:trPr>
        <w:tc>
          <w:tcPr>
            <w:tcW w:w="1059" w:type="pct"/>
            <w:vMerge w:val="restart"/>
            <w:vAlign w:val="center"/>
          </w:tcPr>
          <w:p w14:paraId="00A95540"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 xml:space="preserve">Which </w:t>
            </w:r>
            <w:r w:rsidRPr="00086B57">
              <w:rPr>
                <w:rFonts w:asciiTheme="minorHAnsi" w:eastAsiaTheme="minorHAnsi" w:hAnsiTheme="minorHAnsi" w:cs="Arial"/>
                <w:b/>
                <w:sz w:val="22"/>
                <w:szCs w:val="22"/>
              </w:rPr>
              <w:t xml:space="preserve">Trusts Strategies </w:t>
            </w:r>
            <w:r w:rsidRPr="00086B57">
              <w:rPr>
                <w:rFonts w:asciiTheme="minorHAnsi" w:eastAsiaTheme="minorHAnsi" w:hAnsiTheme="minorHAnsi" w:cs="Arial"/>
                <w:bCs/>
                <w:sz w:val="22"/>
                <w:szCs w:val="22"/>
              </w:rPr>
              <w:t>are supported by the service</w:t>
            </w:r>
            <w:r w:rsidRPr="00086B57">
              <w:rPr>
                <w:rFonts w:asciiTheme="minorHAnsi" w:eastAsiaTheme="minorHAnsi" w:hAnsiTheme="minorHAnsi" w:cs="Arial"/>
                <w:sz w:val="22"/>
                <w:szCs w:val="22"/>
              </w:rPr>
              <w:t>?</w:t>
            </w:r>
          </w:p>
          <w:p w14:paraId="7B381FCF"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p>
        </w:tc>
        <w:tc>
          <w:tcPr>
            <w:tcW w:w="2911" w:type="pct"/>
            <w:gridSpan w:val="6"/>
          </w:tcPr>
          <w:p w14:paraId="332944CF"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Population Health</w:t>
            </w:r>
          </w:p>
        </w:tc>
        <w:tc>
          <w:tcPr>
            <w:tcW w:w="1030" w:type="pct"/>
            <w:gridSpan w:val="3"/>
          </w:tcPr>
          <w:p w14:paraId="51417AE9"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sz w:val="22"/>
                <w:szCs w:val="22"/>
              </w:rPr>
            </w:pPr>
            <w:r w:rsidRPr="00086B57">
              <w:rPr>
                <w:rFonts w:asciiTheme="minorHAnsi" w:eastAsiaTheme="minorHAnsi" w:hAnsiTheme="minorHAnsi" w:cs="Arial"/>
                <w:b/>
                <w:bCs/>
                <w:sz w:val="22"/>
                <w:szCs w:val="22"/>
              </w:rPr>
              <w:fldChar w:fldCharType="begin">
                <w:ffData>
                  <w:name w:val="Check55"/>
                  <w:enabled/>
                  <w:calcOnExit w:val="0"/>
                  <w:checkBox>
                    <w:sizeAuto/>
                    <w:default w:val="1"/>
                  </w:checkBox>
                </w:ffData>
              </w:fldChar>
            </w:r>
            <w:bookmarkStart w:id="249" w:name="Check55"/>
            <w:r w:rsidRPr="00086B57">
              <w:rPr>
                <w:rFonts w:asciiTheme="minorHAnsi" w:eastAsiaTheme="minorHAnsi" w:hAnsiTheme="minorHAnsi" w:cs="Arial"/>
                <w:b/>
                <w:bCs/>
                <w:sz w:val="22"/>
                <w:szCs w:val="22"/>
              </w:rPr>
              <w:instrText xml:space="preserve"> FORMCHECKBOX </w:instrText>
            </w:r>
            <w:r w:rsidRPr="00086B57">
              <w:rPr>
                <w:rFonts w:asciiTheme="minorHAnsi" w:eastAsiaTheme="minorHAnsi" w:hAnsiTheme="minorHAnsi" w:cs="Arial"/>
                <w:b/>
                <w:bCs/>
                <w:sz w:val="22"/>
                <w:szCs w:val="22"/>
              </w:rPr>
            </w:r>
            <w:r w:rsidRPr="00086B57">
              <w:rPr>
                <w:rFonts w:asciiTheme="minorHAnsi" w:eastAsiaTheme="minorHAnsi" w:hAnsiTheme="minorHAnsi" w:cs="Arial"/>
                <w:b/>
                <w:bCs/>
                <w:sz w:val="22"/>
                <w:szCs w:val="22"/>
              </w:rPr>
              <w:fldChar w:fldCharType="separate"/>
            </w:r>
            <w:r w:rsidRPr="00086B57">
              <w:rPr>
                <w:rFonts w:asciiTheme="minorHAnsi" w:eastAsiaTheme="minorHAnsi" w:hAnsiTheme="minorHAnsi" w:cs="Arial"/>
                <w:b/>
                <w:bCs/>
                <w:sz w:val="22"/>
                <w:szCs w:val="22"/>
              </w:rPr>
              <w:fldChar w:fldCharType="end"/>
            </w:r>
            <w:bookmarkEnd w:id="249"/>
          </w:p>
        </w:tc>
      </w:tr>
      <w:tr w:rsidR="00086B57" w:rsidRPr="00086B57" w14:paraId="29384564" w14:textId="77777777" w:rsidTr="1F0E8EA4">
        <w:trPr>
          <w:trHeight w:val="125"/>
        </w:trPr>
        <w:tc>
          <w:tcPr>
            <w:tcW w:w="1059" w:type="pct"/>
            <w:vMerge/>
            <w:vAlign w:val="center"/>
          </w:tcPr>
          <w:p w14:paraId="3DC430EF"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p>
        </w:tc>
        <w:tc>
          <w:tcPr>
            <w:tcW w:w="2911" w:type="pct"/>
            <w:gridSpan w:val="6"/>
          </w:tcPr>
          <w:p w14:paraId="2A960982"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The Experience of Care</w:t>
            </w:r>
          </w:p>
        </w:tc>
        <w:tc>
          <w:tcPr>
            <w:tcW w:w="1030" w:type="pct"/>
            <w:gridSpan w:val="3"/>
          </w:tcPr>
          <w:p w14:paraId="58F77B0B"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sz w:val="22"/>
                <w:szCs w:val="22"/>
              </w:rPr>
            </w:pPr>
            <w:r w:rsidRPr="00086B57">
              <w:rPr>
                <w:rFonts w:asciiTheme="minorHAnsi" w:eastAsiaTheme="minorHAnsi" w:hAnsiTheme="minorHAnsi" w:cs="Arial"/>
                <w:b/>
                <w:bCs/>
                <w:sz w:val="22"/>
                <w:szCs w:val="22"/>
              </w:rPr>
              <w:fldChar w:fldCharType="begin">
                <w:ffData>
                  <w:name w:val="Check56"/>
                  <w:enabled/>
                  <w:calcOnExit w:val="0"/>
                  <w:checkBox>
                    <w:sizeAuto/>
                    <w:default w:val="1"/>
                  </w:checkBox>
                </w:ffData>
              </w:fldChar>
            </w:r>
            <w:bookmarkStart w:id="250" w:name="Check56"/>
            <w:r w:rsidRPr="00086B57">
              <w:rPr>
                <w:rFonts w:asciiTheme="minorHAnsi" w:eastAsiaTheme="minorHAnsi" w:hAnsiTheme="minorHAnsi" w:cs="Arial"/>
                <w:b/>
                <w:bCs/>
                <w:sz w:val="22"/>
                <w:szCs w:val="22"/>
              </w:rPr>
              <w:instrText xml:space="preserve"> FORMCHECKBOX </w:instrText>
            </w:r>
            <w:r w:rsidRPr="00086B57">
              <w:rPr>
                <w:rFonts w:asciiTheme="minorHAnsi" w:eastAsiaTheme="minorHAnsi" w:hAnsiTheme="minorHAnsi" w:cs="Arial"/>
                <w:b/>
                <w:bCs/>
                <w:sz w:val="22"/>
                <w:szCs w:val="22"/>
              </w:rPr>
            </w:r>
            <w:r w:rsidRPr="00086B57">
              <w:rPr>
                <w:rFonts w:asciiTheme="minorHAnsi" w:eastAsiaTheme="minorHAnsi" w:hAnsiTheme="minorHAnsi" w:cs="Arial"/>
                <w:b/>
                <w:bCs/>
                <w:sz w:val="22"/>
                <w:szCs w:val="22"/>
              </w:rPr>
              <w:fldChar w:fldCharType="separate"/>
            </w:r>
            <w:r w:rsidRPr="00086B57">
              <w:rPr>
                <w:rFonts w:asciiTheme="minorHAnsi" w:eastAsiaTheme="minorHAnsi" w:hAnsiTheme="minorHAnsi" w:cs="Arial"/>
                <w:b/>
                <w:bCs/>
                <w:sz w:val="22"/>
                <w:szCs w:val="22"/>
              </w:rPr>
              <w:fldChar w:fldCharType="end"/>
            </w:r>
            <w:bookmarkEnd w:id="250"/>
          </w:p>
        </w:tc>
      </w:tr>
      <w:tr w:rsidR="00086B57" w:rsidRPr="00086B57" w14:paraId="02ED9F4C" w14:textId="77777777" w:rsidTr="1F0E8EA4">
        <w:trPr>
          <w:trHeight w:val="125"/>
        </w:trPr>
        <w:tc>
          <w:tcPr>
            <w:tcW w:w="1059" w:type="pct"/>
            <w:vMerge/>
            <w:vAlign w:val="center"/>
          </w:tcPr>
          <w:p w14:paraId="6ECAD27C"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p>
        </w:tc>
        <w:tc>
          <w:tcPr>
            <w:tcW w:w="2911" w:type="pct"/>
            <w:gridSpan w:val="6"/>
          </w:tcPr>
          <w:p w14:paraId="75F9D1FC"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Staff Experience</w:t>
            </w:r>
          </w:p>
        </w:tc>
        <w:tc>
          <w:tcPr>
            <w:tcW w:w="1030" w:type="pct"/>
            <w:gridSpan w:val="3"/>
          </w:tcPr>
          <w:p w14:paraId="0BF9A2F7"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sz w:val="22"/>
                <w:szCs w:val="22"/>
              </w:rPr>
            </w:pPr>
            <w:r w:rsidRPr="00086B57">
              <w:rPr>
                <w:rFonts w:asciiTheme="minorHAnsi" w:eastAsiaTheme="minorHAnsi" w:hAnsiTheme="minorHAnsi" w:cs="Arial"/>
                <w:b/>
                <w:bCs/>
                <w:sz w:val="22"/>
                <w:szCs w:val="22"/>
              </w:rPr>
              <w:fldChar w:fldCharType="begin">
                <w:ffData>
                  <w:name w:val="Check57"/>
                  <w:enabled/>
                  <w:calcOnExit w:val="0"/>
                  <w:checkBox>
                    <w:sizeAuto/>
                    <w:default w:val="1"/>
                  </w:checkBox>
                </w:ffData>
              </w:fldChar>
            </w:r>
            <w:bookmarkStart w:id="251" w:name="Check57"/>
            <w:r w:rsidRPr="00086B57">
              <w:rPr>
                <w:rFonts w:asciiTheme="minorHAnsi" w:eastAsiaTheme="minorHAnsi" w:hAnsiTheme="minorHAnsi" w:cs="Arial"/>
                <w:b/>
                <w:bCs/>
                <w:sz w:val="22"/>
                <w:szCs w:val="22"/>
              </w:rPr>
              <w:instrText xml:space="preserve"> FORMCHECKBOX </w:instrText>
            </w:r>
            <w:r w:rsidRPr="00086B57">
              <w:rPr>
                <w:rFonts w:asciiTheme="minorHAnsi" w:eastAsiaTheme="minorHAnsi" w:hAnsiTheme="minorHAnsi" w:cs="Arial"/>
                <w:b/>
                <w:bCs/>
                <w:sz w:val="22"/>
                <w:szCs w:val="22"/>
              </w:rPr>
            </w:r>
            <w:r w:rsidRPr="00086B57">
              <w:rPr>
                <w:rFonts w:asciiTheme="minorHAnsi" w:eastAsiaTheme="minorHAnsi" w:hAnsiTheme="minorHAnsi" w:cs="Arial"/>
                <w:b/>
                <w:bCs/>
                <w:sz w:val="22"/>
                <w:szCs w:val="22"/>
              </w:rPr>
              <w:fldChar w:fldCharType="separate"/>
            </w:r>
            <w:r w:rsidRPr="00086B57">
              <w:rPr>
                <w:rFonts w:asciiTheme="minorHAnsi" w:eastAsiaTheme="minorHAnsi" w:hAnsiTheme="minorHAnsi" w:cs="Arial"/>
                <w:b/>
                <w:bCs/>
                <w:sz w:val="22"/>
                <w:szCs w:val="22"/>
              </w:rPr>
              <w:fldChar w:fldCharType="end"/>
            </w:r>
            <w:bookmarkEnd w:id="251"/>
          </w:p>
        </w:tc>
      </w:tr>
      <w:tr w:rsidR="00086B57" w:rsidRPr="00086B57" w14:paraId="3464CFA3" w14:textId="77777777" w:rsidTr="1F0E8EA4">
        <w:trPr>
          <w:trHeight w:val="125"/>
        </w:trPr>
        <w:tc>
          <w:tcPr>
            <w:tcW w:w="1059" w:type="pct"/>
            <w:vMerge/>
            <w:vAlign w:val="center"/>
          </w:tcPr>
          <w:p w14:paraId="7104D79C"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p>
        </w:tc>
        <w:tc>
          <w:tcPr>
            <w:tcW w:w="2911" w:type="pct"/>
            <w:gridSpan w:val="6"/>
          </w:tcPr>
          <w:p w14:paraId="61D073EF"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Improved Value</w:t>
            </w:r>
          </w:p>
        </w:tc>
        <w:tc>
          <w:tcPr>
            <w:tcW w:w="1030" w:type="pct"/>
            <w:gridSpan w:val="3"/>
          </w:tcPr>
          <w:p w14:paraId="14FC76C3"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sz w:val="22"/>
                <w:szCs w:val="22"/>
              </w:rPr>
            </w:pPr>
            <w:r w:rsidRPr="00086B57">
              <w:rPr>
                <w:rFonts w:asciiTheme="minorHAnsi" w:eastAsiaTheme="minorHAnsi" w:hAnsiTheme="minorHAnsi" w:cs="Arial"/>
                <w:b/>
                <w:bCs/>
                <w:sz w:val="22"/>
                <w:szCs w:val="22"/>
              </w:rPr>
              <w:fldChar w:fldCharType="begin">
                <w:ffData>
                  <w:name w:val="Check58"/>
                  <w:enabled/>
                  <w:calcOnExit w:val="0"/>
                  <w:checkBox>
                    <w:sizeAuto/>
                    <w:default w:val="1"/>
                  </w:checkBox>
                </w:ffData>
              </w:fldChar>
            </w:r>
            <w:bookmarkStart w:id="252" w:name="Check58"/>
            <w:r w:rsidRPr="00086B57">
              <w:rPr>
                <w:rFonts w:asciiTheme="minorHAnsi" w:eastAsiaTheme="minorHAnsi" w:hAnsiTheme="minorHAnsi" w:cs="Arial"/>
                <w:b/>
                <w:bCs/>
                <w:sz w:val="22"/>
                <w:szCs w:val="22"/>
              </w:rPr>
              <w:instrText xml:space="preserve"> FORMCHECKBOX </w:instrText>
            </w:r>
            <w:r w:rsidRPr="00086B57">
              <w:rPr>
                <w:rFonts w:asciiTheme="minorHAnsi" w:eastAsiaTheme="minorHAnsi" w:hAnsiTheme="minorHAnsi" w:cs="Arial"/>
                <w:b/>
                <w:bCs/>
                <w:sz w:val="22"/>
                <w:szCs w:val="22"/>
              </w:rPr>
            </w:r>
            <w:r w:rsidRPr="00086B57">
              <w:rPr>
                <w:rFonts w:asciiTheme="minorHAnsi" w:eastAsiaTheme="minorHAnsi" w:hAnsiTheme="minorHAnsi" w:cs="Arial"/>
                <w:b/>
                <w:bCs/>
                <w:sz w:val="22"/>
                <w:szCs w:val="22"/>
              </w:rPr>
              <w:fldChar w:fldCharType="separate"/>
            </w:r>
            <w:r w:rsidRPr="00086B57">
              <w:rPr>
                <w:rFonts w:asciiTheme="minorHAnsi" w:eastAsiaTheme="minorHAnsi" w:hAnsiTheme="minorHAnsi" w:cs="Arial"/>
                <w:b/>
                <w:bCs/>
                <w:sz w:val="22"/>
                <w:szCs w:val="22"/>
              </w:rPr>
              <w:fldChar w:fldCharType="end"/>
            </w:r>
            <w:bookmarkEnd w:id="252"/>
          </w:p>
        </w:tc>
      </w:tr>
      <w:tr w:rsidR="00086B57" w:rsidRPr="00086B57" w14:paraId="553FCD19" w14:textId="77777777" w:rsidTr="1F0E8EA4">
        <w:trPr>
          <w:trHeight w:val="125"/>
        </w:trPr>
        <w:tc>
          <w:tcPr>
            <w:tcW w:w="1059" w:type="pct"/>
            <w:vMerge/>
            <w:vAlign w:val="center"/>
          </w:tcPr>
          <w:p w14:paraId="1A7E6DEB"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p>
        </w:tc>
        <w:tc>
          <w:tcPr>
            <w:tcW w:w="2911" w:type="pct"/>
            <w:gridSpan w:val="6"/>
          </w:tcPr>
          <w:p w14:paraId="7F4B91B4"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None</w:t>
            </w:r>
          </w:p>
        </w:tc>
        <w:tc>
          <w:tcPr>
            <w:tcW w:w="1030" w:type="pct"/>
            <w:gridSpan w:val="3"/>
          </w:tcPr>
          <w:p w14:paraId="1121B595"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sz w:val="22"/>
                <w:szCs w:val="22"/>
              </w:rPr>
            </w:pPr>
            <w:r w:rsidRPr="00086B57">
              <w:rPr>
                <w:rFonts w:asciiTheme="minorHAnsi" w:eastAsiaTheme="minorHAnsi" w:hAnsiTheme="minorHAnsi" w:cs="Arial"/>
                <w:b/>
                <w:bCs/>
                <w:sz w:val="22"/>
                <w:szCs w:val="22"/>
              </w:rPr>
              <w:fldChar w:fldCharType="begin">
                <w:ffData>
                  <w:name w:val="Check59"/>
                  <w:enabled/>
                  <w:calcOnExit w:val="0"/>
                  <w:checkBox>
                    <w:sizeAuto/>
                    <w:default w:val="0"/>
                  </w:checkBox>
                </w:ffData>
              </w:fldChar>
            </w:r>
            <w:bookmarkStart w:id="253" w:name="Check59"/>
            <w:r w:rsidRPr="00086B57">
              <w:rPr>
                <w:rFonts w:asciiTheme="minorHAnsi" w:eastAsiaTheme="minorHAnsi" w:hAnsiTheme="minorHAnsi" w:cs="Arial"/>
                <w:b/>
                <w:bCs/>
                <w:sz w:val="22"/>
                <w:szCs w:val="22"/>
              </w:rPr>
              <w:instrText xml:space="preserve"> FORMCHECKBOX </w:instrText>
            </w:r>
            <w:r w:rsidRPr="00086B57">
              <w:rPr>
                <w:rFonts w:asciiTheme="minorHAnsi" w:eastAsiaTheme="minorHAnsi" w:hAnsiTheme="minorHAnsi" w:cs="Arial"/>
                <w:b/>
                <w:bCs/>
                <w:sz w:val="22"/>
                <w:szCs w:val="22"/>
              </w:rPr>
            </w:r>
            <w:r w:rsidRPr="00086B57">
              <w:rPr>
                <w:rFonts w:asciiTheme="minorHAnsi" w:eastAsiaTheme="minorHAnsi" w:hAnsiTheme="minorHAnsi" w:cs="Arial"/>
                <w:b/>
                <w:bCs/>
                <w:sz w:val="22"/>
                <w:szCs w:val="22"/>
              </w:rPr>
              <w:fldChar w:fldCharType="separate"/>
            </w:r>
            <w:r w:rsidRPr="00086B57">
              <w:rPr>
                <w:rFonts w:asciiTheme="minorHAnsi" w:eastAsiaTheme="minorHAnsi" w:hAnsiTheme="minorHAnsi" w:cs="Arial"/>
                <w:b/>
                <w:bCs/>
                <w:sz w:val="22"/>
                <w:szCs w:val="22"/>
              </w:rPr>
              <w:fldChar w:fldCharType="end"/>
            </w:r>
            <w:bookmarkEnd w:id="253"/>
          </w:p>
        </w:tc>
      </w:tr>
      <w:tr w:rsidR="00086B57" w:rsidRPr="00086B57" w14:paraId="4D0C2EE3" w14:textId="77777777" w:rsidTr="1F0E8EA4">
        <w:tc>
          <w:tcPr>
            <w:tcW w:w="1059" w:type="pct"/>
            <w:vAlign w:val="center"/>
          </w:tcPr>
          <w:p w14:paraId="67294F03" w14:textId="7CF7F42F"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b/>
                <w:sz w:val="22"/>
                <w:szCs w:val="22"/>
              </w:rPr>
              <w:t>Who will benefit</w:t>
            </w:r>
            <w:r w:rsidRPr="00086B57">
              <w:rPr>
                <w:rFonts w:asciiTheme="minorHAnsi" w:eastAsiaTheme="minorHAnsi" w:hAnsiTheme="minorHAnsi" w:cs="Arial"/>
                <w:sz w:val="22"/>
                <w:szCs w:val="22"/>
              </w:rPr>
              <w:t xml:space="preserve"> from the service, function or policy?</w:t>
            </w:r>
          </w:p>
        </w:tc>
        <w:tc>
          <w:tcPr>
            <w:tcW w:w="2137" w:type="pct"/>
            <w:gridSpan w:val="3"/>
            <w:vAlign w:val="center"/>
          </w:tcPr>
          <w:p w14:paraId="36C90ACB"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sz w:val="22"/>
                <w:szCs w:val="22"/>
              </w:rPr>
            </w:pPr>
            <w:r w:rsidRPr="00086B57">
              <w:rPr>
                <w:rFonts w:asciiTheme="minorHAnsi" w:eastAsiaTheme="minorHAnsi" w:hAnsiTheme="minorHAnsi" w:cs="Arial"/>
                <w:b/>
                <w:bCs/>
                <w:sz w:val="22"/>
                <w:szCs w:val="22"/>
              </w:rPr>
              <w:fldChar w:fldCharType="begin">
                <w:ffData>
                  <w:name w:val="Check8"/>
                  <w:enabled/>
                  <w:calcOnExit w:val="0"/>
                  <w:checkBox>
                    <w:sizeAuto/>
                    <w:default w:val="1"/>
                  </w:checkBox>
                </w:ffData>
              </w:fldChar>
            </w:r>
            <w:bookmarkStart w:id="254" w:name="Check8"/>
            <w:r w:rsidRPr="00086B57">
              <w:rPr>
                <w:rFonts w:asciiTheme="minorHAnsi" w:eastAsiaTheme="minorHAnsi" w:hAnsiTheme="minorHAnsi" w:cs="Arial"/>
                <w:b/>
                <w:bCs/>
                <w:sz w:val="22"/>
                <w:szCs w:val="22"/>
              </w:rPr>
              <w:instrText xml:space="preserve"> FORMCHECKBOX </w:instrText>
            </w:r>
            <w:r w:rsidRPr="00086B57">
              <w:rPr>
                <w:rFonts w:asciiTheme="minorHAnsi" w:eastAsiaTheme="minorHAnsi" w:hAnsiTheme="minorHAnsi" w:cs="Arial"/>
                <w:b/>
                <w:bCs/>
                <w:sz w:val="22"/>
                <w:szCs w:val="22"/>
              </w:rPr>
            </w:r>
            <w:r w:rsidRPr="00086B57">
              <w:rPr>
                <w:rFonts w:asciiTheme="minorHAnsi" w:eastAsiaTheme="minorHAnsi" w:hAnsiTheme="minorHAnsi" w:cs="Arial"/>
                <w:b/>
                <w:bCs/>
                <w:sz w:val="22"/>
                <w:szCs w:val="22"/>
              </w:rPr>
              <w:fldChar w:fldCharType="separate"/>
            </w:r>
            <w:r w:rsidRPr="00086B57">
              <w:rPr>
                <w:rFonts w:asciiTheme="minorHAnsi" w:eastAsiaTheme="minorHAnsi" w:hAnsiTheme="minorHAnsi" w:cs="Arial"/>
                <w:b/>
                <w:bCs/>
                <w:sz w:val="22"/>
                <w:szCs w:val="22"/>
              </w:rPr>
              <w:fldChar w:fldCharType="end"/>
            </w:r>
            <w:bookmarkEnd w:id="254"/>
            <w:r w:rsidRPr="00086B57">
              <w:rPr>
                <w:rFonts w:asciiTheme="minorHAnsi" w:eastAsiaTheme="minorHAnsi" w:hAnsiTheme="minorHAnsi" w:cs="Arial"/>
                <w:b/>
                <w:bCs/>
                <w:sz w:val="22"/>
                <w:szCs w:val="22"/>
              </w:rPr>
              <w:t xml:space="preserve">    Workforce </w:t>
            </w:r>
          </w:p>
        </w:tc>
        <w:tc>
          <w:tcPr>
            <w:tcW w:w="1804" w:type="pct"/>
            <w:gridSpan w:val="6"/>
            <w:vAlign w:val="center"/>
          </w:tcPr>
          <w:p w14:paraId="59AFEC61"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sz w:val="22"/>
                <w:szCs w:val="22"/>
              </w:rPr>
            </w:pPr>
            <w:r w:rsidRPr="00086B57">
              <w:rPr>
                <w:rFonts w:asciiTheme="minorHAnsi" w:eastAsiaTheme="minorHAnsi" w:hAnsiTheme="minorHAnsi" w:cs="Arial"/>
                <w:b/>
                <w:bCs/>
                <w:sz w:val="22"/>
                <w:szCs w:val="22"/>
              </w:rPr>
              <w:fldChar w:fldCharType="begin">
                <w:ffData>
                  <w:name w:val="Check8"/>
                  <w:enabled/>
                  <w:calcOnExit w:val="0"/>
                  <w:checkBox>
                    <w:sizeAuto/>
                    <w:default w:val="1"/>
                  </w:checkBox>
                </w:ffData>
              </w:fldChar>
            </w:r>
            <w:r w:rsidRPr="00086B57">
              <w:rPr>
                <w:rFonts w:asciiTheme="minorHAnsi" w:eastAsiaTheme="minorHAnsi" w:hAnsiTheme="minorHAnsi" w:cs="Arial"/>
                <w:b/>
                <w:bCs/>
                <w:sz w:val="22"/>
                <w:szCs w:val="22"/>
              </w:rPr>
              <w:instrText xml:space="preserve"> FORMCHECKBOX </w:instrText>
            </w:r>
            <w:r w:rsidRPr="00086B57">
              <w:rPr>
                <w:rFonts w:asciiTheme="minorHAnsi" w:eastAsiaTheme="minorHAnsi" w:hAnsiTheme="minorHAnsi" w:cs="Arial"/>
                <w:b/>
                <w:bCs/>
                <w:sz w:val="22"/>
                <w:szCs w:val="22"/>
              </w:rPr>
            </w:r>
            <w:r w:rsidRPr="00086B57">
              <w:rPr>
                <w:rFonts w:asciiTheme="minorHAnsi" w:eastAsiaTheme="minorHAnsi" w:hAnsiTheme="minorHAnsi" w:cs="Arial"/>
                <w:b/>
                <w:bCs/>
                <w:sz w:val="22"/>
                <w:szCs w:val="22"/>
              </w:rPr>
              <w:fldChar w:fldCharType="separate"/>
            </w:r>
            <w:r w:rsidRPr="00086B57">
              <w:rPr>
                <w:rFonts w:asciiTheme="minorHAnsi" w:eastAsiaTheme="minorHAnsi" w:hAnsiTheme="minorHAnsi" w:cs="Arial"/>
                <w:b/>
                <w:bCs/>
                <w:sz w:val="22"/>
                <w:szCs w:val="22"/>
              </w:rPr>
              <w:fldChar w:fldCharType="end"/>
            </w:r>
            <w:r w:rsidRPr="00086B57">
              <w:rPr>
                <w:rFonts w:asciiTheme="minorHAnsi" w:eastAsiaTheme="minorHAnsi" w:hAnsiTheme="minorHAnsi" w:cs="Arial"/>
                <w:b/>
                <w:bCs/>
                <w:sz w:val="22"/>
                <w:szCs w:val="22"/>
              </w:rPr>
              <w:t xml:space="preserve"> Patients, Service Users, and Carers</w:t>
            </w:r>
          </w:p>
        </w:tc>
      </w:tr>
      <w:tr w:rsidR="00086B57" w:rsidRPr="00086B57" w14:paraId="6941E3FC" w14:textId="77777777" w:rsidTr="1F0E8EA4">
        <w:trPr>
          <w:trHeight w:val="300"/>
        </w:trPr>
        <w:tc>
          <w:tcPr>
            <w:tcW w:w="1059" w:type="pct"/>
            <w:vAlign w:val="center"/>
          </w:tcPr>
          <w:p w14:paraId="676F98A6" w14:textId="77777777" w:rsidR="00086B57" w:rsidRPr="00086B57" w:rsidRDefault="00086B57" w:rsidP="00086B57">
            <w:pPr>
              <w:keepNext w:val="0"/>
              <w:keepLines w:val="0"/>
              <w:spacing w:before="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How will the service, function, or policy be implemented to:</w:t>
            </w:r>
          </w:p>
          <w:p w14:paraId="3F3FFE82" w14:textId="77777777" w:rsidR="00086B57" w:rsidRPr="00086B57" w:rsidRDefault="00086B57" w:rsidP="00086B57">
            <w:pPr>
              <w:keepNext w:val="0"/>
              <w:keepLines w:val="0"/>
              <w:numPr>
                <w:ilvl w:val="0"/>
                <w:numId w:val="58"/>
              </w:numPr>
              <w:spacing w:before="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Ensure access</w:t>
            </w:r>
          </w:p>
          <w:p w14:paraId="151391C7" w14:textId="77777777" w:rsidR="00086B57" w:rsidRPr="00086B57" w:rsidRDefault="00086B57" w:rsidP="00086B57">
            <w:pPr>
              <w:keepNext w:val="0"/>
              <w:keepLines w:val="0"/>
              <w:numPr>
                <w:ilvl w:val="0"/>
                <w:numId w:val="58"/>
              </w:numPr>
              <w:spacing w:before="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lastRenderedPageBreak/>
              <w:t>Meet health needs</w:t>
            </w:r>
          </w:p>
          <w:p w14:paraId="2ACC3CE3" w14:textId="77777777" w:rsidR="00086B57" w:rsidRPr="00086B57" w:rsidRDefault="00086B57" w:rsidP="00086B57">
            <w:pPr>
              <w:keepNext w:val="0"/>
              <w:keepLines w:val="0"/>
              <w:numPr>
                <w:ilvl w:val="0"/>
                <w:numId w:val="58"/>
              </w:numPr>
              <w:spacing w:before="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Provide a safe and positive experience for everyone?</w:t>
            </w:r>
          </w:p>
        </w:tc>
        <w:tc>
          <w:tcPr>
            <w:tcW w:w="3941" w:type="pct"/>
            <w:gridSpan w:val="9"/>
            <w:vAlign w:val="center"/>
          </w:tcPr>
          <w:p w14:paraId="78488FC7" w14:textId="77777777" w:rsidR="00086B57" w:rsidRPr="00086B57" w:rsidRDefault="00086B57" w:rsidP="00086B57">
            <w:pPr>
              <w:keepNext w:val="0"/>
              <w:keepLines w:val="0"/>
              <w:spacing w:before="0"/>
              <w:contextualSpacing w:val="0"/>
              <w:jc w:val="left"/>
              <w:outlineLvl w:val="9"/>
              <w:rPr>
                <w:rFonts w:asciiTheme="minorHAnsi" w:eastAsia="Times New Roman" w:hAnsiTheme="minorHAnsi" w:cstheme="minorHAnsi"/>
                <w:b/>
                <w:sz w:val="22"/>
                <w:szCs w:val="22"/>
                <w:lang w:eastAsia="en-GB"/>
              </w:rPr>
            </w:pPr>
            <w:r w:rsidRPr="00086B57">
              <w:rPr>
                <w:rFonts w:asciiTheme="minorHAnsi" w:eastAsia="Times New Roman" w:hAnsiTheme="minorHAnsi" w:cstheme="minorHAnsi"/>
                <w:b/>
                <w:sz w:val="22"/>
                <w:szCs w:val="22"/>
                <w:lang w:eastAsia="en-GB"/>
              </w:rPr>
              <w:lastRenderedPageBreak/>
              <w:t>Implementation will occur through:</w:t>
            </w:r>
          </w:p>
          <w:p w14:paraId="12C0B1CB" w14:textId="77777777" w:rsidR="00086B57" w:rsidRPr="00086B57" w:rsidRDefault="00086B57" w:rsidP="00086B57">
            <w:pPr>
              <w:keepNext w:val="0"/>
              <w:keepLines w:val="0"/>
              <w:numPr>
                <w:ilvl w:val="0"/>
                <w:numId w:val="59"/>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Standardised nutrition and hydration screening across services</w:t>
            </w:r>
          </w:p>
          <w:p w14:paraId="05716CD3" w14:textId="77777777" w:rsidR="00086B57" w:rsidRPr="00086B57" w:rsidRDefault="00086B57" w:rsidP="00086B57">
            <w:pPr>
              <w:keepNext w:val="0"/>
              <w:keepLines w:val="0"/>
              <w:numPr>
                <w:ilvl w:val="0"/>
                <w:numId w:val="59"/>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Clear escalation and referral pathways for clinical risk</w:t>
            </w:r>
          </w:p>
          <w:p w14:paraId="6B689758" w14:textId="77777777" w:rsidR="00086B57" w:rsidRPr="00086B57" w:rsidRDefault="00086B57" w:rsidP="00086B57">
            <w:pPr>
              <w:keepNext w:val="0"/>
              <w:keepLines w:val="0"/>
              <w:numPr>
                <w:ilvl w:val="0"/>
                <w:numId w:val="59"/>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Culturally appropriate food provision and dietary options</w:t>
            </w:r>
          </w:p>
          <w:p w14:paraId="2682E9C1" w14:textId="77777777" w:rsidR="00086B57" w:rsidRPr="00086B57" w:rsidRDefault="00086B57" w:rsidP="00086B57">
            <w:pPr>
              <w:keepNext w:val="0"/>
              <w:keepLines w:val="0"/>
              <w:numPr>
                <w:ilvl w:val="0"/>
                <w:numId w:val="59"/>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Reasonable adjustments to support communication and accessibility needs</w:t>
            </w:r>
          </w:p>
          <w:p w14:paraId="074E626A" w14:textId="77777777" w:rsidR="00086B57" w:rsidRPr="00086B57" w:rsidRDefault="00086B57" w:rsidP="00086B57">
            <w:pPr>
              <w:keepNext w:val="0"/>
              <w:keepLines w:val="0"/>
              <w:numPr>
                <w:ilvl w:val="0"/>
                <w:numId w:val="59"/>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lastRenderedPageBreak/>
              <w:t>Multidisciplinary care planning involving service users and carers where appropriate</w:t>
            </w:r>
          </w:p>
          <w:p w14:paraId="6522330E" w14:textId="77777777" w:rsidR="00086B57" w:rsidRPr="00086B57" w:rsidRDefault="00086B57" w:rsidP="00086B57">
            <w:pPr>
              <w:keepNext w:val="0"/>
              <w:keepLines w:val="0"/>
              <w:numPr>
                <w:ilvl w:val="0"/>
                <w:numId w:val="59"/>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Training resources and guidance available via the Trust intranet</w:t>
            </w:r>
          </w:p>
          <w:p w14:paraId="6C0D82EA" w14:textId="77777777" w:rsidR="00086B57" w:rsidRPr="00086B57" w:rsidRDefault="00086B57" w:rsidP="00086B57">
            <w:pPr>
              <w:keepNext w:val="0"/>
              <w:keepLines w:val="0"/>
              <w:numPr>
                <w:ilvl w:val="0"/>
                <w:numId w:val="59"/>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Alignment with national guidance on nutrition support, hospital food standards and hydration care.</w:t>
            </w:r>
          </w:p>
          <w:p w14:paraId="5D643B40" w14:textId="77777777" w:rsidR="00086B57" w:rsidRPr="00086B57" w:rsidRDefault="00086B57" w:rsidP="00086B57">
            <w:pPr>
              <w:keepNext w:val="0"/>
              <w:keepLines w:val="0"/>
              <w:spacing w:before="100" w:beforeAutospacing="1"/>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The policy emphasises person-centred, respectful and trauma-informed approaches when discussing nutrition, weight and eating behaviours.</w:t>
            </w:r>
          </w:p>
        </w:tc>
      </w:tr>
      <w:tr w:rsidR="00086B57" w:rsidRPr="00086B57" w14:paraId="5F337B6A" w14:textId="77777777" w:rsidTr="1F0E8EA4">
        <w:tc>
          <w:tcPr>
            <w:tcW w:w="1059" w:type="pct"/>
            <w:vAlign w:val="center"/>
          </w:tcPr>
          <w:p w14:paraId="1FD41D4E"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lastRenderedPageBreak/>
              <w:t xml:space="preserve">How will the service, function or policy be </w:t>
            </w:r>
            <w:r w:rsidRPr="00086B57">
              <w:rPr>
                <w:rFonts w:asciiTheme="minorHAnsi" w:eastAsiaTheme="minorHAnsi" w:hAnsiTheme="minorHAnsi" w:cs="Arial"/>
                <w:b/>
                <w:sz w:val="22"/>
                <w:szCs w:val="22"/>
              </w:rPr>
              <w:t>implemented</w:t>
            </w:r>
            <w:r w:rsidRPr="00086B57">
              <w:rPr>
                <w:rFonts w:asciiTheme="minorHAnsi" w:eastAsiaTheme="minorHAnsi" w:hAnsiTheme="minorHAnsi" w:cs="Arial"/>
                <w:sz w:val="22"/>
                <w:szCs w:val="22"/>
              </w:rPr>
              <w:t>?</w:t>
            </w:r>
          </w:p>
          <w:p w14:paraId="2774FC40"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p>
        </w:tc>
        <w:tc>
          <w:tcPr>
            <w:tcW w:w="3941" w:type="pct"/>
            <w:gridSpan w:val="9"/>
          </w:tcPr>
          <w:p w14:paraId="4DFDDE98" w14:textId="77777777" w:rsidR="00086B57" w:rsidRPr="00086B57" w:rsidRDefault="00086B57" w:rsidP="00086B57">
            <w:pPr>
              <w:keepNext w:val="0"/>
              <w:keepLines w:val="0"/>
              <w:spacing w:before="0"/>
              <w:contextualSpacing w:val="0"/>
              <w:jc w:val="left"/>
              <w:outlineLvl w:val="9"/>
              <w:rPr>
                <w:rFonts w:asciiTheme="minorHAnsi" w:eastAsia="Times New Roman" w:hAnsiTheme="minorHAnsi" w:cstheme="minorHAnsi"/>
                <w:b/>
                <w:sz w:val="22"/>
                <w:szCs w:val="22"/>
                <w:lang w:eastAsia="en-GB"/>
              </w:rPr>
            </w:pPr>
            <w:r w:rsidRPr="00086B57">
              <w:rPr>
                <w:rFonts w:asciiTheme="minorHAnsi" w:eastAsia="Times New Roman" w:hAnsiTheme="minorHAnsi" w:cstheme="minorHAnsi"/>
                <w:b/>
                <w:sz w:val="22"/>
                <w:szCs w:val="22"/>
                <w:lang w:eastAsia="en-GB"/>
              </w:rPr>
              <w:t>Implementation will occur through:</w:t>
            </w:r>
          </w:p>
          <w:p w14:paraId="1F5141AA" w14:textId="77777777" w:rsidR="00086B57" w:rsidRPr="00086B57" w:rsidRDefault="00086B57" w:rsidP="00086B57">
            <w:pPr>
              <w:keepNext w:val="0"/>
              <w:keepLines w:val="0"/>
              <w:numPr>
                <w:ilvl w:val="0"/>
                <w:numId w:val="60"/>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Publication of the policy on the Trust intranet</w:t>
            </w:r>
          </w:p>
          <w:p w14:paraId="0B50E570" w14:textId="77777777" w:rsidR="00086B57" w:rsidRPr="00086B57" w:rsidRDefault="00086B57" w:rsidP="00086B57">
            <w:pPr>
              <w:keepNext w:val="0"/>
              <w:keepLines w:val="0"/>
              <w:numPr>
                <w:ilvl w:val="0"/>
                <w:numId w:val="60"/>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Highlighting the update via the weekly Trust Newsletter and policy update Newsletter</w:t>
            </w:r>
          </w:p>
          <w:p w14:paraId="397EA286" w14:textId="77777777" w:rsidR="00086B57" w:rsidRPr="00086B57" w:rsidRDefault="00086B57" w:rsidP="00086B57">
            <w:pPr>
              <w:keepNext w:val="0"/>
              <w:keepLines w:val="0"/>
              <w:numPr>
                <w:ilvl w:val="0"/>
                <w:numId w:val="60"/>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Communication through governance groups and directorate leads</w:t>
            </w:r>
          </w:p>
          <w:p w14:paraId="4A2DC84B" w14:textId="77777777" w:rsidR="00086B57" w:rsidRPr="00086B57" w:rsidRDefault="00086B57" w:rsidP="00086B57">
            <w:pPr>
              <w:keepNext w:val="0"/>
              <w:keepLines w:val="0"/>
              <w:numPr>
                <w:ilvl w:val="0"/>
                <w:numId w:val="60"/>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Integration with existing physical health monitoring processes and training</w:t>
            </w:r>
          </w:p>
          <w:p w14:paraId="5969C860" w14:textId="77777777" w:rsidR="00086B57" w:rsidRPr="00086B57" w:rsidRDefault="00086B57" w:rsidP="00086B57">
            <w:pPr>
              <w:keepNext w:val="0"/>
              <w:keepLines w:val="0"/>
              <w:numPr>
                <w:ilvl w:val="0"/>
                <w:numId w:val="60"/>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Use of standardised screening tools and care planning processes</w:t>
            </w:r>
          </w:p>
          <w:p w14:paraId="4A38F0A1" w14:textId="77777777" w:rsidR="00086B57" w:rsidRPr="00086B57" w:rsidRDefault="00086B57" w:rsidP="00086B57">
            <w:pPr>
              <w:keepNext w:val="0"/>
              <w:keepLines w:val="0"/>
              <w:numPr>
                <w:ilvl w:val="0"/>
                <w:numId w:val="60"/>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Support from multidisciplinary teams including dietitians, nurses, allied health professionals and medical staff.</w:t>
            </w:r>
          </w:p>
          <w:p w14:paraId="05741D98" w14:textId="77777777" w:rsidR="00086B57" w:rsidRPr="00086B57" w:rsidRDefault="00086B57" w:rsidP="00086B57">
            <w:pPr>
              <w:keepNext w:val="0"/>
              <w:keepLines w:val="0"/>
              <w:spacing w:before="0"/>
              <w:contextualSpacing w:val="0"/>
              <w:jc w:val="left"/>
              <w:outlineLvl w:val="9"/>
              <w:rPr>
                <w:rFonts w:asciiTheme="minorHAnsi" w:eastAsia="Times New Roman" w:hAnsiTheme="minorHAnsi" w:cstheme="minorHAnsi"/>
                <w:sz w:val="22"/>
                <w:szCs w:val="22"/>
                <w:lang w:eastAsia="en-GB"/>
              </w:rPr>
            </w:pPr>
          </w:p>
          <w:p w14:paraId="52A0002C" w14:textId="77777777" w:rsidR="00086B57" w:rsidRPr="00086B57" w:rsidRDefault="00086B57" w:rsidP="00086B57">
            <w:pPr>
              <w:keepNext w:val="0"/>
              <w:keepLines w:val="0"/>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Guidance documents and resources will also be made available on the Intranet to support staff in applying the policy in clinical practice.</w:t>
            </w:r>
          </w:p>
        </w:tc>
      </w:tr>
      <w:tr w:rsidR="00086B57" w:rsidRPr="00086B57" w14:paraId="4509145F" w14:textId="77777777" w:rsidTr="1F0E8EA4">
        <w:tc>
          <w:tcPr>
            <w:tcW w:w="1059" w:type="pct"/>
            <w:vAlign w:val="center"/>
          </w:tcPr>
          <w:p w14:paraId="55126CC5"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 xml:space="preserve">What are the intended </w:t>
            </w:r>
            <w:r w:rsidRPr="00086B57">
              <w:rPr>
                <w:rFonts w:asciiTheme="minorHAnsi" w:eastAsiaTheme="minorHAnsi" w:hAnsiTheme="minorHAnsi" w:cs="Arial"/>
                <w:b/>
                <w:sz w:val="22"/>
                <w:szCs w:val="22"/>
              </w:rPr>
              <w:t>outcomes</w:t>
            </w:r>
            <w:r w:rsidRPr="00086B57">
              <w:rPr>
                <w:rFonts w:asciiTheme="minorHAnsi" w:eastAsiaTheme="minorHAnsi" w:hAnsiTheme="minorHAnsi" w:cs="Arial"/>
                <w:sz w:val="22"/>
                <w:szCs w:val="22"/>
              </w:rPr>
              <w:t xml:space="preserve"> by delivering the activity?</w:t>
            </w:r>
          </w:p>
          <w:p w14:paraId="3EE3A48C"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p>
        </w:tc>
        <w:tc>
          <w:tcPr>
            <w:tcW w:w="3941" w:type="pct"/>
            <w:gridSpan w:val="9"/>
          </w:tcPr>
          <w:p w14:paraId="3E2C66AD" w14:textId="77777777" w:rsidR="00086B57" w:rsidRPr="00086B57" w:rsidRDefault="00086B57" w:rsidP="00086B57">
            <w:pPr>
              <w:keepNext w:val="0"/>
              <w:keepLines w:val="0"/>
              <w:spacing w:before="0" w:after="160" w:line="276" w:lineRule="auto"/>
              <w:jc w:val="left"/>
              <w:outlineLvl w:val="9"/>
              <w:rPr>
                <w:rFonts w:asciiTheme="minorHAnsi" w:eastAsiaTheme="minorHAnsi" w:hAnsiTheme="minorHAnsi"/>
                <w:b/>
                <w:bCs/>
                <w:sz w:val="22"/>
                <w:szCs w:val="22"/>
              </w:rPr>
            </w:pPr>
            <w:r w:rsidRPr="00086B57">
              <w:rPr>
                <w:rFonts w:asciiTheme="minorHAnsi" w:eastAsiaTheme="minorHAnsi" w:hAnsiTheme="minorHAnsi"/>
                <w:b/>
                <w:bCs/>
                <w:sz w:val="22"/>
                <w:szCs w:val="22"/>
              </w:rPr>
              <w:t>The policy aims to:</w:t>
            </w:r>
          </w:p>
          <w:p w14:paraId="486BD031" w14:textId="77777777" w:rsidR="00086B57" w:rsidRPr="00086B57" w:rsidRDefault="00086B57" w:rsidP="00086B57">
            <w:pPr>
              <w:keepNext w:val="0"/>
              <w:keepLines w:val="0"/>
              <w:numPr>
                <w:ilvl w:val="0"/>
                <w:numId w:val="61"/>
              </w:numPr>
              <w:tabs>
                <w:tab w:val="num" w:pos="720"/>
              </w:tabs>
              <w:spacing w:before="0" w:line="276" w:lineRule="auto"/>
              <w:contextualSpacing w:val="0"/>
              <w:jc w:val="left"/>
              <w:outlineLvl w:val="9"/>
              <w:rPr>
                <w:rFonts w:asciiTheme="minorHAnsi" w:eastAsiaTheme="minorHAnsi" w:hAnsiTheme="minorHAnsi"/>
                <w:bCs/>
                <w:sz w:val="22"/>
                <w:szCs w:val="22"/>
              </w:rPr>
            </w:pPr>
            <w:r w:rsidRPr="00086B57">
              <w:rPr>
                <w:rFonts w:asciiTheme="minorHAnsi" w:eastAsiaTheme="minorHAnsi" w:hAnsiTheme="minorHAnsi"/>
                <w:bCs/>
                <w:sz w:val="22"/>
                <w:szCs w:val="22"/>
              </w:rPr>
              <w:t>Improve early identification of malnutrition, dehydration and metabolic risk</w:t>
            </w:r>
          </w:p>
          <w:p w14:paraId="6B1EBD5E" w14:textId="77777777" w:rsidR="00086B57" w:rsidRPr="00086B57" w:rsidRDefault="00086B57" w:rsidP="00086B57">
            <w:pPr>
              <w:keepNext w:val="0"/>
              <w:keepLines w:val="0"/>
              <w:numPr>
                <w:ilvl w:val="0"/>
                <w:numId w:val="61"/>
              </w:numPr>
              <w:tabs>
                <w:tab w:val="num" w:pos="720"/>
              </w:tabs>
              <w:spacing w:before="0" w:line="276" w:lineRule="auto"/>
              <w:contextualSpacing w:val="0"/>
              <w:jc w:val="left"/>
              <w:outlineLvl w:val="9"/>
              <w:rPr>
                <w:rFonts w:asciiTheme="minorHAnsi" w:eastAsiaTheme="minorHAnsi" w:hAnsiTheme="minorHAnsi"/>
                <w:bCs/>
                <w:sz w:val="22"/>
                <w:szCs w:val="22"/>
              </w:rPr>
            </w:pPr>
            <w:r w:rsidRPr="00086B57">
              <w:rPr>
                <w:rFonts w:asciiTheme="minorHAnsi" w:eastAsiaTheme="minorHAnsi" w:hAnsiTheme="minorHAnsi"/>
                <w:bCs/>
                <w:sz w:val="22"/>
                <w:szCs w:val="22"/>
              </w:rPr>
              <w:t>Support safe and appropriate nutrition and hydration care</w:t>
            </w:r>
          </w:p>
          <w:p w14:paraId="1553A9A0" w14:textId="77777777" w:rsidR="00086B57" w:rsidRPr="00086B57" w:rsidRDefault="00086B57" w:rsidP="00086B57">
            <w:pPr>
              <w:keepNext w:val="0"/>
              <w:keepLines w:val="0"/>
              <w:numPr>
                <w:ilvl w:val="0"/>
                <w:numId w:val="61"/>
              </w:numPr>
              <w:tabs>
                <w:tab w:val="num" w:pos="720"/>
              </w:tabs>
              <w:spacing w:before="0" w:line="276" w:lineRule="auto"/>
              <w:contextualSpacing w:val="0"/>
              <w:jc w:val="left"/>
              <w:outlineLvl w:val="9"/>
              <w:rPr>
                <w:rFonts w:asciiTheme="minorHAnsi" w:eastAsiaTheme="minorHAnsi" w:hAnsiTheme="minorHAnsi"/>
                <w:bCs/>
                <w:sz w:val="22"/>
                <w:szCs w:val="22"/>
              </w:rPr>
            </w:pPr>
            <w:r w:rsidRPr="00086B57">
              <w:rPr>
                <w:rFonts w:asciiTheme="minorHAnsi" w:eastAsiaTheme="minorHAnsi" w:hAnsiTheme="minorHAnsi"/>
                <w:bCs/>
                <w:sz w:val="22"/>
                <w:szCs w:val="22"/>
              </w:rPr>
              <w:t>Reduce inequalities in physical health outcomes for people living with mental illness and other vulnerabilities</w:t>
            </w:r>
          </w:p>
          <w:p w14:paraId="459F16F2" w14:textId="77777777" w:rsidR="00086B57" w:rsidRPr="00086B57" w:rsidRDefault="00086B57" w:rsidP="00086B57">
            <w:pPr>
              <w:keepNext w:val="0"/>
              <w:keepLines w:val="0"/>
              <w:numPr>
                <w:ilvl w:val="0"/>
                <w:numId w:val="61"/>
              </w:numPr>
              <w:tabs>
                <w:tab w:val="num" w:pos="720"/>
              </w:tabs>
              <w:spacing w:before="0" w:line="276" w:lineRule="auto"/>
              <w:contextualSpacing w:val="0"/>
              <w:jc w:val="left"/>
              <w:outlineLvl w:val="9"/>
              <w:rPr>
                <w:rFonts w:asciiTheme="minorHAnsi" w:eastAsiaTheme="minorHAnsi" w:hAnsiTheme="minorHAnsi"/>
                <w:bCs/>
                <w:sz w:val="22"/>
                <w:szCs w:val="22"/>
              </w:rPr>
            </w:pPr>
            <w:r w:rsidRPr="00086B57">
              <w:rPr>
                <w:rFonts w:asciiTheme="minorHAnsi" w:eastAsiaTheme="minorHAnsi" w:hAnsiTheme="minorHAnsi"/>
                <w:bCs/>
                <w:sz w:val="22"/>
                <w:szCs w:val="22"/>
              </w:rPr>
              <w:t>Promote safe eating and drinking practices, including management of swallowing difficulties</w:t>
            </w:r>
          </w:p>
          <w:p w14:paraId="0340281F" w14:textId="77777777" w:rsidR="00086B57" w:rsidRPr="00086B57" w:rsidRDefault="00086B57" w:rsidP="00086B57">
            <w:pPr>
              <w:keepNext w:val="0"/>
              <w:keepLines w:val="0"/>
              <w:numPr>
                <w:ilvl w:val="0"/>
                <w:numId w:val="61"/>
              </w:numPr>
              <w:tabs>
                <w:tab w:val="num" w:pos="720"/>
              </w:tabs>
              <w:spacing w:before="0" w:line="276" w:lineRule="auto"/>
              <w:contextualSpacing w:val="0"/>
              <w:jc w:val="left"/>
              <w:outlineLvl w:val="9"/>
              <w:rPr>
                <w:rFonts w:asciiTheme="minorHAnsi" w:eastAsiaTheme="minorHAnsi" w:hAnsiTheme="minorHAnsi"/>
                <w:bCs/>
                <w:sz w:val="22"/>
                <w:szCs w:val="22"/>
              </w:rPr>
            </w:pPr>
            <w:r w:rsidRPr="00086B57">
              <w:rPr>
                <w:rFonts w:asciiTheme="minorHAnsi" w:eastAsiaTheme="minorHAnsi" w:hAnsiTheme="minorHAnsi"/>
                <w:bCs/>
                <w:sz w:val="22"/>
                <w:szCs w:val="22"/>
              </w:rPr>
              <w:t>Support recovery and wellbeing through access to appropriate food and drink</w:t>
            </w:r>
          </w:p>
          <w:p w14:paraId="4F4FD772" w14:textId="77777777" w:rsidR="00086B57" w:rsidRPr="00086B57" w:rsidRDefault="00086B57" w:rsidP="00086B57">
            <w:pPr>
              <w:keepNext w:val="0"/>
              <w:keepLines w:val="0"/>
              <w:numPr>
                <w:ilvl w:val="0"/>
                <w:numId w:val="61"/>
              </w:numPr>
              <w:tabs>
                <w:tab w:val="num" w:pos="720"/>
              </w:tabs>
              <w:spacing w:before="0" w:line="276" w:lineRule="auto"/>
              <w:contextualSpacing w:val="0"/>
              <w:jc w:val="left"/>
              <w:outlineLvl w:val="9"/>
              <w:rPr>
                <w:rFonts w:asciiTheme="minorHAnsi" w:eastAsiaTheme="minorHAnsi" w:hAnsiTheme="minorHAnsi"/>
                <w:bCs/>
                <w:sz w:val="22"/>
                <w:szCs w:val="22"/>
              </w:rPr>
            </w:pPr>
            <w:r w:rsidRPr="00086B57">
              <w:rPr>
                <w:rFonts w:asciiTheme="minorHAnsi" w:eastAsiaTheme="minorHAnsi" w:hAnsiTheme="minorHAnsi"/>
                <w:bCs/>
                <w:sz w:val="22"/>
                <w:szCs w:val="22"/>
              </w:rPr>
              <w:t>Ensure compliance with national clinical standards and regulatory requirements.</w:t>
            </w:r>
          </w:p>
        </w:tc>
      </w:tr>
      <w:tr w:rsidR="00086B57" w:rsidRPr="00086B57" w14:paraId="7C7A5686" w14:textId="77777777" w:rsidTr="1F0E8EA4">
        <w:tc>
          <w:tcPr>
            <w:tcW w:w="1059" w:type="pct"/>
            <w:vAlign w:val="center"/>
          </w:tcPr>
          <w:p w14:paraId="085F56D5"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 xml:space="preserve">How will these outcomes be </w:t>
            </w:r>
            <w:r w:rsidRPr="00086B57">
              <w:rPr>
                <w:rFonts w:asciiTheme="minorHAnsi" w:eastAsiaTheme="minorHAnsi" w:hAnsiTheme="minorHAnsi" w:cs="Arial"/>
                <w:b/>
                <w:sz w:val="22"/>
                <w:szCs w:val="22"/>
              </w:rPr>
              <w:t>measured</w:t>
            </w:r>
            <w:r w:rsidRPr="00086B57">
              <w:rPr>
                <w:rFonts w:asciiTheme="minorHAnsi" w:eastAsiaTheme="minorHAnsi" w:hAnsiTheme="minorHAnsi" w:cs="Arial"/>
                <w:sz w:val="22"/>
                <w:szCs w:val="22"/>
              </w:rPr>
              <w:t>?</w:t>
            </w:r>
          </w:p>
          <w:p w14:paraId="4C92E672"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p>
        </w:tc>
        <w:tc>
          <w:tcPr>
            <w:tcW w:w="3941" w:type="pct"/>
            <w:gridSpan w:val="9"/>
          </w:tcPr>
          <w:p w14:paraId="3A9F7EAD" w14:textId="77777777" w:rsidR="00086B57" w:rsidRPr="00086B57" w:rsidRDefault="00086B57" w:rsidP="00086B57">
            <w:pPr>
              <w:keepNext w:val="0"/>
              <w:keepLines w:val="0"/>
              <w:autoSpaceDE w:val="0"/>
              <w:autoSpaceDN w:val="0"/>
              <w:adjustRightInd w:val="0"/>
              <w:spacing w:before="0" w:after="16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t>Outcomes may be monitored through:</w:t>
            </w:r>
          </w:p>
          <w:p w14:paraId="13CB95D5" w14:textId="77777777" w:rsidR="00086B57" w:rsidRPr="00086B57" w:rsidRDefault="00086B57" w:rsidP="00086B57">
            <w:pPr>
              <w:keepNext w:val="0"/>
              <w:keepLines w:val="0"/>
              <w:numPr>
                <w:ilvl w:val="0"/>
                <w:numId w:val="62"/>
              </w:numPr>
              <w:tabs>
                <w:tab w:val="num" w:pos="720"/>
              </w:tabs>
              <w:autoSpaceDE w:val="0"/>
              <w:autoSpaceDN w:val="0"/>
              <w:adjustRightInd w:val="0"/>
              <w:spacing w:before="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Nutrition screening compliance audits</w:t>
            </w:r>
          </w:p>
          <w:p w14:paraId="043FBDD6" w14:textId="77777777" w:rsidR="00086B57" w:rsidRPr="00086B57" w:rsidRDefault="00086B57" w:rsidP="00086B57">
            <w:pPr>
              <w:keepNext w:val="0"/>
              <w:keepLines w:val="0"/>
              <w:numPr>
                <w:ilvl w:val="0"/>
                <w:numId w:val="62"/>
              </w:numPr>
              <w:tabs>
                <w:tab w:val="num" w:pos="720"/>
              </w:tabs>
              <w:autoSpaceDE w:val="0"/>
              <w:autoSpaceDN w:val="0"/>
              <w:adjustRightInd w:val="0"/>
              <w:spacing w:before="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Hydration and nutrition care planning audits</w:t>
            </w:r>
          </w:p>
          <w:p w14:paraId="1C6269BA" w14:textId="77777777" w:rsidR="00086B57" w:rsidRPr="00086B57" w:rsidRDefault="00086B57" w:rsidP="00086B57">
            <w:pPr>
              <w:keepNext w:val="0"/>
              <w:keepLines w:val="0"/>
              <w:numPr>
                <w:ilvl w:val="0"/>
                <w:numId w:val="62"/>
              </w:numPr>
              <w:tabs>
                <w:tab w:val="num" w:pos="720"/>
              </w:tabs>
              <w:autoSpaceDE w:val="0"/>
              <w:autoSpaceDN w:val="0"/>
              <w:adjustRightInd w:val="0"/>
              <w:spacing w:before="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Incident reporting related to nutrition, hydration or choking risks</w:t>
            </w:r>
          </w:p>
          <w:p w14:paraId="067EB3C7" w14:textId="77777777" w:rsidR="00086B57" w:rsidRPr="00086B57" w:rsidRDefault="00086B57" w:rsidP="00086B57">
            <w:pPr>
              <w:keepNext w:val="0"/>
              <w:keepLines w:val="0"/>
              <w:numPr>
                <w:ilvl w:val="0"/>
                <w:numId w:val="62"/>
              </w:numPr>
              <w:tabs>
                <w:tab w:val="num" w:pos="720"/>
              </w:tabs>
              <w:autoSpaceDE w:val="0"/>
              <w:autoSpaceDN w:val="0"/>
              <w:adjustRightInd w:val="0"/>
              <w:spacing w:before="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Service user feedback on food provision and mealtime experience</w:t>
            </w:r>
          </w:p>
          <w:p w14:paraId="45C39D67" w14:textId="77777777" w:rsidR="00086B57" w:rsidRPr="00086B57" w:rsidRDefault="00086B57" w:rsidP="00086B57">
            <w:pPr>
              <w:keepNext w:val="0"/>
              <w:keepLines w:val="0"/>
              <w:numPr>
                <w:ilvl w:val="0"/>
                <w:numId w:val="62"/>
              </w:numPr>
              <w:tabs>
                <w:tab w:val="num" w:pos="720"/>
              </w:tabs>
              <w:autoSpaceDE w:val="0"/>
              <w:autoSpaceDN w:val="0"/>
              <w:adjustRightInd w:val="0"/>
              <w:spacing w:before="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Review through the Nutrition Steering Group and governance structures.</w:t>
            </w:r>
          </w:p>
        </w:tc>
      </w:tr>
      <w:tr w:rsidR="00086B57" w:rsidRPr="00086B57" w14:paraId="2FE74114" w14:textId="77777777" w:rsidTr="1F0E8EA4">
        <w:tc>
          <w:tcPr>
            <w:tcW w:w="1059" w:type="pct"/>
            <w:vAlign w:val="center"/>
          </w:tcPr>
          <w:p w14:paraId="7C565846"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 xml:space="preserve">Who are the </w:t>
            </w:r>
            <w:r w:rsidRPr="00086B57">
              <w:rPr>
                <w:rFonts w:asciiTheme="minorHAnsi" w:eastAsiaTheme="minorHAnsi" w:hAnsiTheme="minorHAnsi" w:cs="Arial"/>
                <w:b/>
                <w:sz w:val="22"/>
                <w:szCs w:val="22"/>
              </w:rPr>
              <w:t>key stakeholders</w:t>
            </w:r>
            <w:r w:rsidRPr="00086B57">
              <w:rPr>
                <w:rFonts w:asciiTheme="minorHAnsi" w:eastAsiaTheme="minorHAnsi" w:hAnsiTheme="minorHAnsi" w:cs="Arial"/>
                <w:sz w:val="22"/>
                <w:szCs w:val="22"/>
              </w:rPr>
              <w:t xml:space="preserve"> for this activity and </w:t>
            </w:r>
            <w:r w:rsidRPr="00086B57">
              <w:rPr>
                <w:rFonts w:asciiTheme="minorHAnsi" w:eastAsiaTheme="minorHAnsi" w:hAnsiTheme="minorHAnsi" w:cs="Arial"/>
                <w:b/>
                <w:sz w:val="22"/>
                <w:szCs w:val="22"/>
              </w:rPr>
              <w:t>how</w:t>
            </w:r>
            <w:r w:rsidRPr="00086B57">
              <w:rPr>
                <w:rFonts w:asciiTheme="minorHAnsi" w:eastAsiaTheme="minorHAnsi" w:hAnsiTheme="minorHAnsi" w:cs="Arial"/>
                <w:sz w:val="22"/>
                <w:szCs w:val="22"/>
              </w:rPr>
              <w:t xml:space="preserve"> have they been </w:t>
            </w:r>
            <w:r w:rsidRPr="00086B57">
              <w:rPr>
                <w:rFonts w:asciiTheme="minorHAnsi" w:eastAsiaTheme="minorHAnsi" w:hAnsiTheme="minorHAnsi" w:cs="Arial"/>
                <w:b/>
                <w:sz w:val="22"/>
                <w:szCs w:val="22"/>
              </w:rPr>
              <w:t>involved</w:t>
            </w:r>
            <w:r w:rsidRPr="00086B57">
              <w:rPr>
                <w:rFonts w:asciiTheme="minorHAnsi" w:eastAsiaTheme="minorHAnsi" w:hAnsiTheme="minorHAnsi" w:cs="Arial"/>
                <w:sz w:val="22"/>
                <w:szCs w:val="22"/>
              </w:rPr>
              <w:t xml:space="preserve">? </w:t>
            </w:r>
          </w:p>
          <w:p w14:paraId="1785708A"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p>
        </w:tc>
        <w:tc>
          <w:tcPr>
            <w:tcW w:w="3941" w:type="pct"/>
            <w:gridSpan w:val="9"/>
          </w:tcPr>
          <w:p w14:paraId="753B2264" w14:textId="77777777" w:rsidR="00086B57" w:rsidRPr="00086B57" w:rsidRDefault="00086B57" w:rsidP="00086B57">
            <w:pPr>
              <w:keepNext w:val="0"/>
              <w:keepLines w:val="0"/>
              <w:numPr>
                <w:ilvl w:val="0"/>
                <w:numId w:val="62"/>
              </w:numPr>
              <w:tabs>
                <w:tab w:val="num" w:pos="720"/>
              </w:tabs>
              <w:spacing w:before="100" w:beforeAutospacing="1" w:after="100" w:afterAutospacing="1"/>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Dietetics services</w:t>
            </w:r>
          </w:p>
          <w:p w14:paraId="78A3425F" w14:textId="77777777" w:rsidR="00086B57" w:rsidRPr="00086B57" w:rsidRDefault="00086B57" w:rsidP="00086B57">
            <w:pPr>
              <w:keepNext w:val="0"/>
              <w:keepLines w:val="0"/>
              <w:numPr>
                <w:ilvl w:val="0"/>
                <w:numId w:val="62"/>
              </w:numPr>
              <w:tabs>
                <w:tab w:val="num" w:pos="720"/>
              </w:tabs>
              <w:spacing w:before="100" w:beforeAutospacing="1" w:after="100" w:afterAutospacing="1"/>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Nursing staff</w:t>
            </w:r>
          </w:p>
          <w:p w14:paraId="2A363405" w14:textId="77777777" w:rsidR="00086B57" w:rsidRPr="00086B57" w:rsidRDefault="00086B57" w:rsidP="00086B57">
            <w:pPr>
              <w:keepNext w:val="0"/>
              <w:keepLines w:val="0"/>
              <w:numPr>
                <w:ilvl w:val="0"/>
                <w:numId w:val="62"/>
              </w:numPr>
              <w:tabs>
                <w:tab w:val="num" w:pos="720"/>
              </w:tabs>
              <w:spacing w:before="100" w:beforeAutospacing="1" w:after="100" w:afterAutospacing="1"/>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Medical staff</w:t>
            </w:r>
          </w:p>
          <w:p w14:paraId="7C7660E1" w14:textId="77777777" w:rsidR="00086B57" w:rsidRPr="00086B57" w:rsidRDefault="00086B57" w:rsidP="00086B57">
            <w:pPr>
              <w:keepNext w:val="0"/>
              <w:keepLines w:val="0"/>
              <w:numPr>
                <w:ilvl w:val="0"/>
                <w:numId w:val="62"/>
              </w:numPr>
              <w:tabs>
                <w:tab w:val="num" w:pos="720"/>
              </w:tabs>
              <w:spacing w:before="100" w:beforeAutospacing="1" w:after="100" w:afterAutospacing="1"/>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Speech and Language Therapy</w:t>
            </w:r>
          </w:p>
          <w:p w14:paraId="646F995D" w14:textId="77777777" w:rsidR="00086B57" w:rsidRPr="00086B57" w:rsidRDefault="00086B57" w:rsidP="00086B57">
            <w:pPr>
              <w:keepNext w:val="0"/>
              <w:keepLines w:val="0"/>
              <w:numPr>
                <w:ilvl w:val="0"/>
                <w:numId w:val="62"/>
              </w:numPr>
              <w:tabs>
                <w:tab w:val="num" w:pos="720"/>
              </w:tabs>
              <w:spacing w:before="100" w:beforeAutospacing="1" w:after="100" w:afterAutospacing="1"/>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Occupational Therapy</w:t>
            </w:r>
          </w:p>
          <w:p w14:paraId="285B67EB" w14:textId="77777777" w:rsidR="00086B57" w:rsidRPr="00086B57" w:rsidRDefault="00086B57" w:rsidP="00086B57">
            <w:pPr>
              <w:keepNext w:val="0"/>
              <w:keepLines w:val="0"/>
              <w:numPr>
                <w:ilvl w:val="0"/>
                <w:numId w:val="62"/>
              </w:numPr>
              <w:tabs>
                <w:tab w:val="num" w:pos="720"/>
              </w:tabs>
              <w:spacing w:before="100" w:beforeAutospacing="1" w:after="100" w:afterAutospacing="1"/>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Pharmacy</w:t>
            </w:r>
          </w:p>
          <w:p w14:paraId="55AE61C2" w14:textId="77777777" w:rsidR="00086B57" w:rsidRPr="00086B57" w:rsidRDefault="00086B57" w:rsidP="00086B57">
            <w:pPr>
              <w:keepNext w:val="0"/>
              <w:keepLines w:val="0"/>
              <w:numPr>
                <w:ilvl w:val="0"/>
                <w:numId w:val="62"/>
              </w:numPr>
              <w:tabs>
                <w:tab w:val="num" w:pos="720"/>
              </w:tabs>
              <w:spacing w:before="100" w:beforeAutospacing="1" w:after="100" w:afterAutospacing="1"/>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Catering and estates teams</w:t>
            </w:r>
          </w:p>
          <w:p w14:paraId="1DE942F2" w14:textId="77777777" w:rsidR="00086B57" w:rsidRPr="00086B57" w:rsidRDefault="00086B57" w:rsidP="00086B57">
            <w:pPr>
              <w:keepNext w:val="0"/>
              <w:keepLines w:val="0"/>
              <w:numPr>
                <w:ilvl w:val="0"/>
                <w:numId w:val="62"/>
              </w:numPr>
              <w:tabs>
                <w:tab w:val="num" w:pos="720"/>
              </w:tabs>
              <w:spacing w:before="100" w:beforeAutospacing="1" w:after="100" w:afterAutospacing="1"/>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Governance and patient safety teams</w:t>
            </w:r>
          </w:p>
          <w:p w14:paraId="49B94FFC" w14:textId="0E84E30C" w:rsidR="00086B57" w:rsidRPr="00086B57" w:rsidRDefault="24DCCCE0" w:rsidP="1D6E3FFF">
            <w:pPr>
              <w:keepNext w:val="0"/>
              <w:keepLines w:val="0"/>
              <w:numPr>
                <w:ilvl w:val="0"/>
                <w:numId w:val="62"/>
              </w:numPr>
              <w:tabs>
                <w:tab w:val="num" w:pos="720"/>
              </w:tabs>
              <w:spacing w:before="100" w:beforeAutospacing="1" w:after="100" w:afterAutospacing="1"/>
              <w:contextualSpacing w:val="0"/>
              <w:jc w:val="left"/>
              <w:rPr>
                <w:rFonts w:asciiTheme="minorHAnsi" w:eastAsia="Times New Roman" w:hAnsiTheme="minorHAnsi"/>
                <w:sz w:val="22"/>
                <w:szCs w:val="22"/>
                <w:lang w:eastAsia="en-GB"/>
              </w:rPr>
            </w:pPr>
            <w:r w:rsidRPr="1F0E8EA4">
              <w:rPr>
                <w:rFonts w:asciiTheme="minorHAnsi" w:eastAsia="Times New Roman" w:hAnsiTheme="minorHAnsi"/>
                <w:sz w:val="22"/>
                <w:szCs w:val="22"/>
                <w:lang w:eastAsia="en-GB"/>
              </w:rPr>
              <w:t>Service user and carer representatives.</w:t>
            </w:r>
          </w:p>
          <w:p w14:paraId="18B9EDDF" w14:textId="5EC29F24" w:rsidR="00086B57" w:rsidRPr="00086B57" w:rsidRDefault="3474D9DB" w:rsidP="1D6E3FFF">
            <w:pPr>
              <w:keepNext w:val="0"/>
              <w:keepLines w:val="0"/>
              <w:numPr>
                <w:ilvl w:val="0"/>
                <w:numId w:val="62"/>
              </w:numPr>
              <w:tabs>
                <w:tab w:val="num" w:pos="720"/>
              </w:tabs>
              <w:spacing w:before="100" w:beforeAutospacing="1" w:after="100" w:afterAutospacing="1"/>
              <w:contextualSpacing w:val="0"/>
              <w:jc w:val="left"/>
              <w:rPr>
                <w:rFonts w:asciiTheme="minorHAnsi" w:eastAsia="Times New Roman" w:hAnsiTheme="minorHAnsi"/>
                <w:sz w:val="22"/>
                <w:szCs w:val="22"/>
                <w:lang w:eastAsia="en-GB"/>
              </w:rPr>
            </w:pPr>
            <w:r w:rsidRPr="1F0E8EA4">
              <w:rPr>
                <w:rFonts w:asciiTheme="minorHAnsi" w:eastAsia="Times New Roman" w:hAnsiTheme="minorHAnsi"/>
                <w:sz w:val="22"/>
                <w:szCs w:val="22"/>
                <w:lang w:eastAsia="en-GB"/>
              </w:rPr>
              <w:lastRenderedPageBreak/>
              <w:t>Public Health Consultant</w:t>
            </w:r>
          </w:p>
        </w:tc>
      </w:tr>
      <w:tr w:rsidR="00086B57" w:rsidRPr="00086B57" w14:paraId="79F795FA" w14:textId="77777777" w:rsidTr="1F0E8EA4">
        <w:trPr>
          <w:trHeight w:val="480"/>
        </w:trPr>
        <w:tc>
          <w:tcPr>
            <w:tcW w:w="1059" w:type="pct"/>
            <w:vMerge w:val="restart"/>
            <w:vAlign w:val="center"/>
          </w:tcPr>
          <w:p w14:paraId="55B87787"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lastRenderedPageBreak/>
              <w:t xml:space="preserve">Does this service, function or policy impact </w:t>
            </w:r>
            <w:r w:rsidRPr="00086B57">
              <w:rPr>
                <w:rFonts w:asciiTheme="minorHAnsi" w:eastAsiaTheme="minorHAnsi" w:hAnsiTheme="minorHAnsi" w:cs="Arial"/>
                <w:b/>
                <w:bCs/>
                <w:sz w:val="22"/>
                <w:szCs w:val="22"/>
              </w:rPr>
              <w:t>other existing</w:t>
            </w:r>
            <w:r w:rsidRPr="00086B57">
              <w:rPr>
                <w:rFonts w:asciiTheme="minorHAnsi" w:eastAsiaTheme="minorHAnsi" w:hAnsiTheme="minorHAnsi" w:cs="Arial"/>
                <w:sz w:val="22"/>
                <w:szCs w:val="22"/>
              </w:rPr>
              <w:t xml:space="preserve"> </w:t>
            </w:r>
            <w:r w:rsidRPr="00086B57">
              <w:rPr>
                <w:rFonts w:asciiTheme="minorHAnsi" w:eastAsiaTheme="minorHAnsi" w:hAnsiTheme="minorHAnsi" w:cs="Arial"/>
                <w:b/>
                <w:sz w:val="22"/>
                <w:szCs w:val="22"/>
              </w:rPr>
              <w:t>policies</w:t>
            </w:r>
            <w:r w:rsidRPr="00086B57">
              <w:rPr>
                <w:rFonts w:asciiTheme="minorHAnsi" w:eastAsiaTheme="minorHAnsi" w:hAnsiTheme="minorHAnsi" w:cs="Arial"/>
                <w:sz w:val="22"/>
                <w:szCs w:val="22"/>
              </w:rPr>
              <w:t xml:space="preserve">? </w:t>
            </w:r>
          </w:p>
        </w:tc>
        <w:tc>
          <w:tcPr>
            <w:tcW w:w="2137" w:type="pct"/>
            <w:gridSpan w:val="3"/>
            <w:vAlign w:val="center"/>
          </w:tcPr>
          <w:p w14:paraId="20CE5907"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b/>
                <w:sz w:val="22"/>
                <w:szCs w:val="22"/>
              </w:rPr>
              <w:fldChar w:fldCharType="begin">
                <w:ffData>
                  <w:name w:val="Check4"/>
                  <w:enabled/>
                  <w:calcOnExit w:val="0"/>
                  <w:checkBox>
                    <w:sizeAuto/>
                    <w:default w:val="1"/>
                  </w:checkBox>
                </w:ffData>
              </w:fldChar>
            </w:r>
            <w:bookmarkStart w:id="255" w:name="Check4"/>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55"/>
            <w:r w:rsidRPr="00086B57">
              <w:rPr>
                <w:rFonts w:asciiTheme="minorHAnsi" w:eastAsiaTheme="minorHAnsi" w:hAnsiTheme="minorHAnsi" w:cs="Arial"/>
                <w:b/>
                <w:sz w:val="22"/>
                <w:szCs w:val="22"/>
              </w:rPr>
              <w:t xml:space="preserve">     Yes</w:t>
            </w:r>
            <w:r w:rsidRPr="00086B57">
              <w:rPr>
                <w:rFonts w:asciiTheme="minorHAnsi" w:eastAsiaTheme="minorHAnsi" w:hAnsiTheme="minorHAnsi" w:cs="Arial"/>
                <w:sz w:val="22"/>
                <w:szCs w:val="22"/>
              </w:rPr>
              <w:t xml:space="preserve"> </w:t>
            </w:r>
          </w:p>
        </w:tc>
        <w:tc>
          <w:tcPr>
            <w:tcW w:w="1804" w:type="pct"/>
            <w:gridSpan w:val="6"/>
            <w:vAlign w:val="center"/>
          </w:tcPr>
          <w:p w14:paraId="273A12FF"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b/>
                <w:sz w:val="22"/>
                <w:szCs w:val="22"/>
              </w:rPr>
              <w:fldChar w:fldCharType="begin">
                <w:ffData>
                  <w:name w:val="Check5"/>
                  <w:enabled/>
                  <w:calcOnExit w:val="0"/>
                  <w:checkBox>
                    <w:sizeAuto/>
                    <w:default w:val="0"/>
                    <w:checked w:val="0"/>
                  </w:checkBox>
                </w:ffData>
              </w:fldChar>
            </w:r>
            <w:bookmarkStart w:id="256" w:name="Check5"/>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56"/>
            <w:r w:rsidRPr="00086B57">
              <w:rPr>
                <w:rFonts w:asciiTheme="minorHAnsi" w:eastAsiaTheme="minorHAnsi" w:hAnsiTheme="minorHAnsi" w:cs="Arial"/>
                <w:b/>
                <w:sz w:val="22"/>
                <w:szCs w:val="22"/>
              </w:rPr>
              <w:t xml:space="preserve">    No</w:t>
            </w:r>
          </w:p>
        </w:tc>
      </w:tr>
      <w:tr w:rsidR="00086B57" w:rsidRPr="00086B57" w14:paraId="10A3F0C6" w14:textId="77777777" w:rsidTr="1F0E8EA4">
        <w:trPr>
          <w:trHeight w:val="502"/>
        </w:trPr>
        <w:tc>
          <w:tcPr>
            <w:tcW w:w="1059" w:type="pct"/>
            <w:vMerge/>
            <w:vAlign w:val="center"/>
          </w:tcPr>
          <w:p w14:paraId="2A4193C1"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p>
        </w:tc>
        <w:tc>
          <w:tcPr>
            <w:tcW w:w="3941" w:type="pct"/>
            <w:gridSpan w:val="9"/>
          </w:tcPr>
          <w:p w14:paraId="30CE1760"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i/>
                <w:iCs/>
                <w:sz w:val="20"/>
                <w:szCs w:val="20"/>
              </w:rPr>
            </w:pPr>
            <w:r w:rsidRPr="00086B57">
              <w:rPr>
                <w:rFonts w:asciiTheme="minorHAnsi" w:eastAsiaTheme="minorHAnsi" w:hAnsiTheme="minorHAnsi" w:cs="Arial"/>
                <w:i/>
                <w:iCs/>
                <w:sz w:val="20"/>
                <w:szCs w:val="20"/>
              </w:rPr>
              <w:t xml:space="preserve">If </w:t>
            </w:r>
            <w:r w:rsidRPr="00086B57">
              <w:rPr>
                <w:rFonts w:asciiTheme="minorHAnsi" w:eastAsiaTheme="minorHAnsi" w:hAnsiTheme="minorHAnsi" w:cs="Arial"/>
                <w:b/>
                <w:i/>
                <w:iCs/>
                <w:sz w:val="20"/>
                <w:szCs w:val="20"/>
              </w:rPr>
              <w:t>YES,</w:t>
            </w:r>
            <w:r w:rsidRPr="00086B57">
              <w:rPr>
                <w:rFonts w:asciiTheme="minorHAnsi" w:eastAsiaTheme="minorHAnsi" w:hAnsiTheme="minorHAnsi" w:cs="Arial"/>
                <w:i/>
                <w:iCs/>
                <w:sz w:val="20"/>
                <w:szCs w:val="20"/>
              </w:rPr>
              <w:t xml:space="preserve"> what is the impact?</w:t>
            </w:r>
          </w:p>
          <w:p w14:paraId="6D63838E" w14:textId="77777777" w:rsidR="00086B57" w:rsidRPr="00086B57" w:rsidRDefault="00086B57" w:rsidP="00086B57">
            <w:pPr>
              <w:keepNext w:val="0"/>
              <w:keepLines w:val="0"/>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This policy aligns with and complements other Trust policies including:</w:t>
            </w:r>
          </w:p>
          <w:p w14:paraId="1DBADBF2" w14:textId="77777777" w:rsidR="00086B57" w:rsidRPr="00086B57" w:rsidRDefault="00086B57" w:rsidP="00086B57">
            <w:pPr>
              <w:keepNext w:val="0"/>
              <w:keepLines w:val="0"/>
              <w:numPr>
                <w:ilvl w:val="0"/>
                <w:numId w:val="63"/>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Physical Health Policy</w:t>
            </w:r>
          </w:p>
          <w:p w14:paraId="2494820C" w14:textId="77777777" w:rsidR="00086B57" w:rsidRPr="00086B57" w:rsidRDefault="00086B57" w:rsidP="00086B57">
            <w:pPr>
              <w:keepNext w:val="0"/>
              <w:keepLines w:val="0"/>
              <w:numPr>
                <w:ilvl w:val="0"/>
                <w:numId w:val="63"/>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Food Safety and Hygiene Policy</w:t>
            </w:r>
          </w:p>
          <w:p w14:paraId="704DC380" w14:textId="77777777" w:rsidR="00086B57" w:rsidRPr="00086B57" w:rsidRDefault="00086B57" w:rsidP="00086B57">
            <w:pPr>
              <w:keepNext w:val="0"/>
              <w:keepLines w:val="0"/>
              <w:numPr>
                <w:ilvl w:val="0"/>
                <w:numId w:val="63"/>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Refeeding Syndrome Policy</w:t>
            </w:r>
          </w:p>
          <w:p w14:paraId="7251E7BA" w14:textId="77777777" w:rsidR="00086B57" w:rsidRPr="00086B57" w:rsidRDefault="00086B57" w:rsidP="00086B57">
            <w:pPr>
              <w:keepNext w:val="0"/>
              <w:keepLines w:val="0"/>
              <w:numPr>
                <w:ilvl w:val="0"/>
                <w:numId w:val="63"/>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Safe Use of Insulin Policy</w:t>
            </w:r>
          </w:p>
          <w:p w14:paraId="4B33CFDE" w14:textId="77777777" w:rsidR="00086B57" w:rsidRPr="00086B57" w:rsidRDefault="00086B57" w:rsidP="00086B57">
            <w:pPr>
              <w:keepNext w:val="0"/>
              <w:keepLines w:val="0"/>
              <w:numPr>
                <w:ilvl w:val="0"/>
                <w:numId w:val="63"/>
              </w:numPr>
              <w:tabs>
                <w:tab w:val="num" w:pos="720"/>
              </w:tabs>
              <w:spacing w:before="0"/>
              <w:contextualSpacing w:val="0"/>
              <w:jc w:val="left"/>
              <w:outlineLvl w:val="9"/>
              <w:rPr>
                <w:rFonts w:asciiTheme="minorHAnsi" w:eastAsia="Times New Roman" w:hAnsiTheme="minorHAnsi" w:cstheme="minorHAnsi"/>
                <w:sz w:val="22"/>
                <w:szCs w:val="22"/>
                <w:lang w:eastAsia="en-GB"/>
              </w:rPr>
            </w:pPr>
            <w:r w:rsidRPr="00086B57">
              <w:rPr>
                <w:rFonts w:asciiTheme="minorHAnsi" w:eastAsia="Times New Roman" w:hAnsiTheme="minorHAnsi" w:cstheme="minorHAnsi"/>
                <w:sz w:val="22"/>
                <w:szCs w:val="22"/>
                <w:lang w:eastAsia="en-GB"/>
              </w:rPr>
              <w:t>Mental Capacity Act and Restrictive Practice policies.</w:t>
            </w:r>
          </w:p>
          <w:p w14:paraId="1DBA56E2" w14:textId="77777777" w:rsidR="00086B57" w:rsidRPr="00086B57" w:rsidRDefault="00086B57" w:rsidP="00086B57">
            <w:pPr>
              <w:keepNext w:val="0"/>
              <w:keepLines w:val="0"/>
              <w:spacing w:before="100" w:beforeAutospacing="1" w:after="100" w:afterAutospacing="1"/>
              <w:contextualSpacing w:val="0"/>
              <w:jc w:val="left"/>
              <w:outlineLvl w:val="9"/>
              <w:rPr>
                <w:rFonts w:ascii="Times New Roman" w:eastAsia="Times New Roman" w:hAnsi="Times New Roman" w:cs="Times New Roman"/>
                <w:lang w:eastAsia="en-GB"/>
              </w:rPr>
            </w:pPr>
            <w:r w:rsidRPr="00086B57">
              <w:rPr>
                <w:rFonts w:asciiTheme="minorHAnsi" w:eastAsia="Times New Roman" w:hAnsiTheme="minorHAnsi" w:cstheme="minorHAnsi"/>
                <w:sz w:val="22"/>
                <w:szCs w:val="22"/>
                <w:lang w:eastAsia="en-GB"/>
              </w:rPr>
              <w:t>It clarifies responsibilities and ensures consistency between clinical nutrition care and other aspects of physical healthcare.</w:t>
            </w:r>
          </w:p>
        </w:tc>
      </w:tr>
      <w:tr w:rsidR="00086B57" w:rsidRPr="00086B57" w14:paraId="05047873" w14:textId="77777777" w:rsidTr="1F0E8EA4">
        <w:trPr>
          <w:trHeight w:val="416"/>
        </w:trPr>
        <w:tc>
          <w:tcPr>
            <w:tcW w:w="1059" w:type="pct"/>
            <w:vMerge w:val="restart"/>
            <w:vAlign w:val="center"/>
          </w:tcPr>
          <w:p w14:paraId="7C589925"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 xml:space="preserve">Is there any </w:t>
            </w:r>
            <w:r w:rsidRPr="00086B57">
              <w:rPr>
                <w:rFonts w:asciiTheme="minorHAnsi" w:eastAsiaTheme="minorHAnsi" w:hAnsiTheme="minorHAnsi" w:cs="Arial"/>
                <w:b/>
                <w:bCs/>
                <w:sz w:val="22"/>
                <w:szCs w:val="22"/>
              </w:rPr>
              <w:t>data</w:t>
            </w:r>
            <w:r w:rsidRPr="00086B57">
              <w:rPr>
                <w:rFonts w:asciiTheme="minorHAnsi" w:eastAsiaTheme="minorHAnsi" w:hAnsiTheme="minorHAnsi" w:cs="Arial"/>
                <w:sz w:val="22"/>
                <w:szCs w:val="22"/>
              </w:rPr>
              <w:t xml:space="preserve"> available that influences, affects, or shapes this Equality Impact Assessment?</w:t>
            </w:r>
          </w:p>
          <w:p w14:paraId="6DF809A3"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p>
        </w:tc>
        <w:tc>
          <w:tcPr>
            <w:tcW w:w="2178" w:type="pct"/>
            <w:gridSpan w:val="4"/>
            <w:vAlign w:val="center"/>
          </w:tcPr>
          <w:p w14:paraId="5F96B351"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b/>
                <w:bCs/>
                <w:sz w:val="22"/>
                <w:szCs w:val="22"/>
              </w:rPr>
            </w:pPr>
            <w:r w:rsidRPr="00086B57">
              <w:rPr>
                <w:rFonts w:asciiTheme="minorHAnsi" w:eastAsiaTheme="minorHAnsi" w:hAnsiTheme="minorHAnsi" w:cs="Arial"/>
                <w:b/>
                <w:bCs/>
                <w:sz w:val="22"/>
                <w:szCs w:val="22"/>
              </w:rPr>
              <w:fldChar w:fldCharType="begin">
                <w:ffData>
                  <w:name w:val="Check66"/>
                  <w:enabled/>
                  <w:calcOnExit w:val="0"/>
                  <w:checkBox>
                    <w:sizeAuto/>
                    <w:default w:val="1"/>
                  </w:checkBox>
                </w:ffData>
              </w:fldChar>
            </w:r>
            <w:bookmarkStart w:id="257" w:name="Check66"/>
            <w:r w:rsidRPr="00086B57">
              <w:rPr>
                <w:rFonts w:asciiTheme="minorHAnsi" w:eastAsiaTheme="minorHAnsi" w:hAnsiTheme="minorHAnsi" w:cs="Arial"/>
                <w:b/>
                <w:bCs/>
                <w:sz w:val="22"/>
                <w:szCs w:val="22"/>
              </w:rPr>
              <w:instrText xml:space="preserve"> FORMCHECKBOX </w:instrText>
            </w:r>
            <w:r w:rsidRPr="00086B57">
              <w:rPr>
                <w:rFonts w:asciiTheme="minorHAnsi" w:eastAsiaTheme="minorHAnsi" w:hAnsiTheme="minorHAnsi" w:cs="Arial"/>
                <w:b/>
                <w:bCs/>
                <w:sz w:val="22"/>
                <w:szCs w:val="22"/>
              </w:rPr>
            </w:r>
            <w:r w:rsidRPr="00086B57">
              <w:rPr>
                <w:rFonts w:asciiTheme="minorHAnsi" w:eastAsiaTheme="minorHAnsi" w:hAnsiTheme="minorHAnsi" w:cs="Arial"/>
                <w:b/>
                <w:bCs/>
                <w:sz w:val="22"/>
                <w:szCs w:val="22"/>
              </w:rPr>
              <w:fldChar w:fldCharType="separate"/>
            </w:r>
            <w:r w:rsidRPr="00086B57">
              <w:rPr>
                <w:rFonts w:asciiTheme="minorHAnsi" w:eastAsiaTheme="minorHAnsi" w:hAnsiTheme="minorHAnsi" w:cs="Arial"/>
                <w:b/>
                <w:bCs/>
                <w:sz w:val="22"/>
                <w:szCs w:val="22"/>
              </w:rPr>
              <w:fldChar w:fldCharType="end"/>
            </w:r>
            <w:bookmarkEnd w:id="257"/>
            <w:r w:rsidRPr="00086B57">
              <w:rPr>
                <w:rFonts w:asciiTheme="minorHAnsi" w:eastAsiaTheme="minorHAnsi" w:hAnsiTheme="minorHAnsi" w:cs="Arial"/>
                <w:b/>
                <w:bCs/>
                <w:sz w:val="22"/>
                <w:szCs w:val="22"/>
              </w:rPr>
              <w:t xml:space="preserve">    Yes</w:t>
            </w:r>
          </w:p>
        </w:tc>
        <w:tc>
          <w:tcPr>
            <w:tcW w:w="1763" w:type="pct"/>
            <w:gridSpan w:val="5"/>
            <w:vAlign w:val="center"/>
          </w:tcPr>
          <w:p w14:paraId="336A0311" w14:textId="3BA7311A"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sz w:val="22"/>
                <w:szCs w:val="22"/>
              </w:rPr>
            </w:pPr>
            <w:r w:rsidRPr="1D6E3FFF">
              <w:rPr>
                <w:rFonts w:asciiTheme="minorHAnsi" w:eastAsiaTheme="minorEastAsia" w:hAnsiTheme="minorHAnsi" w:cs="Arial"/>
                <w:b/>
                <w:bCs/>
                <w:sz w:val="22"/>
                <w:szCs w:val="22"/>
              </w:rPr>
              <w:fldChar w:fldCharType="begin">
                <w:ffData>
                  <w:name w:val="Check65"/>
                  <w:enabled/>
                  <w:calcOnExit w:val="0"/>
                  <w:checkBox>
                    <w:sizeAuto/>
                    <w:default w:val="0"/>
                    <w:checked w:val="0"/>
                  </w:checkBox>
                </w:ffData>
              </w:fldChar>
            </w:r>
            <w:bookmarkStart w:id="258" w:name="Check65"/>
            <w:r w:rsidRPr="1D6E3FFF">
              <w:rPr>
                <w:rFonts w:asciiTheme="minorHAnsi" w:eastAsiaTheme="minorEastAsia" w:hAnsiTheme="minorHAnsi" w:cs="Arial"/>
                <w:b/>
                <w:bCs/>
                <w:sz w:val="22"/>
                <w:szCs w:val="22"/>
              </w:rPr>
              <w:instrText xml:space="preserve"> FORMCHECKBOX </w:instrText>
            </w:r>
            <w:r w:rsidRPr="1D6E3FFF">
              <w:rPr>
                <w:rFonts w:asciiTheme="minorHAnsi" w:eastAsiaTheme="minorEastAsia" w:hAnsiTheme="minorHAnsi" w:cs="Arial"/>
                <w:b/>
                <w:bCs/>
                <w:sz w:val="22"/>
                <w:szCs w:val="22"/>
              </w:rPr>
            </w:r>
            <w:r w:rsidRPr="1D6E3FFF">
              <w:rPr>
                <w:rFonts w:asciiTheme="minorHAnsi" w:eastAsiaTheme="minorEastAsia" w:hAnsiTheme="minorHAnsi" w:cs="Arial"/>
                <w:b/>
                <w:bCs/>
                <w:sz w:val="22"/>
                <w:szCs w:val="22"/>
              </w:rPr>
              <w:fldChar w:fldCharType="separate"/>
            </w:r>
            <w:r w:rsidRPr="1D6E3FFF">
              <w:rPr>
                <w:rFonts w:asciiTheme="minorHAnsi" w:eastAsiaTheme="minorEastAsia" w:hAnsiTheme="minorHAnsi" w:cs="Arial"/>
                <w:b/>
                <w:bCs/>
                <w:sz w:val="22"/>
                <w:szCs w:val="22"/>
              </w:rPr>
              <w:fldChar w:fldCharType="end"/>
            </w:r>
            <w:bookmarkEnd w:id="258"/>
            <w:r w:rsidR="24DCCCE0" w:rsidRPr="1D6E3FFF">
              <w:rPr>
                <w:rFonts w:asciiTheme="minorHAnsi" w:eastAsiaTheme="minorEastAsia" w:hAnsiTheme="minorHAnsi" w:cs="Arial"/>
                <w:b/>
                <w:bCs/>
                <w:sz w:val="22"/>
                <w:szCs w:val="22"/>
              </w:rPr>
              <w:t xml:space="preserve">   No</w:t>
            </w:r>
            <w:r w:rsidR="117C08D1" w:rsidRPr="1D6E3FFF">
              <w:rPr>
                <w:rFonts w:asciiTheme="minorHAnsi" w:eastAsiaTheme="minorEastAsia" w:hAnsiTheme="minorHAnsi" w:cs="Arial"/>
                <w:b/>
                <w:bCs/>
                <w:sz w:val="22"/>
                <w:szCs w:val="22"/>
              </w:rPr>
              <w:t xml:space="preserve">  </w:t>
            </w:r>
          </w:p>
        </w:tc>
      </w:tr>
      <w:tr w:rsidR="00086B57" w:rsidRPr="00086B57" w14:paraId="7577A974" w14:textId="77777777" w:rsidTr="1F0E8EA4">
        <w:trPr>
          <w:trHeight w:val="301"/>
        </w:trPr>
        <w:tc>
          <w:tcPr>
            <w:tcW w:w="1059" w:type="pct"/>
            <w:vMerge/>
            <w:vAlign w:val="center"/>
          </w:tcPr>
          <w:p w14:paraId="178D7C04"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p>
        </w:tc>
        <w:tc>
          <w:tcPr>
            <w:tcW w:w="3941" w:type="pct"/>
            <w:gridSpan w:val="9"/>
          </w:tcPr>
          <w:p w14:paraId="29DB6DB0"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i/>
                <w:iCs/>
                <w:sz w:val="20"/>
                <w:szCs w:val="20"/>
              </w:rPr>
            </w:pPr>
            <w:r w:rsidRPr="00086B57">
              <w:rPr>
                <w:rFonts w:asciiTheme="minorHAnsi" w:eastAsiaTheme="minorHAnsi" w:hAnsiTheme="minorHAnsi" w:cs="Arial"/>
                <w:i/>
                <w:iCs/>
                <w:sz w:val="20"/>
                <w:szCs w:val="20"/>
              </w:rPr>
              <w:t xml:space="preserve">If </w:t>
            </w:r>
            <w:r w:rsidRPr="00086B57">
              <w:rPr>
                <w:rFonts w:asciiTheme="minorHAnsi" w:eastAsiaTheme="minorHAnsi" w:hAnsiTheme="minorHAnsi" w:cs="Arial"/>
                <w:b/>
                <w:i/>
                <w:iCs/>
                <w:sz w:val="20"/>
                <w:szCs w:val="20"/>
              </w:rPr>
              <w:t>YES,</w:t>
            </w:r>
            <w:r w:rsidRPr="00086B57">
              <w:rPr>
                <w:rFonts w:asciiTheme="minorHAnsi" w:eastAsiaTheme="minorHAnsi" w:hAnsiTheme="minorHAnsi" w:cs="Arial"/>
                <w:i/>
                <w:iCs/>
                <w:sz w:val="20"/>
                <w:szCs w:val="20"/>
              </w:rPr>
              <w:t xml:space="preserve"> provide further details</w:t>
            </w:r>
          </w:p>
          <w:p w14:paraId="620BB04F"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Evidence informing the policy includes national data demonstrating higher prevalence of obesity, diabetes and cardiovascular disease among people living with severe mental illness, as well as increased risk of malnutrition and dehydration among vulnerable groups including older adults and people with learning disabilities. National guidance on nutrition support, hospital food standards and eating disorder care has also informed policy development.</w:t>
            </w:r>
          </w:p>
        </w:tc>
      </w:tr>
      <w:tr w:rsidR="00086B57" w:rsidRPr="00086B57" w14:paraId="49A256D5" w14:textId="77777777" w:rsidTr="1F0E8EA4">
        <w:trPr>
          <w:trHeight w:val="388"/>
        </w:trPr>
        <w:tc>
          <w:tcPr>
            <w:tcW w:w="1059" w:type="pct"/>
            <w:vMerge w:val="restart"/>
            <w:vAlign w:val="center"/>
          </w:tcPr>
          <w:p w14:paraId="0AACB06B"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 xml:space="preserve">Are there </w:t>
            </w:r>
            <w:r w:rsidRPr="00086B57">
              <w:rPr>
                <w:rFonts w:asciiTheme="minorHAnsi" w:eastAsiaTheme="minorHAnsi" w:hAnsiTheme="minorHAnsi" w:cs="Arial"/>
                <w:b/>
                <w:bCs/>
                <w:sz w:val="22"/>
                <w:szCs w:val="22"/>
              </w:rPr>
              <w:t>gaps</w:t>
            </w:r>
            <w:r w:rsidRPr="00086B57">
              <w:rPr>
                <w:rFonts w:asciiTheme="minorHAnsi" w:eastAsiaTheme="minorHAnsi" w:hAnsiTheme="minorHAnsi" w:cs="Arial"/>
                <w:sz w:val="22"/>
                <w:szCs w:val="22"/>
              </w:rPr>
              <w:t xml:space="preserve"> in information?</w:t>
            </w:r>
          </w:p>
          <w:p w14:paraId="1DF8B44B"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i/>
                <w:iCs/>
                <w:sz w:val="22"/>
                <w:szCs w:val="22"/>
              </w:rPr>
            </w:pPr>
            <w:r w:rsidRPr="00086B57">
              <w:rPr>
                <w:rFonts w:asciiTheme="minorHAnsi" w:eastAsiaTheme="minorHAnsi" w:hAnsiTheme="minorHAnsi" w:cs="Arial"/>
                <w:i/>
                <w:iCs/>
                <w:sz w:val="20"/>
                <w:szCs w:val="20"/>
              </w:rPr>
              <w:t>Consider groups that you have not directly engaged with, or existing data that does not provide then full picture.</w:t>
            </w:r>
          </w:p>
        </w:tc>
        <w:tc>
          <w:tcPr>
            <w:tcW w:w="2137" w:type="pct"/>
            <w:gridSpan w:val="3"/>
            <w:vAlign w:val="center"/>
          </w:tcPr>
          <w:p w14:paraId="6929564B" w14:textId="74E0E40C"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sz w:val="22"/>
                <w:szCs w:val="22"/>
              </w:rPr>
            </w:pPr>
            <w:r w:rsidRPr="1D6E3FFF">
              <w:rPr>
                <w:rFonts w:asciiTheme="minorHAnsi" w:eastAsiaTheme="minorEastAsia" w:hAnsiTheme="minorHAnsi" w:cs="Arial"/>
                <w:b/>
                <w:bCs/>
                <w:sz w:val="22"/>
                <w:szCs w:val="22"/>
              </w:rPr>
              <w:fldChar w:fldCharType="begin">
                <w:ffData>
                  <w:name w:val="Check6"/>
                  <w:enabled/>
                  <w:calcOnExit w:val="0"/>
                  <w:checkBox>
                    <w:sizeAuto/>
                    <w:default w:val="0"/>
                  </w:checkBox>
                </w:ffData>
              </w:fldChar>
            </w:r>
            <w:bookmarkStart w:id="259" w:name="Check6"/>
            <w:r w:rsidRPr="1D6E3FFF">
              <w:rPr>
                <w:rFonts w:asciiTheme="minorHAnsi" w:eastAsiaTheme="minorEastAsia" w:hAnsiTheme="minorHAnsi" w:cs="Arial"/>
                <w:b/>
                <w:bCs/>
                <w:sz w:val="22"/>
                <w:szCs w:val="22"/>
              </w:rPr>
              <w:instrText xml:space="preserve"> FORMCHECKBOX </w:instrText>
            </w:r>
            <w:r w:rsidRPr="1D6E3FFF">
              <w:rPr>
                <w:rFonts w:asciiTheme="minorHAnsi" w:eastAsiaTheme="minorEastAsia" w:hAnsiTheme="minorHAnsi" w:cs="Arial"/>
                <w:b/>
                <w:bCs/>
                <w:sz w:val="22"/>
                <w:szCs w:val="22"/>
              </w:rPr>
            </w:r>
            <w:r w:rsidRPr="1D6E3FFF">
              <w:rPr>
                <w:rFonts w:asciiTheme="minorHAnsi" w:eastAsiaTheme="minorEastAsia" w:hAnsiTheme="minorHAnsi" w:cs="Arial"/>
                <w:b/>
                <w:bCs/>
                <w:sz w:val="22"/>
                <w:szCs w:val="22"/>
              </w:rPr>
              <w:fldChar w:fldCharType="separate"/>
            </w:r>
            <w:r w:rsidRPr="1D6E3FFF">
              <w:rPr>
                <w:rFonts w:asciiTheme="minorHAnsi" w:eastAsiaTheme="minorEastAsia" w:hAnsiTheme="minorHAnsi" w:cs="Arial"/>
                <w:b/>
                <w:bCs/>
                <w:sz w:val="22"/>
                <w:szCs w:val="22"/>
              </w:rPr>
              <w:fldChar w:fldCharType="end"/>
            </w:r>
            <w:bookmarkEnd w:id="259"/>
            <w:r w:rsidR="24DCCCE0" w:rsidRPr="1D6E3FFF">
              <w:rPr>
                <w:rFonts w:asciiTheme="minorHAnsi" w:eastAsiaTheme="minorEastAsia" w:hAnsiTheme="minorHAnsi" w:cs="Arial"/>
                <w:b/>
                <w:bCs/>
                <w:sz w:val="22"/>
                <w:szCs w:val="22"/>
              </w:rPr>
              <w:t xml:space="preserve">    Yes</w:t>
            </w:r>
            <w:r w:rsidR="24DCCCE0" w:rsidRPr="1D6E3FFF">
              <w:rPr>
                <w:rFonts w:asciiTheme="minorHAnsi" w:eastAsiaTheme="minorEastAsia" w:hAnsiTheme="minorHAnsi" w:cs="Arial"/>
                <w:sz w:val="22"/>
                <w:szCs w:val="22"/>
              </w:rPr>
              <w:t xml:space="preserve"> </w:t>
            </w:r>
          </w:p>
        </w:tc>
        <w:tc>
          <w:tcPr>
            <w:tcW w:w="1804" w:type="pct"/>
            <w:gridSpan w:val="6"/>
            <w:vAlign w:val="center"/>
          </w:tcPr>
          <w:p w14:paraId="71E06C29"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sz w:val="22"/>
                <w:szCs w:val="22"/>
              </w:rPr>
            </w:pPr>
            <w:r w:rsidRPr="00086B57">
              <w:rPr>
                <w:rFonts w:asciiTheme="minorHAnsi" w:eastAsiaTheme="minorHAnsi" w:hAnsiTheme="minorHAnsi" w:cs="Arial"/>
                <w:b/>
                <w:sz w:val="22"/>
                <w:szCs w:val="22"/>
              </w:rPr>
              <w:fldChar w:fldCharType="begin">
                <w:ffData>
                  <w:name w:val="Check7"/>
                  <w:enabled/>
                  <w:calcOnExit w:val="0"/>
                  <w:checkBox>
                    <w:sizeAuto/>
                    <w:default w:val="1"/>
                  </w:checkBox>
                </w:ffData>
              </w:fldChar>
            </w:r>
            <w:bookmarkStart w:id="260" w:name="Check7"/>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60"/>
            <w:r w:rsidRPr="00086B57">
              <w:rPr>
                <w:rFonts w:asciiTheme="minorHAnsi" w:eastAsiaTheme="minorHAnsi" w:hAnsiTheme="minorHAnsi" w:cs="Arial"/>
                <w:b/>
                <w:sz w:val="22"/>
                <w:szCs w:val="22"/>
              </w:rPr>
              <w:t xml:space="preserve">    No</w:t>
            </w:r>
            <w:r w:rsidRPr="00086B57">
              <w:rPr>
                <w:rFonts w:asciiTheme="minorHAnsi" w:eastAsiaTheme="minorHAnsi" w:hAnsiTheme="minorHAnsi" w:cs="Arial"/>
                <w:sz w:val="22"/>
                <w:szCs w:val="22"/>
              </w:rPr>
              <w:t xml:space="preserve"> </w:t>
            </w:r>
          </w:p>
        </w:tc>
      </w:tr>
      <w:tr w:rsidR="00086B57" w:rsidRPr="00086B57" w14:paraId="612B8EEE" w14:textId="77777777" w:rsidTr="1F0E8EA4">
        <w:trPr>
          <w:trHeight w:val="528"/>
        </w:trPr>
        <w:tc>
          <w:tcPr>
            <w:tcW w:w="1059" w:type="pct"/>
            <w:vMerge/>
            <w:vAlign w:val="center"/>
          </w:tcPr>
          <w:p w14:paraId="73E9FF9E"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p>
        </w:tc>
        <w:tc>
          <w:tcPr>
            <w:tcW w:w="3941" w:type="pct"/>
            <w:gridSpan w:val="9"/>
          </w:tcPr>
          <w:p w14:paraId="73005338"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i/>
                <w:iCs/>
                <w:sz w:val="20"/>
                <w:szCs w:val="20"/>
              </w:rPr>
            </w:pPr>
            <w:r w:rsidRPr="00086B57">
              <w:rPr>
                <w:rFonts w:asciiTheme="minorHAnsi" w:eastAsiaTheme="minorHAnsi" w:hAnsiTheme="minorHAnsi" w:cs="Arial"/>
                <w:i/>
                <w:iCs/>
                <w:sz w:val="20"/>
                <w:szCs w:val="20"/>
              </w:rPr>
              <w:t xml:space="preserve">If </w:t>
            </w:r>
            <w:r w:rsidRPr="00086B57">
              <w:rPr>
                <w:rFonts w:asciiTheme="minorHAnsi" w:eastAsiaTheme="minorHAnsi" w:hAnsiTheme="minorHAnsi" w:cs="Arial"/>
                <w:b/>
                <w:i/>
                <w:iCs/>
                <w:sz w:val="20"/>
                <w:szCs w:val="20"/>
              </w:rPr>
              <w:t>YES,</w:t>
            </w:r>
            <w:r w:rsidRPr="00086B57">
              <w:rPr>
                <w:rFonts w:asciiTheme="minorHAnsi" w:eastAsiaTheme="minorHAnsi" w:hAnsiTheme="minorHAnsi" w:cs="Arial"/>
                <w:i/>
                <w:iCs/>
                <w:sz w:val="20"/>
                <w:szCs w:val="20"/>
              </w:rPr>
              <w:t xml:space="preserve"> how will they be addressed?</w:t>
            </w:r>
          </w:p>
          <w:p w14:paraId="6E85913D"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i/>
                <w:iCs/>
                <w:sz w:val="20"/>
                <w:szCs w:val="20"/>
              </w:rPr>
            </w:pPr>
            <w:r w:rsidRPr="00086B57">
              <w:rPr>
                <w:rFonts w:asciiTheme="minorHAnsi" w:eastAsiaTheme="minorHAnsi" w:hAnsiTheme="minorHAnsi" w:cs="Arial"/>
                <w:i/>
                <w:iCs/>
                <w:sz w:val="20"/>
                <w:szCs w:val="20"/>
              </w:rPr>
              <w:t>What additional information is required?</w:t>
            </w:r>
          </w:p>
          <w:p w14:paraId="57533A21" w14:textId="2E62F535" w:rsidR="00086B57" w:rsidRPr="00086B57" w:rsidRDefault="348DFF79" w:rsidP="1D6E3FFF">
            <w:pPr>
              <w:keepNext w:val="0"/>
              <w:keepLines w:val="0"/>
              <w:spacing w:before="0" w:after="160"/>
              <w:contextualSpacing w:val="0"/>
              <w:jc w:val="left"/>
              <w:rPr>
                <w:rFonts w:asciiTheme="minorHAnsi" w:eastAsiaTheme="minorEastAsia" w:hAnsiTheme="minorHAnsi" w:cs="Arial"/>
                <w:i/>
                <w:iCs/>
                <w:sz w:val="20"/>
                <w:szCs w:val="20"/>
              </w:rPr>
            </w:pPr>
            <w:proofErr w:type="spellStart"/>
            <w:r w:rsidRPr="1D6E3FFF">
              <w:rPr>
                <w:rFonts w:asciiTheme="minorHAnsi" w:eastAsiaTheme="minorEastAsia" w:hAnsiTheme="minorHAnsi" w:cs="Arial"/>
                <w:i/>
                <w:iCs/>
                <w:sz w:val="20"/>
                <w:szCs w:val="20"/>
              </w:rPr>
              <w:t>ly</w:t>
            </w:r>
            <w:proofErr w:type="spellEnd"/>
            <w:r w:rsidRPr="1D6E3FFF">
              <w:rPr>
                <w:rFonts w:asciiTheme="minorHAnsi" w:eastAsiaTheme="minorEastAsia" w:hAnsiTheme="minorHAnsi" w:cs="Arial"/>
                <w:i/>
                <w:iCs/>
                <w:sz w:val="20"/>
                <w:szCs w:val="20"/>
              </w:rPr>
              <w:t xml:space="preserve"> involved in policy reviews. </w:t>
            </w:r>
          </w:p>
          <w:p w14:paraId="2EE9FA14"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p>
        </w:tc>
      </w:tr>
      <w:tr w:rsidR="00086B57" w:rsidRPr="00086B57" w14:paraId="5BD1A46B" w14:textId="77777777" w:rsidTr="1F0E8EA4">
        <w:trPr>
          <w:trHeight w:val="208"/>
        </w:trPr>
        <w:tc>
          <w:tcPr>
            <w:tcW w:w="1059" w:type="pct"/>
            <w:vMerge w:val="restart"/>
            <w:vAlign w:val="center"/>
          </w:tcPr>
          <w:p w14:paraId="5F172D1B"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 xml:space="preserve">Does the service, function or policy have a </w:t>
            </w:r>
            <w:r w:rsidRPr="00086B57">
              <w:rPr>
                <w:rFonts w:asciiTheme="minorHAnsi" w:eastAsiaTheme="minorHAnsi" w:hAnsiTheme="minorHAnsi" w:cs="Arial"/>
                <w:b/>
                <w:bCs/>
                <w:sz w:val="22"/>
                <w:szCs w:val="22"/>
              </w:rPr>
              <w:t>negative</w:t>
            </w:r>
            <w:r w:rsidRPr="00086B57">
              <w:rPr>
                <w:rFonts w:asciiTheme="minorHAnsi" w:eastAsiaTheme="minorHAnsi" w:hAnsiTheme="minorHAnsi" w:cs="Arial"/>
                <w:sz w:val="22"/>
                <w:szCs w:val="22"/>
              </w:rPr>
              <w:t xml:space="preserve"> impact on any </w:t>
            </w:r>
            <w:bookmarkStart w:id="261" w:name="_Int_aujRKd5i"/>
            <w:r w:rsidRPr="00086B57">
              <w:rPr>
                <w:rFonts w:asciiTheme="minorHAnsi" w:eastAsiaTheme="minorHAnsi" w:hAnsiTheme="minorHAnsi" w:cs="Arial"/>
                <w:sz w:val="22"/>
                <w:szCs w:val="22"/>
              </w:rPr>
              <w:t>particular group</w:t>
            </w:r>
            <w:bookmarkEnd w:id="261"/>
            <w:r w:rsidRPr="00086B57">
              <w:rPr>
                <w:rFonts w:asciiTheme="minorHAnsi" w:eastAsiaTheme="minorHAnsi" w:hAnsiTheme="minorHAnsi" w:cs="Arial"/>
                <w:sz w:val="22"/>
                <w:szCs w:val="22"/>
              </w:rPr>
              <w:t>?</w:t>
            </w:r>
          </w:p>
          <w:p w14:paraId="172A4D30"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p w14:paraId="4CDFDEE3"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p>
        </w:tc>
        <w:tc>
          <w:tcPr>
            <w:tcW w:w="2178" w:type="pct"/>
            <w:gridSpan w:val="4"/>
          </w:tcPr>
          <w:p w14:paraId="43768A00"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t>Protected Characteristic</w:t>
            </w:r>
          </w:p>
        </w:tc>
        <w:tc>
          <w:tcPr>
            <w:tcW w:w="701" w:type="pct"/>
          </w:tcPr>
          <w:p w14:paraId="3598EC2E"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t>Yes</w:t>
            </w:r>
          </w:p>
        </w:tc>
        <w:tc>
          <w:tcPr>
            <w:tcW w:w="489" w:type="pct"/>
            <w:gridSpan w:val="3"/>
          </w:tcPr>
          <w:p w14:paraId="46A973CE"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t>No</w:t>
            </w:r>
          </w:p>
        </w:tc>
        <w:tc>
          <w:tcPr>
            <w:tcW w:w="573" w:type="pct"/>
          </w:tcPr>
          <w:p w14:paraId="6DCC9088"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t>Unclear</w:t>
            </w:r>
          </w:p>
        </w:tc>
      </w:tr>
      <w:tr w:rsidR="00086B57" w:rsidRPr="00086B57" w14:paraId="3210B218" w14:textId="77777777" w:rsidTr="1F0E8EA4">
        <w:trPr>
          <w:trHeight w:val="200"/>
        </w:trPr>
        <w:tc>
          <w:tcPr>
            <w:tcW w:w="1059" w:type="pct"/>
            <w:vMerge/>
            <w:vAlign w:val="center"/>
          </w:tcPr>
          <w:p w14:paraId="149D962F"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2178" w:type="pct"/>
            <w:gridSpan w:val="4"/>
          </w:tcPr>
          <w:p w14:paraId="7C973F78"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Cs/>
                <w:sz w:val="22"/>
                <w:szCs w:val="22"/>
              </w:rPr>
            </w:pPr>
            <w:r w:rsidRPr="00086B57">
              <w:rPr>
                <w:rFonts w:asciiTheme="minorHAnsi" w:eastAsiaTheme="minorHAnsi" w:hAnsiTheme="minorHAnsi" w:cs="Arial"/>
                <w:bCs/>
                <w:sz w:val="22"/>
                <w:szCs w:val="22"/>
              </w:rPr>
              <w:t>Age</w:t>
            </w:r>
          </w:p>
        </w:tc>
        <w:tc>
          <w:tcPr>
            <w:tcW w:w="701" w:type="pct"/>
          </w:tcPr>
          <w:p w14:paraId="516AD9DA"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12"/>
                  <w:enabled/>
                  <w:calcOnExit w:val="0"/>
                  <w:checkBox>
                    <w:sizeAuto/>
                    <w:default w:val="0"/>
                  </w:checkBox>
                </w:ffData>
              </w:fldChar>
            </w:r>
            <w:r w:rsidRPr="00086B57">
              <w:rPr>
                <w:rFonts w:asciiTheme="minorHAnsi" w:eastAsiaTheme="minorHAnsi" w:hAnsiTheme="minorHAnsi" w:cs="Arial"/>
                <w:b/>
                <w:sz w:val="22"/>
                <w:szCs w:val="22"/>
              </w:rPr>
              <w:instrText xml:space="preserve"> </w:instrText>
            </w:r>
            <w:bookmarkStart w:id="262" w:name="Check12"/>
            <w:r w:rsidRPr="00086B57">
              <w:rPr>
                <w:rFonts w:asciiTheme="minorHAnsi" w:eastAsiaTheme="minorHAnsi" w:hAnsiTheme="minorHAnsi" w:cs="Arial"/>
                <w:b/>
                <w:sz w:val="22"/>
                <w:szCs w:val="22"/>
              </w:rPr>
              <w:instrText xml:space="preserve">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62"/>
          </w:p>
        </w:tc>
        <w:tc>
          <w:tcPr>
            <w:tcW w:w="489" w:type="pct"/>
            <w:gridSpan w:val="3"/>
          </w:tcPr>
          <w:p w14:paraId="0B345265" w14:textId="23E50887"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sz w:val="22"/>
                <w:szCs w:val="22"/>
              </w:rPr>
            </w:pPr>
            <w:r w:rsidRPr="1D6E3FFF">
              <w:rPr>
                <w:rFonts w:asciiTheme="minorHAnsi" w:eastAsiaTheme="minorHAnsi" w:hAnsiTheme="minorHAnsi" w:cs="Arial"/>
                <w:b/>
                <w:sz w:val="22"/>
                <w:szCs w:val="22"/>
              </w:rPr>
              <w:fldChar w:fldCharType="begin">
                <w:fldData xml:space="preserve">/////2UAAAAUAAcAQwBoAGUAYwBrADEAMwAAAAEAAAAAAAAAAAAAAAAAAAAAAAAAAAA=
</w:fldData>
              </w:fldChar>
            </w:r>
            <w:bookmarkStart w:id="263" w:name="Check13"/>
            <w:r w:rsidR="17B1683B" w:rsidRPr="1D6E3FFF">
              <w:rPr>
                <w:rFonts w:asciiTheme="minorHAnsi" w:eastAsiaTheme="minorEastAsia" w:hAnsiTheme="minorHAnsi" w:cs="Arial"/>
                <w:b/>
                <w:bCs/>
                <w:sz w:val="22"/>
                <w:szCs w:val="22"/>
              </w:rPr>
              <w:instrText>x</w:instrText>
            </w:r>
            <w:r w:rsidRPr="1D6E3FFF">
              <w:rPr>
                <w:rFonts w:asciiTheme="minorHAnsi" w:eastAsiaTheme="minorEastAsia" w:hAnsiTheme="minorHAnsi" w:cs="Arial"/>
                <w:b/>
                <w:bCs/>
                <w:sz w:val="22"/>
                <w:szCs w:val="22"/>
              </w:rPr>
              <w:instrText xml:space="preserve"> FORMCHECKBOX </w:instrText>
            </w:r>
            <w:r w:rsidRPr="1D6E3FFF">
              <w:rPr>
                <w:rFonts w:asciiTheme="minorHAnsi" w:eastAsiaTheme="minorEastAsia" w:hAnsiTheme="minorHAnsi" w:cs="Arial"/>
                <w:b/>
                <w:bCs/>
                <w:sz w:val="22"/>
                <w:szCs w:val="22"/>
              </w:rPr>
            </w:r>
            <w:r w:rsidRPr="1D6E3FFF">
              <w:rPr>
                <w:rFonts w:asciiTheme="minorHAnsi" w:eastAsiaTheme="minorEastAsia" w:hAnsiTheme="minorHAnsi" w:cs="Arial"/>
                <w:b/>
                <w:bCs/>
                <w:sz w:val="22"/>
                <w:szCs w:val="22"/>
              </w:rPr>
              <w:fldChar w:fldCharType="end"/>
            </w:r>
            <w:bookmarkEnd w:id="263"/>
          </w:p>
        </w:tc>
        <w:tc>
          <w:tcPr>
            <w:tcW w:w="573" w:type="pct"/>
          </w:tcPr>
          <w:p w14:paraId="7149AA21"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14"/>
                  <w:enabled/>
                  <w:calcOnExit w:val="0"/>
                  <w:checkBox>
                    <w:sizeAuto/>
                    <w:default w:val="0"/>
                  </w:checkBox>
                </w:ffData>
              </w:fldChar>
            </w:r>
            <w:bookmarkStart w:id="264" w:name="Check14"/>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64"/>
          </w:p>
        </w:tc>
      </w:tr>
      <w:tr w:rsidR="00086B57" w:rsidRPr="00086B57" w14:paraId="1D72AF9D" w14:textId="77777777" w:rsidTr="1F0E8EA4">
        <w:trPr>
          <w:trHeight w:val="200"/>
        </w:trPr>
        <w:tc>
          <w:tcPr>
            <w:tcW w:w="1059" w:type="pct"/>
            <w:vMerge/>
            <w:vAlign w:val="center"/>
          </w:tcPr>
          <w:p w14:paraId="458D112B"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2178" w:type="pct"/>
            <w:gridSpan w:val="4"/>
          </w:tcPr>
          <w:p w14:paraId="4FD87F47"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Cs/>
                <w:sz w:val="22"/>
                <w:szCs w:val="22"/>
              </w:rPr>
            </w:pPr>
            <w:r w:rsidRPr="00086B57">
              <w:rPr>
                <w:rFonts w:asciiTheme="minorHAnsi" w:eastAsiaTheme="minorHAnsi" w:hAnsiTheme="minorHAnsi" w:cs="Arial"/>
                <w:bCs/>
                <w:sz w:val="22"/>
                <w:szCs w:val="22"/>
              </w:rPr>
              <w:t>Disability</w:t>
            </w:r>
          </w:p>
        </w:tc>
        <w:tc>
          <w:tcPr>
            <w:tcW w:w="701" w:type="pct"/>
          </w:tcPr>
          <w:p w14:paraId="3F97ACC5"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31"/>
                  <w:enabled/>
                  <w:calcOnExit w:val="0"/>
                  <w:checkBox>
                    <w:sizeAuto/>
                    <w:default w:val="0"/>
                  </w:checkBox>
                </w:ffData>
              </w:fldChar>
            </w:r>
            <w:bookmarkStart w:id="265" w:name="Check31"/>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65"/>
          </w:p>
        </w:tc>
        <w:tc>
          <w:tcPr>
            <w:tcW w:w="489" w:type="pct"/>
            <w:gridSpan w:val="3"/>
          </w:tcPr>
          <w:p w14:paraId="38CBE393" w14:textId="7CF988D8"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sz w:val="22"/>
                <w:szCs w:val="22"/>
              </w:rPr>
            </w:pPr>
            <w:r w:rsidRPr="1D6E3FFF">
              <w:rPr>
                <w:rFonts w:asciiTheme="minorHAnsi" w:eastAsiaTheme="minorHAnsi" w:hAnsiTheme="minorHAnsi" w:cs="Arial"/>
                <w:b/>
                <w:sz w:val="22"/>
                <w:szCs w:val="22"/>
              </w:rPr>
              <w:fldChar w:fldCharType="begin">
                <w:fldData xml:space="preserve">/////2UAAAAUAAcAQwBoAGUAYwBrADMAMAAAAAEAAAAAAAAAAAAAAAAAAAAAAAAAAAA=
</w:fldData>
              </w:fldChar>
            </w:r>
            <w:bookmarkStart w:id="266" w:name="Check30"/>
            <w:r w:rsidR="21F418C4" w:rsidRPr="1D6E3FFF">
              <w:rPr>
                <w:rFonts w:asciiTheme="minorHAnsi" w:eastAsiaTheme="minorEastAsia" w:hAnsiTheme="minorHAnsi" w:cs="Arial"/>
                <w:b/>
                <w:bCs/>
                <w:sz w:val="22"/>
                <w:szCs w:val="22"/>
              </w:rPr>
              <w:instrText>x</w:instrText>
            </w:r>
            <w:r w:rsidRPr="1D6E3FFF">
              <w:rPr>
                <w:rFonts w:asciiTheme="minorHAnsi" w:eastAsiaTheme="minorEastAsia" w:hAnsiTheme="minorHAnsi" w:cs="Arial"/>
                <w:b/>
                <w:bCs/>
                <w:sz w:val="22"/>
                <w:szCs w:val="22"/>
              </w:rPr>
              <w:instrText xml:space="preserve"> FORMCHECKBOX </w:instrText>
            </w:r>
            <w:r w:rsidRPr="1D6E3FFF">
              <w:rPr>
                <w:rFonts w:asciiTheme="minorHAnsi" w:eastAsiaTheme="minorEastAsia" w:hAnsiTheme="minorHAnsi" w:cs="Arial"/>
                <w:b/>
                <w:bCs/>
                <w:sz w:val="22"/>
                <w:szCs w:val="22"/>
              </w:rPr>
            </w:r>
            <w:r w:rsidRPr="1D6E3FFF">
              <w:rPr>
                <w:rFonts w:asciiTheme="minorHAnsi" w:eastAsiaTheme="minorEastAsia" w:hAnsiTheme="minorHAnsi" w:cs="Arial"/>
                <w:b/>
                <w:bCs/>
                <w:sz w:val="22"/>
                <w:szCs w:val="22"/>
              </w:rPr>
              <w:fldChar w:fldCharType="end"/>
            </w:r>
            <w:bookmarkEnd w:id="266"/>
          </w:p>
        </w:tc>
        <w:tc>
          <w:tcPr>
            <w:tcW w:w="573" w:type="pct"/>
          </w:tcPr>
          <w:p w14:paraId="00E6485C"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15"/>
                  <w:enabled/>
                  <w:calcOnExit w:val="0"/>
                  <w:checkBox>
                    <w:sizeAuto/>
                    <w:default w:val="0"/>
                  </w:checkBox>
                </w:ffData>
              </w:fldChar>
            </w:r>
            <w:bookmarkStart w:id="267" w:name="Check15"/>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67"/>
          </w:p>
        </w:tc>
      </w:tr>
      <w:tr w:rsidR="00086B57" w:rsidRPr="00086B57" w14:paraId="1DE053D6" w14:textId="77777777" w:rsidTr="1F0E8EA4">
        <w:trPr>
          <w:trHeight w:val="200"/>
        </w:trPr>
        <w:tc>
          <w:tcPr>
            <w:tcW w:w="1059" w:type="pct"/>
            <w:vMerge/>
            <w:vAlign w:val="center"/>
          </w:tcPr>
          <w:p w14:paraId="53C7EABC"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2178" w:type="pct"/>
            <w:gridSpan w:val="4"/>
          </w:tcPr>
          <w:p w14:paraId="37850554"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Race</w:t>
            </w:r>
          </w:p>
        </w:tc>
        <w:tc>
          <w:tcPr>
            <w:tcW w:w="701" w:type="pct"/>
          </w:tcPr>
          <w:p w14:paraId="052A2D34"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32"/>
                  <w:enabled/>
                  <w:calcOnExit w:val="0"/>
                  <w:checkBox>
                    <w:sizeAuto/>
                    <w:default w:val="0"/>
                  </w:checkBox>
                </w:ffData>
              </w:fldChar>
            </w:r>
            <w:bookmarkStart w:id="268" w:name="Check32"/>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68"/>
          </w:p>
        </w:tc>
        <w:tc>
          <w:tcPr>
            <w:tcW w:w="489" w:type="pct"/>
            <w:gridSpan w:val="3"/>
          </w:tcPr>
          <w:p w14:paraId="3E14D485" w14:textId="76BF4D10"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sz w:val="22"/>
                <w:szCs w:val="22"/>
              </w:rPr>
            </w:pPr>
            <w:r w:rsidRPr="1D6E3FFF">
              <w:rPr>
                <w:rFonts w:asciiTheme="minorHAnsi" w:eastAsiaTheme="minorEastAsia" w:hAnsiTheme="minorHAnsi" w:cs="Arial"/>
                <w:b/>
                <w:bCs/>
                <w:sz w:val="22"/>
                <w:szCs w:val="22"/>
              </w:rPr>
              <w:fldChar w:fldCharType="begin">
                <w:ffData>
                  <w:name w:val="Check30"/>
                  <w:enabled/>
                  <w:calcOnExit w:val="0"/>
                  <w:checkBox>
                    <w:sizeAuto/>
                    <w:default w:val="1"/>
                  </w:checkBox>
                </w:ffData>
              </w:fldChar>
            </w:r>
            <w:r w:rsidRPr="1D6E3FFF">
              <w:rPr>
                <w:rFonts w:asciiTheme="minorHAnsi" w:eastAsiaTheme="minorEastAsia" w:hAnsiTheme="minorHAnsi" w:cs="Arial"/>
                <w:b/>
                <w:bCs/>
                <w:sz w:val="22"/>
                <w:szCs w:val="22"/>
              </w:rPr>
              <w:instrText xml:space="preserve"> FORMCHECKBOX </w:instrText>
            </w:r>
            <w:r w:rsidRPr="1D6E3FFF">
              <w:rPr>
                <w:rFonts w:asciiTheme="minorHAnsi" w:eastAsiaTheme="minorEastAsia" w:hAnsiTheme="minorHAnsi" w:cs="Arial"/>
                <w:b/>
                <w:bCs/>
                <w:sz w:val="22"/>
                <w:szCs w:val="22"/>
              </w:rPr>
            </w:r>
            <w:r w:rsidRPr="1D6E3FFF">
              <w:rPr>
                <w:rFonts w:asciiTheme="minorHAnsi" w:eastAsiaTheme="minorEastAsia" w:hAnsiTheme="minorHAnsi" w:cs="Arial"/>
                <w:b/>
                <w:bCs/>
                <w:sz w:val="22"/>
                <w:szCs w:val="22"/>
              </w:rPr>
              <w:fldChar w:fldCharType="separate"/>
            </w:r>
            <w:r w:rsidRPr="1D6E3FFF">
              <w:rPr>
                <w:rFonts w:asciiTheme="minorHAnsi" w:eastAsiaTheme="minorEastAsia" w:hAnsiTheme="minorHAnsi" w:cs="Arial"/>
                <w:b/>
                <w:bCs/>
                <w:sz w:val="22"/>
                <w:szCs w:val="22"/>
              </w:rPr>
              <w:fldChar w:fldCharType="end"/>
            </w:r>
          </w:p>
        </w:tc>
        <w:tc>
          <w:tcPr>
            <w:tcW w:w="573" w:type="pct"/>
          </w:tcPr>
          <w:p w14:paraId="4029C7BC"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16"/>
                  <w:enabled/>
                  <w:calcOnExit w:val="0"/>
                  <w:checkBox>
                    <w:sizeAuto/>
                    <w:default w:val="0"/>
                  </w:checkBox>
                </w:ffData>
              </w:fldChar>
            </w:r>
            <w:bookmarkStart w:id="269" w:name="Check16"/>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69"/>
          </w:p>
        </w:tc>
      </w:tr>
      <w:tr w:rsidR="00086B57" w:rsidRPr="00086B57" w14:paraId="32C16A3A" w14:textId="77777777" w:rsidTr="1F0E8EA4">
        <w:trPr>
          <w:trHeight w:val="200"/>
        </w:trPr>
        <w:tc>
          <w:tcPr>
            <w:tcW w:w="1059" w:type="pct"/>
            <w:vMerge/>
            <w:vAlign w:val="center"/>
          </w:tcPr>
          <w:p w14:paraId="41FCF8BB"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2178" w:type="pct"/>
            <w:gridSpan w:val="4"/>
          </w:tcPr>
          <w:p w14:paraId="20DEFC6C"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Marriage and Civil Partnership</w:t>
            </w:r>
          </w:p>
        </w:tc>
        <w:tc>
          <w:tcPr>
            <w:tcW w:w="701" w:type="pct"/>
          </w:tcPr>
          <w:p w14:paraId="25867096"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33"/>
                  <w:enabled/>
                  <w:calcOnExit w:val="0"/>
                  <w:checkBox>
                    <w:sizeAuto/>
                    <w:default w:val="0"/>
                  </w:checkBox>
                </w:ffData>
              </w:fldChar>
            </w:r>
            <w:bookmarkStart w:id="270" w:name="Check33"/>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70"/>
          </w:p>
        </w:tc>
        <w:tc>
          <w:tcPr>
            <w:tcW w:w="489" w:type="pct"/>
            <w:gridSpan w:val="3"/>
          </w:tcPr>
          <w:p w14:paraId="3199EA8F" w14:textId="41B2092A"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sz w:val="22"/>
                <w:szCs w:val="22"/>
              </w:rPr>
            </w:pPr>
            <w:r w:rsidRPr="1D6E3FFF">
              <w:rPr>
                <w:rFonts w:asciiTheme="minorHAnsi" w:eastAsiaTheme="minorEastAsia" w:hAnsiTheme="minorHAnsi" w:cs="Arial"/>
                <w:b/>
                <w:bCs/>
                <w:sz w:val="22"/>
                <w:szCs w:val="22"/>
              </w:rPr>
              <w:fldChar w:fldCharType="begin">
                <w:ffData>
                  <w:name w:val="Check30"/>
                  <w:enabled/>
                  <w:calcOnExit w:val="0"/>
                  <w:checkBox>
                    <w:sizeAuto/>
                    <w:default w:val="1"/>
                  </w:checkBox>
                </w:ffData>
              </w:fldChar>
            </w:r>
            <w:r w:rsidRPr="1D6E3FFF">
              <w:rPr>
                <w:rFonts w:asciiTheme="minorHAnsi" w:eastAsiaTheme="minorEastAsia" w:hAnsiTheme="minorHAnsi" w:cs="Arial"/>
                <w:b/>
                <w:bCs/>
                <w:sz w:val="22"/>
                <w:szCs w:val="22"/>
              </w:rPr>
              <w:instrText xml:space="preserve"> FORMCHECKBOX </w:instrText>
            </w:r>
            <w:r w:rsidRPr="1D6E3FFF">
              <w:rPr>
                <w:rFonts w:asciiTheme="minorHAnsi" w:eastAsiaTheme="minorEastAsia" w:hAnsiTheme="minorHAnsi" w:cs="Arial"/>
                <w:b/>
                <w:bCs/>
                <w:sz w:val="22"/>
                <w:szCs w:val="22"/>
              </w:rPr>
            </w:r>
            <w:r w:rsidRPr="1D6E3FFF">
              <w:rPr>
                <w:rFonts w:asciiTheme="minorHAnsi" w:eastAsiaTheme="minorEastAsia" w:hAnsiTheme="minorHAnsi" w:cs="Arial"/>
                <w:b/>
                <w:bCs/>
                <w:sz w:val="22"/>
                <w:szCs w:val="22"/>
              </w:rPr>
              <w:fldChar w:fldCharType="separate"/>
            </w:r>
            <w:r w:rsidRPr="1D6E3FFF">
              <w:rPr>
                <w:rFonts w:asciiTheme="minorHAnsi" w:eastAsiaTheme="minorEastAsia" w:hAnsiTheme="minorHAnsi" w:cs="Arial"/>
                <w:b/>
                <w:bCs/>
                <w:sz w:val="22"/>
                <w:szCs w:val="22"/>
              </w:rPr>
              <w:fldChar w:fldCharType="end"/>
            </w:r>
          </w:p>
        </w:tc>
        <w:tc>
          <w:tcPr>
            <w:tcW w:w="573" w:type="pct"/>
          </w:tcPr>
          <w:p w14:paraId="78C82F09"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17"/>
                  <w:enabled/>
                  <w:calcOnExit w:val="0"/>
                  <w:checkBox>
                    <w:sizeAuto/>
                    <w:default w:val="0"/>
                  </w:checkBox>
                </w:ffData>
              </w:fldChar>
            </w:r>
            <w:bookmarkStart w:id="271" w:name="Check17"/>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71"/>
          </w:p>
        </w:tc>
      </w:tr>
      <w:tr w:rsidR="00086B57" w:rsidRPr="00086B57" w14:paraId="6BADAE55" w14:textId="77777777" w:rsidTr="1F0E8EA4">
        <w:trPr>
          <w:trHeight w:val="200"/>
        </w:trPr>
        <w:tc>
          <w:tcPr>
            <w:tcW w:w="1059" w:type="pct"/>
            <w:vMerge/>
            <w:vAlign w:val="center"/>
          </w:tcPr>
          <w:p w14:paraId="4114F395"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2178" w:type="pct"/>
            <w:gridSpan w:val="4"/>
          </w:tcPr>
          <w:p w14:paraId="5BD18407"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Pregnancy and Maternity</w:t>
            </w:r>
          </w:p>
        </w:tc>
        <w:tc>
          <w:tcPr>
            <w:tcW w:w="701" w:type="pct"/>
          </w:tcPr>
          <w:p w14:paraId="0FC2E5C6"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34"/>
                  <w:enabled/>
                  <w:calcOnExit w:val="0"/>
                  <w:checkBox>
                    <w:sizeAuto/>
                    <w:default w:val="0"/>
                  </w:checkBox>
                </w:ffData>
              </w:fldChar>
            </w:r>
            <w:bookmarkStart w:id="272" w:name="Check34"/>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72"/>
          </w:p>
        </w:tc>
        <w:tc>
          <w:tcPr>
            <w:tcW w:w="489" w:type="pct"/>
            <w:gridSpan w:val="3"/>
          </w:tcPr>
          <w:p w14:paraId="42F59F9E" w14:textId="36BB030F"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sz w:val="22"/>
                <w:szCs w:val="22"/>
              </w:rPr>
            </w:pPr>
            <w:r w:rsidRPr="1D6E3FFF">
              <w:rPr>
                <w:rFonts w:asciiTheme="minorHAnsi" w:eastAsiaTheme="minorEastAsia" w:hAnsiTheme="minorHAnsi" w:cs="Arial"/>
                <w:b/>
                <w:bCs/>
                <w:sz w:val="22"/>
                <w:szCs w:val="22"/>
              </w:rPr>
              <w:fldChar w:fldCharType="begin">
                <w:ffData>
                  <w:name w:val="Check30"/>
                  <w:enabled/>
                  <w:calcOnExit w:val="0"/>
                  <w:checkBox>
                    <w:sizeAuto/>
                    <w:default w:val="1"/>
                  </w:checkBox>
                </w:ffData>
              </w:fldChar>
            </w:r>
            <w:r w:rsidRPr="1D6E3FFF">
              <w:rPr>
                <w:rFonts w:asciiTheme="minorHAnsi" w:eastAsiaTheme="minorEastAsia" w:hAnsiTheme="minorHAnsi" w:cs="Arial"/>
                <w:b/>
                <w:bCs/>
                <w:sz w:val="22"/>
                <w:szCs w:val="22"/>
              </w:rPr>
              <w:instrText xml:space="preserve"> FORMCHECKBOX </w:instrText>
            </w:r>
            <w:r w:rsidRPr="1D6E3FFF">
              <w:rPr>
                <w:rFonts w:asciiTheme="minorHAnsi" w:eastAsiaTheme="minorEastAsia" w:hAnsiTheme="minorHAnsi" w:cs="Arial"/>
                <w:b/>
                <w:bCs/>
                <w:sz w:val="22"/>
                <w:szCs w:val="22"/>
              </w:rPr>
            </w:r>
            <w:r w:rsidRPr="1D6E3FFF">
              <w:rPr>
                <w:rFonts w:asciiTheme="minorHAnsi" w:eastAsiaTheme="minorEastAsia" w:hAnsiTheme="minorHAnsi" w:cs="Arial"/>
                <w:b/>
                <w:bCs/>
                <w:sz w:val="22"/>
                <w:szCs w:val="22"/>
              </w:rPr>
              <w:fldChar w:fldCharType="separate"/>
            </w:r>
            <w:r w:rsidRPr="1D6E3FFF">
              <w:rPr>
                <w:rFonts w:asciiTheme="minorHAnsi" w:eastAsiaTheme="minorEastAsia" w:hAnsiTheme="minorHAnsi" w:cs="Arial"/>
                <w:b/>
                <w:bCs/>
                <w:sz w:val="22"/>
                <w:szCs w:val="22"/>
              </w:rPr>
              <w:fldChar w:fldCharType="end"/>
            </w:r>
          </w:p>
        </w:tc>
        <w:tc>
          <w:tcPr>
            <w:tcW w:w="573" w:type="pct"/>
          </w:tcPr>
          <w:p w14:paraId="63F93D33"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18"/>
                  <w:enabled/>
                  <w:calcOnExit w:val="0"/>
                  <w:checkBox>
                    <w:sizeAuto/>
                    <w:default w:val="0"/>
                  </w:checkBox>
                </w:ffData>
              </w:fldChar>
            </w:r>
            <w:bookmarkStart w:id="273" w:name="Check18"/>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73"/>
          </w:p>
        </w:tc>
      </w:tr>
      <w:tr w:rsidR="00086B57" w:rsidRPr="00086B57" w14:paraId="48DAAF6E" w14:textId="77777777" w:rsidTr="1F0E8EA4">
        <w:trPr>
          <w:trHeight w:val="200"/>
        </w:trPr>
        <w:tc>
          <w:tcPr>
            <w:tcW w:w="1059" w:type="pct"/>
            <w:vMerge/>
            <w:vAlign w:val="center"/>
          </w:tcPr>
          <w:p w14:paraId="0105E6CC"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2178" w:type="pct"/>
            <w:gridSpan w:val="4"/>
          </w:tcPr>
          <w:p w14:paraId="5A73D395"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Gender re-assignment</w:t>
            </w:r>
          </w:p>
        </w:tc>
        <w:tc>
          <w:tcPr>
            <w:tcW w:w="701" w:type="pct"/>
          </w:tcPr>
          <w:p w14:paraId="2888F32B"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35"/>
                  <w:enabled/>
                  <w:calcOnExit w:val="0"/>
                  <w:checkBox>
                    <w:sizeAuto/>
                    <w:default w:val="0"/>
                  </w:checkBox>
                </w:ffData>
              </w:fldChar>
            </w:r>
            <w:bookmarkStart w:id="274" w:name="Check35"/>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74"/>
          </w:p>
        </w:tc>
        <w:tc>
          <w:tcPr>
            <w:tcW w:w="489" w:type="pct"/>
            <w:gridSpan w:val="3"/>
          </w:tcPr>
          <w:p w14:paraId="28E5771D" w14:textId="2FE3A035"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sz w:val="22"/>
                <w:szCs w:val="22"/>
              </w:rPr>
            </w:pPr>
            <w:r w:rsidRPr="1D6E3FFF">
              <w:rPr>
                <w:rFonts w:asciiTheme="minorHAnsi" w:eastAsiaTheme="minorEastAsia" w:hAnsiTheme="minorHAnsi" w:cs="Arial"/>
                <w:b/>
                <w:bCs/>
                <w:sz w:val="22"/>
                <w:szCs w:val="22"/>
              </w:rPr>
              <w:fldChar w:fldCharType="begin">
                <w:ffData>
                  <w:name w:val="Check30"/>
                  <w:enabled/>
                  <w:calcOnExit w:val="0"/>
                  <w:checkBox>
                    <w:sizeAuto/>
                    <w:default w:val="1"/>
                  </w:checkBox>
                </w:ffData>
              </w:fldChar>
            </w:r>
            <w:r w:rsidRPr="1D6E3FFF">
              <w:rPr>
                <w:rFonts w:asciiTheme="minorHAnsi" w:eastAsiaTheme="minorEastAsia" w:hAnsiTheme="minorHAnsi" w:cs="Arial"/>
                <w:b/>
                <w:bCs/>
                <w:sz w:val="22"/>
                <w:szCs w:val="22"/>
              </w:rPr>
              <w:instrText xml:space="preserve"> FORMCHECKBOX </w:instrText>
            </w:r>
            <w:r w:rsidRPr="1D6E3FFF">
              <w:rPr>
                <w:rFonts w:asciiTheme="minorHAnsi" w:eastAsiaTheme="minorEastAsia" w:hAnsiTheme="minorHAnsi" w:cs="Arial"/>
                <w:b/>
                <w:bCs/>
                <w:sz w:val="22"/>
                <w:szCs w:val="22"/>
              </w:rPr>
            </w:r>
            <w:r w:rsidRPr="1D6E3FFF">
              <w:rPr>
                <w:rFonts w:asciiTheme="minorHAnsi" w:eastAsiaTheme="minorEastAsia" w:hAnsiTheme="minorHAnsi" w:cs="Arial"/>
                <w:b/>
                <w:bCs/>
                <w:sz w:val="22"/>
                <w:szCs w:val="22"/>
              </w:rPr>
              <w:fldChar w:fldCharType="separate"/>
            </w:r>
            <w:r w:rsidRPr="1D6E3FFF">
              <w:rPr>
                <w:rFonts w:asciiTheme="minorHAnsi" w:eastAsiaTheme="minorEastAsia" w:hAnsiTheme="minorHAnsi" w:cs="Arial"/>
                <w:b/>
                <w:bCs/>
                <w:sz w:val="22"/>
                <w:szCs w:val="22"/>
              </w:rPr>
              <w:fldChar w:fldCharType="end"/>
            </w:r>
          </w:p>
        </w:tc>
        <w:tc>
          <w:tcPr>
            <w:tcW w:w="573" w:type="pct"/>
          </w:tcPr>
          <w:p w14:paraId="061759BF"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19"/>
                  <w:enabled/>
                  <w:calcOnExit w:val="0"/>
                  <w:checkBox>
                    <w:sizeAuto/>
                    <w:default w:val="0"/>
                  </w:checkBox>
                </w:ffData>
              </w:fldChar>
            </w:r>
            <w:bookmarkStart w:id="275" w:name="Check19"/>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75"/>
          </w:p>
        </w:tc>
      </w:tr>
      <w:tr w:rsidR="00086B57" w:rsidRPr="00086B57" w14:paraId="5291CC6D" w14:textId="77777777" w:rsidTr="1F0E8EA4">
        <w:trPr>
          <w:trHeight w:val="200"/>
        </w:trPr>
        <w:tc>
          <w:tcPr>
            <w:tcW w:w="1059" w:type="pct"/>
            <w:vMerge/>
            <w:vAlign w:val="center"/>
          </w:tcPr>
          <w:p w14:paraId="0888EDE6"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2178" w:type="pct"/>
            <w:gridSpan w:val="4"/>
          </w:tcPr>
          <w:p w14:paraId="081B495B"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Religion or belief</w:t>
            </w:r>
          </w:p>
        </w:tc>
        <w:tc>
          <w:tcPr>
            <w:tcW w:w="701" w:type="pct"/>
          </w:tcPr>
          <w:p w14:paraId="19D9CF66"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36"/>
                  <w:enabled/>
                  <w:calcOnExit w:val="0"/>
                  <w:checkBox>
                    <w:sizeAuto/>
                    <w:default w:val="0"/>
                  </w:checkBox>
                </w:ffData>
              </w:fldChar>
            </w:r>
            <w:bookmarkStart w:id="276" w:name="Check36"/>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76"/>
          </w:p>
        </w:tc>
        <w:tc>
          <w:tcPr>
            <w:tcW w:w="489" w:type="pct"/>
            <w:gridSpan w:val="3"/>
          </w:tcPr>
          <w:p w14:paraId="53F63D64" w14:textId="22375DB8"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sz w:val="22"/>
                <w:szCs w:val="22"/>
              </w:rPr>
            </w:pPr>
            <w:r w:rsidRPr="1D6E3FFF">
              <w:rPr>
                <w:rFonts w:asciiTheme="minorHAnsi" w:eastAsiaTheme="minorEastAsia" w:hAnsiTheme="minorHAnsi" w:cs="Arial"/>
                <w:b/>
                <w:bCs/>
                <w:sz w:val="22"/>
                <w:szCs w:val="22"/>
              </w:rPr>
              <w:fldChar w:fldCharType="begin">
                <w:ffData>
                  <w:name w:val="Check30"/>
                  <w:enabled/>
                  <w:calcOnExit w:val="0"/>
                  <w:checkBox>
                    <w:sizeAuto/>
                    <w:default w:val="1"/>
                  </w:checkBox>
                </w:ffData>
              </w:fldChar>
            </w:r>
            <w:r w:rsidRPr="1D6E3FFF">
              <w:rPr>
                <w:rFonts w:asciiTheme="minorHAnsi" w:eastAsiaTheme="minorEastAsia" w:hAnsiTheme="minorHAnsi" w:cs="Arial"/>
                <w:b/>
                <w:bCs/>
                <w:sz w:val="22"/>
                <w:szCs w:val="22"/>
              </w:rPr>
              <w:instrText xml:space="preserve"> FORMCHECKBOX </w:instrText>
            </w:r>
            <w:r w:rsidRPr="1D6E3FFF">
              <w:rPr>
                <w:rFonts w:asciiTheme="minorHAnsi" w:eastAsiaTheme="minorEastAsia" w:hAnsiTheme="minorHAnsi" w:cs="Arial"/>
                <w:b/>
                <w:bCs/>
                <w:sz w:val="22"/>
                <w:szCs w:val="22"/>
              </w:rPr>
            </w:r>
            <w:r w:rsidRPr="1D6E3FFF">
              <w:rPr>
                <w:rFonts w:asciiTheme="minorHAnsi" w:eastAsiaTheme="minorEastAsia" w:hAnsiTheme="minorHAnsi" w:cs="Arial"/>
                <w:b/>
                <w:bCs/>
                <w:sz w:val="22"/>
                <w:szCs w:val="22"/>
              </w:rPr>
              <w:fldChar w:fldCharType="separate"/>
            </w:r>
            <w:r w:rsidRPr="1D6E3FFF">
              <w:rPr>
                <w:rFonts w:asciiTheme="minorHAnsi" w:eastAsiaTheme="minorEastAsia" w:hAnsiTheme="minorHAnsi" w:cs="Arial"/>
                <w:b/>
                <w:bCs/>
                <w:sz w:val="22"/>
                <w:szCs w:val="22"/>
              </w:rPr>
              <w:fldChar w:fldCharType="end"/>
            </w:r>
          </w:p>
        </w:tc>
        <w:tc>
          <w:tcPr>
            <w:tcW w:w="573" w:type="pct"/>
          </w:tcPr>
          <w:p w14:paraId="289E0E28"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20"/>
                  <w:enabled/>
                  <w:calcOnExit w:val="0"/>
                  <w:checkBox>
                    <w:sizeAuto/>
                    <w:default w:val="0"/>
                  </w:checkBox>
                </w:ffData>
              </w:fldChar>
            </w:r>
            <w:bookmarkStart w:id="277" w:name="Check20"/>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77"/>
          </w:p>
        </w:tc>
      </w:tr>
      <w:tr w:rsidR="00086B57" w:rsidRPr="00086B57" w14:paraId="7BA9E371" w14:textId="77777777" w:rsidTr="1F0E8EA4">
        <w:trPr>
          <w:trHeight w:val="200"/>
        </w:trPr>
        <w:tc>
          <w:tcPr>
            <w:tcW w:w="1059" w:type="pct"/>
            <w:vMerge/>
            <w:vAlign w:val="center"/>
          </w:tcPr>
          <w:p w14:paraId="3E5C5EC5"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2178" w:type="pct"/>
            <w:gridSpan w:val="4"/>
          </w:tcPr>
          <w:p w14:paraId="78AC77FD"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22"/>
              </w:rPr>
            </w:pPr>
            <w:r w:rsidRPr="00086B57">
              <w:rPr>
                <w:rFonts w:asciiTheme="minorHAnsi" w:eastAsiaTheme="minorHAnsi" w:hAnsiTheme="minorHAnsi" w:cs="Arial"/>
                <w:sz w:val="22"/>
                <w:szCs w:val="22"/>
              </w:rPr>
              <w:t>Sex</w:t>
            </w:r>
          </w:p>
        </w:tc>
        <w:tc>
          <w:tcPr>
            <w:tcW w:w="701" w:type="pct"/>
          </w:tcPr>
          <w:p w14:paraId="0B842F9B"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37"/>
                  <w:enabled/>
                  <w:calcOnExit w:val="0"/>
                  <w:checkBox>
                    <w:sizeAuto/>
                    <w:default w:val="0"/>
                  </w:checkBox>
                </w:ffData>
              </w:fldChar>
            </w:r>
            <w:bookmarkStart w:id="278" w:name="Check37"/>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78"/>
          </w:p>
        </w:tc>
        <w:tc>
          <w:tcPr>
            <w:tcW w:w="489" w:type="pct"/>
            <w:gridSpan w:val="3"/>
          </w:tcPr>
          <w:p w14:paraId="6923092D" w14:textId="10047AB0"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sz w:val="22"/>
                <w:szCs w:val="22"/>
              </w:rPr>
            </w:pPr>
            <w:r w:rsidRPr="1D6E3FFF">
              <w:rPr>
                <w:rFonts w:asciiTheme="minorHAnsi" w:eastAsiaTheme="minorEastAsia" w:hAnsiTheme="minorHAnsi" w:cs="Arial"/>
                <w:b/>
                <w:bCs/>
                <w:sz w:val="22"/>
                <w:szCs w:val="22"/>
              </w:rPr>
              <w:fldChar w:fldCharType="begin">
                <w:ffData>
                  <w:name w:val="Check30"/>
                  <w:enabled/>
                  <w:calcOnExit w:val="0"/>
                  <w:checkBox>
                    <w:sizeAuto/>
                    <w:default w:val="1"/>
                  </w:checkBox>
                </w:ffData>
              </w:fldChar>
            </w:r>
            <w:r w:rsidRPr="1D6E3FFF">
              <w:rPr>
                <w:rFonts w:asciiTheme="minorHAnsi" w:eastAsiaTheme="minorEastAsia" w:hAnsiTheme="minorHAnsi" w:cs="Arial"/>
                <w:b/>
                <w:bCs/>
                <w:sz w:val="22"/>
                <w:szCs w:val="22"/>
              </w:rPr>
              <w:instrText xml:space="preserve"> FORMCHECKBOX </w:instrText>
            </w:r>
            <w:r w:rsidRPr="1D6E3FFF">
              <w:rPr>
                <w:rFonts w:asciiTheme="minorHAnsi" w:eastAsiaTheme="minorEastAsia" w:hAnsiTheme="minorHAnsi" w:cs="Arial"/>
                <w:b/>
                <w:bCs/>
                <w:sz w:val="22"/>
                <w:szCs w:val="22"/>
              </w:rPr>
            </w:r>
            <w:r w:rsidRPr="1D6E3FFF">
              <w:rPr>
                <w:rFonts w:asciiTheme="minorHAnsi" w:eastAsiaTheme="minorEastAsia" w:hAnsiTheme="minorHAnsi" w:cs="Arial"/>
                <w:b/>
                <w:bCs/>
                <w:sz w:val="22"/>
                <w:szCs w:val="22"/>
              </w:rPr>
              <w:fldChar w:fldCharType="separate"/>
            </w:r>
            <w:r w:rsidRPr="1D6E3FFF">
              <w:rPr>
                <w:rFonts w:asciiTheme="minorHAnsi" w:eastAsiaTheme="minorEastAsia" w:hAnsiTheme="minorHAnsi" w:cs="Arial"/>
                <w:b/>
                <w:bCs/>
                <w:sz w:val="22"/>
                <w:szCs w:val="22"/>
              </w:rPr>
              <w:fldChar w:fldCharType="end"/>
            </w:r>
          </w:p>
        </w:tc>
        <w:tc>
          <w:tcPr>
            <w:tcW w:w="573" w:type="pct"/>
          </w:tcPr>
          <w:p w14:paraId="0023E236"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21"/>
                  <w:enabled/>
                  <w:calcOnExit w:val="0"/>
                  <w:checkBox>
                    <w:sizeAuto/>
                    <w:default w:val="0"/>
                  </w:checkBox>
                </w:ffData>
              </w:fldChar>
            </w:r>
            <w:bookmarkStart w:id="279" w:name="Check21"/>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79"/>
          </w:p>
        </w:tc>
      </w:tr>
      <w:tr w:rsidR="00086B57" w:rsidRPr="00086B57" w14:paraId="53DEEB0A" w14:textId="77777777" w:rsidTr="1F0E8EA4">
        <w:trPr>
          <w:trHeight w:val="200"/>
        </w:trPr>
        <w:tc>
          <w:tcPr>
            <w:tcW w:w="1059" w:type="pct"/>
            <w:vMerge/>
            <w:vAlign w:val="center"/>
          </w:tcPr>
          <w:p w14:paraId="3F875E3D"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2178" w:type="pct"/>
            <w:gridSpan w:val="4"/>
          </w:tcPr>
          <w:p w14:paraId="47371982"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sz w:val="22"/>
                <w:szCs w:val="22"/>
              </w:rPr>
              <w:t>Sexual Orientation</w:t>
            </w:r>
          </w:p>
        </w:tc>
        <w:tc>
          <w:tcPr>
            <w:tcW w:w="701" w:type="pct"/>
          </w:tcPr>
          <w:p w14:paraId="27DA77C7"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38"/>
                  <w:enabled/>
                  <w:calcOnExit w:val="0"/>
                  <w:checkBox>
                    <w:sizeAuto/>
                    <w:default w:val="0"/>
                  </w:checkBox>
                </w:ffData>
              </w:fldChar>
            </w:r>
            <w:bookmarkStart w:id="280" w:name="Check38"/>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80"/>
          </w:p>
        </w:tc>
        <w:tc>
          <w:tcPr>
            <w:tcW w:w="489" w:type="pct"/>
            <w:gridSpan w:val="3"/>
          </w:tcPr>
          <w:p w14:paraId="0331E82F" w14:textId="0D2940AA"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sz w:val="22"/>
                <w:szCs w:val="22"/>
              </w:rPr>
            </w:pPr>
            <w:r w:rsidRPr="1D6E3FFF">
              <w:rPr>
                <w:rFonts w:asciiTheme="minorHAnsi" w:eastAsiaTheme="minorEastAsia" w:hAnsiTheme="minorHAnsi" w:cs="Arial"/>
                <w:b/>
                <w:bCs/>
                <w:sz w:val="22"/>
                <w:szCs w:val="22"/>
              </w:rPr>
              <w:fldChar w:fldCharType="begin">
                <w:ffData>
                  <w:name w:val="Check30"/>
                  <w:enabled/>
                  <w:calcOnExit w:val="0"/>
                  <w:checkBox>
                    <w:sizeAuto/>
                    <w:default w:val="1"/>
                  </w:checkBox>
                </w:ffData>
              </w:fldChar>
            </w:r>
            <w:r w:rsidRPr="1D6E3FFF">
              <w:rPr>
                <w:rFonts w:asciiTheme="minorHAnsi" w:eastAsiaTheme="minorEastAsia" w:hAnsiTheme="minorHAnsi" w:cs="Arial"/>
                <w:b/>
                <w:bCs/>
                <w:sz w:val="22"/>
                <w:szCs w:val="22"/>
              </w:rPr>
              <w:instrText xml:space="preserve"> FORMCHECKBOX </w:instrText>
            </w:r>
            <w:r w:rsidRPr="1D6E3FFF">
              <w:rPr>
                <w:rFonts w:asciiTheme="minorHAnsi" w:eastAsiaTheme="minorEastAsia" w:hAnsiTheme="minorHAnsi" w:cs="Arial"/>
                <w:b/>
                <w:bCs/>
                <w:sz w:val="22"/>
                <w:szCs w:val="22"/>
              </w:rPr>
            </w:r>
            <w:r w:rsidRPr="1D6E3FFF">
              <w:rPr>
                <w:rFonts w:asciiTheme="minorHAnsi" w:eastAsiaTheme="minorEastAsia" w:hAnsiTheme="minorHAnsi" w:cs="Arial"/>
                <w:b/>
                <w:bCs/>
                <w:sz w:val="22"/>
                <w:szCs w:val="22"/>
              </w:rPr>
              <w:fldChar w:fldCharType="separate"/>
            </w:r>
            <w:r w:rsidRPr="1D6E3FFF">
              <w:rPr>
                <w:rFonts w:asciiTheme="minorHAnsi" w:eastAsiaTheme="minorEastAsia" w:hAnsiTheme="minorHAnsi" w:cs="Arial"/>
                <w:b/>
                <w:bCs/>
                <w:sz w:val="22"/>
                <w:szCs w:val="22"/>
              </w:rPr>
              <w:fldChar w:fldCharType="end"/>
            </w:r>
          </w:p>
        </w:tc>
        <w:tc>
          <w:tcPr>
            <w:tcW w:w="573" w:type="pct"/>
          </w:tcPr>
          <w:p w14:paraId="2CA51337"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sz w:val="22"/>
                <w:szCs w:val="22"/>
              </w:rPr>
            </w:pPr>
            <w:r w:rsidRPr="00086B57">
              <w:rPr>
                <w:rFonts w:asciiTheme="minorHAnsi" w:eastAsiaTheme="minorHAnsi" w:hAnsiTheme="minorHAnsi" w:cs="Arial"/>
                <w:b/>
                <w:sz w:val="22"/>
                <w:szCs w:val="22"/>
              </w:rPr>
              <w:fldChar w:fldCharType="begin">
                <w:ffData>
                  <w:name w:val="Check22"/>
                  <w:enabled/>
                  <w:calcOnExit w:val="0"/>
                  <w:checkBox>
                    <w:sizeAuto/>
                    <w:default w:val="0"/>
                  </w:checkBox>
                </w:ffData>
              </w:fldChar>
            </w:r>
            <w:bookmarkStart w:id="281" w:name="Check22"/>
            <w:r w:rsidRPr="00086B57">
              <w:rPr>
                <w:rFonts w:asciiTheme="minorHAnsi" w:eastAsiaTheme="minorHAnsi" w:hAnsiTheme="minorHAnsi" w:cs="Arial"/>
                <w:b/>
                <w:sz w:val="22"/>
                <w:szCs w:val="22"/>
              </w:rPr>
              <w:instrText xml:space="preserve"> FORMCHECKBOX </w:instrText>
            </w:r>
            <w:r w:rsidRPr="00086B57">
              <w:rPr>
                <w:rFonts w:asciiTheme="minorHAnsi" w:eastAsiaTheme="minorHAnsi" w:hAnsiTheme="minorHAnsi" w:cs="Arial"/>
                <w:b/>
                <w:sz w:val="22"/>
                <w:szCs w:val="22"/>
              </w:rPr>
            </w:r>
            <w:r w:rsidRPr="00086B57">
              <w:rPr>
                <w:rFonts w:asciiTheme="minorHAnsi" w:eastAsiaTheme="minorHAnsi" w:hAnsiTheme="minorHAnsi" w:cs="Arial"/>
                <w:b/>
                <w:sz w:val="22"/>
                <w:szCs w:val="22"/>
              </w:rPr>
              <w:fldChar w:fldCharType="separate"/>
            </w:r>
            <w:r w:rsidRPr="00086B57">
              <w:rPr>
                <w:rFonts w:asciiTheme="minorHAnsi" w:eastAsiaTheme="minorHAnsi" w:hAnsiTheme="minorHAnsi" w:cs="Arial"/>
                <w:b/>
                <w:sz w:val="22"/>
                <w:szCs w:val="22"/>
              </w:rPr>
              <w:fldChar w:fldCharType="end"/>
            </w:r>
            <w:bookmarkEnd w:id="281"/>
          </w:p>
        </w:tc>
      </w:tr>
      <w:tr w:rsidR="00086B57" w:rsidRPr="00086B57" w14:paraId="14195C67" w14:textId="77777777" w:rsidTr="1F0E8EA4">
        <w:trPr>
          <w:trHeight w:val="502"/>
        </w:trPr>
        <w:tc>
          <w:tcPr>
            <w:tcW w:w="1059" w:type="pct"/>
            <w:vMerge w:val="restart"/>
            <w:vAlign w:val="center"/>
          </w:tcPr>
          <w:p w14:paraId="558EEEEB" w14:textId="0D0A84AC"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b/>
                <w:sz w:val="28"/>
                <w:szCs w:val="22"/>
              </w:rPr>
            </w:pPr>
            <w:r w:rsidRPr="00086B57">
              <w:rPr>
                <w:rFonts w:asciiTheme="minorHAnsi" w:eastAsiaTheme="minorHAnsi" w:hAnsiTheme="minorHAnsi" w:cs="Arial"/>
                <w:sz w:val="22"/>
                <w:szCs w:val="18"/>
              </w:rPr>
              <w:t xml:space="preserve">Could the way the </w:t>
            </w:r>
            <w:r w:rsidRPr="00086B57">
              <w:rPr>
                <w:rFonts w:asciiTheme="minorHAnsi" w:eastAsiaTheme="minorHAnsi" w:hAnsiTheme="minorHAnsi" w:cs="Arial"/>
                <w:sz w:val="22"/>
                <w:szCs w:val="22"/>
              </w:rPr>
              <w:t>service, function, or policy</w:t>
            </w:r>
            <w:r w:rsidRPr="00086B57">
              <w:rPr>
                <w:rFonts w:asciiTheme="minorHAnsi" w:eastAsiaTheme="minorHAnsi" w:hAnsiTheme="minorHAnsi" w:cs="Arial"/>
                <w:sz w:val="22"/>
                <w:szCs w:val="18"/>
              </w:rPr>
              <w:t xml:space="preserve"> is implemented have an adverse impact on equality of opportunity or good relations between different groups?</w:t>
            </w:r>
          </w:p>
        </w:tc>
        <w:tc>
          <w:tcPr>
            <w:tcW w:w="2178" w:type="pct"/>
            <w:gridSpan w:val="4"/>
            <w:vAlign w:val="center"/>
          </w:tcPr>
          <w:p w14:paraId="67708C9A"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color w:val="000000"/>
                <w:sz w:val="22"/>
                <w:szCs w:val="22"/>
              </w:rPr>
            </w:pPr>
            <w:r w:rsidRPr="00086B57">
              <w:rPr>
                <w:rFonts w:asciiTheme="minorHAnsi" w:eastAsiaTheme="minorHAnsi" w:hAnsiTheme="minorHAnsi" w:cs="Arial"/>
                <w:b/>
                <w:bCs/>
                <w:color w:val="000000"/>
                <w:sz w:val="22"/>
                <w:szCs w:val="22"/>
              </w:rPr>
              <w:fldChar w:fldCharType="begin">
                <w:ffData>
                  <w:name w:val="Check60"/>
                  <w:enabled/>
                  <w:calcOnExit w:val="0"/>
                  <w:checkBox>
                    <w:sizeAuto/>
                    <w:default w:val="0"/>
                  </w:checkBox>
                </w:ffData>
              </w:fldChar>
            </w:r>
            <w:bookmarkStart w:id="282" w:name="Check60"/>
            <w:r w:rsidRPr="00086B57">
              <w:rPr>
                <w:rFonts w:asciiTheme="minorHAnsi" w:eastAsiaTheme="minorHAnsi" w:hAnsiTheme="minorHAnsi" w:cs="Arial"/>
                <w:b/>
                <w:bCs/>
                <w:color w:val="000000"/>
                <w:sz w:val="22"/>
                <w:szCs w:val="22"/>
              </w:rPr>
              <w:instrText xml:space="preserve"> FORMCHECKBOX </w:instrText>
            </w:r>
            <w:r w:rsidRPr="00086B57">
              <w:rPr>
                <w:rFonts w:asciiTheme="minorHAnsi" w:eastAsiaTheme="minorHAnsi" w:hAnsiTheme="minorHAnsi" w:cs="Arial"/>
                <w:b/>
                <w:bCs/>
                <w:color w:val="000000"/>
                <w:sz w:val="22"/>
                <w:szCs w:val="22"/>
              </w:rPr>
            </w:r>
            <w:r w:rsidRPr="00086B57">
              <w:rPr>
                <w:rFonts w:asciiTheme="minorHAnsi" w:eastAsiaTheme="minorHAnsi" w:hAnsiTheme="minorHAnsi" w:cs="Arial"/>
                <w:b/>
                <w:bCs/>
                <w:color w:val="000000"/>
                <w:sz w:val="22"/>
                <w:szCs w:val="22"/>
              </w:rPr>
              <w:fldChar w:fldCharType="separate"/>
            </w:r>
            <w:r w:rsidRPr="00086B57">
              <w:rPr>
                <w:rFonts w:asciiTheme="minorHAnsi" w:eastAsiaTheme="minorHAnsi" w:hAnsiTheme="minorHAnsi" w:cs="Arial"/>
                <w:b/>
                <w:bCs/>
                <w:color w:val="000000"/>
                <w:sz w:val="22"/>
                <w:szCs w:val="22"/>
              </w:rPr>
              <w:fldChar w:fldCharType="end"/>
            </w:r>
            <w:bookmarkEnd w:id="282"/>
            <w:r w:rsidRPr="00086B57">
              <w:rPr>
                <w:rFonts w:asciiTheme="minorHAnsi" w:eastAsiaTheme="minorHAnsi" w:hAnsiTheme="minorHAnsi" w:cs="Arial"/>
                <w:b/>
                <w:bCs/>
                <w:color w:val="000000"/>
                <w:sz w:val="22"/>
                <w:szCs w:val="22"/>
              </w:rPr>
              <w:t xml:space="preserve">     Yes</w:t>
            </w:r>
          </w:p>
        </w:tc>
        <w:tc>
          <w:tcPr>
            <w:tcW w:w="1763" w:type="pct"/>
            <w:gridSpan w:val="5"/>
            <w:vAlign w:val="center"/>
          </w:tcPr>
          <w:p w14:paraId="63CEEAFA" w14:textId="39F9033F"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color w:val="000000"/>
                <w:sz w:val="22"/>
                <w:szCs w:val="22"/>
              </w:rPr>
            </w:pPr>
            <w:r w:rsidRPr="1D6E3FFF">
              <w:rPr>
                <w:rFonts w:asciiTheme="minorHAnsi" w:eastAsiaTheme="minorEastAsia" w:hAnsiTheme="minorHAnsi" w:cs="Arial"/>
                <w:b/>
                <w:bCs/>
                <w:color w:val="000000"/>
                <w:sz w:val="22"/>
                <w:szCs w:val="22"/>
              </w:rPr>
              <w:fldChar w:fldCharType="begin">
                <w:ffData>
                  <w:name w:val="Check61"/>
                  <w:enabled/>
                  <w:calcOnExit w:val="0"/>
                  <w:checkBox>
                    <w:sizeAuto/>
                    <w:default w:val="1"/>
                  </w:checkBox>
                </w:ffData>
              </w:fldChar>
            </w:r>
            <w:bookmarkStart w:id="283" w:name="Check61"/>
            <w:r w:rsidRPr="1D6E3FFF">
              <w:rPr>
                <w:rFonts w:asciiTheme="minorHAnsi" w:eastAsiaTheme="minorEastAsia" w:hAnsiTheme="minorHAnsi" w:cs="Arial"/>
                <w:b/>
                <w:bCs/>
                <w:color w:val="000000"/>
                <w:sz w:val="22"/>
                <w:szCs w:val="22"/>
              </w:rPr>
              <w:instrText xml:space="preserve"> FORMCHECKBOX </w:instrText>
            </w:r>
            <w:r w:rsidRPr="1D6E3FFF">
              <w:rPr>
                <w:rFonts w:asciiTheme="minorHAnsi" w:eastAsiaTheme="minorEastAsia" w:hAnsiTheme="minorHAnsi" w:cs="Arial"/>
                <w:b/>
                <w:bCs/>
                <w:color w:val="000000"/>
                <w:sz w:val="22"/>
                <w:szCs w:val="22"/>
              </w:rPr>
            </w:r>
            <w:r w:rsidRPr="1D6E3FFF">
              <w:rPr>
                <w:rFonts w:asciiTheme="minorHAnsi" w:eastAsiaTheme="minorEastAsia" w:hAnsiTheme="minorHAnsi" w:cs="Arial"/>
                <w:b/>
                <w:bCs/>
                <w:color w:val="000000"/>
                <w:sz w:val="22"/>
                <w:szCs w:val="22"/>
              </w:rPr>
              <w:fldChar w:fldCharType="separate"/>
            </w:r>
            <w:r w:rsidRPr="1D6E3FFF">
              <w:rPr>
                <w:rFonts w:asciiTheme="minorHAnsi" w:eastAsiaTheme="minorEastAsia" w:hAnsiTheme="minorHAnsi" w:cs="Arial"/>
                <w:b/>
                <w:bCs/>
                <w:color w:val="000000"/>
                <w:sz w:val="22"/>
                <w:szCs w:val="22"/>
              </w:rPr>
              <w:fldChar w:fldCharType="end"/>
            </w:r>
            <w:bookmarkEnd w:id="283"/>
            <w:r w:rsidR="24DCCCE0" w:rsidRPr="1D6E3FFF">
              <w:rPr>
                <w:rFonts w:asciiTheme="minorHAnsi" w:eastAsiaTheme="minorEastAsia" w:hAnsiTheme="minorHAnsi" w:cs="Arial"/>
                <w:b/>
                <w:bCs/>
                <w:color w:val="000000"/>
                <w:sz w:val="22"/>
                <w:szCs w:val="22"/>
              </w:rPr>
              <w:t xml:space="preserve">    No</w:t>
            </w:r>
            <w:r w:rsidR="5614CEC6" w:rsidRPr="1D6E3FFF">
              <w:rPr>
                <w:rFonts w:asciiTheme="minorHAnsi" w:eastAsiaTheme="minorEastAsia" w:hAnsiTheme="minorHAnsi" w:cs="Arial"/>
                <w:b/>
                <w:bCs/>
                <w:color w:val="000000"/>
                <w:sz w:val="22"/>
                <w:szCs w:val="22"/>
              </w:rPr>
              <w:t xml:space="preserve"> </w:t>
            </w:r>
          </w:p>
        </w:tc>
      </w:tr>
      <w:tr w:rsidR="00086B57" w:rsidRPr="00086B57" w14:paraId="189027A5" w14:textId="77777777" w:rsidTr="1F0E8EA4">
        <w:trPr>
          <w:trHeight w:val="502"/>
        </w:trPr>
        <w:tc>
          <w:tcPr>
            <w:tcW w:w="1059" w:type="pct"/>
            <w:vMerge/>
            <w:vAlign w:val="center"/>
          </w:tcPr>
          <w:p w14:paraId="2BFA9E41"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3941" w:type="pct"/>
            <w:gridSpan w:val="9"/>
          </w:tcPr>
          <w:p w14:paraId="4895FE5A"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i/>
                <w:iCs/>
                <w:color w:val="000000"/>
                <w:sz w:val="20"/>
                <w:szCs w:val="20"/>
              </w:rPr>
            </w:pPr>
            <w:r w:rsidRPr="00086B57">
              <w:rPr>
                <w:rFonts w:asciiTheme="minorHAnsi" w:eastAsiaTheme="minorHAnsi" w:hAnsiTheme="minorHAnsi" w:cs="Arial"/>
                <w:i/>
                <w:iCs/>
                <w:color w:val="000000"/>
                <w:sz w:val="20"/>
                <w:szCs w:val="20"/>
              </w:rPr>
              <w:t>Provide further details.</w:t>
            </w:r>
          </w:p>
          <w:p w14:paraId="3D4B9B43"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Cs/>
                <w:iCs/>
                <w:color w:val="000000"/>
                <w:sz w:val="20"/>
                <w:szCs w:val="20"/>
              </w:rPr>
            </w:pPr>
            <w:r w:rsidRPr="00086B57">
              <w:rPr>
                <w:rFonts w:asciiTheme="minorHAnsi" w:eastAsiaTheme="minorHAnsi" w:hAnsiTheme="minorHAnsi"/>
                <w:sz w:val="22"/>
                <w:szCs w:val="22"/>
              </w:rPr>
              <w:t>The policy promotes equitable access to nutrition and hydration care and includes provisions for reasonable adjustments, culturally appropriate food provision and accessible communication. It therefore supports equality of opportunity rather than creating disadvantage.</w:t>
            </w:r>
          </w:p>
        </w:tc>
      </w:tr>
      <w:tr w:rsidR="00086B57" w:rsidRPr="00086B57" w14:paraId="53FBEC59" w14:textId="77777777" w:rsidTr="1F0E8EA4">
        <w:trPr>
          <w:trHeight w:val="971"/>
        </w:trPr>
        <w:tc>
          <w:tcPr>
            <w:tcW w:w="1059" w:type="pct"/>
            <w:vAlign w:val="center"/>
          </w:tcPr>
          <w:p w14:paraId="6D4D914C"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r w:rsidRPr="00086B57">
              <w:rPr>
                <w:rFonts w:asciiTheme="minorHAnsi" w:eastAsiaTheme="minorHAnsi" w:hAnsiTheme="minorHAnsi" w:cs="Arial"/>
                <w:sz w:val="22"/>
                <w:szCs w:val="18"/>
              </w:rPr>
              <w:t>Where a negative impact has been identified, can changes be made to minimise it?</w:t>
            </w:r>
          </w:p>
        </w:tc>
        <w:tc>
          <w:tcPr>
            <w:tcW w:w="3941" w:type="pct"/>
            <w:gridSpan w:val="9"/>
          </w:tcPr>
          <w:p w14:paraId="53CBFED4"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color w:val="000000"/>
                <w:sz w:val="22"/>
                <w:szCs w:val="22"/>
              </w:rPr>
            </w:pPr>
            <w:r w:rsidRPr="00086B57">
              <w:rPr>
                <w:rFonts w:asciiTheme="minorHAnsi" w:eastAsiaTheme="minorHAnsi" w:hAnsiTheme="minorHAnsi" w:cs="Arial"/>
                <w:i/>
                <w:iCs/>
                <w:color w:val="000000"/>
                <w:sz w:val="20"/>
                <w:szCs w:val="20"/>
              </w:rPr>
              <w:t>If there is no negative impact for any group, briefly explain why this is not applicable.</w:t>
            </w:r>
          </w:p>
        </w:tc>
      </w:tr>
      <w:tr w:rsidR="00086B57" w:rsidRPr="00086B57" w14:paraId="31C27A65" w14:textId="77777777" w:rsidTr="1F0E8EA4">
        <w:trPr>
          <w:trHeight w:val="471"/>
        </w:trPr>
        <w:tc>
          <w:tcPr>
            <w:tcW w:w="1059" w:type="pct"/>
            <w:vMerge w:val="restart"/>
            <w:vAlign w:val="center"/>
          </w:tcPr>
          <w:p w14:paraId="02A6EA4D"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r w:rsidRPr="00086B57">
              <w:rPr>
                <w:rFonts w:asciiTheme="minorHAnsi" w:eastAsiaTheme="minorHAnsi" w:hAnsiTheme="minorHAnsi" w:cs="Arial"/>
                <w:sz w:val="22"/>
                <w:szCs w:val="18"/>
              </w:rPr>
              <w:t xml:space="preserve">Is the </w:t>
            </w:r>
            <w:r w:rsidRPr="00086B57">
              <w:rPr>
                <w:rFonts w:asciiTheme="minorHAnsi" w:eastAsiaTheme="minorHAnsi" w:hAnsiTheme="minorHAnsi" w:cs="Arial"/>
                <w:sz w:val="22"/>
                <w:szCs w:val="22"/>
              </w:rPr>
              <w:t>service, function, or policy</w:t>
            </w:r>
            <w:r w:rsidRPr="00086B57">
              <w:rPr>
                <w:rFonts w:asciiTheme="minorHAnsi" w:eastAsiaTheme="minorHAnsi" w:hAnsiTheme="minorHAnsi" w:cs="Arial"/>
                <w:sz w:val="22"/>
                <w:szCs w:val="18"/>
              </w:rPr>
              <w:t xml:space="preserve"> </w:t>
            </w:r>
            <w:r w:rsidRPr="00086B57">
              <w:rPr>
                <w:rFonts w:asciiTheme="minorHAnsi" w:eastAsiaTheme="minorHAnsi" w:hAnsiTheme="minorHAnsi" w:cs="Arial"/>
                <w:b/>
                <w:bCs/>
                <w:sz w:val="22"/>
                <w:szCs w:val="18"/>
              </w:rPr>
              <w:t>indirectly discriminatory</w:t>
            </w:r>
            <w:r w:rsidRPr="00086B57">
              <w:rPr>
                <w:rFonts w:asciiTheme="minorHAnsi" w:eastAsiaTheme="minorHAnsi" w:hAnsiTheme="minorHAnsi" w:cs="Arial"/>
                <w:sz w:val="22"/>
                <w:szCs w:val="18"/>
              </w:rPr>
              <w:t>, and can it be justified?</w:t>
            </w:r>
          </w:p>
        </w:tc>
        <w:tc>
          <w:tcPr>
            <w:tcW w:w="2085" w:type="pct"/>
            <w:gridSpan w:val="2"/>
            <w:vAlign w:val="center"/>
          </w:tcPr>
          <w:p w14:paraId="587748E3"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color w:val="000000"/>
                <w:sz w:val="22"/>
                <w:szCs w:val="22"/>
              </w:rPr>
            </w:pPr>
            <w:r w:rsidRPr="00086B57">
              <w:rPr>
                <w:rFonts w:asciiTheme="minorHAnsi" w:eastAsiaTheme="minorHAnsi" w:hAnsiTheme="minorHAnsi" w:cs="Arial"/>
                <w:b/>
                <w:bCs/>
                <w:color w:val="000000"/>
                <w:sz w:val="22"/>
                <w:szCs w:val="22"/>
              </w:rPr>
              <w:fldChar w:fldCharType="begin">
                <w:ffData>
                  <w:name w:val="Check40"/>
                  <w:enabled/>
                  <w:calcOnExit w:val="0"/>
                  <w:checkBox>
                    <w:sizeAuto/>
                    <w:default w:val="0"/>
                  </w:checkBox>
                </w:ffData>
              </w:fldChar>
            </w:r>
            <w:bookmarkStart w:id="284" w:name="Check40"/>
            <w:r w:rsidRPr="00086B57">
              <w:rPr>
                <w:rFonts w:asciiTheme="minorHAnsi" w:eastAsiaTheme="minorHAnsi" w:hAnsiTheme="minorHAnsi" w:cs="Arial"/>
                <w:b/>
                <w:bCs/>
                <w:color w:val="000000"/>
                <w:sz w:val="22"/>
                <w:szCs w:val="22"/>
              </w:rPr>
              <w:instrText xml:space="preserve"> FORMCHECKBOX </w:instrText>
            </w:r>
            <w:r w:rsidRPr="00086B57">
              <w:rPr>
                <w:rFonts w:asciiTheme="minorHAnsi" w:eastAsiaTheme="minorHAnsi" w:hAnsiTheme="minorHAnsi" w:cs="Arial"/>
                <w:b/>
                <w:bCs/>
                <w:color w:val="000000"/>
                <w:sz w:val="22"/>
                <w:szCs w:val="22"/>
              </w:rPr>
            </w:r>
            <w:r w:rsidRPr="00086B57">
              <w:rPr>
                <w:rFonts w:asciiTheme="minorHAnsi" w:eastAsiaTheme="minorHAnsi" w:hAnsiTheme="minorHAnsi" w:cs="Arial"/>
                <w:b/>
                <w:bCs/>
                <w:color w:val="000000"/>
                <w:sz w:val="22"/>
                <w:szCs w:val="22"/>
              </w:rPr>
              <w:fldChar w:fldCharType="separate"/>
            </w:r>
            <w:r w:rsidRPr="00086B57">
              <w:rPr>
                <w:rFonts w:asciiTheme="minorHAnsi" w:eastAsiaTheme="minorHAnsi" w:hAnsiTheme="minorHAnsi" w:cs="Arial"/>
                <w:b/>
                <w:bCs/>
                <w:color w:val="000000"/>
                <w:sz w:val="22"/>
                <w:szCs w:val="22"/>
              </w:rPr>
              <w:fldChar w:fldCharType="end"/>
            </w:r>
            <w:bookmarkEnd w:id="284"/>
            <w:r w:rsidRPr="00086B57">
              <w:rPr>
                <w:rFonts w:asciiTheme="minorHAnsi" w:eastAsiaTheme="minorHAnsi" w:hAnsiTheme="minorHAnsi" w:cs="Arial"/>
                <w:b/>
                <w:bCs/>
                <w:color w:val="000000"/>
                <w:sz w:val="22"/>
                <w:szCs w:val="22"/>
              </w:rPr>
              <w:t xml:space="preserve">     Yes</w:t>
            </w:r>
          </w:p>
        </w:tc>
        <w:tc>
          <w:tcPr>
            <w:tcW w:w="1856" w:type="pct"/>
            <w:gridSpan w:val="7"/>
            <w:vAlign w:val="center"/>
          </w:tcPr>
          <w:p w14:paraId="73342027" w14:textId="2264AFA5" w:rsidR="00086B57" w:rsidRPr="00086B57" w:rsidRDefault="00086B57" w:rsidP="1D6E3FFF">
            <w:pPr>
              <w:keepNext w:val="0"/>
              <w:keepLines w:val="0"/>
              <w:autoSpaceDE w:val="0"/>
              <w:autoSpaceDN w:val="0"/>
              <w:adjustRightInd w:val="0"/>
              <w:spacing w:before="0" w:after="160"/>
              <w:contextualSpacing w:val="0"/>
              <w:jc w:val="left"/>
              <w:rPr>
                <w:rFonts w:asciiTheme="minorHAnsi" w:eastAsiaTheme="minorEastAsia" w:hAnsiTheme="minorHAnsi" w:cs="Arial"/>
                <w:b/>
                <w:bCs/>
                <w:color w:val="000000"/>
                <w:sz w:val="22"/>
                <w:szCs w:val="22"/>
              </w:rPr>
            </w:pPr>
            <w:r w:rsidRPr="1D6E3FFF">
              <w:rPr>
                <w:rFonts w:asciiTheme="minorHAnsi" w:eastAsiaTheme="minorEastAsia" w:hAnsiTheme="minorHAnsi" w:cs="Arial"/>
                <w:b/>
                <w:bCs/>
                <w:color w:val="000000"/>
                <w:sz w:val="22"/>
                <w:szCs w:val="22"/>
              </w:rPr>
              <w:fldChar w:fldCharType="begin">
                <w:ffData>
                  <w:name w:val="Check39"/>
                  <w:enabled/>
                  <w:calcOnExit w:val="0"/>
                  <w:checkBox>
                    <w:sizeAuto/>
                    <w:default w:val="1"/>
                  </w:checkBox>
                </w:ffData>
              </w:fldChar>
            </w:r>
            <w:bookmarkStart w:id="285" w:name="Check39"/>
            <w:r w:rsidRPr="1D6E3FFF">
              <w:rPr>
                <w:rFonts w:asciiTheme="minorHAnsi" w:eastAsiaTheme="minorEastAsia" w:hAnsiTheme="minorHAnsi" w:cs="Arial"/>
                <w:b/>
                <w:bCs/>
                <w:color w:val="000000"/>
                <w:sz w:val="22"/>
                <w:szCs w:val="22"/>
              </w:rPr>
              <w:instrText xml:space="preserve"> FORMCHECKBOX </w:instrText>
            </w:r>
            <w:r w:rsidRPr="1D6E3FFF">
              <w:rPr>
                <w:rFonts w:asciiTheme="minorHAnsi" w:eastAsiaTheme="minorEastAsia" w:hAnsiTheme="minorHAnsi" w:cs="Arial"/>
                <w:b/>
                <w:bCs/>
                <w:color w:val="000000"/>
                <w:sz w:val="22"/>
                <w:szCs w:val="22"/>
              </w:rPr>
            </w:r>
            <w:r w:rsidRPr="1D6E3FFF">
              <w:rPr>
                <w:rFonts w:asciiTheme="minorHAnsi" w:eastAsiaTheme="minorEastAsia" w:hAnsiTheme="minorHAnsi" w:cs="Arial"/>
                <w:b/>
                <w:bCs/>
                <w:color w:val="000000"/>
                <w:sz w:val="22"/>
                <w:szCs w:val="22"/>
              </w:rPr>
              <w:fldChar w:fldCharType="separate"/>
            </w:r>
            <w:r w:rsidRPr="1D6E3FFF">
              <w:rPr>
                <w:rFonts w:asciiTheme="minorHAnsi" w:eastAsiaTheme="minorEastAsia" w:hAnsiTheme="minorHAnsi" w:cs="Arial"/>
                <w:b/>
                <w:bCs/>
                <w:color w:val="000000"/>
                <w:sz w:val="22"/>
                <w:szCs w:val="22"/>
              </w:rPr>
              <w:fldChar w:fldCharType="end"/>
            </w:r>
            <w:bookmarkEnd w:id="285"/>
            <w:r w:rsidR="24DCCCE0" w:rsidRPr="1D6E3FFF">
              <w:rPr>
                <w:rFonts w:asciiTheme="minorHAnsi" w:eastAsiaTheme="minorEastAsia" w:hAnsiTheme="minorHAnsi" w:cs="Arial"/>
                <w:b/>
                <w:bCs/>
                <w:color w:val="000000"/>
                <w:sz w:val="22"/>
                <w:szCs w:val="22"/>
              </w:rPr>
              <w:t xml:space="preserve">     No</w:t>
            </w:r>
          </w:p>
        </w:tc>
      </w:tr>
      <w:tr w:rsidR="00086B57" w:rsidRPr="00086B57" w14:paraId="1CEA16B7" w14:textId="77777777" w:rsidTr="1F0E8EA4">
        <w:trPr>
          <w:trHeight w:val="251"/>
        </w:trPr>
        <w:tc>
          <w:tcPr>
            <w:tcW w:w="1059" w:type="pct"/>
            <w:vMerge/>
            <w:vAlign w:val="center"/>
          </w:tcPr>
          <w:p w14:paraId="0CDE42D8"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3941" w:type="pct"/>
            <w:gridSpan w:val="9"/>
          </w:tcPr>
          <w:p w14:paraId="45B71D41"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i/>
                <w:iCs/>
                <w:color w:val="000000"/>
                <w:sz w:val="20"/>
                <w:szCs w:val="20"/>
              </w:rPr>
            </w:pPr>
            <w:r w:rsidRPr="00086B57">
              <w:rPr>
                <w:rFonts w:asciiTheme="minorHAnsi" w:eastAsiaTheme="minorHAnsi" w:hAnsiTheme="minorHAnsi" w:cs="Arial"/>
                <w:i/>
                <w:iCs/>
                <w:color w:val="000000" w:themeColor="text1"/>
                <w:sz w:val="20"/>
                <w:szCs w:val="20"/>
              </w:rPr>
              <w:t>Provide further details</w:t>
            </w:r>
          </w:p>
        </w:tc>
      </w:tr>
      <w:tr w:rsidR="00086B57" w:rsidRPr="00086B57" w14:paraId="395A1B6F" w14:textId="77777777" w:rsidTr="1F0E8EA4">
        <w:trPr>
          <w:trHeight w:val="347"/>
        </w:trPr>
        <w:tc>
          <w:tcPr>
            <w:tcW w:w="1059" w:type="pct"/>
            <w:vMerge w:val="restart"/>
            <w:vAlign w:val="center"/>
          </w:tcPr>
          <w:p w14:paraId="5B7624A0"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r w:rsidRPr="00086B57">
              <w:rPr>
                <w:rFonts w:asciiTheme="minorHAnsi" w:eastAsiaTheme="minorHAnsi" w:hAnsiTheme="minorHAnsi" w:cs="Arial"/>
                <w:sz w:val="22"/>
                <w:szCs w:val="18"/>
              </w:rPr>
              <w:t>Is the</w:t>
            </w:r>
            <w:r w:rsidRPr="00086B57">
              <w:rPr>
                <w:rFonts w:asciiTheme="minorHAnsi" w:eastAsiaTheme="minorHAnsi" w:hAnsiTheme="minorHAnsi" w:cs="Arial"/>
                <w:sz w:val="22"/>
                <w:szCs w:val="22"/>
              </w:rPr>
              <w:t xml:space="preserve"> service, function, or policy</w:t>
            </w:r>
            <w:r w:rsidRPr="00086B57">
              <w:rPr>
                <w:rFonts w:asciiTheme="minorHAnsi" w:eastAsiaTheme="minorHAnsi" w:hAnsiTheme="minorHAnsi" w:cs="Arial"/>
                <w:sz w:val="22"/>
                <w:szCs w:val="18"/>
              </w:rPr>
              <w:t xml:space="preserve"> intended to increase equality of opportunity by permitting Positive Action or Reasonable Adjustment? </w:t>
            </w:r>
          </w:p>
        </w:tc>
        <w:tc>
          <w:tcPr>
            <w:tcW w:w="2085" w:type="pct"/>
            <w:gridSpan w:val="2"/>
            <w:vAlign w:val="center"/>
          </w:tcPr>
          <w:p w14:paraId="5E67E62A"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color w:val="000000"/>
                <w:sz w:val="22"/>
                <w:szCs w:val="22"/>
              </w:rPr>
            </w:pPr>
            <w:r w:rsidRPr="00086B57">
              <w:rPr>
                <w:rFonts w:asciiTheme="minorHAnsi" w:eastAsiaTheme="minorHAnsi" w:hAnsiTheme="minorHAnsi" w:cs="Arial"/>
                <w:b/>
                <w:bCs/>
                <w:color w:val="000000"/>
                <w:sz w:val="22"/>
                <w:szCs w:val="22"/>
              </w:rPr>
              <w:fldChar w:fldCharType="begin">
                <w:ffData>
                  <w:name w:val="Check41"/>
                  <w:enabled/>
                  <w:calcOnExit w:val="0"/>
                  <w:checkBox>
                    <w:sizeAuto/>
                    <w:default w:val="1"/>
                  </w:checkBox>
                </w:ffData>
              </w:fldChar>
            </w:r>
            <w:bookmarkStart w:id="286" w:name="Check41"/>
            <w:r w:rsidRPr="00086B57">
              <w:rPr>
                <w:rFonts w:asciiTheme="minorHAnsi" w:eastAsiaTheme="minorHAnsi" w:hAnsiTheme="minorHAnsi" w:cs="Arial"/>
                <w:b/>
                <w:bCs/>
                <w:color w:val="000000"/>
                <w:sz w:val="22"/>
                <w:szCs w:val="22"/>
              </w:rPr>
              <w:instrText xml:space="preserve"> FORMCHECKBOX </w:instrText>
            </w:r>
            <w:r w:rsidRPr="00086B57">
              <w:rPr>
                <w:rFonts w:asciiTheme="minorHAnsi" w:eastAsiaTheme="minorHAnsi" w:hAnsiTheme="minorHAnsi" w:cs="Arial"/>
                <w:b/>
                <w:bCs/>
                <w:color w:val="000000"/>
                <w:sz w:val="22"/>
                <w:szCs w:val="22"/>
              </w:rPr>
            </w:r>
            <w:r w:rsidRPr="00086B57">
              <w:rPr>
                <w:rFonts w:asciiTheme="minorHAnsi" w:eastAsiaTheme="minorHAnsi" w:hAnsiTheme="minorHAnsi" w:cs="Arial"/>
                <w:b/>
                <w:bCs/>
                <w:color w:val="000000"/>
                <w:sz w:val="22"/>
                <w:szCs w:val="22"/>
              </w:rPr>
              <w:fldChar w:fldCharType="separate"/>
            </w:r>
            <w:r w:rsidRPr="00086B57">
              <w:rPr>
                <w:rFonts w:asciiTheme="minorHAnsi" w:eastAsiaTheme="minorHAnsi" w:hAnsiTheme="minorHAnsi" w:cs="Arial"/>
                <w:b/>
                <w:bCs/>
                <w:color w:val="000000"/>
                <w:sz w:val="22"/>
                <w:szCs w:val="22"/>
              </w:rPr>
              <w:fldChar w:fldCharType="end"/>
            </w:r>
            <w:bookmarkEnd w:id="286"/>
            <w:r w:rsidRPr="00086B57">
              <w:rPr>
                <w:rFonts w:asciiTheme="minorHAnsi" w:eastAsiaTheme="minorHAnsi" w:hAnsiTheme="minorHAnsi" w:cs="Arial"/>
                <w:b/>
                <w:bCs/>
                <w:color w:val="000000"/>
                <w:sz w:val="22"/>
                <w:szCs w:val="22"/>
              </w:rPr>
              <w:t xml:space="preserve">     Yes</w:t>
            </w:r>
          </w:p>
        </w:tc>
        <w:tc>
          <w:tcPr>
            <w:tcW w:w="1856" w:type="pct"/>
            <w:gridSpan w:val="7"/>
            <w:vAlign w:val="center"/>
          </w:tcPr>
          <w:p w14:paraId="52F5C381"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b/>
                <w:bCs/>
                <w:color w:val="000000"/>
                <w:sz w:val="22"/>
                <w:szCs w:val="22"/>
              </w:rPr>
            </w:pPr>
            <w:r w:rsidRPr="00086B57">
              <w:rPr>
                <w:rFonts w:asciiTheme="minorHAnsi" w:eastAsiaTheme="minorHAnsi" w:hAnsiTheme="minorHAnsi" w:cs="Arial"/>
                <w:b/>
                <w:bCs/>
                <w:color w:val="000000"/>
                <w:sz w:val="22"/>
                <w:szCs w:val="22"/>
              </w:rPr>
              <w:fldChar w:fldCharType="begin">
                <w:ffData>
                  <w:name w:val="Check42"/>
                  <w:enabled/>
                  <w:calcOnExit w:val="0"/>
                  <w:checkBox>
                    <w:sizeAuto/>
                    <w:default w:val="0"/>
                    <w:checked w:val="0"/>
                  </w:checkBox>
                </w:ffData>
              </w:fldChar>
            </w:r>
            <w:bookmarkStart w:id="287" w:name="Check42"/>
            <w:r w:rsidRPr="00086B57">
              <w:rPr>
                <w:rFonts w:asciiTheme="minorHAnsi" w:eastAsiaTheme="minorHAnsi" w:hAnsiTheme="minorHAnsi" w:cs="Arial"/>
                <w:b/>
                <w:bCs/>
                <w:color w:val="000000"/>
                <w:sz w:val="22"/>
                <w:szCs w:val="22"/>
              </w:rPr>
              <w:instrText xml:space="preserve"> FORMCHECKBOX </w:instrText>
            </w:r>
            <w:r w:rsidRPr="00086B57">
              <w:rPr>
                <w:rFonts w:asciiTheme="minorHAnsi" w:eastAsiaTheme="minorHAnsi" w:hAnsiTheme="minorHAnsi" w:cs="Arial"/>
                <w:b/>
                <w:bCs/>
                <w:color w:val="000000"/>
                <w:sz w:val="22"/>
                <w:szCs w:val="22"/>
              </w:rPr>
            </w:r>
            <w:r w:rsidRPr="00086B57">
              <w:rPr>
                <w:rFonts w:asciiTheme="minorHAnsi" w:eastAsiaTheme="minorHAnsi" w:hAnsiTheme="minorHAnsi" w:cs="Arial"/>
                <w:b/>
                <w:bCs/>
                <w:color w:val="000000"/>
                <w:sz w:val="22"/>
                <w:szCs w:val="22"/>
              </w:rPr>
              <w:fldChar w:fldCharType="separate"/>
            </w:r>
            <w:r w:rsidRPr="00086B57">
              <w:rPr>
                <w:rFonts w:asciiTheme="minorHAnsi" w:eastAsiaTheme="minorHAnsi" w:hAnsiTheme="minorHAnsi" w:cs="Arial"/>
                <w:b/>
                <w:bCs/>
                <w:color w:val="000000"/>
                <w:sz w:val="22"/>
                <w:szCs w:val="22"/>
              </w:rPr>
              <w:fldChar w:fldCharType="end"/>
            </w:r>
            <w:bookmarkEnd w:id="287"/>
            <w:r w:rsidRPr="00086B57">
              <w:rPr>
                <w:rFonts w:asciiTheme="minorHAnsi" w:eastAsiaTheme="minorHAnsi" w:hAnsiTheme="minorHAnsi" w:cs="Arial"/>
                <w:b/>
                <w:bCs/>
                <w:color w:val="000000"/>
                <w:sz w:val="22"/>
                <w:szCs w:val="22"/>
              </w:rPr>
              <w:t xml:space="preserve">     No</w:t>
            </w:r>
          </w:p>
        </w:tc>
      </w:tr>
      <w:tr w:rsidR="00086B57" w:rsidRPr="00086B57" w14:paraId="1DD25BA9" w14:textId="77777777" w:rsidTr="1F0E8EA4">
        <w:trPr>
          <w:trHeight w:val="337"/>
        </w:trPr>
        <w:tc>
          <w:tcPr>
            <w:tcW w:w="1059" w:type="pct"/>
            <w:vMerge/>
            <w:vAlign w:val="center"/>
          </w:tcPr>
          <w:p w14:paraId="50DB368F" w14:textId="77777777" w:rsidR="00086B57" w:rsidRPr="00086B57" w:rsidRDefault="00086B57" w:rsidP="00086B57">
            <w:pPr>
              <w:keepNext w:val="0"/>
              <w:keepLines w:val="0"/>
              <w:spacing w:before="0" w:after="160"/>
              <w:contextualSpacing w:val="0"/>
              <w:jc w:val="left"/>
              <w:outlineLvl w:val="9"/>
              <w:rPr>
                <w:rFonts w:asciiTheme="minorHAnsi" w:eastAsiaTheme="minorHAnsi" w:hAnsiTheme="minorHAnsi" w:cs="Arial"/>
                <w:sz w:val="22"/>
                <w:szCs w:val="18"/>
              </w:rPr>
            </w:pPr>
          </w:p>
        </w:tc>
        <w:tc>
          <w:tcPr>
            <w:tcW w:w="3941" w:type="pct"/>
            <w:gridSpan w:val="9"/>
          </w:tcPr>
          <w:p w14:paraId="04C8DF80"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i/>
                <w:iCs/>
                <w:sz w:val="20"/>
                <w:szCs w:val="20"/>
              </w:rPr>
            </w:pPr>
            <w:r w:rsidRPr="00086B57">
              <w:rPr>
                <w:rFonts w:asciiTheme="minorHAnsi" w:eastAsiaTheme="minorHAnsi" w:hAnsiTheme="minorHAnsi" w:cs="Arial"/>
                <w:i/>
                <w:iCs/>
                <w:sz w:val="20"/>
                <w:szCs w:val="20"/>
              </w:rPr>
              <w:t xml:space="preserve">If </w:t>
            </w:r>
            <w:bookmarkStart w:id="288" w:name="_Int_lsWaQeZB"/>
            <w:r w:rsidRPr="00086B57">
              <w:rPr>
                <w:rFonts w:asciiTheme="minorHAnsi" w:eastAsiaTheme="minorHAnsi" w:hAnsiTheme="minorHAnsi" w:cs="Arial"/>
                <w:b/>
                <w:bCs/>
                <w:i/>
                <w:iCs/>
                <w:sz w:val="20"/>
                <w:szCs w:val="20"/>
              </w:rPr>
              <w:t>Yes</w:t>
            </w:r>
            <w:bookmarkEnd w:id="288"/>
            <w:r w:rsidRPr="00086B57">
              <w:rPr>
                <w:rFonts w:asciiTheme="minorHAnsi" w:eastAsiaTheme="minorHAnsi" w:hAnsiTheme="minorHAnsi" w:cs="Arial"/>
                <w:i/>
                <w:iCs/>
                <w:sz w:val="20"/>
                <w:szCs w:val="20"/>
              </w:rPr>
              <w:t>, is this lawful? Please provide details,</w:t>
            </w:r>
          </w:p>
          <w:p w14:paraId="2932D2EB" w14:textId="77777777" w:rsidR="00086B57" w:rsidRPr="00086B57" w:rsidRDefault="00086B57" w:rsidP="00086B57">
            <w:pPr>
              <w:keepNext w:val="0"/>
              <w:keepLines w:val="0"/>
              <w:autoSpaceDE w:val="0"/>
              <w:autoSpaceDN w:val="0"/>
              <w:adjustRightInd w:val="0"/>
              <w:spacing w:before="0" w:after="160"/>
              <w:contextualSpacing w:val="0"/>
              <w:jc w:val="left"/>
              <w:outlineLvl w:val="9"/>
              <w:rPr>
                <w:rFonts w:asciiTheme="minorHAnsi" w:eastAsiaTheme="minorHAnsi" w:hAnsiTheme="minorHAnsi" w:cs="Arial"/>
                <w:iCs/>
                <w:sz w:val="20"/>
                <w:szCs w:val="20"/>
              </w:rPr>
            </w:pPr>
            <w:r w:rsidRPr="00086B57">
              <w:rPr>
                <w:rFonts w:asciiTheme="minorHAnsi" w:eastAsiaTheme="minorHAnsi" w:hAnsiTheme="minorHAnsi"/>
                <w:sz w:val="22"/>
                <w:szCs w:val="22"/>
              </w:rPr>
              <w:t>The policy supports reasonable adjustments including accessible communication materials, culturally appropriate dietary provision and support for individuals with disabilities, learning disabilities or swallowing difficulties. These adjustments are consistent with duties under the Equality Act 2010.</w:t>
            </w:r>
          </w:p>
        </w:tc>
      </w:tr>
    </w:tbl>
    <w:p w14:paraId="657D7D3A" w14:textId="77777777" w:rsidR="00B36D8A" w:rsidRPr="00B36D8A" w:rsidRDefault="00B36D8A" w:rsidP="00B36D8A"/>
    <w:sectPr w:rsidR="00B36D8A" w:rsidRPr="00B36D8A" w:rsidSect="0066676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6969" w14:textId="77777777" w:rsidR="003E5E9D" w:rsidRDefault="003E5E9D">
      <w:pPr>
        <w:spacing w:line="240" w:lineRule="auto"/>
      </w:pPr>
      <w:r>
        <w:separator/>
      </w:r>
    </w:p>
  </w:endnote>
  <w:endnote w:type="continuationSeparator" w:id="0">
    <w:p w14:paraId="50A4F45A" w14:textId="77777777" w:rsidR="003E5E9D" w:rsidRDefault="003E5E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GSMinchoE">
    <w:charset w:val="80"/>
    <w:family w:val="roman"/>
    <w:pitch w:val="variable"/>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6DF5" w14:textId="1F3BF3E5" w:rsidR="00517414" w:rsidRDefault="00517414" w:rsidP="5311C3E3">
    <w:pPr>
      <w:pStyle w:val="Footer"/>
      <w:jc w:val="right"/>
    </w:pPr>
    <w:r>
      <w:fldChar w:fldCharType="begin"/>
    </w:r>
    <w:r>
      <w:instrText>PAGE</w:instrText>
    </w:r>
    <w:r>
      <w:fldChar w:fldCharType="separate"/>
    </w:r>
    <w:r w:rsidR="00DE7A86">
      <w:rPr>
        <w:noProof/>
      </w:rPr>
      <w:t>16</w:t>
    </w:r>
    <w:r>
      <w:fldChar w:fldCharType="end"/>
    </w:r>
  </w:p>
  <w:p w14:paraId="29B6524D" w14:textId="2A365095" w:rsidR="00517414" w:rsidRDefault="00517414" w:rsidP="6FD00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6705" w14:textId="77777777" w:rsidR="003E5E9D" w:rsidRDefault="003E5E9D">
      <w:pPr>
        <w:spacing w:line="240" w:lineRule="auto"/>
      </w:pPr>
      <w:r>
        <w:separator/>
      </w:r>
    </w:p>
  </w:footnote>
  <w:footnote w:type="continuationSeparator" w:id="0">
    <w:p w14:paraId="787E6437" w14:textId="77777777" w:rsidR="003E5E9D" w:rsidRDefault="003E5E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BFB" w14:textId="0165A2E0" w:rsidR="00517414" w:rsidRPr="004443B8" w:rsidRDefault="00517414" w:rsidP="004443B8">
    <w:pPr>
      <w:jc w:val="right"/>
      <w:rPr>
        <w:sz w:val="22"/>
        <w:szCs w:val="22"/>
      </w:rPr>
    </w:pPr>
  </w:p>
</w:hdr>
</file>

<file path=word/intelligence2.xml><?xml version="1.0" encoding="utf-8"?>
<int2:intelligence xmlns:int2="http://schemas.microsoft.com/office/intelligence/2020/intelligence" xmlns:oel="http://schemas.microsoft.com/office/2019/extlst">
  <int2:observations>
    <int2:textHash int2:hashCode="3Xt7dOoWDgSd0S" int2:id="xSPe4JzA">
      <int2:state int2:value="Rejected" int2:type="spell"/>
    </int2:textHash>
    <int2:textHash int2:hashCode="OrtZNwJC/JiGrS" int2:id="5IMPj2kX">
      <int2:state int2:value="Rejected" int2:type="LegacyProofing"/>
    </int2:textHash>
    <int2:textHash int2:hashCode="4OsUzb/4uWJOl3" int2:id="dSRk2qLW">
      <int2:state int2:value="Rejected" int2:type="LegacyProofing"/>
    </int2:textHash>
    <int2:bookmark int2:bookmarkName="_Int_9Lrg7LG9" int2:invalidationBookmarkName="" int2:hashCode="0WGKeYedWd4R5F" int2:id="KZaDC14w">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6328"/>
    <w:multiLevelType w:val="hybridMultilevel"/>
    <w:tmpl w:val="D4E26D04"/>
    <w:lvl w:ilvl="0" w:tplc="C2C24358">
      <w:start w:val="1"/>
      <w:numFmt w:val="bullet"/>
      <w:lvlText w:val=""/>
      <w:lvlJc w:val="left"/>
      <w:pPr>
        <w:ind w:left="720" w:hanging="360"/>
      </w:pPr>
      <w:rPr>
        <w:rFonts w:ascii="Symbol" w:hAnsi="Symbol" w:hint="default"/>
      </w:rPr>
    </w:lvl>
    <w:lvl w:ilvl="1" w:tplc="E35E1B34">
      <w:start w:val="1"/>
      <w:numFmt w:val="bullet"/>
      <w:lvlText w:val="o"/>
      <w:lvlJc w:val="left"/>
      <w:pPr>
        <w:ind w:left="1440" w:hanging="360"/>
      </w:pPr>
      <w:rPr>
        <w:rFonts w:ascii="Courier New" w:hAnsi="Courier New" w:hint="default"/>
      </w:rPr>
    </w:lvl>
    <w:lvl w:ilvl="2" w:tplc="042E9CEA">
      <w:start w:val="1"/>
      <w:numFmt w:val="bullet"/>
      <w:lvlText w:val=""/>
      <w:lvlJc w:val="left"/>
      <w:pPr>
        <w:ind w:left="2160" w:hanging="360"/>
      </w:pPr>
      <w:rPr>
        <w:rFonts w:ascii="Wingdings" w:hAnsi="Wingdings" w:hint="default"/>
      </w:rPr>
    </w:lvl>
    <w:lvl w:ilvl="3" w:tplc="4B1827AE">
      <w:start w:val="1"/>
      <w:numFmt w:val="bullet"/>
      <w:lvlText w:val=""/>
      <w:lvlJc w:val="left"/>
      <w:pPr>
        <w:ind w:left="2880" w:hanging="360"/>
      </w:pPr>
      <w:rPr>
        <w:rFonts w:ascii="Symbol" w:hAnsi="Symbol" w:hint="default"/>
      </w:rPr>
    </w:lvl>
    <w:lvl w:ilvl="4" w:tplc="848EA79C">
      <w:start w:val="1"/>
      <w:numFmt w:val="bullet"/>
      <w:lvlText w:val="o"/>
      <w:lvlJc w:val="left"/>
      <w:pPr>
        <w:ind w:left="3600" w:hanging="360"/>
      </w:pPr>
      <w:rPr>
        <w:rFonts w:ascii="Courier New" w:hAnsi="Courier New" w:hint="default"/>
      </w:rPr>
    </w:lvl>
    <w:lvl w:ilvl="5" w:tplc="9C561282">
      <w:start w:val="1"/>
      <w:numFmt w:val="bullet"/>
      <w:lvlText w:val=""/>
      <w:lvlJc w:val="left"/>
      <w:pPr>
        <w:ind w:left="4320" w:hanging="360"/>
      </w:pPr>
      <w:rPr>
        <w:rFonts w:ascii="Wingdings" w:hAnsi="Wingdings" w:hint="default"/>
      </w:rPr>
    </w:lvl>
    <w:lvl w:ilvl="6" w:tplc="89227008">
      <w:start w:val="1"/>
      <w:numFmt w:val="bullet"/>
      <w:lvlText w:val=""/>
      <w:lvlJc w:val="left"/>
      <w:pPr>
        <w:ind w:left="5040" w:hanging="360"/>
      </w:pPr>
      <w:rPr>
        <w:rFonts w:ascii="Symbol" w:hAnsi="Symbol" w:hint="default"/>
      </w:rPr>
    </w:lvl>
    <w:lvl w:ilvl="7" w:tplc="634242CA">
      <w:start w:val="1"/>
      <w:numFmt w:val="bullet"/>
      <w:lvlText w:val="o"/>
      <w:lvlJc w:val="left"/>
      <w:pPr>
        <w:ind w:left="5760" w:hanging="360"/>
      </w:pPr>
      <w:rPr>
        <w:rFonts w:ascii="Courier New" w:hAnsi="Courier New" w:hint="default"/>
      </w:rPr>
    </w:lvl>
    <w:lvl w:ilvl="8" w:tplc="C2F81C4A">
      <w:start w:val="1"/>
      <w:numFmt w:val="bullet"/>
      <w:lvlText w:val=""/>
      <w:lvlJc w:val="left"/>
      <w:pPr>
        <w:ind w:left="6480" w:hanging="360"/>
      </w:pPr>
      <w:rPr>
        <w:rFonts w:ascii="Wingdings" w:hAnsi="Wingdings" w:hint="default"/>
      </w:rPr>
    </w:lvl>
  </w:abstractNum>
  <w:abstractNum w:abstractNumId="1" w15:restartNumberingAfterBreak="0">
    <w:nsid w:val="07F33907"/>
    <w:multiLevelType w:val="hybridMultilevel"/>
    <w:tmpl w:val="8E40A5BA"/>
    <w:lvl w:ilvl="0" w:tplc="6AB658D4">
      <w:start w:val="1"/>
      <w:numFmt w:val="bullet"/>
      <w:lvlText w:val=""/>
      <w:lvlJc w:val="left"/>
      <w:pPr>
        <w:ind w:left="720" w:hanging="360"/>
      </w:pPr>
      <w:rPr>
        <w:rFonts w:ascii="Symbol" w:hAnsi="Symbol" w:hint="default"/>
      </w:rPr>
    </w:lvl>
    <w:lvl w:ilvl="1" w:tplc="4F8402CE">
      <w:start w:val="1"/>
      <w:numFmt w:val="bullet"/>
      <w:lvlText w:val="o"/>
      <w:lvlJc w:val="left"/>
      <w:pPr>
        <w:ind w:left="1440" w:hanging="360"/>
      </w:pPr>
      <w:rPr>
        <w:rFonts w:ascii="Courier New" w:hAnsi="Courier New" w:hint="default"/>
      </w:rPr>
    </w:lvl>
    <w:lvl w:ilvl="2" w:tplc="DC88C604">
      <w:start w:val="1"/>
      <w:numFmt w:val="bullet"/>
      <w:lvlText w:val=""/>
      <w:lvlJc w:val="left"/>
      <w:pPr>
        <w:ind w:left="2160" w:hanging="360"/>
      </w:pPr>
      <w:rPr>
        <w:rFonts w:ascii="Wingdings" w:hAnsi="Wingdings" w:hint="default"/>
      </w:rPr>
    </w:lvl>
    <w:lvl w:ilvl="3" w:tplc="27CAF2CE">
      <w:start w:val="1"/>
      <w:numFmt w:val="bullet"/>
      <w:lvlText w:val=""/>
      <w:lvlJc w:val="left"/>
      <w:pPr>
        <w:ind w:left="2880" w:hanging="360"/>
      </w:pPr>
      <w:rPr>
        <w:rFonts w:ascii="Symbol" w:hAnsi="Symbol" w:hint="default"/>
      </w:rPr>
    </w:lvl>
    <w:lvl w:ilvl="4" w:tplc="89EA4E54">
      <w:start w:val="1"/>
      <w:numFmt w:val="bullet"/>
      <w:lvlText w:val="o"/>
      <w:lvlJc w:val="left"/>
      <w:pPr>
        <w:ind w:left="3600" w:hanging="360"/>
      </w:pPr>
      <w:rPr>
        <w:rFonts w:ascii="Courier New" w:hAnsi="Courier New" w:hint="default"/>
      </w:rPr>
    </w:lvl>
    <w:lvl w:ilvl="5" w:tplc="7A48BA2A">
      <w:start w:val="1"/>
      <w:numFmt w:val="bullet"/>
      <w:lvlText w:val=""/>
      <w:lvlJc w:val="left"/>
      <w:pPr>
        <w:ind w:left="4320" w:hanging="360"/>
      </w:pPr>
      <w:rPr>
        <w:rFonts w:ascii="Wingdings" w:hAnsi="Wingdings" w:hint="default"/>
      </w:rPr>
    </w:lvl>
    <w:lvl w:ilvl="6" w:tplc="4D6ED6B2">
      <w:start w:val="1"/>
      <w:numFmt w:val="bullet"/>
      <w:lvlText w:val=""/>
      <w:lvlJc w:val="left"/>
      <w:pPr>
        <w:ind w:left="5040" w:hanging="360"/>
      </w:pPr>
      <w:rPr>
        <w:rFonts w:ascii="Symbol" w:hAnsi="Symbol" w:hint="default"/>
      </w:rPr>
    </w:lvl>
    <w:lvl w:ilvl="7" w:tplc="E8580010">
      <w:start w:val="1"/>
      <w:numFmt w:val="bullet"/>
      <w:lvlText w:val="o"/>
      <w:lvlJc w:val="left"/>
      <w:pPr>
        <w:ind w:left="5760" w:hanging="360"/>
      </w:pPr>
      <w:rPr>
        <w:rFonts w:ascii="Courier New" w:hAnsi="Courier New" w:hint="default"/>
      </w:rPr>
    </w:lvl>
    <w:lvl w:ilvl="8" w:tplc="C7F8E8A8">
      <w:start w:val="1"/>
      <w:numFmt w:val="bullet"/>
      <w:lvlText w:val=""/>
      <w:lvlJc w:val="left"/>
      <w:pPr>
        <w:ind w:left="6480" w:hanging="360"/>
      </w:pPr>
      <w:rPr>
        <w:rFonts w:ascii="Wingdings" w:hAnsi="Wingdings" w:hint="default"/>
      </w:rPr>
    </w:lvl>
  </w:abstractNum>
  <w:abstractNum w:abstractNumId="2" w15:restartNumberingAfterBreak="0">
    <w:nsid w:val="0D2C454B"/>
    <w:multiLevelType w:val="hybridMultilevel"/>
    <w:tmpl w:val="042691E0"/>
    <w:lvl w:ilvl="0" w:tplc="E8941B22">
      <w:start w:val="1"/>
      <w:numFmt w:val="bullet"/>
      <w:lvlText w:val=""/>
      <w:lvlJc w:val="left"/>
      <w:pPr>
        <w:ind w:left="720" w:hanging="360"/>
      </w:pPr>
      <w:rPr>
        <w:rFonts w:ascii="Symbol" w:hAnsi="Symbol" w:hint="default"/>
      </w:rPr>
    </w:lvl>
    <w:lvl w:ilvl="1" w:tplc="650C1D1E">
      <w:start w:val="1"/>
      <w:numFmt w:val="bullet"/>
      <w:lvlText w:val="o"/>
      <w:lvlJc w:val="left"/>
      <w:pPr>
        <w:ind w:left="1440" w:hanging="360"/>
      </w:pPr>
      <w:rPr>
        <w:rFonts w:ascii="Courier New" w:hAnsi="Courier New" w:hint="default"/>
      </w:rPr>
    </w:lvl>
    <w:lvl w:ilvl="2" w:tplc="74D8104A">
      <w:start w:val="1"/>
      <w:numFmt w:val="bullet"/>
      <w:lvlText w:val=""/>
      <w:lvlJc w:val="left"/>
      <w:pPr>
        <w:ind w:left="2160" w:hanging="360"/>
      </w:pPr>
      <w:rPr>
        <w:rFonts w:ascii="Wingdings" w:hAnsi="Wingdings" w:hint="default"/>
      </w:rPr>
    </w:lvl>
    <w:lvl w:ilvl="3" w:tplc="3BDCB568">
      <w:start w:val="1"/>
      <w:numFmt w:val="bullet"/>
      <w:lvlText w:val=""/>
      <w:lvlJc w:val="left"/>
      <w:pPr>
        <w:ind w:left="2880" w:hanging="360"/>
      </w:pPr>
      <w:rPr>
        <w:rFonts w:ascii="Symbol" w:hAnsi="Symbol" w:hint="default"/>
      </w:rPr>
    </w:lvl>
    <w:lvl w:ilvl="4" w:tplc="D4488E5C">
      <w:start w:val="1"/>
      <w:numFmt w:val="bullet"/>
      <w:lvlText w:val="o"/>
      <w:lvlJc w:val="left"/>
      <w:pPr>
        <w:ind w:left="3600" w:hanging="360"/>
      </w:pPr>
      <w:rPr>
        <w:rFonts w:ascii="Courier New" w:hAnsi="Courier New" w:hint="default"/>
      </w:rPr>
    </w:lvl>
    <w:lvl w:ilvl="5" w:tplc="FFC492B8">
      <w:start w:val="1"/>
      <w:numFmt w:val="bullet"/>
      <w:lvlText w:val=""/>
      <w:lvlJc w:val="left"/>
      <w:pPr>
        <w:ind w:left="4320" w:hanging="360"/>
      </w:pPr>
      <w:rPr>
        <w:rFonts w:ascii="Wingdings" w:hAnsi="Wingdings" w:hint="default"/>
      </w:rPr>
    </w:lvl>
    <w:lvl w:ilvl="6" w:tplc="3444793E">
      <w:start w:val="1"/>
      <w:numFmt w:val="bullet"/>
      <w:lvlText w:val=""/>
      <w:lvlJc w:val="left"/>
      <w:pPr>
        <w:ind w:left="5040" w:hanging="360"/>
      </w:pPr>
      <w:rPr>
        <w:rFonts w:ascii="Symbol" w:hAnsi="Symbol" w:hint="default"/>
      </w:rPr>
    </w:lvl>
    <w:lvl w:ilvl="7" w:tplc="B6685A38">
      <w:start w:val="1"/>
      <w:numFmt w:val="bullet"/>
      <w:lvlText w:val="o"/>
      <w:lvlJc w:val="left"/>
      <w:pPr>
        <w:ind w:left="5760" w:hanging="360"/>
      </w:pPr>
      <w:rPr>
        <w:rFonts w:ascii="Courier New" w:hAnsi="Courier New" w:hint="default"/>
      </w:rPr>
    </w:lvl>
    <w:lvl w:ilvl="8" w:tplc="9026A1A0">
      <w:start w:val="1"/>
      <w:numFmt w:val="bullet"/>
      <w:lvlText w:val=""/>
      <w:lvlJc w:val="left"/>
      <w:pPr>
        <w:ind w:left="6480" w:hanging="360"/>
      </w:pPr>
      <w:rPr>
        <w:rFonts w:ascii="Wingdings" w:hAnsi="Wingdings" w:hint="default"/>
      </w:rPr>
    </w:lvl>
  </w:abstractNum>
  <w:abstractNum w:abstractNumId="3" w15:restartNumberingAfterBreak="0">
    <w:nsid w:val="0EF8B86F"/>
    <w:multiLevelType w:val="hybridMultilevel"/>
    <w:tmpl w:val="4816F4C8"/>
    <w:lvl w:ilvl="0" w:tplc="24D2DF46">
      <w:start w:val="1"/>
      <w:numFmt w:val="bullet"/>
      <w:lvlText w:val=""/>
      <w:lvlJc w:val="left"/>
      <w:pPr>
        <w:ind w:left="720" w:hanging="360"/>
      </w:pPr>
      <w:rPr>
        <w:rFonts w:ascii="Symbol" w:hAnsi="Symbol" w:hint="default"/>
      </w:rPr>
    </w:lvl>
    <w:lvl w:ilvl="1" w:tplc="1EC02F9E">
      <w:start w:val="1"/>
      <w:numFmt w:val="bullet"/>
      <w:lvlText w:val="o"/>
      <w:lvlJc w:val="left"/>
      <w:pPr>
        <w:ind w:left="1440" w:hanging="360"/>
      </w:pPr>
      <w:rPr>
        <w:rFonts w:ascii="Courier New" w:hAnsi="Courier New" w:hint="default"/>
      </w:rPr>
    </w:lvl>
    <w:lvl w:ilvl="2" w:tplc="19DC7D54">
      <w:start w:val="1"/>
      <w:numFmt w:val="bullet"/>
      <w:lvlText w:val=""/>
      <w:lvlJc w:val="left"/>
      <w:pPr>
        <w:ind w:left="2160" w:hanging="360"/>
      </w:pPr>
      <w:rPr>
        <w:rFonts w:ascii="Wingdings" w:hAnsi="Wingdings" w:hint="default"/>
      </w:rPr>
    </w:lvl>
    <w:lvl w:ilvl="3" w:tplc="61741098">
      <w:start w:val="1"/>
      <w:numFmt w:val="bullet"/>
      <w:lvlText w:val=""/>
      <w:lvlJc w:val="left"/>
      <w:pPr>
        <w:ind w:left="2880" w:hanging="360"/>
      </w:pPr>
      <w:rPr>
        <w:rFonts w:ascii="Symbol" w:hAnsi="Symbol" w:hint="default"/>
      </w:rPr>
    </w:lvl>
    <w:lvl w:ilvl="4" w:tplc="FACE433E">
      <w:start w:val="1"/>
      <w:numFmt w:val="bullet"/>
      <w:lvlText w:val="o"/>
      <w:lvlJc w:val="left"/>
      <w:pPr>
        <w:ind w:left="3600" w:hanging="360"/>
      </w:pPr>
      <w:rPr>
        <w:rFonts w:ascii="Courier New" w:hAnsi="Courier New" w:hint="default"/>
      </w:rPr>
    </w:lvl>
    <w:lvl w:ilvl="5" w:tplc="F796B908">
      <w:start w:val="1"/>
      <w:numFmt w:val="bullet"/>
      <w:lvlText w:val=""/>
      <w:lvlJc w:val="left"/>
      <w:pPr>
        <w:ind w:left="4320" w:hanging="360"/>
      </w:pPr>
      <w:rPr>
        <w:rFonts w:ascii="Wingdings" w:hAnsi="Wingdings" w:hint="default"/>
      </w:rPr>
    </w:lvl>
    <w:lvl w:ilvl="6" w:tplc="F064DACA">
      <w:start w:val="1"/>
      <w:numFmt w:val="bullet"/>
      <w:lvlText w:val=""/>
      <w:lvlJc w:val="left"/>
      <w:pPr>
        <w:ind w:left="5040" w:hanging="360"/>
      </w:pPr>
      <w:rPr>
        <w:rFonts w:ascii="Symbol" w:hAnsi="Symbol" w:hint="default"/>
      </w:rPr>
    </w:lvl>
    <w:lvl w:ilvl="7" w:tplc="100A9FA0">
      <w:start w:val="1"/>
      <w:numFmt w:val="bullet"/>
      <w:lvlText w:val="o"/>
      <w:lvlJc w:val="left"/>
      <w:pPr>
        <w:ind w:left="5760" w:hanging="360"/>
      </w:pPr>
      <w:rPr>
        <w:rFonts w:ascii="Courier New" w:hAnsi="Courier New" w:hint="default"/>
      </w:rPr>
    </w:lvl>
    <w:lvl w:ilvl="8" w:tplc="4798031E">
      <w:start w:val="1"/>
      <w:numFmt w:val="bullet"/>
      <w:lvlText w:val=""/>
      <w:lvlJc w:val="left"/>
      <w:pPr>
        <w:ind w:left="6480" w:hanging="360"/>
      </w:pPr>
      <w:rPr>
        <w:rFonts w:ascii="Wingdings" w:hAnsi="Wingdings" w:hint="default"/>
      </w:rPr>
    </w:lvl>
  </w:abstractNum>
  <w:abstractNum w:abstractNumId="4" w15:restartNumberingAfterBreak="0">
    <w:nsid w:val="13069BA1"/>
    <w:multiLevelType w:val="hybridMultilevel"/>
    <w:tmpl w:val="E87A3A12"/>
    <w:lvl w:ilvl="0" w:tplc="2B68997A">
      <w:start w:val="1"/>
      <w:numFmt w:val="bullet"/>
      <w:lvlText w:val=""/>
      <w:lvlJc w:val="left"/>
      <w:pPr>
        <w:ind w:left="720" w:hanging="360"/>
      </w:pPr>
      <w:rPr>
        <w:rFonts w:ascii="Symbol" w:hAnsi="Symbol" w:hint="default"/>
      </w:rPr>
    </w:lvl>
    <w:lvl w:ilvl="1" w:tplc="7EF64B34">
      <w:start w:val="1"/>
      <w:numFmt w:val="bullet"/>
      <w:lvlText w:val="o"/>
      <w:lvlJc w:val="left"/>
      <w:pPr>
        <w:ind w:left="1440" w:hanging="360"/>
      </w:pPr>
      <w:rPr>
        <w:rFonts w:ascii="Courier New" w:hAnsi="Courier New" w:hint="default"/>
      </w:rPr>
    </w:lvl>
    <w:lvl w:ilvl="2" w:tplc="8B14EE94">
      <w:start w:val="1"/>
      <w:numFmt w:val="bullet"/>
      <w:lvlText w:val=""/>
      <w:lvlJc w:val="left"/>
      <w:pPr>
        <w:ind w:left="2160" w:hanging="360"/>
      </w:pPr>
      <w:rPr>
        <w:rFonts w:ascii="Wingdings" w:hAnsi="Wingdings" w:hint="default"/>
      </w:rPr>
    </w:lvl>
    <w:lvl w:ilvl="3" w:tplc="611016B4">
      <w:start w:val="1"/>
      <w:numFmt w:val="bullet"/>
      <w:lvlText w:val=""/>
      <w:lvlJc w:val="left"/>
      <w:pPr>
        <w:ind w:left="2880" w:hanging="360"/>
      </w:pPr>
      <w:rPr>
        <w:rFonts w:ascii="Symbol" w:hAnsi="Symbol" w:hint="default"/>
      </w:rPr>
    </w:lvl>
    <w:lvl w:ilvl="4" w:tplc="5D60A626">
      <w:start w:val="1"/>
      <w:numFmt w:val="bullet"/>
      <w:lvlText w:val="o"/>
      <w:lvlJc w:val="left"/>
      <w:pPr>
        <w:ind w:left="3600" w:hanging="360"/>
      </w:pPr>
      <w:rPr>
        <w:rFonts w:ascii="Courier New" w:hAnsi="Courier New" w:hint="default"/>
      </w:rPr>
    </w:lvl>
    <w:lvl w:ilvl="5" w:tplc="9BDA92D2">
      <w:start w:val="1"/>
      <w:numFmt w:val="bullet"/>
      <w:lvlText w:val=""/>
      <w:lvlJc w:val="left"/>
      <w:pPr>
        <w:ind w:left="4320" w:hanging="360"/>
      </w:pPr>
      <w:rPr>
        <w:rFonts w:ascii="Wingdings" w:hAnsi="Wingdings" w:hint="default"/>
      </w:rPr>
    </w:lvl>
    <w:lvl w:ilvl="6" w:tplc="2C200F8E">
      <w:start w:val="1"/>
      <w:numFmt w:val="bullet"/>
      <w:lvlText w:val=""/>
      <w:lvlJc w:val="left"/>
      <w:pPr>
        <w:ind w:left="5040" w:hanging="360"/>
      </w:pPr>
      <w:rPr>
        <w:rFonts w:ascii="Symbol" w:hAnsi="Symbol" w:hint="default"/>
      </w:rPr>
    </w:lvl>
    <w:lvl w:ilvl="7" w:tplc="25CAFB96">
      <w:start w:val="1"/>
      <w:numFmt w:val="bullet"/>
      <w:lvlText w:val="o"/>
      <w:lvlJc w:val="left"/>
      <w:pPr>
        <w:ind w:left="5760" w:hanging="360"/>
      </w:pPr>
      <w:rPr>
        <w:rFonts w:ascii="Courier New" w:hAnsi="Courier New" w:hint="default"/>
      </w:rPr>
    </w:lvl>
    <w:lvl w:ilvl="8" w:tplc="6A48ED32">
      <w:start w:val="1"/>
      <w:numFmt w:val="bullet"/>
      <w:lvlText w:val=""/>
      <w:lvlJc w:val="left"/>
      <w:pPr>
        <w:ind w:left="6480" w:hanging="360"/>
      </w:pPr>
      <w:rPr>
        <w:rFonts w:ascii="Wingdings" w:hAnsi="Wingdings" w:hint="default"/>
      </w:rPr>
    </w:lvl>
  </w:abstractNum>
  <w:abstractNum w:abstractNumId="5" w15:restartNumberingAfterBreak="0">
    <w:nsid w:val="171E9889"/>
    <w:multiLevelType w:val="hybridMultilevel"/>
    <w:tmpl w:val="5C800540"/>
    <w:lvl w:ilvl="0" w:tplc="CBE80E32">
      <w:start w:val="1"/>
      <w:numFmt w:val="bullet"/>
      <w:lvlText w:val=""/>
      <w:lvlJc w:val="left"/>
      <w:pPr>
        <w:ind w:left="720" w:hanging="360"/>
      </w:pPr>
      <w:rPr>
        <w:rFonts w:ascii="Symbol" w:hAnsi="Symbol" w:hint="default"/>
      </w:rPr>
    </w:lvl>
    <w:lvl w:ilvl="1" w:tplc="1AEACB00">
      <w:start w:val="1"/>
      <w:numFmt w:val="bullet"/>
      <w:lvlText w:val="o"/>
      <w:lvlJc w:val="left"/>
      <w:pPr>
        <w:ind w:left="1440" w:hanging="360"/>
      </w:pPr>
      <w:rPr>
        <w:rFonts w:ascii="Courier New" w:hAnsi="Courier New" w:hint="default"/>
      </w:rPr>
    </w:lvl>
    <w:lvl w:ilvl="2" w:tplc="7C2C0D7E">
      <w:start w:val="1"/>
      <w:numFmt w:val="bullet"/>
      <w:lvlText w:val=""/>
      <w:lvlJc w:val="left"/>
      <w:pPr>
        <w:ind w:left="2160" w:hanging="360"/>
      </w:pPr>
      <w:rPr>
        <w:rFonts w:ascii="Wingdings" w:hAnsi="Wingdings" w:hint="default"/>
      </w:rPr>
    </w:lvl>
    <w:lvl w:ilvl="3" w:tplc="F530BE98">
      <w:start w:val="1"/>
      <w:numFmt w:val="bullet"/>
      <w:lvlText w:val=""/>
      <w:lvlJc w:val="left"/>
      <w:pPr>
        <w:ind w:left="2880" w:hanging="360"/>
      </w:pPr>
      <w:rPr>
        <w:rFonts w:ascii="Symbol" w:hAnsi="Symbol" w:hint="default"/>
      </w:rPr>
    </w:lvl>
    <w:lvl w:ilvl="4" w:tplc="3CEA417A">
      <w:start w:val="1"/>
      <w:numFmt w:val="bullet"/>
      <w:lvlText w:val="o"/>
      <w:lvlJc w:val="left"/>
      <w:pPr>
        <w:ind w:left="3600" w:hanging="360"/>
      </w:pPr>
      <w:rPr>
        <w:rFonts w:ascii="Courier New" w:hAnsi="Courier New" w:hint="default"/>
      </w:rPr>
    </w:lvl>
    <w:lvl w:ilvl="5" w:tplc="4442F744">
      <w:start w:val="1"/>
      <w:numFmt w:val="bullet"/>
      <w:lvlText w:val=""/>
      <w:lvlJc w:val="left"/>
      <w:pPr>
        <w:ind w:left="4320" w:hanging="360"/>
      </w:pPr>
      <w:rPr>
        <w:rFonts w:ascii="Wingdings" w:hAnsi="Wingdings" w:hint="default"/>
      </w:rPr>
    </w:lvl>
    <w:lvl w:ilvl="6" w:tplc="A10E0032">
      <w:start w:val="1"/>
      <w:numFmt w:val="bullet"/>
      <w:lvlText w:val=""/>
      <w:lvlJc w:val="left"/>
      <w:pPr>
        <w:ind w:left="5040" w:hanging="360"/>
      </w:pPr>
      <w:rPr>
        <w:rFonts w:ascii="Symbol" w:hAnsi="Symbol" w:hint="default"/>
      </w:rPr>
    </w:lvl>
    <w:lvl w:ilvl="7" w:tplc="FBB848DA">
      <w:start w:val="1"/>
      <w:numFmt w:val="bullet"/>
      <w:lvlText w:val="o"/>
      <w:lvlJc w:val="left"/>
      <w:pPr>
        <w:ind w:left="5760" w:hanging="360"/>
      </w:pPr>
      <w:rPr>
        <w:rFonts w:ascii="Courier New" w:hAnsi="Courier New" w:hint="default"/>
      </w:rPr>
    </w:lvl>
    <w:lvl w:ilvl="8" w:tplc="2CF285E4">
      <w:start w:val="1"/>
      <w:numFmt w:val="bullet"/>
      <w:lvlText w:val=""/>
      <w:lvlJc w:val="left"/>
      <w:pPr>
        <w:ind w:left="6480" w:hanging="360"/>
      </w:pPr>
      <w:rPr>
        <w:rFonts w:ascii="Wingdings" w:hAnsi="Wingdings" w:hint="default"/>
      </w:rPr>
    </w:lvl>
  </w:abstractNum>
  <w:abstractNum w:abstractNumId="6" w15:restartNumberingAfterBreak="0">
    <w:nsid w:val="183EA08A"/>
    <w:multiLevelType w:val="hybridMultilevel"/>
    <w:tmpl w:val="C0D06958"/>
    <w:lvl w:ilvl="0" w:tplc="C9C62F8C">
      <w:start w:val="1"/>
      <w:numFmt w:val="bullet"/>
      <w:lvlText w:val=""/>
      <w:lvlJc w:val="left"/>
      <w:pPr>
        <w:ind w:left="720" w:hanging="360"/>
      </w:pPr>
      <w:rPr>
        <w:rFonts w:ascii="Symbol" w:hAnsi="Symbol" w:hint="default"/>
      </w:rPr>
    </w:lvl>
    <w:lvl w:ilvl="1" w:tplc="6BB683E2">
      <w:start w:val="1"/>
      <w:numFmt w:val="bullet"/>
      <w:lvlText w:val="o"/>
      <w:lvlJc w:val="left"/>
      <w:pPr>
        <w:ind w:left="1440" w:hanging="360"/>
      </w:pPr>
      <w:rPr>
        <w:rFonts w:ascii="Courier New" w:hAnsi="Courier New" w:hint="default"/>
      </w:rPr>
    </w:lvl>
    <w:lvl w:ilvl="2" w:tplc="F4C2582C">
      <w:start w:val="1"/>
      <w:numFmt w:val="bullet"/>
      <w:lvlText w:val=""/>
      <w:lvlJc w:val="left"/>
      <w:pPr>
        <w:ind w:left="2160" w:hanging="360"/>
      </w:pPr>
      <w:rPr>
        <w:rFonts w:ascii="Wingdings" w:hAnsi="Wingdings" w:hint="default"/>
      </w:rPr>
    </w:lvl>
    <w:lvl w:ilvl="3" w:tplc="051C75B6">
      <w:start w:val="1"/>
      <w:numFmt w:val="bullet"/>
      <w:lvlText w:val=""/>
      <w:lvlJc w:val="left"/>
      <w:pPr>
        <w:ind w:left="2880" w:hanging="360"/>
      </w:pPr>
      <w:rPr>
        <w:rFonts w:ascii="Symbol" w:hAnsi="Symbol" w:hint="default"/>
      </w:rPr>
    </w:lvl>
    <w:lvl w:ilvl="4" w:tplc="555E502A">
      <w:start w:val="1"/>
      <w:numFmt w:val="bullet"/>
      <w:lvlText w:val="o"/>
      <w:lvlJc w:val="left"/>
      <w:pPr>
        <w:ind w:left="3600" w:hanging="360"/>
      </w:pPr>
      <w:rPr>
        <w:rFonts w:ascii="Courier New" w:hAnsi="Courier New" w:hint="default"/>
      </w:rPr>
    </w:lvl>
    <w:lvl w:ilvl="5" w:tplc="CBD2D302">
      <w:start w:val="1"/>
      <w:numFmt w:val="bullet"/>
      <w:lvlText w:val=""/>
      <w:lvlJc w:val="left"/>
      <w:pPr>
        <w:ind w:left="4320" w:hanging="360"/>
      </w:pPr>
      <w:rPr>
        <w:rFonts w:ascii="Wingdings" w:hAnsi="Wingdings" w:hint="default"/>
      </w:rPr>
    </w:lvl>
    <w:lvl w:ilvl="6" w:tplc="696AA9E0">
      <w:start w:val="1"/>
      <w:numFmt w:val="bullet"/>
      <w:lvlText w:val=""/>
      <w:lvlJc w:val="left"/>
      <w:pPr>
        <w:ind w:left="5040" w:hanging="360"/>
      </w:pPr>
      <w:rPr>
        <w:rFonts w:ascii="Symbol" w:hAnsi="Symbol" w:hint="default"/>
      </w:rPr>
    </w:lvl>
    <w:lvl w:ilvl="7" w:tplc="86BAFC66">
      <w:start w:val="1"/>
      <w:numFmt w:val="bullet"/>
      <w:lvlText w:val="o"/>
      <w:lvlJc w:val="left"/>
      <w:pPr>
        <w:ind w:left="5760" w:hanging="360"/>
      </w:pPr>
      <w:rPr>
        <w:rFonts w:ascii="Courier New" w:hAnsi="Courier New" w:hint="default"/>
      </w:rPr>
    </w:lvl>
    <w:lvl w:ilvl="8" w:tplc="6C1CDC42">
      <w:start w:val="1"/>
      <w:numFmt w:val="bullet"/>
      <w:lvlText w:val=""/>
      <w:lvlJc w:val="left"/>
      <w:pPr>
        <w:ind w:left="6480" w:hanging="360"/>
      </w:pPr>
      <w:rPr>
        <w:rFonts w:ascii="Wingdings" w:hAnsi="Wingdings" w:hint="default"/>
      </w:rPr>
    </w:lvl>
  </w:abstractNum>
  <w:abstractNum w:abstractNumId="7" w15:restartNumberingAfterBreak="0">
    <w:nsid w:val="1AC16F45"/>
    <w:multiLevelType w:val="hybridMultilevel"/>
    <w:tmpl w:val="E2823758"/>
    <w:lvl w:ilvl="0" w:tplc="992498F4">
      <w:start w:val="1"/>
      <w:numFmt w:val="bullet"/>
      <w:lvlText w:val=""/>
      <w:lvlJc w:val="left"/>
      <w:pPr>
        <w:ind w:left="720" w:hanging="360"/>
      </w:pPr>
      <w:rPr>
        <w:rFonts w:ascii="Symbol" w:hAnsi="Symbol" w:hint="default"/>
      </w:rPr>
    </w:lvl>
    <w:lvl w:ilvl="1" w:tplc="618249D6">
      <w:start w:val="1"/>
      <w:numFmt w:val="bullet"/>
      <w:lvlText w:val="o"/>
      <w:lvlJc w:val="left"/>
      <w:pPr>
        <w:ind w:left="1440" w:hanging="360"/>
      </w:pPr>
      <w:rPr>
        <w:rFonts w:ascii="Courier New" w:hAnsi="Courier New" w:hint="default"/>
      </w:rPr>
    </w:lvl>
    <w:lvl w:ilvl="2" w:tplc="08087CFA">
      <w:start w:val="1"/>
      <w:numFmt w:val="bullet"/>
      <w:lvlText w:val=""/>
      <w:lvlJc w:val="left"/>
      <w:pPr>
        <w:ind w:left="2160" w:hanging="360"/>
      </w:pPr>
      <w:rPr>
        <w:rFonts w:ascii="Wingdings" w:hAnsi="Wingdings" w:hint="default"/>
      </w:rPr>
    </w:lvl>
    <w:lvl w:ilvl="3" w:tplc="2AB4AD10">
      <w:start w:val="1"/>
      <w:numFmt w:val="bullet"/>
      <w:lvlText w:val=""/>
      <w:lvlJc w:val="left"/>
      <w:pPr>
        <w:ind w:left="2880" w:hanging="360"/>
      </w:pPr>
      <w:rPr>
        <w:rFonts w:ascii="Symbol" w:hAnsi="Symbol" w:hint="default"/>
      </w:rPr>
    </w:lvl>
    <w:lvl w:ilvl="4" w:tplc="F1B8C668">
      <w:start w:val="1"/>
      <w:numFmt w:val="bullet"/>
      <w:lvlText w:val="o"/>
      <w:lvlJc w:val="left"/>
      <w:pPr>
        <w:ind w:left="3600" w:hanging="360"/>
      </w:pPr>
      <w:rPr>
        <w:rFonts w:ascii="Courier New" w:hAnsi="Courier New" w:hint="default"/>
      </w:rPr>
    </w:lvl>
    <w:lvl w:ilvl="5" w:tplc="F7D8CD88">
      <w:start w:val="1"/>
      <w:numFmt w:val="bullet"/>
      <w:lvlText w:val=""/>
      <w:lvlJc w:val="left"/>
      <w:pPr>
        <w:ind w:left="4320" w:hanging="360"/>
      </w:pPr>
      <w:rPr>
        <w:rFonts w:ascii="Wingdings" w:hAnsi="Wingdings" w:hint="default"/>
      </w:rPr>
    </w:lvl>
    <w:lvl w:ilvl="6" w:tplc="565A12EA">
      <w:start w:val="1"/>
      <w:numFmt w:val="bullet"/>
      <w:lvlText w:val=""/>
      <w:lvlJc w:val="left"/>
      <w:pPr>
        <w:ind w:left="5040" w:hanging="360"/>
      </w:pPr>
      <w:rPr>
        <w:rFonts w:ascii="Symbol" w:hAnsi="Symbol" w:hint="default"/>
      </w:rPr>
    </w:lvl>
    <w:lvl w:ilvl="7" w:tplc="19C62B54">
      <w:start w:val="1"/>
      <w:numFmt w:val="bullet"/>
      <w:lvlText w:val="o"/>
      <w:lvlJc w:val="left"/>
      <w:pPr>
        <w:ind w:left="5760" w:hanging="360"/>
      </w:pPr>
      <w:rPr>
        <w:rFonts w:ascii="Courier New" w:hAnsi="Courier New" w:hint="default"/>
      </w:rPr>
    </w:lvl>
    <w:lvl w:ilvl="8" w:tplc="7B422E98">
      <w:start w:val="1"/>
      <w:numFmt w:val="bullet"/>
      <w:lvlText w:val=""/>
      <w:lvlJc w:val="left"/>
      <w:pPr>
        <w:ind w:left="6480" w:hanging="360"/>
      </w:pPr>
      <w:rPr>
        <w:rFonts w:ascii="Wingdings" w:hAnsi="Wingdings" w:hint="default"/>
      </w:rPr>
    </w:lvl>
  </w:abstractNum>
  <w:abstractNum w:abstractNumId="8" w15:restartNumberingAfterBreak="0">
    <w:nsid w:val="1AE447FA"/>
    <w:multiLevelType w:val="multilevel"/>
    <w:tmpl w:val="236408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485838"/>
    <w:multiLevelType w:val="multilevel"/>
    <w:tmpl w:val="2FCC1A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BB668AC"/>
    <w:multiLevelType w:val="hybridMultilevel"/>
    <w:tmpl w:val="24B8166A"/>
    <w:lvl w:ilvl="0" w:tplc="2A1CD0D4">
      <w:start w:val="1"/>
      <w:numFmt w:val="bullet"/>
      <w:lvlText w:val=""/>
      <w:lvlJc w:val="left"/>
      <w:pPr>
        <w:ind w:left="720" w:hanging="360"/>
      </w:pPr>
      <w:rPr>
        <w:rFonts w:ascii="Symbol" w:hAnsi="Symbol" w:hint="default"/>
      </w:rPr>
    </w:lvl>
    <w:lvl w:ilvl="1" w:tplc="DA9AF204">
      <w:start w:val="1"/>
      <w:numFmt w:val="bullet"/>
      <w:lvlText w:val="o"/>
      <w:lvlJc w:val="left"/>
      <w:pPr>
        <w:ind w:left="1440" w:hanging="360"/>
      </w:pPr>
      <w:rPr>
        <w:rFonts w:ascii="Courier New" w:hAnsi="Courier New" w:hint="default"/>
      </w:rPr>
    </w:lvl>
    <w:lvl w:ilvl="2" w:tplc="443AF852">
      <w:start w:val="1"/>
      <w:numFmt w:val="bullet"/>
      <w:lvlText w:val=""/>
      <w:lvlJc w:val="left"/>
      <w:pPr>
        <w:ind w:left="2160" w:hanging="360"/>
      </w:pPr>
      <w:rPr>
        <w:rFonts w:ascii="Wingdings" w:hAnsi="Wingdings" w:hint="default"/>
      </w:rPr>
    </w:lvl>
    <w:lvl w:ilvl="3" w:tplc="25E0688C">
      <w:start w:val="1"/>
      <w:numFmt w:val="bullet"/>
      <w:lvlText w:val=""/>
      <w:lvlJc w:val="left"/>
      <w:pPr>
        <w:ind w:left="2880" w:hanging="360"/>
      </w:pPr>
      <w:rPr>
        <w:rFonts w:ascii="Symbol" w:hAnsi="Symbol" w:hint="default"/>
      </w:rPr>
    </w:lvl>
    <w:lvl w:ilvl="4" w:tplc="52888B9A">
      <w:start w:val="1"/>
      <w:numFmt w:val="bullet"/>
      <w:lvlText w:val="o"/>
      <w:lvlJc w:val="left"/>
      <w:pPr>
        <w:ind w:left="3600" w:hanging="360"/>
      </w:pPr>
      <w:rPr>
        <w:rFonts w:ascii="Courier New" w:hAnsi="Courier New" w:hint="default"/>
      </w:rPr>
    </w:lvl>
    <w:lvl w:ilvl="5" w:tplc="02F005CE">
      <w:start w:val="1"/>
      <w:numFmt w:val="bullet"/>
      <w:lvlText w:val=""/>
      <w:lvlJc w:val="left"/>
      <w:pPr>
        <w:ind w:left="4320" w:hanging="360"/>
      </w:pPr>
      <w:rPr>
        <w:rFonts w:ascii="Wingdings" w:hAnsi="Wingdings" w:hint="default"/>
      </w:rPr>
    </w:lvl>
    <w:lvl w:ilvl="6" w:tplc="19CE39EC">
      <w:start w:val="1"/>
      <w:numFmt w:val="bullet"/>
      <w:lvlText w:val=""/>
      <w:lvlJc w:val="left"/>
      <w:pPr>
        <w:ind w:left="5040" w:hanging="360"/>
      </w:pPr>
      <w:rPr>
        <w:rFonts w:ascii="Symbol" w:hAnsi="Symbol" w:hint="default"/>
      </w:rPr>
    </w:lvl>
    <w:lvl w:ilvl="7" w:tplc="7248A512">
      <w:start w:val="1"/>
      <w:numFmt w:val="bullet"/>
      <w:lvlText w:val="o"/>
      <w:lvlJc w:val="left"/>
      <w:pPr>
        <w:ind w:left="5760" w:hanging="360"/>
      </w:pPr>
      <w:rPr>
        <w:rFonts w:ascii="Courier New" w:hAnsi="Courier New" w:hint="default"/>
      </w:rPr>
    </w:lvl>
    <w:lvl w:ilvl="8" w:tplc="510C8CEA">
      <w:start w:val="1"/>
      <w:numFmt w:val="bullet"/>
      <w:lvlText w:val=""/>
      <w:lvlJc w:val="left"/>
      <w:pPr>
        <w:ind w:left="6480" w:hanging="360"/>
      </w:pPr>
      <w:rPr>
        <w:rFonts w:ascii="Wingdings" w:hAnsi="Wingdings" w:hint="default"/>
      </w:rPr>
    </w:lvl>
  </w:abstractNum>
  <w:abstractNum w:abstractNumId="11" w15:restartNumberingAfterBreak="0">
    <w:nsid w:val="1C33E805"/>
    <w:multiLevelType w:val="hybridMultilevel"/>
    <w:tmpl w:val="6A129C24"/>
    <w:lvl w:ilvl="0" w:tplc="7F66072E">
      <w:start w:val="1"/>
      <w:numFmt w:val="bullet"/>
      <w:lvlText w:val=""/>
      <w:lvlJc w:val="left"/>
      <w:pPr>
        <w:ind w:left="720" w:hanging="360"/>
      </w:pPr>
      <w:rPr>
        <w:rFonts w:ascii="Symbol" w:hAnsi="Symbol" w:hint="default"/>
      </w:rPr>
    </w:lvl>
    <w:lvl w:ilvl="1" w:tplc="ABCAFAFA">
      <w:start w:val="1"/>
      <w:numFmt w:val="bullet"/>
      <w:lvlText w:val="o"/>
      <w:lvlJc w:val="left"/>
      <w:pPr>
        <w:ind w:left="1440" w:hanging="360"/>
      </w:pPr>
      <w:rPr>
        <w:rFonts w:ascii="Courier New" w:hAnsi="Courier New" w:hint="default"/>
      </w:rPr>
    </w:lvl>
    <w:lvl w:ilvl="2" w:tplc="0974E52A">
      <w:start w:val="1"/>
      <w:numFmt w:val="bullet"/>
      <w:lvlText w:val=""/>
      <w:lvlJc w:val="left"/>
      <w:pPr>
        <w:ind w:left="2160" w:hanging="360"/>
      </w:pPr>
      <w:rPr>
        <w:rFonts w:ascii="Wingdings" w:hAnsi="Wingdings" w:hint="default"/>
      </w:rPr>
    </w:lvl>
    <w:lvl w:ilvl="3" w:tplc="2C064F42">
      <w:start w:val="1"/>
      <w:numFmt w:val="bullet"/>
      <w:lvlText w:val=""/>
      <w:lvlJc w:val="left"/>
      <w:pPr>
        <w:ind w:left="2880" w:hanging="360"/>
      </w:pPr>
      <w:rPr>
        <w:rFonts w:ascii="Symbol" w:hAnsi="Symbol" w:hint="default"/>
      </w:rPr>
    </w:lvl>
    <w:lvl w:ilvl="4" w:tplc="1FAC6040">
      <w:start w:val="1"/>
      <w:numFmt w:val="bullet"/>
      <w:lvlText w:val="o"/>
      <w:lvlJc w:val="left"/>
      <w:pPr>
        <w:ind w:left="3600" w:hanging="360"/>
      </w:pPr>
      <w:rPr>
        <w:rFonts w:ascii="Courier New" w:hAnsi="Courier New" w:hint="default"/>
      </w:rPr>
    </w:lvl>
    <w:lvl w:ilvl="5" w:tplc="E93AE2D0">
      <w:start w:val="1"/>
      <w:numFmt w:val="bullet"/>
      <w:lvlText w:val=""/>
      <w:lvlJc w:val="left"/>
      <w:pPr>
        <w:ind w:left="4320" w:hanging="360"/>
      </w:pPr>
      <w:rPr>
        <w:rFonts w:ascii="Wingdings" w:hAnsi="Wingdings" w:hint="default"/>
      </w:rPr>
    </w:lvl>
    <w:lvl w:ilvl="6" w:tplc="EF8C87C4">
      <w:start w:val="1"/>
      <w:numFmt w:val="bullet"/>
      <w:lvlText w:val=""/>
      <w:lvlJc w:val="left"/>
      <w:pPr>
        <w:ind w:left="5040" w:hanging="360"/>
      </w:pPr>
      <w:rPr>
        <w:rFonts w:ascii="Symbol" w:hAnsi="Symbol" w:hint="default"/>
      </w:rPr>
    </w:lvl>
    <w:lvl w:ilvl="7" w:tplc="1046C2FE">
      <w:start w:val="1"/>
      <w:numFmt w:val="bullet"/>
      <w:lvlText w:val="o"/>
      <w:lvlJc w:val="left"/>
      <w:pPr>
        <w:ind w:left="5760" w:hanging="360"/>
      </w:pPr>
      <w:rPr>
        <w:rFonts w:ascii="Courier New" w:hAnsi="Courier New" w:hint="default"/>
      </w:rPr>
    </w:lvl>
    <w:lvl w:ilvl="8" w:tplc="445A8DD8">
      <w:start w:val="1"/>
      <w:numFmt w:val="bullet"/>
      <w:lvlText w:val=""/>
      <w:lvlJc w:val="left"/>
      <w:pPr>
        <w:ind w:left="6480" w:hanging="360"/>
      </w:pPr>
      <w:rPr>
        <w:rFonts w:ascii="Wingdings" w:hAnsi="Wingdings" w:hint="default"/>
      </w:rPr>
    </w:lvl>
  </w:abstractNum>
  <w:abstractNum w:abstractNumId="12" w15:restartNumberingAfterBreak="0">
    <w:nsid w:val="1D382576"/>
    <w:multiLevelType w:val="hybridMultilevel"/>
    <w:tmpl w:val="6CE87C38"/>
    <w:lvl w:ilvl="0" w:tplc="FE5C98FC">
      <w:start w:val="1"/>
      <w:numFmt w:val="bullet"/>
      <w:lvlText w:val=""/>
      <w:lvlJc w:val="left"/>
      <w:pPr>
        <w:ind w:left="360" w:hanging="360"/>
      </w:pPr>
      <w:rPr>
        <w:rFonts w:ascii="Symbol" w:hAnsi="Symbol" w:hint="default"/>
      </w:rPr>
    </w:lvl>
    <w:lvl w:ilvl="1" w:tplc="99FAA82C">
      <w:start w:val="1"/>
      <w:numFmt w:val="bullet"/>
      <w:lvlText w:val="o"/>
      <w:lvlJc w:val="left"/>
      <w:pPr>
        <w:ind w:left="1080" w:hanging="360"/>
      </w:pPr>
      <w:rPr>
        <w:rFonts w:ascii="Courier New" w:hAnsi="Courier New" w:hint="default"/>
      </w:rPr>
    </w:lvl>
    <w:lvl w:ilvl="2" w:tplc="3F46E6AE">
      <w:start w:val="1"/>
      <w:numFmt w:val="bullet"/>
      <w:lvlText w:val=""/>
      <w:lvlJc w:val="left"/>
      <w:pPr>
        <w:ind w:left="1800" w:hanging="360"/>
      </w:pPr>
      <w:rPr>
        <w:rFonts w:ascii="Wingdings" w:hAnsi="Wingdings" w:hint="default"/>
      </w:rPr>
    </w:lvl>
    <w:lvl w:ilvl="3" w:tplc="5E3EF0C4">
      <w:start w:val="1"/>
      <w:numFmt w:val="bullet"/>
      <w:lvlText w:val=""/>
      <w:lvlJc w:val="left"/>
      <w:pPr>
        <w:ind w:left="2520" w:hanging="360"/>
      </w:pPr>
      <w:rPr>
        <w:rFonts w:ascii="Symbol" w:hAnsi="Symbol" w:hint="default"/>
      </w:rPr>
    </w:lvl>
    <w:lvl w:ilvl="4" w:tplc="4DDEB496">
      <w:start w:val="1"/>
      <w:numFmt w:val="bullet"/>
      <w:lvlText w:val="o"/>
      <w:lvlJc w:val="left"/>
      <w:pPr>
        <w:ind w:left="3240" w:hanging="360"/>
      </w:pPr>
      <w:rPr>
        <w:rFonts w:ascii="Courier New" w:hAnsi="Courier New" w:hint="default"/>
      </w:rPr>
    </w:lvl>
    <w:lvl w:ilvl="5" w:tplc="7E98F87E">
      <w:start w:val="1"/>
      <w:numFmt w:val="bullet"/>
      <w:lvlText w:val=""/>
      <w:lvlJc w:val="left"/>
      <w:pPr>
        <w:ind w:left="3960" w:hanging="360"/>
      </w:pPr>
      <w:rPr>
        <w:rFonts w:ascii="Wingdings" w:hAnsi="Wingdings" w:hint="default"/>
      </w:rPr>
    </w:lvl>
    <w:lvl w:ilvl="6" w:tplc="8ECA3FCA">
      <w:start w:val="1"/>
      <w:numFmt w:val="bullet"/>
      <w:lvlText w:val=""/>
      <w:lvlJc w:val="left"/>
      <w:pPr>
        <w:ind w:left="4680" w:hanging="360"/>
      </w:pPr>
      <w:rPr>
        <w:rFonts w:ascii="Symbol" w:hAnsi="Symbol" w:hint="default"/>
      </w:rPr>
    </w:lvl>
    <w:lvl w:ilvl="7" w:tplc="77BAA2D0">
      <w:start w:val="1"/>
      <w:numFmt w:val="bullet"/>
      <w:lvlText w:val="o"/>
      <w:lvlJc w:val="left"/>
      <w:pPr>
        <w:ind w:left="5400" w:hanging="360"/>
      </w:pPr>
      <w:rPr>
        <w:rFonts w:ascii="Courier New" w:hAnsi="Courier New" w:hint="default"/>
      </w:rPr>
    </w:lvl>
    <w:lvl w:ilvl="8" w:tplc="714CF69C">
      <w:start w:val="1"/>
      <w:numFmt w:val="bullet"/>
      <w:lvlText w:val=""/>
      <w:lvlJc w:val="left"/>
      <w:pPr>
        <w:ind w:left="6120" w:hanging="360"/>
      </w:pPr>
      <w:rPr>
        <w:rFonts w:ascii="Wingdings" w:hAnsi="Wingdings" w:hint="default"/>
      </w:rPr>
    </w:lvl>
  </w:abstractNum>
  <w:abstractNum w:abstractNumId="13" w15:restartNumberingAfterBreak="0">
    <w:nsid w:val="1EEDE125"/>
    <w:multiLevelType w:val="hybridMultilevel"/>
    <w:tmpl w:val="27B8092C"/>
    <w:lvl w:ilvl="0" w:tplc="60BA22B4">
      <w:start w:val="1"/>
      <w:numFmt w:val="bullet"/>
      <w:lvlText w:val=""/>
      <w:lvlJc w:val="left"/>
      <w:pPr>
        <w:ind w:left="720" w:hanging="360"/>
      </w:pPr>
      <w:rPr>
        <w:rFonts w:ascii="Symbol" w:hAnsi="Symbol" w:hint="default"/>
      </w:rPr>
    </w:lvl>
    <w:lvl w:ilvl="1" w:tplc="B268C6D8">
      <w:start w:val="1"/>
      <w:numFmt w:val="bullet"/>
      <w:lvlText w:val="o"/>
      <w:lvlJc w:val="left"/>
      <w:pPr>
        <w:ind w:left="1440" w:hanging="360"/>
      </w:pPr>
      <w:rPr>
        <w:rFonts w:ascii="Courier New" w:hAnsi="Courier New" w:hint="default"/>
      </w:rPr>
    </w:lvl>
    <w:lvl w:ilvl="2" w:tplc="EC5C2E1A">
      <w:start w:val="1"/>
      <w:numFmt w:val="bullet"/>
      <w:lvlText w:val=""/>
      <w:lvlJc w:val="left"/>
      <w:pPr>
        <w:ind w:left="2160" w:hanging="360"/>
      </w:pPr>
      <w:rPr>
        <w:rFonts w:ascii="Wingdings" w:hAnsi="Wingdings" w:hint="default"/>
      </w:rPr>
    </w:lvl>
    <w:lvl w:ilvl="3" w:tplc="07D841A8">
      <w:start w:val="1"/>
      <w:numFmt w:val="bullet"/>
      <w:lvlText w:val=""/>
      <w:lvlJc w:val="left"/>
      <w:pPr>
        <w:ind w:left="2880" w:hanging="360"/>
      </w:pPr>
      <w:rPr>
        <w:rFonts w:ascii="Symbol" w:hAnsi="Symbol" w:hint="default"/>
      </w:rPr>
    </w:lvl>
    <w:lvl w:ilvl="4" w:tplc="5A8C179E">
      <w:start w:val="1"/>
      <w:numFmt w:val="bullet"/>
      <w:lvlText w:val="o"/>
      <w:lvlJc w:val="left"/>
      <w:pPr>
        <w:ind w:left="3600" w:hanging="360"/>
      </w:pPr>
      <w:rPr>
        <w:rFonts w:ascii="Courier New" w:hAnsi="Courier New" w:hint="default"/>
      </w:rPr>
    </w:lvl>
    <w:lvl w:ilvl="5" w:tplc="507E449E">
      <w:start w:val="1"/>
      <w:numFmt w:val="bullet"/>
      <w:lvlText w:val=""/>
      <w:lvlJc w:val="left"/>
      <w:pPr>
        <w:ind w:left="4320" w:hanging="360"/>
      </w:pPr>
      <w:rPr>
        <w:rFonts w:ascii="Wingdings" w:hAnsi="Wingdings" w:hint="default"/>
      </w:rPr>
    </w:lvl>
    <w:lvl w:ilvl="6" w:tplc="BDC81FDC">
      <w:start w:val="1"/>
      <w:numFmt w:val="bullet"/>
      <w:lvlText w:val=""/>
      <w:lvlJc w:val="left"/>
      <w:pPr>
        <w:ind w:left="5040" w:hanging="360"/>
      </w:pPr>
      <w:rPr>
        <w:rFonts w:ascii="Symbol" w:hAnsi="Symbol" w:hint="default"/>
      </w:rPr>
    </w:lvl>
    <w:lvl w:ilvl="7" w:tplc="B34A904E">
      <w:start w:val="1"/>
      <w:numFmt w:val="bullet"/>
      <w:lvlText w:val="o"/>
      <w:lvlJc w:val="left"/>
      <w:pPr>
        <w:ind w:left="5760" w:hanging="360"/>
      </w:pPr>
      <w:rPr>
        <w:rFonts w:ascii="Courier New" w:hAnsi="Courier New" w:hint="default"/>
      </w:rPr>
    </w:lvl>
    <w:lvl w:ilvl="8" w:tplc="9F0AE9E0">
      <w:start w:val="1"/>
      <w:numFmt w:val="bullet"/>
      <w:lvlText w:val=""/>
      <w:lvlJc w:val="left"/>
      <w:pPr>
        <w:ind w:left="6480" w:hanging="360"/>
      </w:pPr>
      <w:rPr>
        <w:rFonts w:ascii="Wingdings" w:hAnsi="Wingdings" w:hint="default"/>
      </w:rPr>
    </w:lvl>
  </w:abstractNum>
  <w:abstractNum w:abstractNumId="14" w15:restartNumberingAfterBreak="0">
    <w:nsid w:val="200282FC"/>
    <w:multiLevelType w:val="hybridMultilevel"/>
    <w:tmpl w:val="6358B438"/>
    <w:lvl w:ilvl="0" w:tplc="5DA63ECC">
      <w:start w:val="1"/>
      <w:numFmt w:val="bullet"/>
      <w:lvlText w:val=""/>
      <w:lvlJc w:val="left"/>
      <w:pPr>
        <w:ind w:left="720" w:hanging="360"/>
      </w:pPr>
      <w:rPr>
        <w:rFonts w:ascii="Symbol" w:hAnsi="Symbol" w:hint="default"/>
      </w:rPr>
    </w:lvl>
    <w:lvl w:ilvl="1" w:tplc="6A104AAC">
      <w:start w:val="1"/>
      <w:numFmt w:val="bullet"/>
      <w:lvlText w:val="o"/>
      <w:lvlJc w:val="left"/>
      <w:pPr>
        <w:ind w:left="1440" w:hanging="360"/>
      </w:pPr>
      <w:rPr>
        <w:rFonts w:ascii="Courier New" w:hAnsi="Courier New" w:hint="default"/>
      </w:rPr>
    </w:lvl>
    <w:lvl w:ilvl="2" w:tplc="2FBA407C">
      <w:start w:val="1"/>
      <w:numFmt w:val="bullet"/>
      <w:lvlText w:val=""/>
      <w:lvlJc w:val="left"/>
      <w:pPr>
        <w:ind w:left="2160" w:hanging="360"/>
      </w:pPr>
      <w:rPr>
        <w:rFonts w:ascii="Wingdings" w:hAnsi="Wingdings" w:hint="default"/>
      </w:rPr>
    </w:lvl>
    <w:lvl w:ilvl="3" w:tplc="1F76670A">
      <w:start w:val="1"/>
      <w:numFmt w:val="bullet"/>
      <w:lvlText w:val=""/>
      <w:lvlJc w:val="left"/>
      <w:pPr>
        <w:ind w:left="2880" w:hanging="360"/>
      </w:pPr>
      <w:rPr>
        <w:rFonts w:ascii="Symbol" w:hAnsi="Symbol" w:hint="default"/>
      </w:rPr>
    </w:lvl>
    <w:lvl w:ilvl="4" w:tplc="58D42446">
      <w:start w:val="1"/>
      <w:numFmt w:val="bullet"/>
      <w:lvlText w:val="o"/>
      <w:lvlJc w:val="left"/>
      <w:pPr>
        <w:ind w:left="3600" w:hanging="360"/>
      </w:pPr>
      <w:rPr>
        <w:rFonts w:ascii="Courier New" w:hAnsi="Courier New" w:hint="default"/>
      </w:rPr>
    </w:lvl>
    <w:lvl w:ilvl="5" w:tplc="FFF62066">
      <w:start w:val="1"/>
      <w:numFmt w:val="bullet"/>
      <w:lvlText w:val=""/>
      <w:lvlJc w:val="left"/>
      <w:pPr>
        <w:ind w:left="4320" w:hanging="360"/>
      </w:pPr>
      <w:rPr>
        <w:rFonts w:ascii="Wingdings" w:hAnsi="Wingdings" w:hint="default"/>
      </w:rPr>
    </w:lvl>
    <w:lvl w:ilvl="6" w:tplc="6B28575E">
      <w:start w:val="1"/>
      <w:numFmt w:val="bullet"/>
      <w:lvlText w:val=""/>
      <w:lvlJc w:val="left"/>
      <w:pPr>
        <w:ind w:left="5040" w:hanging="360"/>
      </w:pPr>
      <w:rPr>
        <w:rFonts w:ascii="Symbol" w:hAnsi="Symbol" w:hint="default"/>
      </w:rPr>
    </w:lvl>
    <w:lvl w:ilvl="7" w:tplc="28F81888">
      <w:start w:val="1"/>
      <w:numFmt w:val="bullet"/>
      <w:lvlText w:val="o"/>
      <w:lvlJc w:val="left"/>
      <w:pPr>
        <w:ind w:left="5760" w:hanging="360"/>
      </w:pPr>
      <w:rPr>
        <w:rFonts w:ascii="Courier New" w:hAnsi="Courier New" w:hint="default"/>
      </w:rPr>
    </w:lvl>
    <w:lvl w:ilvl="8" w:tplc="72406ED6">
      <w:start w:val="1"/>
      <w:numFmt w:val="bullet"/>
      <w:lvlText w:val=""/>
      <w:lvlJc w:val="left"/>
      <w:pPr>
        <w:ind w:left="6480" w:hanging="360"/>
      </w:pPr>
      <w:rPr>
        <w:rFonts w:ascii="Wingdings" w:hAnsi="Wingdings" w:hint="default"/>
      </w:rPr>
    </w:lvl>
  </w:abstractNum>
  <w:abstractNum w:abstractNumId="15" w15:restartNumberingAfterBreak="0">
    <w:nsid w:val="2925DBC3"/>
    <w:multiLevelType w:val="hybridMultilevel"/>
    <w:tmpl w:val="F9DC128C"/>
    <w:lvl w:ilvl="0" w:tplc="C6F64EF4">
      <w:start w:val="1"/>
      <w:numFmt w:val="bullet"/>
      <w:lvlText w:val=""/>
      <w:lvlJc w:val="left"/>
      <w:pPr>
        <w:ind w:left="720" w:hanging="360"/>
      </w:pPr>
      <w:rPr>
        <w:rFonts w:ascii="Symbol" w:hAnsi="Symbol" w:hint="default"/>
      </w:rPr>
    </w:lvl>
    <w:lvl w:ilvl="1" w:tplc="4268FD08">
      <w:start w:val="1"/>
      <w:numFmt w:val="bullet"/>
      <w:lvlText w:val="o"/>
      <w:lvlJc w:val="left"/>
      <w:pPr>
        <w:ind w:left="1440" w:hanging="360"/>
      </w:pPr>
      <w:rPr>
        <w:rFonts w:ascii="Courier New" w:hAnsi="Courier New" w:hint="default"/>
      </w:rPr>
    </w:lvl>
    <w:lvl w:ilvl="2" w:tplc="DFD4841A">
      <w:start w:val="1"/>
      <w:numFmt w:val="bullet"/>
      <w:lvlText w:val=""/>
      <w:lvlJc w:val="left"/>
      <w:pPr>
        <w:ind w:left="2160" w:hanging="360"/>
      </w:pPr>
      <w:rPr>
        <w:rFonts w:ascii="Wingdings" w:hAnsi="Wingdings" w:hint="default"/>
      </w:rPr>
    </w:lvl>
    <w:lvl w:ilvl="3" w:tplc="5138593A">
      <w:start w:val="1"/>
      <w:numFmt w:val="bullet"/>
      <w:lvlText w:val=""/>
      <w:lvlJc w:val="left"/>
      <w:pPr>
        <w:ind w:left="2880" w:hanging="360"/>
      </w:pPr>
      <w:rPr>
        <w:rFonts w:ascii="Symbol" w:hAnsi="Symbol" w:hint="default"/>
      </w:rPr>
    </w:lvl>
    <w:lvl w:ilvl="4" w:tplc="A064C69A">
      <w:start w:val="1"/>
      <w:numFmt w:val="bullet"/>
      <w:lvlText w:val="o"/>
      <w:lvlJc w:val="left"/>
      <w:pPr>
        <w:ind w:left="3600" w:hanging="360"/>
      </w:pPr>
      <w:rPr>
        <w:rFonts w:ascii="Courier New" w:hAnsi="Courier New" w:hint="default"/>
      </w:rPr>
    </w:lvl>
    <w:lvl w:ilvl="5" w:tplc="7F82272C">
      <w:start w:val="1"/>
      <w:numFmt w:val="bullet"/>
      <w:lvlText w:val=""/>
      <w:lvlJc w:val="left"/>
      <w:pPr>
        <w:ind w:left="4320" w:hanging="360"/>
      </w:pPr>
      <w:rPr>
        <w:rFonts w:ascii="Wingdings" w:hAnsi="Wingdings" w:hint="default"/>
      </w:rPr>
    </w:lvl>
    <w:lvl w:ilvl="6" w:tplc="37FE972A">
      <w:start w:val="1"/>
      <w:numFmt w:val="bullet"/>
      <w:lvlText w:val=""/>
      <w:lvlJc w:val="left"/>
      <w:pPr>
        <w:ind w:left="5040" w:hanging="360"/>
      </w:pPr>
      <w:rPr>
        <w:rFonts w:ascii="Symbol" w:hAnsi="Symbol" w:hint="default"/>
      </w:rPr>
    </w:lvl>
    <w:lvl w:ilvl="7" w:tplc="CD06E5BC">
      <w:start w:val="1"/>
      <w:numFmt w:val="bullet"/>
      <w:lvlText w:val="o"/>
      <w:lvlJc w:val="left"/>
      <w:pPr>
        <w:ind w:left="5760" w:hanging="360"/>
      </w:pPr>
      <w:rPr>
        <w:rFonts w:ascii="Courier New" w:hAnsi="Courier New" w:hint="default"/>
      </w:rPr>
    </w:lvl>
    <w:lvl w:ilvl="8" w:tplc="0484A36A">
      <w:start w:val="1"/>
      <w:numFmt w:val="bullet"/>
      <w:lvlText w:val=""/>
      <w:lvlJc w:val="left"/>
      <w:pPr>
        <w:ind w:left="6480" w:hanging="360"/>
      </w:pPr>
      <w:rPr>
        <w:rFonts w:ascii="Wingdings" w:hAnsi="Wingdings" w:hint="default"/>
      </w:rPr>
    </w:lvl>
  </w:abstractNum>
  <w:abstractNum w:abstractNumId="16" w15:restartNumberingAfterBreak="0">
    <w:nsid w:val="29DC179D"/>
    <w:multiLevelType w:val="hybridMultilevel"/>
    <w:tmpl w:val="DCF679B2"/>
    <w:lvl w:ilvl="0" w:tplc="FCD0671A">
      <w:start w:val="1"/>
      <w:numFmt w:val="bullet"/>
      <w:lvlText w:val=""/>
      <w:lvlJc w:val="left"/>
      <w:pPr>
        <w:ind w:left="720" w:hanging="360"/>
      </w:pPr>
      <w:rPr>
        <w:rFonts w:ascii="Symbol" w:hAnsi="Symbol" w:hint="default"/>
      </w:rPr>
    </w:lvl>
    <w:lvl w:ilvl="1" w:tplc="BD1A425A">
      <w:start w:val="1"/>
      <w:numFmt w:val="bullet"/>
      <w:lvlText w:val="o"/>
      <w:lvlJc w:val="left"/>
      <w:pPr>
        <w:ind w:left="1440" w:hanging="360"/>
      </w:pPr>
      <w:rPr>
        <w:rFonts w:ascii="Courier New" w:hAnsi="Courier New" w:hint="default"/>
      </w:rPr>
    </w:lvl>
    <w:lvl w:ilvl="2" w:tplc="0598F790">
      <w:start w:val="1"/>
      <w:numFmt w:val="bullet"/>
      <w:lvlText w:val=""/>
      <w:lvlJc w:val="left"/>
      <w:pPr>
        <w:ind w:left="2160" w:hanging="360"/>
      </w:pPr>
      <w:rPr>
        <w:rFonts w:ascii="Wingdings" w:hAnsi="Wingdings" w:hint="default"/>
      </w:rPr>
    </w:lvl>
    <w:lvl w:ilvl="3" w:tplc="0D6070AA">
      <w:start w:val="1"/>
      <w:numFmt w:val="bullet"/>
      <w:lvlText w:val=""/>
      <w:lvlJc w:val="left"/>
      <w:pPr>
        <w:ind w:left="2880" w:hanging="360"/>
      </w:pPr>
      <w:rPr>
        <w:rFonts w:ascii="Symbol" w:hAnsi="Symbol" w:hint="default"/>
      </w:rPr>
    </w:lvl>
    <w:lvl w:ilvl="4" w:tplc="ADCA998A">
      <w:start w:val="1"/>
      <w:numFmt w:val="bullet"/>
      <w:lvlText w:val="o"/>
      <w:lvlJc w:val="left"/>
      <w:pPr>
        <w:ind w:left="3600" w:hanging="360"/>
      </w:pPr>
      <w:rPr>
        <w:rFonts w:ascii="Courier New" w:hAnsi="Courier New" w:hint="default"/>
      </w:rPr>
    </w:lvl>
    <w:lvl w:ilvl="5" w:tplc="A9A6C45E">
      <w:start w:val="1"/>
      <w:numFmt w:val="bullet"/>
      <w:lvlText w:val=""/>
      <w:lvlJc w:val="left"/>
      <w:pPr>
        <w:ind w:left="4320" w:hanging="360"/>
      </w:pPr>
      <w:rPr>
        <w:rFonts w:ascii="Wingdings" w:hAnsi="Wingdings" w:hint="default"/>
      </w:rPr>
    </w:lvl>
    <w:lvl w:ilvl="6" w:tplc="D4E84284">
      <w:start w:val="1"/>
      <w:numFmt w:val="bullet"/>
      <w:lvlText w:val=""/>
      <w:lvlJc w:val="left"/>
      <w:pPr>
        <w:ind w:left="5040" w:hanging="360"/>
      </w:pPr>
      <w:rPr>
        <w:rFonts w:ascii="Symbol" w:hAnsi="Symbol" w:hint="default"/>
      </w:rPr>
    </w:lvl>
    <w:lvl w:ilvl="7" w:tplc="4A224C2C">
      <w:start w:val="1"/>
      <w:numFmt w:val="bullet"/>
      <w:lvlText w:val="o"/>
      <w:lvlJc w:val="left"/>
      <w:pPr>
        <w:ind w:left="5760" w:hanging="360"/>
      </w:pPr>
      <w:rPr>
        <w:rFonts w:ascii="Courier New" w:hAnsi="Courier New" w:hint="default"/>
      </w:rPr>
    </w:lvl>
    <w:lvl w:ilvl="8" w:tplc="81AC265E">
      <w:start w:val="1"/>
      <w:numFmt w:val="bullet"/>
      <w:lvlText w:val=""/>
      <w:lvlJc w:val="left"/>
      <w:pPr>
        <w:ind w:left="6480" w:hanging="360"/>
      </w:pPr>
      <w:rPr>
        <w:rFonts w:ascii="Wingdings" w:hAnsi="Wingdings" w:hint="default"/>
      </w:rPr>
    </w:lvl>
  </w:abstractNum>
  <w:abstractNum w:abstractNumId="17" w15:restartNumberingAfterBreak="0">
    <w:nsid w:val="2D3DB421"/>
    <w:multiLevelType w:val="hybridMultilevel"/>
    <w:tmpl w:val="C8DAFC70"/>
    <w:lvl w:ilvl="0" w:tplc="01100ACE">
      <w:start w:val="1"/>
      <w:numFmt w:val="bullet"/>
      <w:lvlText w:val=""/>
      <w:lvlJc w:val="left"/>
      <w:pPr>
        <w:ind w:left="720" w:hanging="360"/>
      </w:pPr>
      <w:rPr>
        <w:rFonts w:ascii="Symbol" w:hAnsi="Symbol" w:hint="default"/>
      </w:rPr>
    </w:lvl>
    <w:lvl w:ilvl="1" w:tplc="031A754E">
      <w:start w:val="1"/>
      <w:numFmt w:val="bullet"/>
      <w:lvlText w:val="o"/>
      <w:lvlJc w:val="left"/>
      <w:pPr>
        <w:ind w:left="1440" w:hanging="360"/>
      </w:pPr>
      <w:rPr>
        <w:rFonts w:ascii="Courier New" w:hAnsi="Courier New" w:hint="default"/>
      </w:rPr>
    </w:lvl>
    <w:lvl w:ilvl="2" w:tplc="91D41472">
      <w:start w:val="1"/>
      <w:numFmt w:val="bullet"/>
      <w:lvlText w:val=""/>
      <w:lvlJc w:val="left"/>
      <w:pPr>
        <w:ind w:left="2160" w:hanging="360"/>
      </w:pPr>
      <w:rPr>
        <w:rFonts w:ascii="Wingdings" w:hAnsi="Wingdings" w:hint="default"/>
      </w:rPr>
    </w:lvl>
    <w:lvl w:ilvl="3" w:tplc="9E9A1954">
      <w:start w:val="1"/>
      <w:numFmt w:val="bullet"/>
      <w:lvlText w:val=""/>
      <w:lvlJc w:val="left"/>
      <w:pPr>
        <w:ind w:left="2880" w:hanging="360"/>
      </w:pPr>
      <w:rPr>
        <w:rFonts w:ascii="Symbol" w:hAnsi="Symbol" w:hint="default"/>
      </w:rPr>
    </w:lvl>
    <w:lvl w:ilvl="4" w:tplc="190C328A">
      <w:start w:val="1"/>
      <w:numFmt w:val="bullet"/>
      <w:lvlText w:val="o"/>
      <w:lvlJc w:val="left"/>
      <w:pPr>
        <w:ind w:left="3600" w:hanging="360"/>
      </w:pPr>
      <w:rPr>
        <w:rFonts w:ascii="Courier New" w:hAnsi="Courier New" w:hint="default"/>
      </w:rPr>
    </w:lvl>
    <w:lvl w:ilvl="5" w:tplc="69AC486A">
      <w:start w:val="1"/>
      <w:numFmt w:val="bullet"/>
      <w:lvlText w:val=""/>
      <w:lvlJc w:val="left"/>
      <w:pPr>
        <w:ind w:left="4320" w:hanging="360"/>
      </w:pPr>
      <w:rPr>
        <w:rFonts w:ascii="Wingdings" w:hAnsi="Wingdings" w:hint="default"/>
      </w:rPr>
    </w:lvl>
    <w:lvl w:ilvl="6" w:tplc="6BF86100">
      <w:start w:val="1"/>
      <w:numFmt w:val="bullet"/>
      <w:lvlText w:val=""/>
      <w:lvlJc w:val="left"/>
      <w:pPr>
        <w:ind w:left="5040" w:hanging="360"/>
      </w:pPr>
      <w:rPr>
        <w:rFonts w:ascii="Symbol" w:hAnsi="Symbol" w:hint="default"/>
      </w:rPr>
    </w:lvl>
    <w:lvl w:ilvl="7" w:tplc="CF6A90FE">
      <w:start w:val="1"/>
      <w:numFmt w:val="bullet"/>
      <w:lvlText w:val="o"/>
      <w:lvlJc w:val="left"/>
      <w:pPr>
        <w:ind w:left="5760" w:hanging="360"/>
      </w:pPr>
      <w:rPr>
        <w:rFonts w:ascii="Courier New" w:hAnsi="Courier New" w:hint="default"/>
      </w:rPr>
    </w:lvl>
    <w:lvl w:ilvl="8" w:tplc="E82C9924">
      <w:start w:val="1"/>
      <w:numFmt w:val="bullet"/>
      <w:lvlText w:val=""/>
      <w:lvlJc w:val="left"/>
      <w:pPr>
        <w:ind w:left="6480" w:hanging="360"/>
      </w:pPr>
      <w:rPr>
        <w:rFonts w:ascii="Wingdings" w:hAnsi="Wingdings" w:hint="default"/>
      </w:rPr>
    </w:lvl>
  </w:abstractNum>
  <w:abstractNum w:abstractNumId="18" w15:restartNumberingAfterBreak="0">
    <w:nsid w:val="2EF6F87E"/>
    <w:multiLevelType w:val="hybridMultilevel"/>
    <w:tmpl w:val="2B6C2A16"/>
    <w:lvl w:ilvl="0" w:tplc="162AAFDC">
      <w:start w:val="1"/>
      <w:numFmt w:val="bullet"/>
      <w:lvlText w:val=""/>
      <w:lvlJc w:val="left"/>
      <w:pPr>
        <w:ind w:left="720" w:hanging="360"/>
      </w:pPr>
      <w:rPr>
        <w:rFonts w:ascii="Symbol" w:hAnsi="Symbol" w:hint="default"/>
      </w:rPr>
    </w:lvl>
    <w:lvl w:ilvl="1" w:tplc="0936C36E">
      <w:start w:val="1"/>
      <w:numFmt w:val="bullet"/>
      <w:lvlText w:val="o"/>
      <w:lvlJc w:val="left"/>
      <w:pPr>
        <w:ind w:left="1440" w:hanging="360"/>
      </w:pPr>
      <w:rPr>
        <w:rFonts w:ascii="Courier New" w:hAnsi="Courier New" w:hint="default"/>
      </w:rPr>
    </w:lvl>
    <w:lvl w:ilvl="2" w:tplc="DB2A880A">
      <w:start w:val="1"/>
      <w:numFmt w:val="bullet"/>
      <w:lvlText w:val=""/>
      <w:lvlJc w:val="left"/>
      <w:pPr>
        <w:ind w:left="2160" w:hanging="360"/>
      </w:pPr>
      <w:rPr>
        <w:rFonts w:ascii="Wingdings" w:hAnsi="Wingdings" w:hint="default"/>
      </w:rPr>
    </w:lvl>
    <w:lvl w:ilvl="3" w:tplc="658629E8">
      <w:start w:val="1"/>
      <w:numFmt w:val="bullet"/>
      <w:lvlText w:val=""/>
      <w:lvlJc w:val="left"/>
      <w:pPr>
        <w:ind w:left="2880" w:hanging="360"/>
      </w:pPr>
      <w:rPr>
        <w:rFonts w:ascii="Symbol" w:hAnsi="Symbol" w:hint="default"/>
      </w:rPr>
    </w:lvl>
    <w:lvl w:ilvl="4" w:tplc="FE64D962">
      <w:start w:val="1"/>
      <w:numFmt w:val="bullet"/>
      <w:lvlText w:val="o"/>
      <w:lvlJc w:val="left"/>
      <w:pPr>
        <w:ind w:left="3600" w:hanging="360"/>
      </w:pPr>
      <w:rPr>
        <w:rFonts w:ascii="Courier New" w:hAnsi="Courier New" w:hint="default"/>
      </w:rPr>
    </w:lvl>
    <w:lvl w:ilvl="5" w:tplc="3D9CE19C">
      <w:start w:val="1"/>
      <w:numFmt w:val="bullet"/>
      <w:lvlText w:val=""/>
      <w:lvlJc w:val="left"/>
      <w:pPr>
        <w:ind w:left="4320" w:hanging="360"/>
      </w:pPr>
      <w:rPr>
        <w:rFonts w:ascii="Wingdings" w:hAnsi="Wingdings" w:hint="default"/>
      </w:rPr>
    </w:lvl>
    <w:lvl w:ilvl="6" w:tplc="CC8CC87C">
      <w:start w:val="1"/>
      <w:numFmt w:val="bullet"/>
      <w:lvlText w:val=""/>
      <w:lvlJc w:val="left"/>
      <w:pPr>
        <w:ind w:left="5040" w:hanging="360"/>
      </w:pPr>
      <w:rPr>
        <w:rFonts w:ascii="Symbol" w:hAnsi="Symbol" w:hint="default"/>
      </w:rPr>
    </w:lvl>
    <w:lvl w:ilvl="7" w:tplc="D6BA2CBA">
      <w:start w:val="1"/>
      <w:numFmt w:val="bullet"/>
      <w:lvlText w:val="o"/>
      <w:lvlJc w:val="left"/>
      <w:pPr>
        <w:ind w:left="5760" w:hanging="360"/>
      </w:pPr>
      <w:rPr>
        <w:rFonts w:ascii="Courier New" w:hAnsi="Courier New" w:hint="default"/>
      </w:rPr>
    </w:lvl>
    <w:lvl w:ilvl="8" w:tplc="20E0AC8E">
      <w:start w:val="1"/>
      <w:numFmt w:val="bullet"/>
      <w:lvlText w:val=""/>
      <w:lvlJc w:val="left"/>
      <w:pPr>
        <w:ind w:left="6480" w:hanging="360"/>
      </w:pPr>
      <w:rPr>
        <w:rFonts w:ascii="Wingdings" w:hAnsi="Wingdings" w:hint="default"/>
      </w:rPr>
    </w:lvl>
  </w:abstractNum>
  <w:abstractNum w:abstractNumId="19" w15:restartNumberingAfterBreak="0">
    <w:nsid w:val="2F30B9EC"/>
    <w:multiLevelType w:val="hybridMultilevel"/>
    <w:tmpl w:val="DC96F462"/>
    <w:lvl w:ilvl="0" w:tplc="D512B5AC">
      <w:start w:val="1"/>
      <w:numFmt w:val="bullet"/>
      <w:lvlText w:val=""/>
      <w:lvlJc w:val="left"/>
      <w:pPr>
        <w:ind w:left="720" w:hanging="360"/>
      </w:pPr>
      <w:rPr>
        <w:rFonts w:ascii="Symbol" w:hAnsi="Symbol" w:hint="default"/>
      </w:rPr>
    </w:lvl>
    <w:lvl w:ilvl="1" w:tplc="3120F148">
      <w:start w:val="1"/>
      <w:numFmt w:val="bullet"/>
      <w:lvlText w:val="o"/>
      <w:lvlJc w:val="left"/>
      <w:pPr>
        <w:ind w:left="1440" w:hanging="360"/>
      </w:pPr>
      <w:rPr>
        <w:rFonts w:ascii="Courier New" w:hAnsi="Courier New" w:hint="default"/>
      </w:rPr>
    </w:lvl>
    <w:lvl w:ilvl="2" w:tplc="EA848184">
      <w:start w:val="1"/>
      <w:numFmt w:val="bullet"/>
      <w:lvlText w:val=""/>
      <w:lvlJc w:val="left"/>
      <w:pPr>
        <w:ind w:left="2160" w:hanging="360"/>
      </w:pPr>
      <w:rPr>
        <w:rFonts w:ascii="Wingdings" w:hAnsi="Wingdings" w:hint="default"/>
      </w:rPr>
    </w:lvl>
    <w:lvl w:ilvl="3" w:tplc="441C5838">
      <w:start w:val="1"/>
      <w:numFmt w:val="bullet"/>
      <w:lvlText w:val=""/>
      <w:lvlJc w:val="left"/>
      <w:pPr>
        <w:ind w:left="2880" w:hanging="360"/>
      </w:pPr>
      <w:rPr>
        <w:rFonts w:ascii="Symbol" w:hAnsi="Symbol" w:hint="default"/>
      </w:rPr>
    </w:lvl>
    <w:lvl w:ilvl="4" w:tplc="F69208B2">
      <w:start w:val="1"/>
      <w:numFmt w:val="bullet"/>
      <w:lvlText w:val="o"/>
      <w:lvlJc w:val="left"/>
      <w:pPr>
        <w:ind w:left="3600" w:hanging="360"/>
      </w:pPr>
      <w:rPr>
        <w:rFonts w:ascii="Courier New" w:hAnsi="Courier New" w:hint="default"/>
      </w:rPr>
    </w:lvl>
    <w:lvl w:ilvl="5" w:tplc="D9261FEC">
      <w:start w:val="1"/>
      <w:numFmt w:val="bullet"/>
      <w:lvlText w:val=""/>
      <w:lvlJc w:val="left"/>
      <w:pPr>
        <w:ind w:left="4320" w:hanging="360"/>
      </w:pPr>
      <w:rPr>
        <w:rFonts w:ascii="Wingdings" w:hAnsi="Wingdings" w:hint="default"/>
      </w:rPr>
    </w:lvl>
    <w:lvl w:ilvl="6" w:tplc="165C2750">
      <w:start w:val="1"/>
      <w:numFmt w:val="bullet"/>
      <w:lvlText w:val=""/>
      <w:lvlJc w:val="left"/>
      <w:pPr>
        <w:ind w:left="5040" w:hanging="360"/>
      </w:pPr>
      <w:rPr>
        <w:rFonts w:ascii="Symbol" w:hAnsi="Symbol" w:hint="default"/>
      </w:rPr>
    </w:lvl>
    <w:lvl w:ilvl="7" w:tplc="B2EA62D4">
      <w:start w:val="1"/>
      <w:numFmt w:val="bullet"/>
      <w:lvlText w:val="o"/>
      <w:lvlJc w:val="left"/>
      <w:pPr>
        <w:ind w:left="5760" w:hanging="360"/>
      </w:pPr>
      <w:rPr>
        <w:rFonts w:ascii="Courier New" w:hAnsi="Courier New" w:hint="default"/>
      </w:rPr>
    </w:lvl>
    <w:lvl w:ilvl="8" w:tplc="CB622586">
      <w:start w:val="1"/>
      <w:numFmt w:val="bullet"/>
      <w:lvlText w:val=""/>
      <w:lvlJc w:val="left"/>
      <w:pPr>
        <w:ind w:left="6480" w:hanging="360"/>
      </w:pPr>
      <w:rPr>
        <w:rFonts w:ascii="Wingdings" w:hAnsi="Wingdings" w:hint="default"/>
      </w:rPr>
    </w:lvl>
  </w:abstractNum>
  <w:abstractNum w:abstractNumId="20" w15:restartNumberingAfterBreak="0">
    <w:nsid w:val="306D4729"/>
    <w:multiLevelType w:val="hybridMultilevel"/>
    <w:tmpl w:val="B89CE2B2"/>
    <w:lvl w:ilvl="0" w:tplc="6630BC54">
      <w:start w:val="1"/>
      <w:numFmt w:val="bullet"/>
      <w:lvlText w:val=""/>
      <w:lvlJc w:val="left"/>
      <w:pPr>
        <w:ind w:left="720" w:hanging="360"/>
      </w:pPr>
      <w:rPr>
        <w:rFonts w:ascii="Symbol" w:hAnsi="Symbol" w:hint="default"/>
      </w:rPr>
    </w:lvl>
    <w:lvl w:ilvl="1" w:tplc="6A549DB8">
      <w:start w:val="1"/>
      <w:numFmt w:val="bullet"/>
      <w:lvlText w:val="o"/>
      <w:lvlJc w:val="left"/>
      <w:pPr>
        <w:ind w:left="1440" w:hanging="360"/>
      </w:pPr>
      <w:rPr>
        <w:rFonts w:ascii="Courier New" w:hAnsi="Courier New" w:hint="default"/>
      </w:rPr>
    </w:lvl>
    <w:lvl w:ilvl="2" w:tplc="0D46ABDE">
      <w:start w:val="1"/>
      <w:numFmt w:val="bullet"/>
      <w:lvlText w:val=""/>
      <w:lvlJc w:val="left"/>
      <w:pPr>
        <w:ind w:left="2160" w:hanging="360"/>
      </w:pPr>
      <w:rPr>
        <w:rFonts w:ascii="Wingdings" w:hAnsi="Wingdings" w:hint="default"/>
      </w:rPr>
    </w:lvl>
    <w:lvl w:ilvl="3" w:tplc="DB4EE80C">
      <w:start w:val="1"/>
      <w:numFmt w:val="bullet"/>
      <w:lvlText w:val=""/>
      <w:lvlJc w:val="left"/>
      <w:pPr>
        <w:ind w:left="2880" w:hanging="360"/>
      </w:pPr>
      <w:rPr>
        <w:rFonts w:ascii="Symbol" w:hAnsi="Symbol" w:hint="default"/>
      </w:rPr>
    </w:lvl>
    <w:lvl w:ilvl="4" w:tplc="D71244C0">
      <w:start w:val="1"/>
      <w:numFmt w:val="bullet"/>
      <w:lvlText w:val="o"/>
      <w:lvlJc w:val="left"/>
      <w:pPr>
        <w:ind w:left="3600" w:hanging="360"/>
      </w:pPr>
      <w:rPr>
        <w:rFonts w:ascii="Courier New" w:hAnsi="Courier New" w:hint="default"/>
      </w:rPr>
    </w:lvl>
    <w:lvl w:ilvl="5" w:tplc="F78E9CCE">
      <w:start w:val="1"/>
      <w:numFmt w:val="bullet"/>
      <w:lvlText w:val=""/>
      <w:lvlJc w:val="left"/>
      <w:pPr>
        <w:ind w:left="4320" w:hanging="360"/>
      </w:pPr>
      <w:rPr>
        <w:rFonts w:ascii="Wingdings" w:hAnsi="Wingdings" w:hint="default"/>
      </w:rPr>
    </w:lvl>
    <w:lvl w:ilvl="6" w:tplc="2E4EBAEE">
      <w:start w:val="1"/>
      <w:numFmt w:val="bullet"/>
      <w:lvlText w:val=""/>
      <w:lvlJc w:val="left"/>
      <w:pPr>
        <w:ind w:left="5040" w:hanging="360"/>
      </w:pPr>
      <w:rPr>
        <w:rFonts w:ascii="Symbol" w:hAnsi="Symbol" w:hint="default"/>
      </w:rPr>
    </w:lvl>
    <w:lvl w:ilvl="7" w:tplc="F662C716">
      <w:start w:val="1"/>
      <w:numFmt w:val="bullet"/>
      <w:lvlText w:val="o"/>
      <w:lvlJc w:val="left"/>
      <w:pPr>
        <w:ind w:left="5760" w:hanging="360"/>
      </w:pPr>
      <w:rPr>
        <w:rFonts w:ascii="Courier New" w:hAnsi="Courier New" w:hint="default"/>
      </w:rPr>
    </w:lvl>
    <w:lvl w:ilvl="8" w:tplc="4E9C3A56">
      <w:start w:val="1"/>
      <w:numFmt w:val="bullet"/>
      <w:lvlText w:val=""/>
      <w:lvlJc w:val="left"/>
      <w:pPr>
        <w:ind w:left="6480" w:hanging="360"/>
      </w:pPr>
      <w:rPr>
        <w:rFonts w:ascii="Wingdings" w:hAnsi="Wingdings" w:hint="default"/>
      </w:rPr>
    </w:lvl>
  </w:abstractNum>
  <w:abstractNum w:abstractNumId="21" w15:restartNumberingAfterBreak="0">
    <w:nsid w:val="332988B5"/>
    <w:multiLevelType w:val="hybridMultilevel"/>
    <w:tmpl w:val="3B186656"/>
    <w:lvl w:ilvl="0" w:tplc="633C77E8">
      <w:start w:val="1"/>
      <w:numFmt w:val="bullet"/>
      <w:lvlText w:val=""/>
      <w:lvlJc w:val="left"/>
      <w:pPr>
        <w:ind w:left="720" w:hanging="360"/>
      </w:pPr>
      <w:rPr>
        <w:rFonts w:ascii="Symbol" w:hAnsi="Symbol" w:hint="default"/>
      </w:rPr>
    </w:lvl>
    <w:lvl w:ilvl="1" w:tplc="70DE5BC2">
      <w:start w:val="1"/>
      <w:numFmt w:val="bullet"/>
      <w:lvlText w:val="o"/>
      <w:lvlJc w:val="left"/>
      <w:pPr>
        <w:ind w:left="1440" w:hanging="360"/>
      </w:pPr>
      <w:rPr>
        <w:rFonts w:ascii="Courier New" w:hAnsi="Courier New" w:hint="default"/>
      </w:rPr>
    </w:lvl>
    <w:lvl w:ilvl="2" w:tplc="9D28943E">
      <w:start w:val="1"/>
      <w:numFmt w:val="bullet"/>
      <w:lvlText w:val=""/>
      <w:lvlJc w:val="left"/>
      <w:pPr>
        <w:ind w:left="2160" w:hanging="360"/>
      </w:pPr>
      <w:rPr>
        <w:rFonts w:ascii="Wingdings" w:hAnsi="Wingdings" w:hint="default"/>
      </w:rPr>
    </w:lvl>
    <w:lvl w:ilvl="3" w:tplc="83EEB54A">
      <w:start w:val="1"/>
      <w:numFmt w:val="bullet"/>
      <w:lvlText w:val=""/>
      <w:lvlJc w:val="left"/>
      <w:pPr>
        <w:ind w:left="2880" w:hanging="360"/>
      </w:pPr>
      <w:rPr>
        <w:rFonts w:ascii="Symbol" w:hAnsi="Symbol" w:hint="default"/>
      </w:rPr>
    </w:lvl>
    <w:lvl w:ilvl="4" w:tplc="631247F4">
      <w:start w:val="1"/>
      <w:numFmt w:val="bullet"/>
      <w:lvlText w:val="o"/>
      <w:lvlJc w:val="left"/>
      <w:pPr>
        <w:ind w:left="3600" w:hanging="360"/>
      </w:pPr>
      <w:rPr>
        <w:rFonts w:ascii="Courier New" w:hAnsi="Courier New" w:hint="default"/>
      </w:rPr>
    </w:lvl>
    <w:lvl w:ilvl="5" w:tplc="D1204A98">
      <w:start w:val="1"/>
      <w:numFmt w:val="bullet"/>
      <w:lvlText w:val=""/>
      <w:lvlJc w:val="left"/>
      <w:pPr>
        <w:ind w:left="4320" w:hanging="360"/>
      </w:pPr>
      <w:rPr>
        <w:rFonts w:ascii="Wingdings" w:hAnsi="Wingdings" w:hint="default"/>
      </w:rPr>
    </w:lvl>
    <w:lvl w:ilvl="6" w:tplc="12D02354">
      <w:start w:val="1"/>
      <w:numFmt w:val="bullet"/>
      <w:lvlText w:val=""/>
      <w:lvlJc w:val="left"/>
      <w:pPr>
        <w:ind w:left="5040" w:hanging="360"/>
      </w:pPr>
      <w:rPr>
        <w:rFonts w:ascii="Symbol" w:hAnsi="Symbol" w:hint="default"/>
      </w:rPr>
    </w:lvl>
    <w:lvl w:ilvl="7" w:tplc="92FEC74E">
      <w:start w:val="1"/>
      <w:numFmt w:val="bullet"/>
      <w:lvlText w:val="o"/>
      <w:lvlJc w:val="left"/>
      <w:pPr>
        <w:ind w:left="5760" w:hanging="360"/>
      </w:pPr>
      <w:rPr>
        <w:rFonts w:ascii="Courier New" w:hAnsi="Courier New" w:hint="default"/>
      </w:rPr>
    </w:lvl>
    <w:lvl w:ilvl="8" w:tplc="6F162D42">
      <w:start w:val="1"/>
      <w:numFmt w:val="bullet"/>
      <w:lvlText w:val=""/>
      <w:lvlJc w:val="left"/>
      <w:pPr>
        <w:ind w:left="6480" w:hanging="360"/>
      </w:pPr>
      <w:rPr>
        <w:rFonts w:ascii="Wingdings" w:hAnsi="Wingdings" w:hint="default"/>
      </w:rPr>
    </w:lvl>
  </w:abstractNum>
  <w:abstractNum w:abstractNumId="22" w15:restartNumberingAfterBreak="0">
    <w:nsid w:val="37EE601C"/>
    <w:multiLevelType w:val="hybridMultilevel"/>
    <w:tmpl w:val="1222041A"/>
    <w:lvl w:ilvl="0" w:tplc="97E811E8">
      <w:start w:val="1"/>
      <w:numFmt w:val="bullet"/>
      <w:lvlText w:val=""/>
      <w:lvlJc w:val="left"/>
      <w:pPr>
        <w:ind w:left="720" w:hanging="360"/>
      </w:pPr>
      <w:rPr>
        <w:rFonts w:ascii="Symbol" w:hAnsi="Symbol" w:hint="default"/>
      </w:rPr>
    </w:lvl>
    <w:lvl w:ilvl="1" w:tplc="52724B14">
      <w:start w:val="1"/>
      <w:numFmt w:val="bullet"/>
      <w:lvlText w:val="o"/>
      <w:lvlJc w:val="left"/>
      <w:pPr>
        <w:ind w:left="1440" w:hanging="360"/>
      </w:pPr>
      <w:rPr>
        <w:rFonts w:ascii="Courier New" w:hAnsi="Courier New" w:hint="default"/>
      </w:rPr>
    </w:lvl>
    <w:lvl w:ilvl="2" w:tplc="D2162896">
      <w:start w:val="1"/>
      <w:numFmt w:val="bullet"/>
      <w:lvlText w:val=""/>
      <w:lvlJc w:val="left"/>
      <w:pPr>
        <w:ind w:left="2160" w:hanging="360"/>
      </w:pPr>
      <w:rPr>
        <w:rFonts w:ascii="Wingdings" w:hAnsi="Wingdings" w:hint="default"/>
      </w:rPr>
    </w:lvl>
    <w:lvl w:ilvl="3" w:tplc="718A4952">
      <w:start w:val="1"/>
      <w:numFmt w:val="bullet"/>
      <w:lvlText w:val=""/>
      <w:lvlJc w:val="left"/>
      <w:pPr>
        <w:ind w:left="2880" w:hanging="360"/>
      </w:pPr>
      <w:rPr>
        <w:rFonts w:ascii="Symbol" w:hAnsi="Symbol" w:hint="default"/>
      </w:rPr>
    </w:lvl>
    <w:lvl w:ilvl="4" w:tplc="4634C8DA">
      <w:start w:val="1"/>
      <w:numFmt w:val="bullet"/>
      <w:lvlText w:val="o"/>
      <w:lvlJc w:val="left"/>
      <w:pPr>
        <w:ind w:left="3600" w:hanging="360"/>
      </w:pPr>
      <w:rPr>
        <w:rFonts w:ascii="Courier New" w:hAnsi="Courier New" w:hint="default"/>
      </w:rPr>
    </w:lvl>
    <w:lvl w:ilvl="5" w:tplc="D7940B28">
      <w:start w:val="1"/>
      <w:numFmt w:val="bullet"/>
      <w:lvlText w:val=""/>
      <w:lvlJc w:val="left"/>
      <w:pPr>
        <w:ind w:left="4320" w:hanging="360"/>
      </w:pPr>
      <w:rPr>
        <w:rFonts w:ascii="Wingdings" w:hAnsi="Wingdings" w:hint="default"/>
      </w:rPr>
    </w:lvl>
    <w:lvl w:ilvl="6" w:tplc="58C05056">
      <w:start w:val="1"/>
      <w:numFmt w:val="bullet"/>
      <w:lvlText w:val=""/>
      <w:lvlJc w:val="left"/>
      <w:pPr>
        <w:ind w:left="5040" w:hanging="360"/>
      </w:pPr>
      <w:rPr>
        <w:rFonts w:ascii="Symbol" w:hAnsi="Symbol" w:hint="default"/>
      </w:rPr>
    </w:lvl>
    <w:lvl w:ilvl="7" w:tplc="428E91A0">
      <w:start w:val="1"/>
      <w:numFmt w:val="bullet"/>
      <w:lvlText w:val="o"/>
      <w:lvlJc w:val="left"/>
      <w:pPr>
        <w:ind w:left="5760" w:hanging="360"/>
      </w:pPr>
      <w:rPr>
        <w:rFonts w:ascii="Courier New" w:hAnsi="Courier New" w:hint="default"/>
      </w:rPr>
    </w:lvl>
    <w:lvl w:ilvl="8" w:tplc="295C2EFE">
      <w:start w:val="1"/>
      <w:numFmt w:val="bullet"/>
      <w:lvlText w:val=""/>
      <w:lvlJc w:val="left"/>
      <w:pPr>
        <w:ind w:left="6480" w:hanging="360"/>
      </w:pPr>
      <w:rPr>
        <w:rFonts w:ascii="Wingdings" w:hAnsi="Wingdings" w:hint="default"/>
      </w:rPr>
    </w:lvl>
  </w:abstractNum>
  <w:abstractNum w:abstractNumId="23" w15:restartNumberingAfterBreak="0">
    <w:nsid w:val="380652D7"/>
    <w:multiLevelType w:val="hybridMultilevel"/>
    <w:tmpl w:val="FE2EE682"/>
    <w:lvl w:ilvl="0" w:tplc="8CAE91E0">
      <w:start w:val="1"/>
      <w:numFmt w:val="bullet"/>
      <w:lvlText w:val=""/>
      <w:lvlJc w:val="left"/>
      <w:pPr>
        <w:ind w:left="720" w:hanging="360"/>
      </w:pPr>
      <w:rPr>
        <w:rFonts w:ascii="Symbol" w:hAnsi="Symbol" w:hint="default"/>
      </w:rPr>
    </w:lvl>
    <w:lvl w:ilvl="1" w:tplc="C8329986">
      <w:start w:val="1"/>
      <w:numFmt w:val="bullet"/>
      <w:lvlText w:val="o"/>
      <w:lvlJc w:val="left"/>
      <w:pPr>
        <w:ind w:left="1440" w:hanging="360"/>
      </w:pPr>
      <w:rPr>
        <w:rFonts w:ascii="Courier New" w:hAnsi="Courier New" w:hint="default"/>
      </w:rPr>
    </w:lvl>
    <w:lvl w:ilvl="2" w:tplc="5A107A9E">
      <w:start w:val="1"/>
      <w:numFmt w:val="bullet"/>
      <w:lvlText w:val=""/>
      <w:lvlJc w:val="left"/>
      <w:pPr>
        <w:ind w:left="2160" w:hanging="360"/>
      </w:pPr>
      <w:rPr>
        <w:rFonts w:ascii="Wingdings" w:hAnsi="Wingdings" w:hint="default"/>
      </w:rPr>
    </w:lvl>
    <w:lvl w:ilvl="3" w:tplc="91D2C614">
      <w:start w:val="1"/>
      <w:numFmt w:val="bullet"/>
      <w:lvlText w:val=""/>
      <w:lvlJc w:val="left"/>
      <w:pPr>
        <w:ind w:left="2880" w:hanging="360"/>
      </w:pPr>
      <w:rPr>
        <w:rFonts w:ascii="Symbol" w:hAnsi="Symbol" w:hint="default"/>
      </w:rPr>
    </w:lvl>
    <w:lvl w:ilvl="4" w:tplc="A9B4EC9E">
      <w:start w:val="1"/>
      <w:numFmt w:val="bullet"/>
      <w:lvlText w:val="o"/>
      <w:lvlJc w:val="left"/>
      <w:pPr>
        <w:ind w:left="3600" w:hanging="360"/>
      </w:pPr>
      <w:rPr>
        <w:rFonts w:ascii="Courier New" w:hAnsi="Courier New" w:hint="default"/>
      </w:rPr>
    </w:lvl>
    <w:lvl w:ilvl="5" w:tplc="13CCC3E2">
      <w:start w:val="1"/>
      <w:numFmt w:val="bullet"/>
      <w:lvlText w:val=""/>
      <w:lvlJc w:val="left"/>
      <w:pPr>
        <w:ind w:left="4320" w:hanging="360"/>
      </w:pPr>
      <w:rPr>
        <w:rFonts w:ascii="Wingdings" w:hAnsi="Wingdings" w:hint="default"/>
      </w:rPr>
    </w:lvl>
    <w:lvl w:ilvl="6" w:tplc="4022C594">
      <w:start w:val="1"/>
      <w:numFmt w:val="bullet"/>
      <w:lvlText w:val=""/>
      <w:lvlJc w:val="left"/>
      <w:pPr>
        <w:ind w:left="5040" w:hanging="360"/>
      </w:pPr>
      <w:rPr>
        <w:rFonts w:ascii="Symbol" w:hAnsi="Symbol" w:hint="default"/>
      </w:rPr>
    </w:lvl>
    <w:lvl w:ilvl="7" w:tplc="777C43A4">
      <w:start w:val="1"/>
      <w:numFmt w:val="bullet"/>
      <w:lvlText w:val="o"/>
      <w:lvlJc w:val="left"/>
      <w:pPr>
        <w:ind w:left="5760" w:hanging="360"/>
      </w:pPr>
      <w:rPr>
        <w:rFonts w:ascii="Courier New" w:hAnsi="Courier New" w:hint="default"/>
      </w:rPr>
    </w:lvl>
    <w:lvl w:ilvl="8" w:tplc="55865AF4">
      <w:start w:val="1"/>
      <w:numFmt w:val="bullet"/>
      <w:lvlText w:val=""/>
      <w:lvlJc w:val="left"/>
      <w:pPr>
        <w:ind w:left="6480" w:hanging="360"/>
      </w:pPr>
      <w:rPr>
        <w:rFonts w:ascii="Wingdings" w:hAnsi="Wingdings" w:hint="default"/>
      </w:rPr>
    </w:lvl>
  </w:abstractNum>
  <w:abstractNum w:abstractNumId="24" w15:restartNumberingAfterBreak="0">
    <w:nsid w:val="3A1C6531"/>
    <w:multiLevelType w:val="hybridMultilevel"/>
    <w:tmpl w:val="85B855BA"/>
    <w:lvl w:ilvl="0" w:tplc="4B02106C">
      <w:start w:val="1"/>
      <w:numFmt w:val="bullet"/>
      <w:lvlText w:val=""/>
      <w:lvlJc w:val="left"/>
      <w:pPr>
        <w:ind w:left="720" w:hanging="360"/>
      </w:pPr>
      <w:rPr>
        <w:rFonts w:ascii="Symbol" w:hAnsi="Symbol" w:hint="default"/>
      </w:rPr>
    </w:lvl>
    <w:lvl w:ilvl="1" w:tplc="59CE9C26">
      <w:start w:val="1"/>
      <w:numFmt w:val="bullet"/>
      <w:lvlText w:val="o"/>
      <w:lvlJc w:val="left"/>
      <w:pPr>
        <w:ind w:left="1440" w:hanging="360"/>
      </w:pPr>
      <w:rPr>
        <w:rFonts w:ascii="Courier New" w:hAnsi="Courier New" w:hint="default"/>
      </w:rPr>
    </w:lvl>
    <w:lvl w:ilvl="2" w:tplc="E378F392">
      <w:start w:val="1"/>
      <w:numFmt w:val="bullet"/>
      <w:lvlText w:val=""/>
      <w:lvlJc w:val="left"/>
      <w:pPr>
        <w:ind w:left="2160" w:hanging="360"/>
      </w:pPr>
      <w:rPr>
        <w:rFonts w:ascii="Wingdings" w:hAnsi="Wingdings" w:hint="default"/>
      </w:rPr>
    </w:lvl>
    <w:lvl w:ilvl="3" w:tplc="DC1CD7D4">
      <w:start w:val="1"/>
      <w:numFmt w:val="bullet"/>
      <w:lvlText w:val=""/>
      <w:lvlJc w:val="left"/>
      <w:pPr>
        <w:ind w:left="2880" w:hanging="360"/>
      </w:pPr>
      <w:rPr>
        <w:rFonts w:ascii="Symbol" w:hAnsi="Symbol" w:hint="default"/>
      </w:rPr>
    </w:lvl>
    <w:lvl w:ilvl="4" w:tplc="98EE6FA8">
      <w:start w:val="1"/>
      <w:numFmt w:val="bullet"/>
      <w:lvlText w:val="o"/>
      <w:lvlJc w:val="left"/>
      <w:pPr>
        <w:ind w:left="3600" w:hanging="360"/>
      </w:pPr>
      <w:rPr>
        <w:rFonts w:ascii="Courier New" w:hAnsi="Courier New" w:hint="default"/>
      </w:rPr>
    </w:lvl>
    <w:lvl w:ilvl="5" w:tplc="E34213A4">
      <w:start w:val="1"/>
      <w:numFmt w:val="bullet"/>
      <w:lvlText w:val=""/>
      <w:lvlJc w:val="left"/>
      <w:pPr>
        <w:ind w:left="4320" w:hanging="360"/>
      </w:pPr>
      <w:rPr>
        <w:rFonts w:ascii="Wingdings" w:hAnsi="Wingdings" w:hint="default"/>
      </w:rPr>
    </w:lvl>
    <w:lvl w:ilvl="6" w:tplc="D3562038">
      <w:start w:val="1"/>
      <w:numFmt w:val="bullet"/>
      <w:lvlText w:val=""/>
      <w:lvlJc w:val="left"/>
      <w:pPr>
        <w:ind w:left="5040" w:hanging="360"/>
      </w:pPr>
      <w:rPr>
        <w:rFonts w:ascii="Symbol" w:hAnsi="Symbol" w:hint="default"/>
      </w:rPr>
    </w:lvl>
    <w:lvl w:ilvl="7" w:tplc="6F70BBBE">
      <w:start w:val="1"/>
      <w:numFmt w:val="bullet"/>
      <w:lvlText w:val="o"/>
      <w:lvlJc w:val="left"/>
      <w:pPr>
        <w:ind w:left="5760" w:hanging="360"/>
      </w:pPr>
      <w:rPr>
        <w:rFonts w:ascii="Courier New" w:hAnsi="Courier New" w:hint="default"/>
      </w:rPr>
    </w:lvl>
    <w:lvl w:ilvl="8" w:tplc="0218B248">
      <w:start w:val="1"/>
      <w:numFmt w:val="bullet"/>
      <w:lvlText w:val=""/>
      <w:lvlJc w:val="left"/>
      <w:pPr>
        <w:ind w:left="6480" w:hanging="360"/>
      </w:pPr>
      <w:rPr>
        <w:rFonts w:ascii="Wingdings" w:hAnsi="Wingdings" w:hint="default"/>
      </w:rPr>
    </w:lvl>
  </w:abstractNum>
  <w:abstractNum w:abstractNumId="25" w15:restartNumberingAfterBreak="0">
    <w:nsid w:val="41753C92"/>
    <w:multiLevelType w:val="hybridMultilevel"/>
    <w:tmpl w:val="01A45E14"/>
    <w:lvl w:ilvl="0" w:tplc="BE0C6738">
      <w:start w:val="1"/>
      <w:numFmt w:val="bullet"/>
      <w:lvlText w:val=""/>
      <w:lvlJc w:val="left"/>
      <w:pPr>
        <w:ind w:left="720" w:hanging="360"/>
      </w:pPr>
      <w:rPr>
        <w:rFonts w:ascii="Symbol" w:hAnsi="Symbol" w:hint="default"/>
      </w:rPr>
    </w:lvl>
    <w:lvl w:ilvl="1" w:tplc="2A36E616">
      <w:start w:val="1"/>
      <w:numFmt w:val="bullet"/>
      <w:lvlText w:val="o"/>
      <w:lvlJc w:val="left"/>
      <w:pPr>
        <w:ind w:left="1440" w:hanging="360"/>
      </w:pPr>
      <w:rPr>
        <w:rFonts w:ascii="Courier New" w:hAnsi="Courier New" w:hint="default"/>
      </w:rPr>
    </w:lvl>
    <w:lvl w:ilvl="2" w:tplc="8402A6EE">
      <w:start w:val="1"/>
      <w:numFmt w:val="bullet"/>
      <w:lvlText w:val=""/>
      <w:lvlJc w:val="left"/>
      <w:pPr>
        <w:ind w:left="2160" w:hanging="360"/>
      </w:pPr>
      <w:rPr>
        <w:rFonts w:ascii="Wingdings" w:hAnsi="Wingdings" w:hint="default"/>
      </w:rPr>
    </w:lvl>
    <w:lvl w:ilvl="3" w:tplc="802C8D48">
      <w:start w:val="1"/>
      <w:numFmt w:val="bullet"/>
      <w:lvlText w:val=""/>
      <w:lvlJc w:val="left"/>
      <w:pPr>
        <w:ind w:left="2880" w:hanging="360"/>
      </w:pPr>
      <w:rPr>
        <w:rFonts w:ascii="Symbol" w:hAnsi="Symbol" w:hint="default"/>
      </w:rPr>
    </w:lvl>
    <w:lvl w:ilvl="4" w:tplc="8B467AC6">
      <w:start w:val="1"/>
      <w:numFmt w:val="bullet"/>
      <w:lvlText w:val="o"/>
      <w:lvlJc w:val="left"/>
      <w:pPr>
        <w:ind w:left="3600" w:hanging="360"/>
      </w:pPr>
      <w:rPr>
        <w:rFonts w:ascii="Courier New" w:hAnsi="Courier New" w:hint="default"/>
      </w:rPr>
    </w:lvl>
    <w:lvl w:ilvl="5" w:tplc="764CDEC4">
      <w:start w:val="1"/>
      <w:numFmt w:val="bullet"/>
      <w:lvlText w:val=""/>
      <w:lvlJc w:val="left"/>
      <w:pPr>
        <w:ind w:left="4320" w:hanging="360"/>
      </w:pPr>
      <w:rPr>
        <w:rFonts w:ascii="Wingdings" w:hAnsi="Wingdings" w:hint="default"/>
      </w:rPr>
    </w:lvl>
    <w:lvl w:ilvl="6" w:tplc="B076517C">
      <w:start w:val="1"/>
      <w:numFmt w:val="bullet"/>
      <w:lvlText w:val=""/>
      <w:lvlJc w:val="left"/>
      <w:pPr>
        <w:ind w:left="5040" w:hanging="360"/>
      </w:pPr>
      <w:rPr>
        <w:rFonts w:ascii="Symbol" w:hAnsi="Symbol" w:hint="default"/>
      </w:rPr>
    </w:lvl>
    <w:lvl w:ilvl="7" w:tplc="6ADCDAE0">
      <w:start w:val="1"/>
      <w:numFmt w:val="bullet"/>
      <w:lvlText w:val="o"/>
      <w:lvlJc w:val="left"/>
      <w:pPr>
        <w:ind w:left="5760" w:hanging="360"/>
      </w:pPr>
      <w:rPr>
        <w:rFonts w:ascii="Courier New" w:hAnsi="Courier New" w:hint="default"/>
      </w:rPr>
    </w:lvl>
    <w:lvl w:ilvl="8" w:tplc="867E1ABE">
      <w:start w:val="1"/>
      <w:numFmt w:val="bullet"/>
      <w:lvlText w:val=""/>
      <w:lvlJc w:val="left"/>
      <w:pPr>
        <w:ind w:left="6480" w:hanging="360"/>
      </w:pPr>
      <w:rPr>
        <w:rFonts w:ascii="Wingdings" w:hAnsi="Wingdings" w:hint="default"/>
      </w:rPr>
    </w:lvl>
  </w:abstractNum>
  <w:abstractNum w:abstractNumId="26" w15:restartNumberingAfterBreak="0">
    <w:nsid w:val="4226D2EA"/>
    <w:multiLevelType w:val="hybridMultilevel"/>
    <w:tmpl w:val="9462E448"/>
    <w:lvl w:ilvl="0" w:tplc="47CCDFFC">
      <w:start w:val="1"/>
      <w:numFmt w:val="bullet"/>
      <w:lvlText w:val=""/>
      <w:lvlJc w:val="left"/>
      <w:pPr>
        <w:ind w:left="720" w:hanging="360"/>
      </w:pPr>
      <w:rPr>
        <w:rFonts w:ascii="Symbol" w:hAnsi="Symbol" w:hint="default"/>
      </w:rPr>
    </w:lvl>
    <w:lvl w:ilvl="1" w:tplc="5DD07CD4">
      <w:start w:val="1"/>
      <w:numFmt w:val="bullet"/>
      <w:lvlText w:val="o"/>
      <w:lvlJc w:val="left"/>
      <w:pPr>
        <w:ind w:left="1440" w:hanging="360"/>
      </w:pPr>
      <w:rPr>
        <w:rFonts w:ascii="Courier New" w:hAnsi="Courier New" w:hint="default"/>
      </w:rPr>
    </w:lvl>
    <w:lvl w:ilvl="2" w:tplc="6220D702">
      <w:start w:val="1"/>
      <w:numFmt w:val="bullet"/>
      <w:lvlText w:val=""/>
      <w:lvlJc w:val="left"/>
      <w:pPr>
        <w:ind w:left="2160" w:hanging="360"/>
      </w:pPr>
      <w:rPr>
        <w:rFonts w:ascii="Wingdings" w:hAnsi="Wingdings" w:hint="default"/>
      </w:rPr>
    </w:lvl>
    <w:lvl w:ilvl="3" w:tplc="00646F46">
      <w:start w:val="1"/>
      <w:numFmt w:val="bullet"/>
      <w:lvlText w:val=""/>
      <w:lvlJc w:val="left"/>
      <w:pPr>
        <w:ind w:left="2880" w:hanging="360"/>
      </w:pPr>
      <w:rPr>
        <w:rFonts w:ascii="Symbol" w:hAnsi="Symbol" w:hint="default"/>
      </w:rPr>
    </w:lvl>
    <w:lvl w:ilvl="4" w:tplc="5058BB2C">
      <w:start w:val="1"/>
      <w:numFmt w:val="bullet"/>
      <w:lvlText w:val="o"/>
      <w:lvlJc w:val="left"/>
      <w:pPr>
        <w:ind w:left="3600" w:hanging="360"/>
      </w:pPr>
      <w:rPr>
        <w:rFonts w:ascii="Courier New" w:hAnsi="Courier New" w:hint="default"/>
      </w:rPr>
    </w:lvl>
    <w:lvl w:ilvl="5" w:tplc="32E83A28">
      <w:start w:val="1"/>
      <w:numFmt w:val="bullet"/>
      <w:lvlText w:val=""/>
      <w:lvlJc w:val="left"/>
      <w:pPr>
        <w:ind w:left="4320" w:hanging="360"/>
      </w:pPr>
      <w:rPr>
        <w:rFonts w:ascii="Wingdings" w:hAnsi="Wingdings" w:hint="default"/>
      </w:rPr>
    </w:lvl>
    <w:lvl w:ilvl="6" w:tplc="81229A86">
      <w:start w:val="1"/>
      <w:numFmt w:val="bullet"/>
      <w:lvlText w:val=""/>
      <w:lvlJc w:val="left"/>
      <w:pPr>
        <w:ind w:left="5040" w:hanging="360"/>
      </w:pPr>
      <w:rPr>
        <w:rFonts w:ascii="Symbol" w:hAnsi="Symbol" w:hint="default"/>
      </w:rPr>
    </w:lvl>
    <w:lvl w:ilvl="7" w:tplc="8872E816">
      <w:start w:val="1"/>
      <w:numFmt w:val="bullet"/>
      <w:lvlText w:val="o"/>
      <w:lvlJc w:val="left"/>
      <w:pPr>
        <w:ind w:left="5760" w:hanging="360"/>
      </w:pPr>
      <w:rPr>
        <w:rFonts w:ascii="Courier New" w:hAnsi="Courier New" w:hint="default"/>
      </w:rPr>
    </w:lvl>
    <w:lvl w:ilvl="8" w:tplc="19ECD672">
      <w:start w:val="1"/>
      <w:numFmt w:val="bullet"/>
      <w:lvlText w:val=""/>
      <w:lvlJc w:val="left"/>
      <w:pPr>
        <w:ind w:left="6480" w:hanging="360"/>
      </w:pPr>
      <w:rPr>
        <w:rFonts w:ascii="Wingdings" w:hAnsi="Wingdings" w:hint="default"/>
      </w:rPr>
    </w:lvl>
  </w:abstractNum>
  <w:abstractNum w:abstractNumId="27" w15:restartNumberingAfterBreak="0">
    <w:nsid w:val="42E37168"/>
    <w:multiLevelType w:val="hybridMultilevel"/>
    <w:tmpl w:val="04C68896"/>
    <w:lvl w:ilvl="0" w:tplc="78968E9C">
      <w:start w:val="1"/>
      <w:numFmt w:val="bullet"/>
      <w:lvlText w:val=""/>
      <w:lvlJc w:val="left"/>
      <w:pPr>
        <w:ind w:left="720" w:hanging="360"/>
      </w:pPr>
      <w:rPr>
        <w:rFonts w:ascii="Symbol" w:hAnsi="Symbol" w:hint="default"/>
      </w:rPr>
    </w:lvl>
    <w:lvl w:ilvl="1" w:tplc="924840AC">
      <w:start w:val="1"/>
      <w:numFmt w:val="bullet"/>
      <w:lvlText w:val="o"/>
      <w:lvlJc w:val="left"/>
      <w:pPr>
        <w:ind w:left="1440" w:hanging="360"/>
      </w:pPr>
      <w:rPr>
        <w:rFonts w:ascii="Courier New" w:hAnsi="Courier New" w:hint="default"/>
      </w:rPr>
    </w:lvl>
    <w:lvl w:ilvl="2" w:tplc="8222D478">
      <w:start w:val="1"/>
      <w:numFmt w:val="bullet"/>
      <w:lvlText w:val=""/>
      <w:lvlJc w:val="left"/>
      <w:pPr>
        <w:ind w:left="2160" w:hanging="360"/>
      </w:pPr>
      <w:rPr>
        <w:rFonts w:ascii="Wingdings" w:hAnsi="Wingdings" w:hint="default"/>
      </w:rPr>
    </w:lvl>
    <w:lvl w:ilvl="3" w:tplc="9318754A">
      <w:start w:val="1"/>
      <w:numFmt w:val="bullet"/>
      <w:lvlText w:val=""/>
      <w:lvlJc w:val="left"/>
      <w:pPr>
        <w:ind w:left="2880" w:hanging="360"/>
      </w:pPr>
      <w:rPr>
        <w:rFonts w:ascii="Symbol" w:hAnsi="Symbol" w:hint="default"/>
      </w:rPr>
    </w:lvl>
    <w:lvl w:ilvl="4" w:tplc="0A4A03B8">
      <w:start w:val="1"/>
      <w:numFmt w:val="bullet"/>
      <w:lvlText w:val="o"/>
      <w:lvlJc w:val="left"/>
      <w:pPr>
        <w:ind w:left="3600" w:hanging="360"/>
      </w:pPr>
      <w:rPr>
        <w:rFonts w:ascii="Courier New" w:hAnsi="Courier New" w:hint="default"/>
      </w:rPr>
    </w:lvl>
    <w:lvl w:ilvl="5" w:tplc="1E5CF258">
      <w:start w:val="1"/>
      <w:numFmt w:val="bullet"/>
      <w:lvlText w:val=""/>
      <w:lvlJc w:val="left"/>
      <w:pPr>
        <w:ind w:left="4320" w:hanging="360"/>
      </w:pPr>
      <w:rPr>
        <w:rFonts w:ascii="Wingdings" w:hAnsi="Wingdings" w:hint="default"/>
      </w:rPr>
    </w:lvl>
    <w:lvl w:ilvl="6" w:tplc="D43C7ABC">
      <w:start w:val="1"/>
      <w:numFmt w:val="bullet"/>
      <w:lvlText w:val=""/>
      <w:lvlJc w:val="left"/>
      <w:pPr>
        <w:ind w:left="5040" w:hanging="360"/>
      </w:pPr>
      <w:rPr>
        <w:rFonts w:ascii="Symbol" w:hAnsi="Symbol" w:hint="default"/>
      </w:rPr>
    </w:lvl>
    <w:lvl w:ilvl="7" w:tplc="10366356">
      <w:start w:val="1"/>
      <w:numFmt w:val="bullet"/>
      <w:lvlText w:val="o"/>
      <w:lvlJc w:val="left"/>
      <w:pPr>
        <w:ind w:left="5760" w:hanging="360"/>
      </w:pPr>
      <w:rPr>
        <w:rFonts w:ascii="Courier New" w:hAnsi="Courier New" w:hint="default"/>
      </w:rPr>
    </w:lvl>
    <w:lvl w:ilvl="8" w:tplc="5EF65FD4">
      <w:start w:val="1"/>
      <w:numFmt w:val="bullet"/>
      <w:lvlText w:val=""/>
      <w:lvlJc w:val="left"/>
      <w:pPr>
        <w:ind w:left="6480" w:hanging="360"/>
      </w:pPr>
      <w:rPr>
        <w:rFonts w:ascii="Wingdings" w:hAnsi="Wingdings" w:hint="default"/>
      </w:rPr>
    </w:lvl>
  </w:abstractNum>
  <w:abstractNum w:abstractNumId="28" w15:restartNumberingAfterBreak="0">
    <w:nsid w:val="497729D8"/>
    <w:multiLevelType w:val="multilevel"/>
    <w:tmpl w:val="177A0F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A0B3D13"/>
    <w:multiLevelType w:val="hybridMultilevel"/>
    <w:tmpl w:val="9E84C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055777"/>
    <w:multiLevelType w:val="multilevel"/>
    <w:tmpl w:val="910AD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24EBBF1"/>
    <w:multiLevelType w:val="hybridMultilevel"/>
    <w:tmpl w:val="0DD4D280"/>
    <w:lvl w:ilvl="0" w:tplc="0E485E58">
      <w:start w:val="1"/>
      <w:numFmt w:val="bullet"/>
      <w:lvlText w:val=""/>
      <w:lvlJc w:val="left"/>
      <w:pPr>
        <w:ind w:left="720" w:hanging="360"/>
      </w:pPr>
      <w:rPr>
        <w:rFonts w:ascii="Symbol" w:hAnsi="Symbol" w:hint="default"/>
      </w:rPr>
    </w:lvl>
    <w:lvl w:ilvl="1" w:tplc="C3CE49EE">
      <w:start w:val="1"/>
      <w:numFmt w:val="bullet"/>
      <w:lvlText w:val="o"/>
      <w:lvlJc w:val="left"/>
      <w:pPr>
        <w:ind w:left="1440" w:hanging="360"/>
      </w:pPr>
      <w:rPr>
        <w:rFonts w:ascii="Courier New" w:hAnsi="Courier New" w:hint="default"/>
      </w:rPr>
    </w:lvl>
    <w:lvl w:ilvl="2" w:tplc="B21C50E4">
      <w:start w:val="1"/>
      <w:numFmt w:val="bullet"/>
      <w:lvlText w:val=""/>
      <w:lvlJc w:val="left"/>
      <w:pPr>
        <w:ind w:left="2160" w:hanging="360"/>
      </w:pPr>
      <w:rPr>
        <w:rFonts w:ascii="Wingdings" w:hAnsi="Wingdings" w:hint="default"/>
      </w:rPr>
    </w:lvl>
    <w:lvl w:ilvl="3" w:tplc="8FC63070">
      <w:start w:val="1"/>
      <w:numFmt w:val="bullet"/>
      <w:lvlText w:val=""/>
      <w:lvlJc w:val="left"/>
      <w:pPr>
        <w:ind w:left="2880" w:hanging="360"/>
      </w:pPr>
      <w:rPr>
        <w:rFonts w:ascii="Symbol" w:hAnsi="Symbol" w:hint="default"/>
      </w:rPr>
    </w:lvl>
    <w:lvl w:ilvl="4" w:tplc="9B0E0582">
      <w:start w:val="1"/>
      <w:numFmt w:val="bullet"/>
      <w:lvlText w:val="o"/>
      <w:lvlJc w:val="left"/>
      <w:pPr>
        <w:ind w:left="3600" w:hanging="360"/>
      </w:pPr>
      <w:rPr>
        <w:rFonts w:ascii="Courier New" w:hAnsi="Courier New" w:hint="default"/>
      </w:rPr>
    </w:lvl>
    <w:lvl w:ilvl="5" w:tplc="BFA00BBC">
      <w:start w:val="1"/>
      <w:numFmt w:val="bullet"/>
      <w:lvlText w:val=""/>
      <w:lvlJc w:val="left"/>
      <w:pPr>
        <w:ind w:left="4320" w:hanging="360"/>
      </w:pPr>
      <w:rPr>
        <w:rFonts w:ascii="Wingdings" w:hAnsi="Wingdings" w:hint="default"/>
      </w:rPr>
    </w:lvl>
    <w:lvl w:ilvl="6" w:tplc="8732F8C6">
      <w:start w:val="1"/>
      <w:numFmt w:val="bullet"/>
      <w:lvlText w:val=""/>
      <w:lvlJc w:val="left"/>
      <w:pPr>
        <w:ind w:left="5040" w:hanging="360"/>
      </w:pPr>
      <w:rPr>
        <w:rFonts w:ascii="Symbol" w:hAnsi="Symbol" w:hint="default"/>
      </w:rPr>
    </w:lvl>
    <w:lvl w:ilvl="7" w:tplc="4CCA6056">
      <w:start w:val="1"/>
      <w:numFmt w:val="bullet"/>
      <w:lvlText w:val="o"/>
      <w:lvlJc w:val="left"/>
      <w:pPr>
        <w:ind w:left="5760" w:hanging="360"/>
      </w:pPr>
      <w:rPr>
        <w:rFonts w:ascii="Courier New" w:hAnsi="Courier New" w:hint="default"/>
      </w:rPr>
    </w:lvl>
    <w:lvl w:ilvl="8" w:tplc="168A32C4">
      <w:start w:val="1"/>
      <w:numFmt w:val="bullet"/>
      <w:lvlText w:val=""/>
      <w:lvlJc w:val="left"/>
      <w:pPr>
        <w:ind w:left="6480" w:hanging="360"/>
      </w:pPr>
      <w:rPr>
        <w:rFonts w:ascii="Wingdings" w:hAnsi="Wingdings" w:hint="default"/>
      </w:rPr>
    </w:lvl>
  </w:abstractNum>
  <w:abstractNum w:abstractNumId="32" w15:restartNumberingAfterBreak="0">
    <w:nsid w:val="5294483D"/>
    <w:multiLevelType w:val="hybridMultilevel"/>
    <w:tmpl w:val="BC3A9AEE"/>
    <w:lvl w:ilvl="0" w:tplc="10922288">
      <w:start w:val="1"/>
      <w:numFmt w:val="bullet"/>
      <w:lvlText w:val=""/>
      <w:lvlJc w:val="left"/>
      <w:pPr>
        <w:ind w:left="720" w:hanging="360"/>
      </w:pPr>
      <w:rPr>
        <w:rFonts w:ascii="Symbol" w:hAnsi="Symbol" w:hint="default"/>
      </w:rPr>
    </w:lvl>
    <w:lvl w:ilvl="1" w:tplc="FF144E98">
      <w:start w:val="1"/>
      <w:numFmt w:val="bullet"/>
      <w:lvlText w:val="o"/>
      <w:lvlJc w:val="left"/>
      <w:pPr>
        <w:ind w:left="1440" w:hanging="360"/>
      </w:pPr>
      <w:rPr>
        <w:rFonts w:ascii="Courier New" w:hAnsi="Courier New" w:hint="default"/>
      </w:rPr>
    </w:lvl>
    <w:lvl w:ilvl="2" w:tplc="8EBAE83E">
      <w:start w:val="1"/>
      <w:numFmt w:val="bullet"/>
      <w:lvlText w:val=""/>
      <w:lvlJc w:val="left"/>
      <w:pPr>
        <w:ind w:left="2160" w:hanging="360"/>
      </w:pPr>
      <w:rPr>
        <w:rFonts w:ascii="Wingdings" w:hAnsi="Wingdings" w:hint="default"/>
      </w:rPr>
    </w:lvl>
    <w:lvl w:ilvl="3" w:tplc="2AF69948">
      <w:start w:val="1"/>
      <w:numFmt w:val="bullet"/>
      <w:lvlText w:val=""/>
      <w:lvlJc w:val="left"/>
      <w:pPr>
        <w:ind w:left="2880" w:hanging="360"/>
      </w:pPr>
      <w:rPr>
        <w:rFonts w:ascii="Symbol" w:hAnsi="Symbol" w:hint="default"/>
      </w:rPr>
    </w:lvl>
    <w:lvl w:ilvl="4" w:tplc="F3F6D4AC">
      <w:start w:val="1"/>
      <w:numFmt w:val="bullet"/>
      <w:lvlText w:val="o"/>
      <w:lvlJc w:val="left"/>
      <w:pPr>
        <w:ind w:left="3600" w:hanging="360"/>
      </w:pPr>
      <w:rPr>
        <w:rFonts w:ascii="Courier New" w:hAnsi="Courier New" w:hint="default"/>
      </w:rPr>
    </w:lvl>
    <w:lvl w:ilvl="5" w:tplc="84CE5EDC">
      <w:start w:val="1"/>
      <w:numFmt w:val="bullet"/>
      <w:lvlText w:val=""/>
      <w:lvlJc w:val="left"/>
      <w:pPr>
        <w:ind w:left="4320" w:hanging="360"/>
      </w:pPr>
      <w:rPr>
        <w:rFonts w:ascii="Wingdings" w:hAnsi="Wingdings" w:hint="default"/>
      </w:rPr>
    </w:lvl>
    <w:lvl w:ilvl="6" w:tplc="9BC43ACC">
      <w:start w:val="1"/>
      <w:numFmt w:val="bullet"/>
      <w:lvlText w:val=""/>
      <w:lvlJc w:val="left"/>
      <w:pPr>
        <w:ind w:left="5040" w:hanging="360"/>
      </w:pPr>
      <w:rPr>
        <w:rFonts w:ascii="Symbol" w:hAnsi="Symbol" w:hint="default"/>
      </w:rPr>
    </w:lvl>
    <w:lvl w:ilvl="7" w:tplc="0868D6BE">
      <w:start w:val="1"/>
      <w:numFmt w:val="bullet"/>
      <w:lvlText w:val="o"/>
      <w:lvlJc w:val="left"/>
      <w:pPr>
        <w:ind w:left="5760" w:hanging="360"/>
      </w:pPr>
      <w:rPr>
        <w:rFonts w:ascii="Courier New" w:hAnsi="Courier New" w:hint="default"/>
      </w:rPr>
    </w:lvl>
    <w:lvl w:ilvl="8" w:tplc="E1983EC8">
      <w:start w:val="1"/>
      <w:numFmt w:val="bullet"/>
      <w:lvlText w:val=""/>
      <w:lvlJc w:val="left"/>
      <w:pPr>
        <w:ind w:left="6480" w:hanging="360"/>
      </w:pPr>
      <w:rPr>
        <w:rFonts w:ascii="Wingdings" w:hAnsi="Wingdings" w:hint="default"/>
      </w:rPr>
    </w:lvl>
  </w:abstractNum>
  <w:abstractNum w:abstractNumId="33" w15:restartNumberingAfterBreak="0">
    <w:nsid w:val="52E34B10"/>
    <w:multiLevelType w:val="hybridMultilevel"/>
    <w:tmpl w:val="44386694"/>
    <w:lvl w:ilvl="0" w:tplc="9D2E9048">
      <w:start w:val="1"/>
      <w:numFmt w:val="bullet"/>
      <w:lvlText w:val=""/>
      <w:lvlJc w:val="left"/>
      <w:pPr>
        <w:ind w:left="720" w:hanging="360"/>
      </w:pPr>
      <w:rPr>
        <w:rFonts w:ascii="Symbol" w:hAnsi="Symbol" w:hint="default"/>
      </w:rPr>
    </w:lvl>
    <w:lvl w:ilvl="1" w:tplc="8A288D96">
      <w:start w:val="1"/>
      <w:numFmt w:val="bullet"/>
      <w:lvlText w:val="o"/>
      <w:lvlJc w:val="left"/>
      <w:pPr>
        <w:ind w:left="1440" w:hanging="360"/>
      </w:pPr>
      <w:rPr>
        <w:rFonts w:ascii="Courier New" w:hAnsi="Courier New" w:hint="default"/>
      </w:rPr>
    </w:lvl>
    <w:lvl w:ilvl="2" w:tplc="4B6E21D8">
      <w:start w:val="1"/>
      <w:numFmt w:val="bullet"/>
      <w:lvlText w:val=""/>
      <w:lvlJc w:val="left"/>
      <w:pPr>
        <w:ind w:left="2160" w:hanging="360"/>
      </w:pPr>
      <w:rPr>
        <w:rFonts w:ascii="Wingdings" w:hAnsi="Wingdings" w:hint="default"/>
      </w:rPr>
    </w:lvl>
    <w:lvl w:ilvl="3" w:tplc="D4C661A4">
      <w:start w:val="1"/>
      <w:numFmt w:val="bullet"/>
      <w:lvlText w:val=""/>
      <w:lvlJc w:val="left"/>
      <w:pPr>
        <w:ind w:left="2880" w:hanging="360"/>
      </w:pPr>
      <w:rPr>
        <w:rFonts w:ascii="Symbol" w:hAnsi="Symbol" w:hint="default"/>
      </w:rPr>
    </w:lvl>
    <w:lvl w:ilvl="4" w:tplc="32728CF2">
      <w:start w:val="1"/>
      <w:numFmt w:val="bullet"/>
      <w:lvlText w:val="o"/>
      <w:lvlJc w:val="left"/>
      <w:pPr>
        <w:ind w:left="3600" w:hanging="360"/>
      </w:pPr>
      <w:rPr>
        <w:rFonts w:ascii="Courier New" w:hAnsi="Courier New" w:hint="default"/>
      </w:rPr>
    </w:lvl>
    <w:lvl w:ilvl="5" w:tplc="80FA5428">
      <w:start w:val="1"/>
      <w:numFmt w:val="bullet"/>
      <w:lvlText w:val=""/>
      <w:lvlJc w:val="left"/>
      <w:pPr>
        <w:ind w:left="4320" w:hanging="360"/>
      </w:pPr>
      <w:rPr>
        <w:rFonts w:ascii="Wingdings" w:hAnsi="Wingdings" w:hint="default"/>
      </w:rPr>
    </w:lvl>
    <w:lvl w:ilvl="6" w:tplc="F0C8C0A8">
      <w:start w:val="1"/>
      <w:numFmt w:val="bullet"/>
      <w:lvlText w:val=""/>
      <w:lvlJc w:val="left"/>
      <w:pPr>
        <w:ind w:left="5040" w:hanging="360"/>
      </w:pPr>
      <w:rPr>
        <w:rFonts w:ascii="Symbol" w:hAnsi="Symbol" w:hint="default"/>
      </w:rPr>
    </w:lvl>
    <w:lvl w:ilvl="7" w:tplc="A42EF2F0">
      <w:start w:val="1"/>
      <w:numFmt w:val="bullet"/>
      <w:lvlText w:val="o"/>
      <w:lvlJc w:val="left"/>
      <w:pPr>
        <w:ind w:left="5760" w:hanging="360"/>
      </w:pPr>
      <w:rPr>
        <w:rFonts w:ascii="Courier New" w:hAnsi="Courier New" w:hint="default"/>
      </w:rPr>
    </w:lvl>
    <w:lvl w:ilvl="8" w:tplc="913C45D0">
      <w:start w:val="1"/>
      <w:numFmt w:val="bullet"/>
      <w:lvlText w:val=""/>
      <w:lvlJc w:val="left"/>
      <w:pPr>
        <w:ind w:left="6480" w:hanging="360"/>
      </w:pPr>
      <w:rPr>
        <w:rFonts w:ascii="Wingdings" w:hAnsi="Wingdings" w:hint="default"/>
      </w:rPr>
    </w:lvl>
  </w:abstractNum>
  <w:abstractNum w:abstractNumId="34" w15:restartNumberingAfterBreak="0">
    <w:nsid w:val="54F922D5"/>
    <w:multiLevelType w:val="hybridMultilevel"/>
    <w:tmpl w:val="F754DDE6"/>
    <w:lvl w:ilvl="0" w:tplc="73E6D6B4">
      <w:start w:val="1"/>
      <w:numFmt w:val="bullet"/>
      <w:lvlText w:val=""/>
      <w:lvlJc w:val="left"/>
      <w:pPr>
        <w:ind w:left="720" w:hanging="360"/>
      </w:pPr>
      <w:rPr>
        <w:rFonts w:ascii="Symbol" w:hAnsi="Symbol" w:hint="default"/>
      </w:rPr>
    </w:lvl>
    <w:lvl w:ilvl="1" w:tplc="5EC4FA78">
      <w:start w:val="1"/>
      <w:numFmt w:val="bullet"/>
      <w:lvlText w:val="o"/>
      <w:lvlJc w:val="left"/>
      <w:pPr>
        <w:ind w:left="1440" w:hanging="360"/>
      </w:pPr>
      <w:rPr>
        <w:rFonts w:ascii="Courier New" w:hAnsi="Courier New" w:hint="default"/>
      </w:rPr>
    </w:lvl>
    <w:lvl w:ilvl="2" w:tplc="7F5088C8">
      <w:start w:val="1"/>
      <w:numFmt w:val="bullet"/>
      <w:lvlText w:val=""/>
      <w:lvlJc w:val="left"/>
      <w:pPr>
        <w:ind w:left="2160" w:hanging="360"/>
      </w:pPr>
      <w:rPr>
        <w:rFonts w:ascii="Wingdings" w:hAnsi="Wingdings" w:hint="default"/>
      </w:rPr>
    </w:lvl>
    <w:lvl w:ilvl="3" w:tplc="F0F48570">
      <w:start w:val="1"/>
      <w:numFmt w:val="bullet"/>
      <w:lvlText w:val=""/>
      <w:lvlJc w:val="left"/>
      <w:pPr>
        <w:ind w:left="2880" w:hanging="360"/>
      </w:pPr>
      <w:rPr>
        <w:rFonts w:ascii="Symbol" w:hAnsi="Symbol" w:hint="default"/>
      </w:rPr>
    </w:lvl>
    <w:lvl w:ilvl="4" w:tplc="BC189744">
      <w:start w:val="1"/>
      <w:numFmt w:val="bullet"/>
      <w:lvlText w:val="o"/>
      <w:lvlJc w:val="left"/>
      <w:pPr>
        <w:ind w:left="3600" w:hanging="360"/>
      </w:pPr>
      <w:rPr>
        <w:rFonts w:ascii="Courier New" w:hAnsi="Courier New" w:hint="default"/>
      </w:rPr>
    </w:lvl>
    <w:lvl w:ilvl="5" w:tplc="BBCC1FDC">
      <w:start w:val="1"/>
      <w:numFmt w:val="bullet"/>
      <w:lvlText w:val=""/>
      <w:lvlJc w:val="left"/>
      <w:pPr>
        <w:ind w:left="4320" w:hanging="360"/>
      </w:pPr>
      <w:rPr>
        <w:rFonts w:ascii="Wingdings" w:hAnsi="Wingdings" w:hint="default"/>
      </w:rPr>
    </w:lvl>
    <w:lvl w:ilvl="6" w:tplc="B19AE9BA">
      <w:start w:val="1"/>
      <w:numFmt w:val="bullet"/>
      <w:lvlText w:val=""/>
      <w:lvlJc w:val="left"/>
      <w:pPr>
        <w:ind w:left="5040" w:hanging="360"/>
      </w:pPr>
      <w:rPr>
        <w:rFonts w:ascii="Symbol" w:hAnsi="Symbol" w:hint="default"/>
      </w:rPr>
    </w:lvl>
    <w:lvl w:ilvl="7" w:tplc="280A5638">
      <w:start w:val="1"/>
      <w:numFmt w:val="bullet"/>
      <w:lvlText w:val="o"/>
      <w:lvlJc w:val="left"/>
      <w:pPr>
        <w:ind w:left="5760" w:hanging="360"/>
      </w:pPr>
      <w:rPr>
        <w:rFonts w:ascii="Courier New" w:hAnsi="Courier New" w:hint="default"/>
      </w:rPr>
    </w:lvl>
    <w:lvl w:ilvl="8" w:tplc="F3967C88">
      <w:start w:val="1"/>
      <w:numFmt w:val="bullet"/>
      <w:lvlText w:val=""/>
      <w:lvlJc w:val="left"/>
      <w:pPr>
        <w:ind w:left="6480" w:hanging="360"/>
      </w:pPr>
      <w:rPr>
        <w:rFonts w:ascii="Wingdings" w:hAnsi="Wingdings" w:hint="default"/>
      </w:rPr>
    </w:lvl>
  </w:abstractNum>
  <w:abstractNum w:abstractNumId="35" w15:restartNumberingAfterBreak="0">
    <w:nsid w:val="57728C2C"/>
    <w:multiLevelType w:val="hybridMultilevel"/>
    <w:tmpl w:val="1068E74E"/>
    <w:lvl w:ilvl="0" w:tplc="42AE84A2">
      <w:start w:val="1"/>
      <w:numFmt w:val="bullet"/>
      <w:lvlText w:val=""/>
      <w:lvlJc w:val="left"/>
      <w:pPr>
        <w:ind w:left="720" w:hanging="360"/>
      </w:pPr>
      <w:rPr>
        <w:rFonts w:ascii="Symbol" w:hAnsi="Symbol" w:hint="default"/>
      </w:rPr>
    </w:lvl>
    <w:lvl w:ilvl="1" w:tplc="D31097FC">
      <w:start w:val="1"/>
      <w:numFmt w:val="bullet"/>
      <w:lvlText w:val="o"/>
      <w:lvlJc w:val="left"/>
      <w:pPr>
        <w:ind w:left="1440" w:hanging="360"/>
      </w:pPr>
      <w:rPr>
        <w:rFonts w:ascii="Courier New" w:hAnsi="Courier New" w:hint="default"/>
      </w:rPr>
    </w:lvl>
    <w:lvl w:ilvl="2" w:tplc="2346B5CA">
      <w:start w:val="1"/>
      <w:numFmt w:val="bullet"/>
      <w:lvlText w:val=""/>
      <w:lvlJc w:val="left"/>
      <w:pPr>
        <w:ind w:left="2160" w:hanging="360"/>
      </w:pPr>
      <w:rPr>
        <w:rFonts w:ascii="Wingdings" w:hAnsi="Wingdings" w:hint="default"/>
      </w:rPr>
    </w:lvl>
    <w:lvl w:ilvl="3" w:tplc="B95EF76E">
      <w:start w:val="1"/>
      <w:numFmt w:val="bullet"/>
      <w:lvlText w:val=""/>
      <w:lvlJc w:val="left"/>
      <w:pPr>
        <w:ind w:left="2880" w:hanging="360"/>
      </w:pPr>
      <w:rPr>
        <w:rFonts w:ascii="Symbol" w:hAnsi="Symbol" w:hint="default"/>
      </w:rPr>
    </w:lvl>
    <w:lvl w:ilvl="4" w:tplc="F6B2AB0E">
      <w:start w:val="1"/>
      <w:numFmt w:val="bullet"/>
      <w:lvlText w:val="o"/>
      <w:lvlJc w:val="left"/>
      <w:pPr>
        <w:ind w:left="3600" w:hanging="360"/>
      </w:pPr>
      <w:rPr>
        <w:rFonts w:ascii="Courier New" w:hAnsi="Courier New" w:hint="default"/>
      </w:rPr>
    </w:lvl>
    <w:lvl w:ilvl="5" w:tplc="B9F8F47A">
      <w:start w:val="1"/>
      <w:numFmt w:val="bullet"/>
      <w:lvlText w:val=""/>
      <w:lvlJc w:val="left"/>
      <w:pPr>
        <w:ind w:left="4320" w:hanging="360"/>
      </w:pPr>
      <w:rPr>
        <w:rFonts w:ascii="Wingdings" w:hAnsi="Wingdings" w:hint="default"/>
      </w:rPr>
    </w:lvl>
    <w:lvl w:ilvl="6" w:tplc="874A8FFA">
      <w:start w:val="1"/>
      <w:numFmt w:val="bullet"/>
      <w:lvlText w:val=""/>
      <w:lvlJc w:val="left"/>
      <w:pPr>
        <w:ind w:left="5040" w:hanging="360"/>
      </w:pPr>
      <w:rPr>
        <w:rFonts w:ascii="Symbol" w:hAnsi="Symbol" w:hint="default"/>
      </w:rPr>
    </w:lvl>
    <w:lvl w:ilvl="7" w:tplc="DB9A3DB0">
      <w:start w:val="1"/>
      <w:numFmt w:val="bullet"/>
      <w:lvlText w:val="o"/>
      <w:lvlJc w:val="left"/>
      <w:pPr>
        <w:ind w:left="5760" w:hanging="360"/>
      </w:pPr>
      <w:rPr>
        <w:rFonts w:ascii="Courier New" w:hAnsi="Courier New" w:hint="default"/>
      </w:rPr>
    </w:lvl>
    <w:lvl w:ilvl="8" w:tplc="D98C8BD6">
      <w:start w:val="1"/>
      <w:numFmt w:val="bullet"/>
      <w:lvlText w:val=""/>
      <w:lvlJc w:val="left"/>
      <w:pPr>
        <w:ind w:left="6480" w:hanging="360"/>
      </w:pPr>
      <w:rPr>
        <w:rFonts w:ascii="Wingdings" w:hAnsi="Wingdings" w:hint="default"/>
      </w:rPr>
    </w:lvl>
  </w:abstractNum>
  <w:abstractNum w:abstractNumId="36" w15:restartNumberingAfterBreak="0">
    <w:nsid w:val="59E3B7B9"/>
    <w:multiLevelType w:val="hybridMultilevel"/>
    <w:tmpl w:val="9B7C54B0"/>
    <w:lvl w:ilvl="0" w:tplc="348AF8DA">
      <w:start w:val="1"/>
      <w:numFmt w:val="bullet"/>
      <w:lvlText w:val=""/>
      <w:lvlJc w:val="left"/>
      <w:pPr>
        <w:ind w:left="720" w:hanging="360"/>
      </w:pPr>
      <w:rPr>
        <w:rFonts w:ascii="Symbol" w:hAnsi="Symbol" w:hint="default"/>
      </w:rPr>
    </w:lvl>
    <w:lvl w:ilvl="1" w:tplc="4B3A7E76">
      <w:start w:val="1"/>
      <w:numFmt w:val="bullet"/>
      <w:lvlText w:val="o"/>
      <w:lvlJc w:val="left"/>
      <w:pPr>
        <w:ind w:left="1440" w:hanging="360"/>
      </w:pPr>
      <w:rPr>
        <w:rFonts w:ascii="Courier New" w:hAnsi="Courier New" w:hint="default"/>
      </w:rPr>
    </w:lvl>
    <w:lvl w:ilvl="2" w:tplc="F6D27A5A">
      <w:start w:val="1"/>
      <w:numFmt w:val="bullet"/>
      <w:lvlText w:val=""/>
      <w:lvlJc w:val="left"/>
      <w:pPr>
        <w:ind w:left="2160" w:hanging="360"/>
      </w:pPr>
      <w:rPr>
        <w:rFonts w:ascii="Wingdings" w:hAnsi="Wingdings" w:hint="default"/>
      </w:rPr>
    </w:lvl>
    <w:lvl w:ilvl="3" w:tplc="5750244C">
      <w:start w:val="1"/>
      <w:numFmt w:val="bullet"/>
      <w:lvlText w:val=""/>
      <w:lvlJc w:val="left"/>
      <w:pPr>
        <w:ind w:left="2880" w:hanging="360"/>
      </w:pPr>
      <w:rPr>
        <w:rFonts w:ascii="Symbol" w:hAnsi="Symbol" w:hint="default"/>
      </w:rPr>
    </w:lvl>
    <w:lvl w:ilvl="4" w:tplc="F78EBD44">
      <w:start w:val="1"/>
      <w:numFmt w:val="bullet"/>
      <w:lvlText w:val="o"/>
      <w:lvlJc w:val="left"/>
      <w:pPr>
        <w:ind w:left="3600" w:hanging="360"/>
      </w:pPr>
      <w:rPr>
        <w:rFonts w:ascii="Courier New" w:hAnsi="Courier New" w:hint="default"/>
      </w:rPr>
    </w:lvl>
    <w:lvl w:ilvl="5" w:tplc="849CFB90">
      <w:start w:val="1"/>
      <w:numFmt w:val="bullet"/>
      <w:lvlText w:val=""/>
      <w:lvlJc w:val="left"/>
      <w:pPr>
        <w:ind w:left="4320" w:hanging="360"/>
      </w:pPr>
      <w:rPr>
        <w:rFonts w:ascii="Wingdings" w:hAnsi="Wingdings" w:hint="default"/>
      </w:rPr>
    </w:lvl>
    <w:lvl w:ilvl="6" w:tplc="56FA0C94">
      <w:start w:val="1"/>
      <w:numFmt w:val="bullet"/>
      <w:lvlText w:val=""/>
      <w:lvlJc w:val="left"/>
      <w:pPr>
        <w:ind w:left="5040" w:hanging="360"/>
      </w:pPr>
      <w:rPr>
        <w:rFonts w:ascii="Symbol" w:hAnsi="Symbol" w:hint="default"/>
      </w:rPr>
    </w:lvl>
    <w:lvl w:ilvl="7" w:tplc="ECD2F1B0">
      <w:start w:val="1"/>
      <w:numFmt w:val="bullet"/>
      <w:lvlText w:val="o"/>
      <w:lvlJc w:val="left"/>
      <w:pPr>
        <w:ind w:left="5760" w:hanging="360"/>
      </w:pPr>
      <w:rPr>
        <w:rFonts w:ascii="Courier New" w:hAnsi="Courier New" w:hint="default"/>
      </w:rPr>
    </w:lvl>
    <w:lvl w:ilvl="8" w:tplc="9B44E57E">
      <w:start w:val="1"/>
      <w:numFmt w:val="bullet"/>
      <w:lvlText w:val=""/>
      <w:lvlJc w:val="left"/>
      <w:pPr>
        <w:ind w:left="6480" w:hanging="360"/>
      </w:pPr>
      <w:rPr>
        <w:rFonts w:ascii="Wingdings" w:hAnsi="Wingdings" w:hint="default"/>
      </w:rPr>
    </w:lvl>
  </w:abstractNum>
  <w:abstractNum w:abstractNumId="37" w15:restartNumberingAfterBreak="0">
    <w:nsid w:val="5B844A4C"/>
    <w:multiLevelType w:val="hybridMultilevel"/>
    <w:tmpl w:val="A4CE2156"/>
    <w:lvl w:ilvl="0" w:tplc="28FE11D8">
      <w:start w:val="1"/>
      <w:numFmt w:val="bullet"/>
      <w:lvlText w:val=""/>
      <w:lvlJc w:val="left"/>
      <w:pPr>
        <w:ind w:left="720" w:hanging="360"/>
      </w:pPr>
      <w:rPr>
        <w:rFonts w:ascii="Symbol" w:hAnsi="Symbol" w:hint="default"/>
      </w:rPr>
    </w:lvl>
    <w:lvl w:ilvl="1" w:tplc="FC9456A6">
      <w:start w:val="1"/>
      <w:numFmt w:val="bullet"/>
      <w:lvlText w:val="o"/>
      <w:lvlJc w:val="left"/>
      <w:pPr>
        <w:ind w:left="1440" w:hanging="360"/>
      </w:pPr>
      <w:rPr>
        <w:rFonts w:ascii="Courier New" w:hAnsi="Courier New" w:hint="default"/>
      </w:rPr>
    </w:lvl>
    <w:lvl w:ilvl="2" w:tplc="B30079C4">
      <w:start w:val="1"/>
      <w:numFmt w:val="bullet"/>
      <w:lvlText w:val=""/>
      <w:lvlJc w:val="left"/>
      <w:pPr>
        <w:ind w:left="2160" w:hanging="360"/>
      </w:pPr>
      <w:rPr>
        <w:rFonts w:ascii="Wingdings" w:hAnsi="Wingdings" w:hint="default"/>
      </w:rPr>
    </w:lvl>
    <w:lvl w:ilvl="3" w:tplc="CF1AB514">
      <w:start w:val="1"/>
      <w:numFmt w:val="bullet"/>
      <w:lvlText w:val=""/>
      <w:lvlJc w:val="left"/>
      <w:pPr>
        <w:ind w:left="2880" w:hanging="360"/>
      </w:pPr>
      <w:rPr>
        <w:rFonts w:ascii="Symbol" w:hAnsi="Symbol" w:hint="default"/>
      </w:rPr>
    </w:lvl>
    <w:lvl w:ilvl="4" w:tplc="3E9AEEC0">
      <w:start w:val="1"/>
      <w:numFmt w:val="bullet"/>
      <w:lvlText w:val="o"/>
      <w:lvlJc w:val="left"/>
      <w:pPr>
        <w:ind w:left="3600" w:hanging="360"/>
      </w:pPr>
      <w:rPr>
        <w:rFonts w:ascii="Courier New" w:hAnsi="Courier New" w:hint="default"/>
      </w:rPr>
    </w:lvl>
    <w:lvl w:ilvl="5" w:tplc="0144DEA8">
      <w:start w:val="1"/>
      <w:numFmt w:val="bullet"/>
      <w:lvlText w:val=""/>
      <w:lvlJc w:val="left"/>
      <w:pPr>
        <w:ind w:left="4320" w:hanging="360"/>
      </w:pPr>
      <w:rPr>
        <w:rFonts w:ascii="Wingdings" w:hAnsi="Wingdings" w:hint="default"/>
      </w:rPr>
    </w:lvl>
    <w:lvl w:ilvl="6" w:tplc="625AA1F0">
      <w:start w:val="1"/>
      <w:numFmt w:val="bullet"/>
      <w:lvlText w:val=""/>
      <w:lvlJc w:val="left"/>
      <w:pPr>
        <w:ind w:left="5040" w:hanging="360"/>
      </w:pPr>
      <w:rPr>
        <w:rFonts w:ascii="Symbol" w:hAnsi="Symbol" w:hint="default"/>
      </w:rPr>
    </w:lvl>
    <w:lvl w:ilvl="7" w:tplc="0A4446B2">
      <w:start w:val="1"/>
      <w:numFmt w:val="bullet"/>
      <w:lvlText w:val="o"/>
      <w:lvlJc w:val="left"/>
      <w:pPr>
        <w:ind w:left="5760" w:hanging="360"/>
      </w:pPr>
      <w:rPr>
        <w:rFonts w:ascii="Courier New" w:hAnsi="Courier New" w:hint="default"/>
      </w:rPr>
    </w:lvl>
    <w:lvl w:ilvl="8" w:tplc="B02048A0">
      <w:start w:val="1"/>
      <w:numFmt w:val="bullet"/>
      <w:lvlText w:val=""/>
      <w:lvlJc w:val="left"/>
      <w:pPr>
        <w:ind w:left="6480" w:hanging="360"/>
      </w:pPr>
      <w:rPr>
        <w:rFonts w:ascii="Wingdings" w:hAnsi="Wingdings" w:hint="default"/>
      </w:rPr>
    </w:lvl>
  </w:abstractNum>
  <w:abstractNum w:abstractNumId="38" w15:restartNumberingAfterBreak="0">
    <w:nsid w:val="5C4BBD45"/>
    <w:multiLevelType w:val="hybridMultilevel"/>
    <w:tmpl w:val="55A2ADB8"/>
    <w:lvl w:ilvl="0" w:tplc="1A849584">
      <w:start w:val="1"/>
      <w:numFmt w:val="bullet"/>
      <w:lvlText w:val=""/>
      <w:lvlJc w:val="left"/>
      <w:pPr>
        <w:ind w:left="720" w:hanging="360"/>
      </w:pPr>
      <w:rPr>
        <w:rFonts w:ascii="Symbol" w:hAnsi="Symbol" w:hint="default"/>
      </w:rPr>
    </w:lvl>
    <w:lvl w:ilvl="1" w:tplc="7428BC6C">
      <w:start w:val="1"/>
      <w:numFmt w:val="bullet"/>
      <w:lvlText w:val="o"/>
      <w:lvlJc w:val="left"/>
      <w:pPr>
        <w:ind w:left="1440" w:hanging="360"/>
      </w:pPr>
      <w:rPr>
        <w:rFonts w:ascii="Courier New" w:hAnsi="Courier New" w:hint="default"/>
      </w:rPr>
    </w:lvl>
    <w:lvl w:ilvl="2" w:tplc="229291EC">
      <w:start w:val="1"/>
      <w:numFmt w:val="bullet"/>
      <w:lvlText w:val=""/>
      <w:lvlJc w:val="left"/>
      <w:pPr>
        <w:ind w:left="2160" w:hanging="360"/>
      </w:pPr>
      <w:rPr>
        <w:rFonts w:ascii="Wingdings" w:hAnsi="Wingdings" w:hint="default"/>
      </w:rPr>
    </w:lvl>
    <w:lvl w:ilvl="3" w:tplc="AE185B68">
      <w:start w:val="1"/>
      <w:numFmt w:val="bullet"/>
      <w:lvlText w:val=""/>
      <w:lvlJc w:val="left"/>
      <w:pPr>
        <w:ind w:left="2880" w:hanging="360"/>
      </w:pPr>
      <w:rPr>
        <w:rFonts w:ascii="Symbol" w:hAnsi="Symbol" w:hint="default"/>
      </w:rPr>
    </w:lvl>
    <w:lvl w:ilvl="4" w:tplc="00E6D7F6">
      <w:start w:val="1"/>
      <w:numFmt w:val="bullet"/>
      <w:lvlText w:val="o"/>
      <w:lvlJc w:val="left"/>
      <w:pPr>
        <w:ind w:left="3600" w:hanging="360"/>
      </w:pPr>
      <w:rPr>
        <w:rFonts w:ascii="Courier New" w:hAnsi="Courier New" w:hint="default"/>
      </w:rPr>
    </w:lvl>
    <w:lvl w:ilvl="5" w:tplc="A8AA1F60">
      <w:start w:val="1"/>
      <w:numFmt w:val="bullet"/>
      <w:lvlText w:val=""/>
      <w:lvlJc w:val="left"/>
      <w:pPr>
        <w:ind w:left="4320" w:hanging="360"/>
      </w:pPr>
      <w:rPr>
        <w:rFonts w:ascii="Wingdings" w:hAnsi="Wingdings" w:hint="default"/>
      </w:rPr>
    </w:lvl>
    <w:lvl w:ilvl="6" w:tplc="FB8A96C8">
      <w:start w:val="1"/>
      <w:numFmt w:val="bullet"/>
      <w:lvlText w:val=""/>
      <w:lvlJc w:val="left"/>
      <w:pPr>
        <w:ind w:left="5040" w:hanging="360"/>
      </w:pPr>
      <w:rPr>
        <w:rFonts w:ascii="Symbol" w:hAnsi="Symbol" w:hint="default"/>
      </w:rPr>
    </w:lvl>
    <w:lvl w:ilvl="7" w:tplc="2068A1C4">
      <w:start w:val="1"/>
      <w:numFmt w:val="bullet"/>
      <w:lvlText w:val="o"/>
      <w:lvlJc w:val="left"/>
      <w:pPr>
        <w:ind w:left="5760" w:hanging="360"/>
      </w:pPr>
      <w:rPr>
        <w:rFonts w:ascii="Courier New" w:hAnsi="Courier New" w:hint="default"/>
      </w:rPr>
    </w:lvl>
    <w:lvl w:ilvl="8" w:tplc="5E683208">
      <w:start w:val="1"/>
      <w:numFmt w:val="bullet"/>
      <w:lvlText w:val=""/>
      <w:lvlJc w:val="left"/>
      <w:pPr>
        <w:ind w:left="6480" w:hanging="360"/>
      </w:pPr>
      <w:rPr>
        <w:rFonts w:ascii="Wingdings" w:hAnsi="Wingdings" w:hint="default"/>
      </w:rPr>
    </w:lvl>
  </w:abstractNum>
  <w:abstractNum w:abstractNumId="39" w15:restartNumberingAfterBreak="0">
    <w:nsid w:val="5EBE0AFA"/>
    <w:multiLevelType w:val="hybridMultilevel"/>
    <w:tmpl w:val="4CB2CCB0"/>
    <w:lvl w:ilvl="0" w:tplc="2610B0EA">
      <w:start w:val="1"/>
      <w:numFmt w:val="bullet"/>
      <w:lvlText w:val=""/>
      <w:lvlJc w:val="left"/>
      <w:pPr>
        <w:ind w:left="720" w:hanging="360"/>
      </w:pPr>
      <w:rPr>
        <w:rFonts w:ascii="Symbol" w:hAnsi="Symbol" w:hint="default"/>
      </w:rPr>
    </w:lvl>
    <w:lvl w:ilvl="1" w:tplc="7AF0CB5A">
      <w:start w:val="1"/>
      <w:numFmt w:val="bullet"/>
      <w:lvlText w:val="o"/>
      <w:lvlJc w:val="left"/>
      <w:pPr>
        <w:ind w:left="1440" w:hanging="360"/>
      </w:pPr>
      <w:rPr>
        <w:rFonts w:ascii="Courier New" w:hAnsi="Courier New" w:hint="default"/>
      </w:rPr>
    </w:lvl>
    <w:lvl w:ilvl="2" w:tplc="CCBAB9FC">
      <w:start w:val="1"/>
      <w:numFmt w:val="bullet"/>
      <w:lvlText w:val=""/>
      <w:lvlJc w:val="left"/>
      <w:pPr>
        <w:ind w:left="2160" w:hanging="360"/>
      </w:pPr>
      <w:rPr>
        <w:rFonts w:ascii="Wingdings" w:hAnsi="Wingdings" w:hint="default"/>
      </w:rPr>
    </w:lvl>
    <w:lvl w:ilvl="3" w:tplc="6CEE7FF2">
      <w:start w:val="1"/>
      <w:numFmt w:val="bullet"/>
      <w:lvlText w:val=""/>
      <w:lvlJc w:val="left"/>
      <w:pPr>
        <w:ind w:left="2880" w:hanging="360"/>
      </w:pPr>
      <w:rPr>
        <w:rFonts w:ascii="Symbol" w:hAnsi="Symbol" w:hint="default"/>
      </w:rPr>
    </w:lvl>
    <w:lvl w:ilvl="4" w:tplc="CC625AC2">
      <w:start w:val="1"/>
      <w:numFmt w:val="bullet"/>
      <w:lvlText w:val="o"/>
      <w:lvlJc w:val="left"/>
      <w:pPr>
        <w:ind w:left="3600" w:hanging="360"/>
      </w:pPr>
      <w:rPr>
        <w:rFonts w:ascii="Courier New" w:hAnsi="Courier New" w:hint="default"/>
      </w:rPr>
    </w:lvl>
    <w:lvl w:ilvl="5" w:tplc="22D82EBC">
      <w:start w:val="1"/>
      <w:numFmt w:val="bullet"/>
      <w:lvlText w:val=""/>
      <w:lvlJc w:val="left"/>
      <w:pPr>
        <w:ind w:left="4320" w:hanging="360"/>
      </w:pPr>
      <w:rPr>
        <w:rFonts w:ascii="Wingdings" w:hAnsi="Wingdings" w:hint="default"/>
      </w:rPr>
    </w:lvl>
    <w:lvl w:ilvl="6" w:tplc="530C850E">
      <w:start w:val="1"/>
      <w:numFmt w:val="bullet"/>
      <w:lvlText w:val=""/>
      <w:lvlJc w:val="left"/>
      <w:pPr>
        <w:ind w:left="5040" w:hanging="360"/>
      </w:pPr>
      <w:rPr>
        <w:rFonts w:ascii="Symbol" w:hAnsi="Symbol" w:hint="default"/>
      </w:rPr>
    </w:lvl>
    <w:lvl w:ilvl="7" w:tplc="D08E6A2E">
      <w:start w:val="1"/>
      <w:numFmt w:val="bullet"/>
      <w:lvlText w:val="o"/>
      <w:lvlJc w:val="left"/>
      <w:pPr>
        <w:ind w:left="5760" w:hanging="360"/>
      </w:pPr>
      <w:rPr>
        <w:rFonts w:ascii="Courier New" w:hAnsi="Courier New" w:hint="default"/>
      </w:rPr>
    </w:lvl>
    <w:lvl w:ilvl="8" w:tplc="D7E4D9EC">
      <w:start w:val="1"/>
      <w:numFmt w:val="bullet"/>
      <w:lvlText w:val=""/>
      <w:lvlJc w:val="left"/>
      <w:pPr>
        <w:ind w:left="6480" w:hanging="360"/>
      </w:pPr>
      <w:rPr>
        <w:rFonts w:ascii="Wingdings" w:hAnsi="Wingdings" w:hint="default"/>
      </w:rPr>
    </w:lvl>
  </w:abstractNum>
  <w:abstractNum w:abstractNumId="40" w15:restartNumberingAfterBreak="0">
    <w:nsid w:val="5F90E31E"/>
    <w:multiLevelType w:val="hybridMultilevel"/>
    <w:tmpl w:val="EDEAEC3E"/>
    <w:lvl w:ilvl="0" w:tplc="A28EA5B2">
      <w:start w:val="1"/>
      <w:numFmt w:val="bullet"/>
      <w:lvlText w:val=""/>
      <w:lvlJc w:val="left"/>
      <w:pPr>
        <w:ind w:left="720" w:hanging="360"/>
      </w:pPr>
      <w:rPr>
        <w:rFonts w:ascii="Symbol" w:hAnsi="Symbol" w:hint="default"/>
      </w:rPr>
    </w:lvl>
    <w:lvl w:ilvl="1" w:tplc="10F030F4">
      <w:start w:val="1"/>
      <w:numFmt w:val="bullet"/>
      <w:lvlText w:val="o"/>
      <w:lvlJc w:val="left"/>
      <w:pPr>
        <w:ind w:left="1440" w:hanging="360"/>
      </w:pPr>
      <w:rPr>
        <w:rFonts w:ascii="Courier New" w:hAnsi="Courier New" w:hint="default"/>
      </w:rPr>
    </w:lvl>
    <w:lvl w:ilvl="2" w:tplc="85EE83FC">
      <w:start w:val="1"/>
      <w:numFmt w:val="bullet"/>
      <w:lvlText w:val=""/>
      <w:lvlJc w:val="left"/>
      <w:pPr>
        <w:ind w:left="2160" w:hanging="360"/>
      </w:pPr>
      <w:rPr>
        <w:rFonts w:ascii="Wingdings" w:hAnsi="Wingdings" w:hint="default"/>
      </w:rPr>
    </w:lvl>
    <w:lvl w:ilvl="3" w:tplc="D92641B8">
      <w:start w:val="1"/>
      <w:numFmt w:val="bullet"/>
      <w:lvlText w:val=""/>
      <w:lvlJc w:val="left"/>
      <w:pPr>
        <w:ind w:left="2880" w:hanging="360"/>
      </w:pPr>
      <w:rPr>
        <w:rFonts w:ascii="Symbol" w:hAnsi="Symbol" w:hint="default"/>
      </w:rPr>
    </w:lvl>
    <w:lvl w:ilvl="4" w:tplc="B3B26BB2">
      <w:start w:val="1"/>
      <w:numFmt w:val="bullet"/>
      <w:lvlText w:val="o"/>
      <w:lvlJc w:val="left"/>
      <w:pPr>
        <w:ind w:left="3600" w:hanging="360"/>
      </w:pPr>
      <w:rPr>
        <w:rFonts w:ascii="Courier New" w:hAnsi="Courier New" w:hint="default"/>
      </w:rPr>
    </w:lvl>
    <w:lvl w:ilvl="5" w:tplc="01CC26B2">
      <w:start w:val="1"/>
      <w:numFmt w:val="bullet"/>
      <w:lvlText w:val=""/>
      <w:lvlJc w:val="left"/>
      <w:pPr>
        <w:ind w:left="4320" w:hanging="360"/>
      </w:pPr>
      <w:rPr>
        <w:rFonts w:ascii="Wingdings" w:hAnsi="Wingdings" w:hint="default"/>
      </w:rPr>
    </w:lvl>
    <w:lvl w:ilvl="6" w:tplc="C972D644">
      <w:start w:val="1"/>
      <w:numFmt w:val="bullet"/>
      <w:lvlText w:val=""/>
      <w:lvlJc w:val="left"/>
      <w:pPr>
        <w:ind w:left="5040" w:hanging="360"/>
      </w:pPr>
      <w:rPr>
        <w:rFonts w:ascii="Symbol" w:hAnsi="Symbol" w:hint="default"/>
      </w:rPr>
    </w:lvl>
    <w:lvl w:ilvl="7" w:tplc="6FF8DEE2">
      <w:start w:val="1"/>
      <w:numFmt w:val="bullet"/>
      <w:lvlText w:val="o"/>
      <w:lvlJc w:val="left"/>
      <w:pPr>
        <w:ind w:left="5760" w:hanging="360"/>
      </w:pPr>
      <w:rPr>
        <w:rFonts w:ascii="Courier New" w:hAnsi="Courier New" w:hint="default"/>
      </w:rPr>
    </w:lvl>
    <w:lvl w:ilvl="8" w:tplc="037271D0">
      <w:start w:val="1"/>
      <w:numFmt w:val="bullet"/>
      <w:lvlText w:val=""/>
      <w:lvlJc w:val="left"/>
      <w:pPr>
        <w:ind w:left="6480" w:hanging="360"/>
      </w:pPr>
      <w:rPr>
        <w:rFonts w:ascii="Wingdings" w:hAnsi="Wingdings" w:hint="default"/>
      </w:rPr>
    </w:lvl>
  </w:abstractNum>
  <w:abstractNum w:abstractNumId="41" w15:restartNumberingAfterBreak="0">
    <w:nsid w:val="62ADE1DB"/>
    <w:multiLevelType w:val="hybridMultilevel"/>
    <w:tmpl w:val="3F2040E2"/>
    <w:lvl w:ilvl="0" w:tplc="9E5E1A1A">
      <w:start w:val="1"/>
      <w:numFmt w:val="bullet"/>
      <w:lvlText w:val=""/>
      <w:lvlJc w:val="left"/>
      <w:pPr>
        <w:ind w:left="720" w:hanging="360"/>
      </w:pPr>
      <w:rPr>
        <w:rFonts w:ascii="Symbol" w:hAnsi="Symbol" w:hint="default"/>
      </w:rPr>
    </w:lvl>
    <w:lvl w:ilvl="1" w:tplc="A2E012CE">
      <w:start w:val="1"/>
      <w:numFmt w:val="bullet"/>
      <w:lvlText w:val="o"/>
      <w:lvlJc w:val="left"/>
      <w:pPr>
        <w:ind w:left="1440" w:hanging="360"/>
      </w:pPr>
      <w:rPr>
        <w:rFonts w:ascii="Courier New" w:hAnsi="Courier New" w:hint="default"/>
      </w:rPr>
    </w:lvl>
    <w:lvl w:ilvl="2" w:tplc="D642647C">
      <w:start w:val="1"/>
      <w:numFmt w:val="bullet"/>
      <w:lvlText w:val=""/>
      <w:lvlJc w:val="left"/>
      <w:pPr>
        <w:ind w:left="2160" w:hanging="360"/>
      </w:pPr>
      <w:rPr>
        <w:rFonts w:ascii="Wingdings" w:hAnsi="Wingdings" w:hint="default"/>
      </w:rPr>
    </w:lvl>
    <w:lvl w:ilvl="3" w:tplc="70329A20">
      <w:start w:val="1"/>
      <w:numFmt w:val="bullet"/>
      <w:lvlText w:val=""/>
      <w:lvlJc w:val="left"/>
      <w:pPr>
        <w:ind w:left="2880" w:hanging="360"/>
      </w:pPr>
      <w:rPr>
        <w:rFonts w:ascii="Symbol" w:hAnsi="Symbol" w:hint="default"/>
      </w:rPr>
    </w:lvl>
    <w:lvl w:ilvl="4" w:tplc="3AC03E10">
      <w:start w:val="1"/>
      <w:numFmt w:val="bullet"/>
      <w:lvlText w:val="o"/>
      <w:lvlJc w:val="left"/>
      <w:pPr>
        <w:ind w:left="3600" w:hanging="360"/>
      </w:pPr>
      <w:rPr>
        <w:rFonts w:ascii="Courier New" w:hAnsi="Courier New" w:hint="default"/>
      </w:rPr>
    </w:lvl>
    <w:lvl w:ilvl="5" w:tplc="357893BE">
      <w:start w:val="1"/>
      <w:numFmt w:val="bullet"/>
      <w:lvlText w:val=""/>
      <w:lvlJc w:val="left"/>
      <w:pPr>
        <w:ind w:left="4320" w:hanging="360"/>
      </w:pPr>
      <w:rPr>
        <w:rFonts w:ascii="Wingdings" w:hAnsi="Wingdings" w:hint="default"/>
      </w:rPr>
    </w:lvl>
    <w:lvl w:ilvl="6" w:tplc="726C0524">
      <w:start w:val="1"/>
      <w:numFmt w:val="bullet"/>
      <w:lvlText w:val=""/>
      <w:lvlJc w:val="left"/>
      <w:pPr>
        <w:ind w:left="5040" w:hanging="360"/>
      </w:pPr>
      <w:rPr>
        <w:rFonts w:ascii="Symbol" w:hAnsi="Symbol" w:hint="default"/>
      </w:rPr>
    </w:lvl>
    <w:lvl w:ilvl="7" w:tplc="A53C86AC">
      <w:start w:val="1"/>
      <w:numFmt w:val="bullet"/>
      <w:lvlText w:val="o"/>
      <w:lvlJc w:val="left"/>
      <w:pPr>
        <w:ind w:left="5760" w:hanging="360"/>
      </w:pPr>
      <w:rPr>
        <w:rFonts w:ascii="Courier New" w:hAnsi="Courier New" w:hint="default"/>
      </w:rPr>
    </w:lvl>
    <w:lvl w:ilvl="8" w:tplc="1B52988E">
      <w:start w:val="1"/>
      <w:numFmt w:val="bullet"/>
      <w:lvlText w:val=""/>
      <w:lvlJc w:val="left"/>
      <w:pPr>
        <w:ind w:left="6480" w:hanging="360"/>
      </w:pPr>
      <w:rPr>
        <w:rFonts w:ascii="Wingdings" w:hAnsi="Wingdings" w:hint="default"/>
      </w:rPr>
    </w:lvl>
  </w:abstractNum>
  <w:abstractNum w:abstractNumId="42" w15:restartNumberingAfterBreak="0">
    <w:nsid w:val="685C4C1A"/>
    <w:multiLevelType w:val="multilevel"/>
    <w:tmpl w:val="8DC66D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35421FA"/>
    <w:multiLevelType w:val="multilevel"/>
    <w:tmpl w:val="6534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3F18839"/>
    <w:multiLevelType w:val="hybridMultilevel"/>
    <w:tmpl w:val="B412AAC6"/>
    <w:lvl w:ilvl="0" w:tplc="0300704E">
      <w:start w:val="1"/>
      <w:numFmt w:val="bullet"/>
      <w:lvlText w:val=""/>
      <w:lvlJc w:val="left"/>
      <w:pPr>
        <w:ind w:left="360" w:hanging="360"/>
      </w:pPr>
      <w:rPr>
        <w:rFonts w:ascii="Symbol" w:hAnsi="Symbol" w:hint="default"/>
      </w:rPr>
    </w:lvl>
    <w:lvl w:ilvl="1" w:tplc="CFBAA7BC">
      <w:start w:val="1"/>
      <w:numFmt w:val="bullet"/>
      <w:lvlText w:val="o"/>
      <w:lvlJc w:val="left"/>
      <w:pPr>
        <w:ind w:left="1080" w:hanging="360"/>
      </w:pPr>
      <w:rPr>
        <w:rFonts w:ascii="Courier New" w:hAnsi="Courier New" w:hint="default"/>
      </w:rPr>
    </w:lvl>
    <w:lvl w:ilvl="2" w:tplc="40D6A80A">
      <w:start w:val="1"/>
      <w:numFmt w:val="bullet"/>
      <w:lvlText w:val=""/>
      <w:lvlJc w:val="left"/>
      <w:pPr>
        <w:ind w:left="1800" w:hanging="360"/>
      </w:pPr>
      <w:rPr>
        <w:rFonts w:ascii="Wingdings" w:hAnsi="Wingdings" w:hint="default"/>
      </w:rPr>
    </w:lvl>
    <w:lvl w:ilvl="3" w:tplc="057E2602">
      <w:start w:val="1"/>
      <w:numFmt w:val="bullet"/>
      <w:lvlText w:val=""/>
      <w:lvlJc w:val="left"/>
      <w:pPr>
        <w:ind w:left="2520" w:hanging="360"/>
      </w:pPr>
      <w:rPr>
        <w:rFonts w:ascii="Symbol" w:hAnsi="Symbol" w:hint="default"/>
      </w:rPr>
    </w:lvl>
    <w:lvl w:ilvl="4" w:tplc="881C1004">
      <w:start w:val="1"/>
      <w:numFmt w:val="bullet"/>
      <w:lvlText w:val="o"/>
      <w:lvlJc w:val="left"/>
      <w:pPr>
        <w:ind w:left="3240" w:hanging="360"/>
      </w:pPr>
      <w:rPr>
        <w:rFonts w:ascii="Courier New" w:hAnsi="Courier New" w:hint="default"/>
      </w:rPr>
    </w:lvl>
    <w:lvl w:ilvl="5" w:tplc="CF928E2C">
      <w:start w:val="1"/>
      <w:numFmt w:val="bullet"/>
      <w:lvlText w:val=""/>
      <w:lvlJc w:val="left"/>
      <w:pPr>
        <w:ind w:left="3960" w:hanging="360"/>
      </w:pPr>
      <w:rPr>
        <w:rFonts w:ascii="Wingdings" w:hAnsi="Wingdings" w:hint="default"/>
      </w:rPr>
    </w:lvl>
    <w:lvl w:ilvl="6" w:tplc="D666B5E8">
      <w:start w:val="1"/>
      <w:numFmt w:val="bullet"/>
      <w:lvlText w:val=""/>
      <w:lvlJc w:val="left"/>
      <w:pPr>
        <w:ind w:left="4680" w:hanging="360"/>
      </w:pPr>
      <w:rPr>
        <w:rFonts w:ascii="Symbol" w:hAnsi="Symbol" w:hint="default"/>
      </w:rPr>
    </w:lvl>
    <w:lvl w:ilvl="7" w:tplc="1BE46648">
      <w:start w:val="1"/>
      <w:numFmt w:val="bullet"/>
      <w:lvlText w:val="o"/>
      <w:lvlJc w:val="left"/>
      <w:pPr>
        <w:ind w:left="5400" w:hanging="360"/>
      </w:pPr>
      <w:rPr>
        <w:rFonts w:ascii="Courier New" w:hAnsi="Courier New" w:hint="default"/>
      </w:rPr>
    </w:lvl>
    <w:lvl w:ilvl="8" w:tplc="54D6FDC2">
      <w:start w:val="1"/>
      <w:numFmt w:val="bullet"/>
      <w:lvlText w:val=""/>
      <w:lvlJc w:val="left"/>
      <w:pPr>
        <w:ind w:left="6120" w:hanging="360"/>
      </w:pPr>
      <w:rPr>
        <w:rFonts w:ascii="Wingdings" w:hAnsi="Wingdings" w:hint="default"/>
      </w:rPr>
    </w:lvl>
  </w:abstractNum>
  <w:abstractNum w:abstractNumId="45" w15:restartNumberingAfterBreak="0">
    <w:nsid w:val="7627A470"/>
    <w:multiLevelType w:val="hybridMultilevel"/>
    <w:tmpl w:val="2A58FC12"/>
    <w:lvl w:ilvl="0" w:tplc="01D8F43C">
      <w:start w:val="1"/>
      <w:numFmt w:val="bullet"/>
      <w:lvlText w:val=""/>
      <w:lvlJc w:val="left"/>
      <w:pPr>
        <w:ind w:left="720" w:hanging="360"/>
      </w:pPr>
      <w:rPr>
        <w:rFonts w:ascii="Symbol" w:hAnsi="Symbol" w:hint="default"/>
      </w:rPr>
    </w:lvl>
    <w:lvl w:ilvl="1" w:tplc="279E2212">
      <w:start w:val="1"/>
      <w:numFmt w:val="bullet"/>
      <w:lvlText w:val="o"/>
      <w:lvlJc w:val="left"/>
      <w:pPr>
        <w:ind w:left="1440" w:hanging="360"/>
      </w:pPr>
      <w:rPr>
        <w:rFonts w:ascii="Courier New" w:hAnsi="Courier New" w:hint="default"/>
      </w:rPr>
    </w:lvl>
    <w:lvl w:ilvl="2" w:tplc="7EF87D74">
      <w:start w:val="1"/>
      <w:numFmt w:val="bullet"/>
      <w:lvlText w:val=""/>
      <w:lvlJc w:val="left"/>
      <w:pPr>
        <w:ind w:left="2160" w:hanging="360"/>
      </w:pPr>
      <w:rPr>
        <w:rFonts w:ascii="Wingdings" w:hAnsi="Wingdings" w:hint="default"/>
      </w:rPr>
    </w:lvl>
    <w:lvl w:ilvl="3" w:tplc="3244E698">
      <w:start w:val="1"/>
      <w:numFmt w:val="bullet"/>
      <w:lvlText w:val=""/>
      <w:lvlJc w:val="left"/>
      <w:pPr>
        <w:ind w:left="2880" w:hanging="360"/>
      </w:pPr>
      <w:rPr>
        <w:rFonts w:ascii="Symbol" w:hAnsi="Symbol" w:hint="default"/>
      </w:rPr>
    </w:lvl>
    <w:lvl w:ilvl="4" w:tplc="D33ACEA8">
      <w:start w:val="1"/>
      <w:numFmt w:val="bullet"/>
      <w:lvlText w:val="o"/>
      <w:lvlJc w:val="left"/>
      <w:pPr>
        <w:ind w:left="3600" w:hanging="360"/>
      </w:pPr>
      <w:rPr>
        <w:rFonts w:ascii="Courier New" w:hAnsi="Courier New" w:hint="default"/>
      </w:rPr>
    </w:lvl>
    <w:lvl w:ilvl="5" w:tplc="BD9C7AA4">
      <w:start w:val="1"/>
      <w:numFmt w:val="bullet"/>
      <w:lvlText w:val=""/>
      <w:lvlJc w:val="left"/>
      <w:pPr>
        <w:ind w:left="4320" w:hanging="360"/>
      </w:pPr>
      <w:rPr>
        <w:rFonts w:ascii="Wingdings" w:hAnsi="Wingdings" w:hint="default"/>
      </w:rPr>
    </w:lvl>
    <w:lvl w:ilvl="6" w:tplc="5238C532">
      <w:start w:val="1"/>
      <w:numFmt w:val="bullet"/>
      <w:lvlText w:val=""/>
      <w:lvlJc w:val="left"/>
      <w:pPr>
        <w:ind w:left="5040" w:hanging="360"/>
      </w:pPr>
      <w:rPr>
        <w:rFonts w:ascii="Symbol" w:hAnsi="Symbol" w:hint="default"/>
      </w:rPr>
    </w:lvl>
    <w:lvl w:ilvl="7" w:tplc="9C9209F0">
      <w:start w:val="1"/>
      <w:numFmt w:val="bullet"/>
      <w:lvlText w:val="o"/>
      <w:lvlJc w:val="left"/>
      <w:pPr>
        <w:ind w:left="5760" w:hanging="360"/>
      </w:pPr>
      <w:rPr>
        <w:rFonts w:ascii="Courier New" w:hAnsi="Courier New" w:hint="default"/>
      </w:rPr>
    </w:lvl>
    <w:lvl w:ilvl="8" w:tplc="A3F6AC58">
      <w:start w:val="1"/>
      <w:numFmt w:val="bullet"/>
      <w:lvlText w:val=""/>
      <w:lvlJc w:val="left"/>
      <w:pPr>
        <w:ind w:left="6480" w:hanging="360"/>
      </w:pPr>
      <w:rPr>
        <w:rFonts w:ascii="Wingdings" w:hAnsi="Wingdings" w:hint="default"/>
      </w:rPr>
    </w:lvl>
  </w:abstractNum>
  <w:abstractNum w:abstractNumId="46" w15:restartNumberingAfterBreak="0">
    <w:nsid w:val="77BF91BE"/>
    <w:multiLevelType w:val="hybridMultilevel"/>
    <w:tmpl w:val="5354521A"/>
    <w:lvl w:ilvl="0" w:tplc="29F2A30A">
      <w:start w:val="1"/>
      <w:numFmt w:val="bullet"/>
      <w:lvlText w:val=""/>
      <w:lvlJc w:val="left"/>
      <w:pPr>
        <w:ind w:left="720" w:hanging="360"/>
      </w:pPr>
      <w:rPr>
        <w:rFonts w:ascii="Symbol" w:hAnsi="Symbol" w:hint="default"/>
      </w:rPr>
    </w:lvl>
    <w:lvl w:ilvl="1" w:tplc="68E6DB90">
      <w:start w:val="1"/>
      <w:numFmt w:val="bullet"/>
      <w:lvlText w:val="o"/>
      <w:lvlJc w:val="left"/>
      <w:pPr>
        <w:ind w:left="1440" w:hanging="360"/>
      </w:pPr>
      <w:rPr>
        <w:rFonts w:ascii="Courier New" w:hAnsi="Courier New" w:hint="default"/>
      </w:rPr>
    </w:lvl>
    <w:lvl w:ilvl="2" w:tplc="C8C85B10">
      <w:start w:val="1"/>
      <w:numFmt w:val="bullet"/>
      <w:lvlText w:val=""/>
      <w:lvlJc w:val="left"/>
      <w:pPr>
        <w:ind w:left="2160" w:hanging="360"/>
      </w:pPr>
      <w:rPr>
        <w:rFonts w:ascii="Wingdings" w:hAnsi="Wingdings" w:hint="default"/>
      </w:rPr>
    </w:lvl>
    <w:lvl w:ilvl="3" w:tplc="E0862B5E">
      <w:start w:val="1"/>
      <w:numFmt w:val="bullet"/>
      <w:lvlText w:val=""/>
      <w:lvlJc w:val="left"/>
      <w:pPr>
        <w:ind w:left="2880" w:hanging="360"/>
      </w:pPr>
      <w:rPr>
        <w:rFonts w:ascii="Symbol" w:hAnsi="Symbol" w:hint="default"/>
      </w:rPr>
    </w:lvl>
    <w:lvl w:ilvl="4" w:tplc="16A03FE8">
      <w:start w:val="1"/>
      <w:numFmt w:val="bullet"/>
      <w:lvlText w:val="o"/>
      <w:lvlJc w:val="left"/>
      <w:pPr>
        <w:ind w:left="3600" w:hanging="360"/>
      </w:pPr>
      <w:rPr>
        <w:rFonts w:ascii="Courier New" w:hAnsi="Courier New" w:hint="default"/>
      </w:rPr>
    </w:lvl>
    <w:lvl w:ilvl="5" w:tplc="161695F2">
      <w:start w:val="1"/>
      <w:numFmt w:val="bullet"/>
      <w:lvlText w:val=""/>
      <w:lvlJc w:val="left"/>
      <w:pPr>
        <w:ind w:left="4320" w:hanging="360"/>
      </w:pPr>
      <w:rPr>
        <w:rFonts w:ascii="Wingdings" w:hAnsi="Wingdings" w:hint="default"/>
      </w:rPr>
    </w:lvl>
    <w:lvl w:ilvl="6" w:tplc="DC02C858">
      <w:start w:val="1"/>
      <w:numFmt w:val="bullet"/>
      <w:lvlText w:val=""/>
      <w:lvlJc w:val="left"/>
      <w:pPr>
        <w:ind w:left="5040" w:hanging="360"/>
      </w:pPr>
      <w:rPr>
        <w:rFonts w:ascii="Symbol" w:hAnsi="Symbol" w:hint="default"/>
      </w:rPr>
    </w:lvl>
    <w:lvl w:ilvl="7" w:tplc="4AFC34E2">
      <w:start w:val="1"/>
      <w:numFmt w:val="bullet"/>
      <w:lvlText w:val="o"/>
      <w:lvlJc w:val="left"/>
      <w:pPr>
        <w:ind w:left="5760" w:hanging="360"/>
      </w:pPr>
      <w:rPr>
        <w:rFonts w:ascii="Courier New" w:hAnsi="Courier New" w:hint="default"/>
      </w:rPr>
    </w:lvl>
    <w:lvl w:ilvl="8" w:tplc="201896DC">
      <w:start w:val="1"/>
      <w:numFmt w:val="bullet"/>
      <w:lvlText w:val=""/>
      <w:lvlJc w:val="left"/>
      <w:pPr>
        <w:ind w:left="6480" w:hanging="360"/>
      </w:pPr>
      <w:rPr>
        <w:rFonts w:ascii="Wingdings" w:hAnsi="Wingdings" w:hint="default"/>
      </w:rPr>
    </w:lvl>
  </w:abstractNum>
  <w:abstractNum w:abstractNumId="47" w15:restartNumberingAfterBreak="0">
    <w:nsid w:val="788005C5"/>
    <w:multiLevelType w:val="hybridMultilevel"/>
    <w:tmpl w:val="559CA91C"/>
    <w:lvl w:ilvl="0" w:tplc="071045C8">
      <w:start w:val="1"/>
      <w:numFmt w:val="bullet"/>
      <w:lvlText w:val=""/>
      <w:lvlJc w:val="left"/>
      <w:pPr>
        <w:ind w:left="720" w:hanging="360"/>
      </w:pPr>
      <w:rPr>
        <w:rFonts w:ascii="Symbol" w:hAnsi="Symbol" w:hint="default"/>
      </w:rPr>
    </w:lvl>
    <w:lvl w:ilvl="1" w:tplc="949C97E0">
      <w:start w:val="1"/>
      <w:numFmt w:val="bullet"/>
      <w:lvlText w:val="o"/>
      <w:lvlJc w:val="left"/>
      <w:pPr>
        <w:ind w:left="1440" w:hanging="360"/>
      </w:pPr>
      <w:rPr>
        <w:rFonts w:ascii="Courier New" w:hAnsi="Courier New" w:hint="default"/>
      </w:rPr>
    </w:lvl>
    <w:lvl w:ilvl="2" w:tplc="085E5F50">
      <w:start w:val="1"/>
      <w:numFmt w:val="bullet"/>
      <w:lvlText w:val=""/>
      <w:lvlJc w:val="left"/>
      <w:pPr>
        <w:ind w:left="2160" w:hanging="360"/>
      </w:pPr>
      <w:rPr>
        <w:rFonts w:ascii="Wingdings" w:hAnsi="Wingdings" w:hint="default"/>
      </w:rPr>
    </w:lvl>
    <w:lvl w:ilvl="3" w:tplc="09A65F22">
      <w:start w:val="1"/>
      <w:numFmt w:val="bullet"/>
      <w:lvlText w:val=""/>
      <w:lvlJc w:val="left"/>
      <w:pPr>
        <w:ind w:left="2880" w:hanging="360"/>
      </w:pPr>
      <w:rPr>
        <w:rFonts w:ascii="Symbol" w:hAnsi="Symbol" w:hint="default"/>
      </w:rPr>
    </w:lvl>
    <w:lvl w:ilvl="4" w:tplc="2B0E3E8A">
      <w:start w:val="1"/>
      <w:numFmt w:val="bullet"/>
      <w:lvlText w:val="o"/>
      <w:lvlJc w:val="left"/>
      <w:pPr>
        <w:ind w:left="3600" w:hanging="360"/>
      </w:pPr>
      <w:rPr>
        <w:rFonts w:ascii="Courier New" w:hAnsi="Courier New" w:hint="default"/>
      </w:rPr>
    </w:lvl>
    <w:lvl w:ilvl="5" w:tplc="A300B7D2">
      <w:start w:val="1"/>
      <w:numFmt w:val="bullet"/>
      <w:lvlText w:val=""/>
      <w:lvlJc w:val="left"/>
      <w:pPr>
        <w:ind w:left="4320" w:hanging="360"/>
      </w:pPr>
      <w:rPr>
        <w:rFonts w:ascii="Wingdings" w:hAnsi="Wingdings" w:hint="default"/>
      </w:rPr>
    </w:lvl>
    <w:lvl w:ilvl="6" w:tplc="7430C5EA">
      <w:start w:val="1"/>
      <w:numFmt w:val="bullet"/>
      <w:lvlText w:val=""/>
      <w:lvlJc w:val="left"/>
      <w:pPr>
        <w:ind w:left="5040" w:hanging="360"/>
      </w:pPr>
      <w:rPr>
        <w:rFonts w:ascii="Symbol" w:hAnsi="Symbol" w:hint="default"/>
      </w:rPr>
    </w:lvl>
    <w:lvl w:ilvl="7" w:tplc="4AD64826">
      <w:start w:val="1"/>
      <w:numFmt w:val="bullet"/>
      <w:lvlText w:val="o"/>
      <w:lvlJc w:val="left"/>
      <w:pPr>
        <w:ind w:left="5760" w:hanging="360"/>
      </w:pPr>
      <w:rPr>
        <w:rFonts w:ascii="Courier New" w:hAnsi="Courier New" w:hint="default"/>
      </w:rPr>
    </w:lvl>
    <w:lvl w:ilvl="8" w:tplc="2810585A">
      <w:start w:val="1"/>
      <w:numFmt w:val="bullet"/>
      <w:lvlText w:val=""/>
      <w:lvlJc w:val="left"/>
      <w:pPr>
        <w:ind w:left="6480" w:hanging="360"/>
      </w:pPr>
      <w:rPr>
        <w:rFonts w:ascii="Wingdings" w:hAnsi="Wingdings" w:hint="default"/>
      </w:rPr>
    </w:lvl>
  </w:abstractNum>
  <w:abstractNum w:abstractNumId="48" w15:restartNumberingAfterBreak="0">
    <w:nsid w:val="7B73A5BD"/>
    <w:multiLevelType w:val="hybridMultilevel"/>
    <w:tmpl w:val="AFAE1EAE"/>
    <w:lvl w:ilvl="0" w:tplc="6754860E">
      <w:start w:val="1"/>
      <w:numFmt w:val="bullet"/>
      <w:lvlText w:val=""/>
      <w:lvlJc w:val="left"/>
      <w:pPr>
        <w:ind w:left="720" w:hanging="360"/>
      </w:pPr>
      <w:rPr>
        <w:rFonts w:ascii="Symbol" w:hAnsi="Symbol" w:hint="default"/>
      </w:rPr>
    </w:lvl>
    <w:lvl w:ilvl="1" w:tplc="50924D0C">
      <w:start w:val="1"/>
      <w:numFmt w:val="bullet"/>
      <w:lvlText w:val="o"/>
      <w:lvlJc w:val="left"/>
      <w:pPr>
        <w:ind w:left="1440" w:hanging="360"/>
      </w:pPr>
      <w:rPr>
        <w:rFonts w:ascii="Courier New" w:hAnsi="Courier New" w:hint="default"/>
      </w:rPr>
    </w:lvl>
    <w:lvl w:ilvl="2" w:tplc="2880185C">
      <w:start w:val="1"/>
      <w:numFmt w:val="bullet"/>
      <w:lvlText w:val=""/>
      <w:lvlJc w:val="left"/>
      <w:pPr>
        <w:ind w:left="2160" w:hanging="360"/>
      </w:pPr>
      <w:rPr>
        <w:rFonts w:ascii="Wingdings" w:hAnsi="Wingdings" w:hint="default"/>
      </w:rPr>
    </w:lvl>
    <w:lvl w:ilvl="3" w:tplc="D57A23A4">
      <w:start w:val="1"/>
      <w:numFmt w:val="bullet"/>
      <w:lvlText w:val=""/>
      <w:lvlJc w:val="left"/>
      <w:pPr>
        <w:ind w:left="2880" w:hanging="360"/>
      </w:pPr>
      <w:rPr>
        <w:rFonts w:ascii="Symbol" w:hAnsi="Symbol" w:hint="default"/>
      </w:rPr>
    </w:lvl>
    <w:lvl w:ilvl="4" w:tplc="A60CBA68">
      <w:start w:val="1"/>
      <w:numFmt w:val="bullet"/>
      <w:lvlText w:val="o"/>
      <w:lvlJc w:val="left"/>
      <w:pPr>
        <w:ind w:left="3600" w:hanging="360"/>
      </w:pPr>
      <w:rPr>
        <w:rFonts w:ascii="Courier New" w:hAnsi="Courier New" w:hint="default"/>
      </w:rPr>
    </w:lvl>
    <w:lvl w:ilvl="5" w:tplc="CABAF974">
      <w:start w:val="1"/>
      <w:numFmt w:val="bullet"/>
      <w:lvlText w:val=""/>
      <w:lvlJc w:val="left"/>
      <w:pPr>
        <w:ind w:left="4320" w:hanging="360"/>
      </w:pPr>
      <w:rPr>
        <w:rFonts w:ascii="Wingdings" w:hAnsi="Wingdings" w:hint="default"/>
      </w:rPr>
    </w:lvl>
    <w:lvl w:ilvl="6" w:tplc="806E94D2">
      <w:start w:val="1"/>
      <w:numFmt w:val="bullet"/>
      <w:lvlText w:val=""/>
      <w:lvlJc w:val="left"/>
      <w:pPr>
        <w:ind w:left="5040" w:hanging="360"/>
      </w:pPr>
      <w:rPr>
        <w:rFonts w:ascii="Symbol" w:hAnsi="Symbol" w:hint="default"/>
      </w:rPr>
    </w:lvl>
    <w:lvl w:ilvl="7" w:tplc="E0FE31D6">
      <w:start w:val="1"/>
      <w:numFmt w:val="bullet"/>
      <w:lvlText w:val="o"/>
      <w:lvlJc w:val="left"/>
      <w:pPr>
        <w:ind w:left="5760" w:hanging="360"/>
      </w:pPr>
      <w:rPr>
        <w:rFonts w:ascii="Courier New" w:hAnsi="Courier New" w:hint="default"/>
      </w:rPr>
    </w:lvl>
    <w:lvl w:ilvl="8" w:tplc="6FBE2E4E">
      <w:start w:val="1"/>
      <w:numFmt w:val="bullet"/>
      <w:lvlText w:val=""/>
      <w:lvlJc w:val="left"/>
      <w:pPr>
        <w:ind w:left="6480" w:hanging="360"/>
      </w:pPr>
      <w:rPr>
        <w:rFonts w:ascii="Wingdings" w:hAnsi="Wingdings" w:hint="default"/>
      </w:rPr>
    </w:lvl>
  </w:abstractNum>
  <w:abstractNum w:abstractNumId="49" w15:restartNumberingAfterBreak="0">
    <w:nsid w:val="7E582E47"/>
    <w:multiLevelType w:val="hybridMultilevel"/>
    <w:tmpl w:val="FAECF48C"/>
    <w:lvl w:ilvl="0" w:tplc="4754F07E">
      <w:start w:val="1"/>
      <w:numFmt w:val="bullet"/>
      <w:lvlText w:val=""/>
      <w:lvlJc w:val="left"/>
      <w:pPr>
        <w:ind w:left="720" w:hanging="360"/>
      </w:pPr>
      <w:rPr>
        <w:rFonts w:ascii="Symbol" w:hAnsi="Symbol" w:hint="default"/>
      </w:rPr>
    </w:lvl>
    <w:lvl w:ilvl="1" w:tplc="CF8821D8">
      <w:start w:val="1"/>
      <w:numFmt w:val="bullet"/>
      <w:lvlText w:val="o"/>
      <w:lvlJc w:val="left"/>
      <w:pPr>
        <w:ind w:left="1440" w:hanging="360"/>
      </w:pPr>
      <w:rPr>
        <w:rFonts w:ascii="Courier New" w:hAnsi="Courier New" w:hint="default"/>
      </w:rPr>
    </w:lvl>
    <w:lvl w:ilvl="2" w:tplc="BEE88220">
      <w:start w:val="1"/>
      <w:numFmt w:val="bullet"/>
      <w:lvlText w:val=""/>
      <w:lvlJc w:val="left"/>
      <w:pPr>
        <w:ind w:left="2160" w:hanging="360"/>
      </w:pPr>
      <w:rPr>
        <w:rFonts w:ascii="Wingdings" w:hAnsi="Wingdings" w:hint="default"/>
      </w:rPr>
    </w:lvl>
    <w:lvl w:ilvl="3" w:tplc="A4B2E1F4">
      <w:start w:val="1"/>
      <w:numFmt w:val="bullet"/>
      <w:lvlText w:val=""/>
      <w:lvlJc w:val="left"/>
      <w:pPr>
        <w:ind w:left="2880" w:hanging="360"/>
      </w:pPr>
      <w:rPr>
        <w:rFonts w:ascii="Symbol" w:hAnsi="Symbol" w:hint="default"/>
      </w:rPr>
    </w:lvl>
    <w:lvl w:ilvl="4" w:tplc="D864218E">
      <w:start w:val="1"/>
      <w:numFmt w:val="bullet"/>
      <w:lvlText w:val="o"/>
      <w:lvlJc w:val="left"/>
      <w:pPr>
        <w:ind w:left="3600" w:hanging="360"/>
      </w:pPr>
      <w:rPr>
        <w:rFonts w:ascii="Courier New" w:hAnsi="Courier New" w:hint="default"/>
      </w:rPr>
    </w:lvl>
    <w:lvl w:ilvl="5" w:tplc="BFAEFF80">
      <w:start w:val="1"/>
      <w:numFmt w:val="bullet"/>
      <w:lvlText w:val=""/>
      <w:lvlJc w:val="left"/>
      <w:pPr>
        <w:ind w:left="4320" w:hanging="360"/>
      </w:pPr>
      <w:rPr>
        <w:rFonts w:ascii="Wingdings" w:hAnsi="Wingdings" w:hint="default"/>
      </w:rPr>
    </w:lvl>
    <w:lvl w:ilvl="6" w:tplc="9F40D790">
      <w:start w:val="1"/>
      <w:numFmt w:val="bullet"/>
      <w:lvlText w:val=""/>
      <w:lvlJc w:val="left"/>
      <w:pPr>
        <w:ind w:left="5040" w:hanging="360"/>
      </w:pPr>
      <w:rPr>
        <w:rFonts w:ascii="Symbol" w:hAnsi="Symbol" w:hint="default"/>
      </w:rPr>
    </w:lvl>
    <w:lvl w:ilvl="7" w:tplc="2F88BD8C">
      <w:start w:val="1"/>
      <w:numFmt w:val="bullet"/>
      <w:lvlText w:val="o"/>
      <w:lvlJc w:val="left"/>
      <w:pPr>
        <w:ind w:left="5760" w:hanging="360"/>
      </w:pPr>
      <w:rPr>
        <w:rFonts w:ascii="Courier New" w:hAnsi="Courier New" w:hint="default"/>
      </w:rPr>
    </w:lvl>
    <w:lvl w:ilvl="8" w:tplc="29E49790">
      <w:start w:val="1"/>
      <w:numFmt w:val="bullet"/>
      <w:lvlText w:val=""/>
      <w:lvlJc w:val="left"/>
      <w:pPr>
        <w:ind w:left="6480" w:hanging="360"/>
      </w:pPr>
      <w:rPr>
        <w:rFonts w:ascii="Wingdings" w:hAnsi="Wingdings" w:hint="default"/>
      </w:rPr>
    </w:lvl>
  </w:abstractNum>
  <w:num w:numId="1" w16cid:durableId="1928036090">
    <w:abstractNumId w:val="32"/>
  </w:num>
  <w:num w:numId="2" w16cid:durableId="832843127">
    <w:abstractNumId w:val="40"/>
  </w:num>
  <w:num w:numId="3" w16cid:durableId="1080173018">
    <w:abstractNumId w:val="39"/>
  </w:num>
  <w:num w:numId="4" w16cid:durableId="549072182">
    <w:abstractNumId w:val="6"/>
  </w:num>
  <w:num w:numId="5" w16cid:durableId="1054307704">
    <w:abstractNumId w:val="5"/>
  </w:num>
  <w:num w:numId="6" w16cid:durableId="320695410">
    <w:abstractNumId w:val="25"/>
  </w:num>
  <w:num w:numId="7" w16cid:durableId="1760297884">
    <w:abstractNumId w:val="14"/>
  </w:num>
  <w:num w:numId="8" w16cid:durableId="1600529512">
    <w:abstractNumId w:val="12"/>
  </w:num>
  <w:num w:numId="9" w16cid:durableId="1149710057">
    <w:abstractNumId w:val="46"/>
  </w:num>
  <w:num w:numId="10" w16cid:durableId="1402676305">
    <w:abstractNumId w:val="4"/>
  </w:num>
  <w:num w:numId="11" w16cid:durableId="1624775240">
    <w:abstractNumId w:val="45"/>
  </w:num>
  <w:num w:numId="12" w16cid:durableId="514731531">
    <w:abstractNumId w:val="13"/>
  </w:num>
  <w:num w:numId="13" w16cid:durableId="259140622">
    <w:abstractNumId w:val="16"/>
  </w:num>
  <w:num w:numId="14" w16cid:durableId="1634867666">
    <w:abstractNumId w:val="41"/>
  </w:num>
  <w:num w:numId="15" w16cid:durableId="1515413277">
    <w:abstractNumId w:val="48"/>
  </w:num>
  <w:num w:numId="16" w16cid:durableId="11151033">
    <w:abstractNumId w:val="7"/>
  </w:num>
  <w:num w:numId="17" w16cid:durableId="522134844">
    <w:abstractNumId w:val="34"/>
  </w:num>
  <w:num w:numId="18" w16cid:durableId="1385636100">
    <w:abstractNumId w:val="49"/>
  </w:num>
  <w:num w:numId="19" w16cid:durableId="651132413">
    <w:abstractNumId w:val="47"/>
  </w:num>
  <w:num w:numId="20" w16cid:durableId="1529247637">
    <w:abstractNumId w:val="15"/>
  </w:num>
  <w:num w:numId="21" w16cid:durableId="921643192">
    <w:abstractNumId w:val="1"/>
  </w:num>
  <w:num w:numId="22" w16cid:durableId="1785151010">
    <w:abstractNumId w:val="22"/>
  </w:num>
  <w:num w:numId="23" w16cid:durableId="1745107484">
    <w:abstractNumId w:val="18"/>
  </w:num>
  <w:num w:numId="24" w16cid:durableId="501093681">
    <w:abstractNumId w:val="3"/>
  </w:num>
  <w:num w:numId="25" w16cid:durableId="291596031">
    <w:abstractNumId w:val="35"/>
  </w:num>
  <w:num w:numId="26" w16cid:durableId="259029409">
    <w:abstractNumId w:val="2"/>
  </w:num>
  <w:num w:numId="27" w16cid:durableId="1546479040">
    <w:abstractNumId w:val="31"/>
  </w:num>
  <w:num w:numId="28" w16cid:durableId="724596967">
    <w:abstractNumId w:val="19"/>
  </w:num>
  <w:num w:numId="29" w16cid:durableId="213393072">
    <w:abstractNumId w:val="27"/>
  </w:num>
  <w:num w:numId="30" w16cid:durableId="1609653636">
    <w:abstractNumId w:val="24"/>
  </w:num>
  <w:num w:numId="31" w16cid:durableId="1988583013">
    <w:abstractNumId w:val="23"/>
  </w:num>
  <w:num w:numId="32" w16cid:durableId="439499051">
    <w:abstractNumId w:val="17"/>
  </w:num>
  <w:num w:numId="33" w16cid:durableId="1136989500">
    <w:abstractNumId w:val="0"/>
  </w:num>
  <w:num w:numId="34" w16cid:durableId="662438975">
    <w:abstractNumId w:val="20"/>
  </w:num>
  <w:num w:numId="35" w16cid:durableId="404113050">
    <w:abstractNumId w:val="11"/>
  </w:num>
  <w:num w:numId="36" w16cid:durableId="165020209">
    <w:abstractNumId w:val="33"/>
  </w:num>
  <w:num w:numId="37" w16cid:durableId="1976445833">
    <w:abstractNumId w:val="36"/>
  </w:num>
  <w:num w:numId="38" w16cid:durableId="1042025086">
    <w:abstractNumId w:val="37"/>
  </w:num>
  <w:num w:numId="39" w16cid:durableId="323092881">
    <w:abstractNumId w:val="26"/>
  </w:num>
  <w:num w:numId="40" w16cid:durableId="1052848624">
    <w:abstractNumId w:val="38"/>
  </w:num>
  <w:num w:numId="41" w16cid:durableId="1271357059">
    <w:abstractNumId w:val="10"/>
  </w:num>
  <w:num w:numId="42" w16cid:durableId="1935085632">
    <w:abstractNumId w:val="21"/>
  </w:num>
  <w:num w:numId="43" w16cid:durableId="1005401679">
    <w:abstractNumId w:val="30"/>
  </w:num>
  <w:num w:numId="44" w16cid:durableId="1069841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83660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565338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335245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375769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67288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73013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587762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958962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649489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516931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141149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43990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6366109">
    <w:abstractNumId w:val="29"/>
  </w:num>
  <w:num w:numId="58" w16cid:durableId="1486169959">
    <w:abstractNumId w:val="44"/>
  </w:num>
  <w:num w:numId="59" w16cid:durableId="62531143">
    <w:abstractNumId w:val="43"/>
  </w:num>
  <w:num w:numId="60" w16cid:durableId="695230198">
    <w:abstractNumId w:val="42"/>
  </w:num>
  <w:num w:numId="61" w16cid:durableId="1062214964">
    <w:abstractNumId w:val="9"/>
  </w:num>
  <w:num w:numId="62" w16cid:durableId="1497066604">
    <w:abstractNumId w:val="28"/>
  </w:num>
  <w:num w:numId="63" w16cid:durableId="702487535">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2E0627"/>
    <w:rsid w:val="00011486"/>
    <w:rsid w:val="0004F196"/>
    <w:rsid w:val="00086B57"/>
    <w:rsid w:val="00093CFB"/>
    <w:rsid w:val="00094E32"/>
    <w:rsid w:val="000A469E"/>
    <w:rsid w:val="000BC515"/>
    <w:rsid w:val="000C281E"/>
    <w:rsid w:val="0010D879"/>
    <w:rsid w:val="00110B70"/>
    <w:rsid w:val="00132212"/>
    <w:rsid w:val="0019B064"/>
    <w:rsid w:val="001B11A4"/>
    <w:rsid w:val="001C3688"/>
    <w:rsid w:val="001D7D2A"/>
    <w:rsid w:val="001F7D96"/>
    <w:rsid w:val="00230FC1"/>
    <w:rsid w:val="002329C5"/>
    <w:rsid w:val="002801DF"/>
    <w:rsid w:val="002A6CDC"/>
    <w:rsid w:val="002FEEBE"/>
    <w:rsid w:val="00310FA6"/>
    <w:rsid w:val="0035153E"/>
    <w:rsid w:val="003C4F60"/>
    <w:rsid w:val="003E5E9D"/>
    <w:rsid w:val="004443B8"/>
    <w:rsid w:val="004468BC"/>
    <w:rsid w:val="004836C4"/>
    <w:rsid w:val="004D7229"/>
    <w:rsid w:val="005171D4"/>
    <w:rsid w:val="00517414"/>
    <w:rsid w:val="005C1BF9"/>
    <w:rsid w:val="005DAB98"/>
    <w:rsid w:val="005E3D58"/>
    <w:rsid w:val="00622E5C"/>
    <w:rsid w:val="00666763"/>
    <w:rsid w:val="006D25E6"/>
    <w:rsid w:val="00700A18"/>
    <w:rsid w:val="007131FB"/>
    <w:rsid w:val="0075CB44"/>
    <w:rsid w:val="007990D3"/>
    <w:rsid w:val="007A6E5A"/>
    <w:rsid w:val="00813488"/>
    <w:rsid w:val="00825F2C"/>
    <w:rsid w:val="008A8829"/>
    <w:rsid w:val="0096C3B8"/>
    <w:rsid w:val="009F15C5"/>
    <w:rsid w:val="009F17CF"/>
    <w:rsid w:val="00A2CFDC"/>
    <w:rsid w:val="00A66785"/>
    <w:rsid w:val="00A668F1"/>
    <w:rsid w:val="00A91807"/>
    <w:rsid w:val="00B36D8A"/>
    <w:rsid w:val="00B57844"/>
    <w:rsid w:val="00BF331E"/>
    <w:rsid w:val="00C4BA1B"/>
    <w:rsid w:val="00CB0588"/>
    <w:rsid w:val="00CB250C"/>
    <w:rsid w:val="00D0C893"/>
    <w:rsid w:val="00D34551"/>
    <w:rsid w:val="00D81BE6"/>
    <w:rsid w:val="00D81E1B"/>
    <w:rsid w:val="00D97ABD"/>
    <w:rsid w:val="00DB1194"/>
    <w:rsid w:val="00DB7ECA"/>
    <w:rsid w:val="00DE7A86"/>
    <w:rsid w:val="00E0647B"/>
    <w:rsid w:val="00E50176"/>
    <w:rsid w:val="00E8186B"/>
    <w:rsid w:val="00EB45A6"/>
    <w:rsid w:val="00EF3237"/>
    <w:rsid w:val="00F93C56"/>
    <w:rsid w:val="00FD1109"/>
    <w:rsid w:val="00FE5D17"/>
    <w:rsid w:val="00FFF8A4"/>
    <w:rsid w:val="01072CB3"/>
    <w:rsid w:val="0109F4F5"/>
    <w:rsid w:val="01136F77"/>
    <w:rsid w:val="0120EED1"/>
    <w:rsid w:val="01219306"/>
    <w:rsid w:val="012385FF"/>
    <w:rsid w:val="0126D7AF"/>
    <w:rsid w:val="012852B8"/>
    <w:rsid w:val="01296F89"/>
    <w:rsid w:val="013D7B15"/>
    <w:rsid w:val="013E138C"/>
    <w:rsid w:val="014926D3"/>
    <w:rsid w:val="016051C4"/>
    <w:rsid w:val="0161C3E7"/>
    <w:rsid w:val="016E7ADD"/>
    <w:rsid w:val="017B60C4"/>
    <w:rsid w:val="017CF75B"/>
    <w:rsid w:val="018B4E7D"/>
    <w:rsid w:val="019041EB"/>
    <w:rsid w:val="0198C89B"/>
    <w:rsid w:val="019EB3BC"/>
    <w:rsid w:val="01A4C08C"/>
    <w:rsid w:val="01B093B8"/>
    <w:rsid w:val="01B2F4D5"/>
    <w:rsid w:val="01B8E9BC"/>
    <w:rsid w:val="01BBEEE4"/>
    <w:rsid w:val="01BDA64F"/>
    <w:rsid w:val="01C162E4"/>
    <w:rsid w:val="01D500E7"/>
    <w:rsid w:val="01E4CB9E"/>
    <w:rsid w:val="01E8EFE2"/>
    <w:rsid w:val="01F027A3"/>
    <w:rsid w:val="01FD9276"/>
    <w:rsid w:val="0201507B"/>
    <w:rsid w:val="020241A6"/>
    <w:rsid w:val="02041AF9"/>
    <w:rsid w:val="0208B858"/>
    <w:rsid w:val="020BA7B8"/>
    <w:rsid w:val="020CB476"/>
    <w:rsid w:val="020E5E46"/>
    <w:rsid w:val="020F0284"/>
    <w:rsid w:val="0221409C"/>
    <w:rsid w:val="022B40AD"/>
    <w:rsid w:val="022F5090"/>
    <w:rsid w:val="0238D5F1"/>
    <w:rsid w:val="023BEDB8"/>
    <w:rsid w:val="023CDB6D"/>
    <w:rsid w:val="02411165"/>
    <w:rsid w:val="0242C556"/>
    <w:rsid w:val="0245BD21"/>
    <w:rsid w:val="02522026"/>
    <w:rsid w:val="02522051"/>
    <w:rsid w:val="025FD0EB"/>
    <w:rsid w:val="02615D28"/>
    <w:rsid w:val="02623E9B"/>
    <w:rsid w:val="026C9C62"/>
    <w:rsid w:val="027E0A6D"/>
    <w:rsid w:val="02932F00"/>
    <w:rsid w:val="02A263ED"/>
    <w:rsid w:val="02A808EC"/>
    <w:rsid w:val="02B7DF4A"/>
    <w:rsid w:val="02C04FE6"/>
    <w:rsid w:val="02C8D90B"/>
    <w:rsid w:val="02ED85B6"/>
    <w:rsid w:val="02F20D94"/>
    <w:rsid w:val="02F702A8"/>
    <w:rsid w:val="030778CA"/>
    <w:rsid w:val="0310E23B"/>
    <w:rsid w:val="032C8DC6"/>
    <w:rsid w:val="032FCA45"/>
    <w:rsid w:val="033C61B1"/>
    <w:rsid w:val="035144A2"/>
    <w:rsid w:val="0353B7C8"/>
    <w:rsid w:val="0355390F"/>
    <w:rsid w:val="035EF7E2"/>
    <w:rsid w:val="0367773B"/>
    <w:rsid w:val="036CEF1B"/>
    <w:rsid w:val="03759B94"/>
    <w:rsid w:val="037655AD"/>
    <w:rsid w:val="03870584"/>
    <w:rsid w:val="03915E89"/>
    <w:rsid w:val="0396E80B"/>
    <w:rsid w:val="039CD0D8"/>
    <w:rsid w:val="03A67531"/>
    <w:rsid w:val="03C0C47D"/>
    <w:rsid w:val="03C9B13C"/>
    <w:rsid w:val="03D2206D"/>
    <w:rsid w:val="03D55399"/>
    <w:rsid w:val="03E32569"/>
    <w:rsid w:val="03F03FF9"/>
    <w:rsid w:val="03FDDFE8"/>
    <w:rsid w:val="040BA91D"/>
    <w:rsid w:val="04162491"/>
    <w:rsid w:val="041A16B2"/>
    <w:rsid w:val="041E8921"/>
    <w:rsid w:val="0426A7F0"/>
    <w:rsid w:val="04308C9A"/>
    <w:rsid w:val="043191B3"/>
    <w:rsid w:val="04344BE6"/>
    <w:rsid w:val="043749E4"/>
    <w:rsid w:val="043C39F7"/>
    <w:rsid w:val="04457588"/>
    <w:rsid w:val="0447CB3A"/>
    <w:rsid w:val="04481F79"/>
    <w:rsid w:val="04505A71"/>
    <w:rsid w:val="04564B4B"/>
    <w:rsid w:val="045B2D9E"/>
    <w:rsid w:val="0469CBEE"/>
    <w:rsid w:val="046A3205"/>
    <w:rsid w:val="046FF26A"/>
    <w:rsid w:val="04703F40"/>
    <w:rsid w:val="0470EA7A"/>
    <w:rsid w:val="047290E7"/>
    <w:rsid w:val="0472C733"/>
    <w:rsid w:val="04736AA1"/>
    <w:rsid w:val="0484FC26"/>
    <w:rsid w:val="04852156"/>
    <w:rsid w:val="048DB6DC"/>
    <w:rsid w:val="048EB445"/>
    <w:rsid w:val="048ED3A2"/>
    <w:rsid w:val="0492509C"/>
    <w:rsid w:val="049CD2ED"/>
    <w:rsid w:val="04B3867F"/>
    <w:rsid w:val="04B80D4D"/>
    <w:rsid w:val="04BBFF01"/>
    <w:rsid w:val="04C90D1F"/>
    <w:rsid w:val="04CD8DF1"/>
    <w:rsid w:val="04CE3414"/>
    <w:rsid w:val="04D706F4"/>
    <w:rsid w:val="04DE1C3F"/>
    <w:rsid w:val="04EAE688"/>
    <w:rsid w:val="04F14338"/>
    <w:rsid w:val="04F58474"/>
    <w:rsid w:val="051BB5D5"/>
    <w:rsid w:val="052928B3"/>
    <w:rsid w:val="053CFAC2"/>
    <w:rsid w:val="053E91FB"/>
    <w:rsid w:val="054398EB"/>
    <w:rsid w:val="054C246C"/>
    <w:rsid w:val="056299EF"/>
    <w:rsid w:val="0572F63E"/>
    <w:rsid w:val="0576EE17"/>
    <w:rsid w:val="0577B24E"/>
    <w:rsid w:val="057A329C"/>
    <w:rsid w:val="057A59F4"/>
    <w:rsid w:val="057B8D84"/>
    <w:rsid w:val="057F4F8F"/>
    <w:rsid w:val="0586FA7C"/>
    <w:rsid w:val="058BDDE0"/>
    <w:rsid w:val="058E5ECF"/>
    <w:rsid w:val="05B6CEB7"/>
    <w:rsid w:val="05BB089A"/>
    <w:rsid w:val="05C02B98"/>
    <w:rsid w:val="05C2082A"/>
    <w:rsid w:val="05C551C5"/>
    <w:rsid w:val="05C7D947"/>
    <w:rsid w:val="05DDE815"/>
    <w:rsid w:val="05DF0126"/>
    <w:rsid w:val="05E6719C"/>
    <w:rsid w:val="05E8FC8B"/>
    <w:rsid w:val="05EA75CE"/>
    <w:rsid w:val="05EE195A"/>
    <w:rsid w:val="05F6CF1C"/>
    <w:rsid w:val="060F9D81"/>
    <w:rsid w:val="061A8842"/>
    <w:rsid w:val="0626EC04"/>
    <w:rsid w:val="0627C269"/>
    <w:rsid w:val="0638F883"/>
    <w:rsid w:val="063D7070"/>
    <w:rsid w:val="063F3D72"/>
    <w:rsid w:val="06423157"/>
    <w:rsid w:val="064683B5"/>
    <w:rsid w:val="06550CA6"/>
    <w:rsid w:val="06645C25"/>
    <w:rsid w:val="066D1126"/>
    <w:rsid w:val="06A6AEA8"/>
    <w:rsid w:val="06A75564"/>
    <w:rsid w:val="06AF1727"/>
    <w:rsid w:val="06B385F8"/>
    <w:rsid w:val="06B3FA52"/>
    <w:rsid w:val="06BBE608"/>
    <w:rsid w:val="06DCB688"/>
    <w:rsid w:val="06DD7786"/>
    <w:rsid w:val="06DE082A"/>
    <w:rsid w:val="06E02DDE"/>
    <w:rsid w:val="06E6E21A"/>
    <w:rsid w:val="06EAFDF7"/>
    <w:rsid w:val="06FD0909"/>
    <w:rsid w:val="07020336"/>
    <w:rsid w:val="0706FC52"/>
    <w:rsid w:val="07178D8A"/>
    <w:rsid w:val="071B8151"/>
    <w:rsid w:val="071E7794"/>
    <w:rsid w:val="07215682"/>
    <w:rsid w:val="07228FE3"/>
    <w:rsid w:val="073B1AF0"/>
    <w:rsid w:val="073DF11F"/>
    <w:rsid w:val="0749EA6B"/>
    <w:rsid w:val="074E4372"/>
    <w:rsid w:val="07572E75"/>
    <w:rsid w:val="075B1D5E"/>
    <w:rsid w:val="075D409B"/>
    <w:rsid w:val="0772D457"/>
    <w:rsid w:val="077F7195"/>
    <w:rsid w:val="0788FE53"/>
    <w:rsid w:val="079051E6"/>
    <w:rsid w:val="07935757"/>
    <w:rsid w:val="0799254D"/>
    <w:rsid w:val="079B95A6"/>
    <w:rsid w:val="079C4D94"/>
    <w:rsid w:val="07AFE349"/>
    <w:rsid w:val="07B3191B"/>
    <w:rsid w:val="07C2FB10"/>
    <w:rsid w:val="07C34985"/>
    <w:rsid w:val="07CD58B6"/>
    <w:rsid w:val="07D28B62"/>
    <w:rsid w:val="07DFF12E"/>
    <w:rsid w:val="07EB77F3"/>
    <w:rsid w:val="07F7EA71"/>
    <w:rsid w:val="07FB472A"/>
    <w:rsid w:val="080852E7"/>
    <w:rsid w:val="081D5E31"/>
    <w:rsid w:val="08234118"/>
    <w:rsid w:val="0832A759"/>
    <w:rsid w:val="084566CC"/>
    <w:rsid w:val="0851B427"/>
    <w:rsid w:val="0858D50E"/>
    <w:rsid w:val="085C5F24"/>
    <w:rsid w:val="085DF6A3"/>
    <w:rsid w:val="0877E178"/>
    <w:rsid w:val="0877F82D"/>
    <w:rsid w:val="0879958E"/>
    <w:rsid w:val="087D1C37"/>
    <w:rsid w:val="087D78E7"/>
    <w:rsid w:val="088D58FA"/>
    <w:rsid w:val="089511D8"/>
    <w:rsid w:val="089EE0B3"/>
    <w:rsid w:val="08A7D38F"/>
    <w:rsid w:val="08B08136"/>
    <w:rsid w:val="08B49E5B"/>
    <w:rsid w:val="08B9E483"/>
    <w:rsid w:val="08BFA08B"/>
    <w:rsid w:val="08BFCD7B"/>
    <w:rsid w:val="08CE3306"/>
    <w:rsid w:val="08CFF721"/>
    <w:rsid w:val="08D25A5D"/>
    <w:rsid w:val="08DF2353"/>
    <w:rsid w:val="08F55FB1"/>
    <w:rsid w:val="090D365E"/>
    <w:rsid w:val="090F6B82"/>
    <w:rsid w:val="0910747D"/>
    <w:rsid w:val="0912340B"/>
    <w:rsid w:val="091498E8"/>
    <w:rsid w:val="09243FA8"/>
    <w:rsid w:val="09537E65"/>
    <w:rsid w:val="0958B998"/>
    <w:rsid w:val="095BF35C"/>
    <w:rsid w:val="0967230E"/>
    <w:rsid w:val="097041CE"/>
    <w:rsid w:val="09724816"/>
    <w:rsid w:val="09728818"/>
    <w:rsid w:val="097E9506"/>
    <w:rsid w:val="098A9330"/>
    <w:rsid w:val="0992AEBD"/>
    <w:rsid w:val="09A754E2"/>
    <w:rsid w:val="09B2C4F8"/>
    <w:rsid w:val="09BA00BE"/>
    <w:rsid w:val="09BEEFCF"/>
    <w:rsid w:val="09C3B491"/>
    <w:rsid w:val="09C43D5B"/>
    <w:rsid w:val="09D51E1C"/>
    <w:rsid w:val="09D8EE4A"/>
    <w:rsid w:val="09F6663B"/>
    <w:rsid w:val="09F778F4"/>
    <w:rsid w:val="09FA6A66"/>
    <w:rsid w:val="09FA7BB8"/>
    <w:rsid w:val="09FFA9C0"/>
    <w:rsid w:val="0A05D2AA"/>
    <w:rsid w:val="0A124F6A"/>
    <w:rsid w:val="0A142844"/>
    <w:rsid w:val="0A18BC0C"/>
    <w:rsid w:val="0A20C9CC"/>
    <w:rsid w:val="0A266324"/>
    <w:rsid w:val="0A278432"/>
    <w:rsid w:val="0A3919C3"/>
    <w:rsid w:val="0A3C719B"/>
    <w:rsid w:val="0A432E83"/>
    <w:rsid w:val="0A44D7E8"/>
    <w:rsid w:val="0A4A0F74"/>
    <w:rsid w:val="0A5D6401"/>
    <w:rsid w:val="0A5EC475"/>
    <w:rsid w:val="0A682002"/>
    <w:rsid w:val="0A7B50F6"/>
    <w:rsid w:val="0A81E0CE"/>
    <w:rsid w:val="0A8A1AEC"/>
    <w:rsid w:val="0A9C6AE5"/>
    <w:rsid w:val="0AA231F2"/>
    <w:rsid w:val="0AACE34B"/>
    <w:rsid w:val="0ABB19D0"/>
    <w:rsid w:val="0AC4168C"/>
    <w:rsid w:val="0AC41728"/>
    <w:rsid w:val="0AC8DC6D"/>
    <w:rsid w:val="0ACA3473"/>
    <w:rsid w:val="0AD716D2"/>
    <w:rsid w:val="0AE3313F"/>
    <w:rsid w:val="0AED6AD4"/>
    <w:rsid w:val="0AEF74B8"/>
    <w:rsid w:val="0B02C1A6"/>
    <w:rsid w:val="0B1CD826"/>
    <w:rsid w:val="0B42514C"/>
    <w:rsid w:val="0B481F1D"/>
    <w:rsid w:val="0B4847AE"/>
    <w:rsid w:val="0B4EF78B"/>
    <w:rsid w:val="0B52ACBC"/>
    <w:rsid w:val="0B5F5FCB"/>
    <w:rsid w:val="0B67FF2C"/>
    <w:rsid w:val="0B819D04"/>
    <w:rsid w:val="0B887A7B"/>
    <w:rsid w:val="0B8908DB"/>
    <w:rsid w:val="0B8C58E1"/>
    <w:rsid w:val="0B8FAE49"/>
    <w:rsid w:val="0B9099F7"/>
    <w:rsid w:val="0B917670"/>
    <w:rsid w:val="0B9FC24E"/>
    <w:rsid w:val="0BA672C3"/>
    <w:rsid w:val="0BA6DD38"/>
    <w:rsid w:val="0BA9CF74"/>
    <w:rsid w:val="0BACCF9C"/>
    <w:rsid w:val="0BAFE299"/>
    <w:rsid w:val="0BB1C64C"/>
    <w:rsid w:val="0BBBC39C"/>
    <w:rsid w:val="0BC0FA63"/>
    <w:rsid w:val="0BD4DB73"/>
    <w:rsid w:val="0BE3FE2D"/>
    <w:rsid w:val="0BE7F7F9"/>
    <w:rsid w:val="0BEC94FE"/>
    <w:rsid w:val="0BEDE45B"/>
    <w:rsid w:val="0BF4A346"/>
    <w:rsid w:val="0BF95A27"/>
    <w:rsid w:val="0C0860E1"/>
    <w:rsid w:val="0C0A799E"/>
    <w:rsid w:val="0C1D0B36"/>
    <w:rsid w:val="0C255A9D"/>
    <w:rsid w:val="0C26C279"/>
    <w:rsid w:val="0C2C3D21"/>
    <w:rsid w:val="0C3552F3"/>
    <w:rsid w:val="0C41971B"/>
    <w:rsid w:val="0C424718"/>
    <w:rsid w:val="0C47155D"/>
    <w:rsid w:val="0C4B24CD"/>
    <w:rsid w:val="0C5E90A6"/>
    <w:rsid w:val="0C607A8C"/>
    <w:rsid w:val="0C62C3CA"/>
    <w:rsid w:val="0C6424F4"/>
    <w:rsid w:val="0C6577A2"/>
    <w:rsid w:val="0C6E4733"/>
    <w:rsid w:val="0C702BCF"/>
    <w:rsid w:val="0C7ECF48"/>
    <w:rsid w:val="0C87199C"/>
    <w:rsid w:val="0C8A1F4B"/>
    <w:rsid w:val="0C8BCB70"/>
    <w:rsid w:val="0C8D3AE1"/>
    <w:rsid w:val="0C9767B6"/>
    <w:rsid w:val="0CA3F98E"/>
    <w:rsid w:val="0CAA92CA"/>
    <w:rsid w:val="0CAE0F44"/>
    <w:rsid w:val="0CAEEAE4"/>
    <w:rsid w:val="0CB106B5"/>
    <w:rsid w:val="0CB1BD37"/>
    <w:rsid w:val="0CB8497C"/>
    <w:rsid w:val="0CBAAA6E"/>
    <w:rsid w:val="0CC53083"/>
    <w:rsid w:val="0CC56F1F"/>
    <w:rsid w:val="0CCC03C8"/>
    <w:rsid w:val="0CD2B52B"/>
    <w:rsid w:val="0CDEFA74"/>
    <w:rsid w:val="0CE548AD"/>
    <w:rsid w:val="0CE828DA"/>
    <w:rsid w:val="0CEA96D8"/>
    <w:rsid w:val="0CF1C2E8"/>
    <w:rsid w:val="0CF48E91"/>
    <w:rsid w:val="0D0C9D5A"/>
    <w:rsid w:val="0D2214C9"/>
    <w:rsid w:val="0D28085C"/>
    <w:rsid w:val="0D295F50"/>
    <w:rsid w:val="0D324E00"/>
    <w:rsid w:val="0D3D5761"/>
    <w:rsid w:val="0D49B57E"/>
    <w:rsid w:val="0D5741FE"/>
    <w:rsid w:val="0D58DA40"/>
    <w:rsid w:val="0D68CA9A"/>
    <w:rsid w:val="0D6E7C82"/>
    <w:rsid w:val="0D75F60A"/>
    <w:rsid w:val="0D7EEBDF"/>
    <w:rsid w:val="0D803E23"/>
    <w:rsid w:val="0D84B6AA"/>
    <w:rsid w:val="0D873A13"/>
    <w:rsid w:val="0D9575E7"/>
    <w:rsid w:val="0DAD6DB8"/>
    <w:rsid w:val="0DC23087"/>
    <w:rsid w:val="0DC4D862"/>
    <w:rsid w:val="0DC72CD3"/>
    <w:rsid w:val="0DD1526F"/>
    <w:rsid w:val="0DD92C30"/>
    <w:rsid w:val="0DDCBB97"/>
    <w:rsid w:val="0DDDAD81"/>
    <w:rsid w:val="0DEDFC8D"/>
    <w:rsid w:val="0DF6CF62"/>
    <w:rsid w:val="0E02114B"/>
    <w:rsid w:val="0E0B8B89"/>
    <w:rsid w:val="0E15A81B"/>
    <w:rsid w:val="0E1F22E5"/>
    <w:rsid w:val="0E20F89A"/>
    <w:rsid w:val="0E2E0627"/>
    <w:rsid w:val="0E30E646"/>
    <w:rsid w:val="0E32E4F6"/>
    <w:rsid w:val="0E4038C2"/>
    <w:rsid w:val="0E41E366"/>
    <w:rsid w:val="0E43AC52"/>
    <w:rsid w:val="0E4C3F6E"/>
    <w:rsid w:val="0E542182"/>
    <w:rsid w:val="0E5FCC90"/>
    <w:rsid w:val="0E6849F5"/>
    <w:rsid w:val="0E83C93A"/>
    <w:rsid w:val="0E88AB99"/>
    <w:rsid w:val="0E9C48C5"/>
    <w:rsid w:val="0EA16D91"/>
    <w:rsid w:val="0EA21670"/>
    <w:rsid w:val="0EA43AD7"/>
    <w:rsid w:val="0EACF6F1"/>
    <w:rsid w:val="0EAD5715"/>
    <w:rsid w:val="0EAFA09C"/>
    <w:rsid w:val="0EB2B91E"/>
    <w:rsid w:val="0EB79EB4"/>
    <w:rsid w:val="0EC0C6BC"/>
    <w:rsid w:val="0EC27339"/>
    <w:rsid w:val="0EC2C1EF"/>
    <w:rsid w:val="0EC3A301"/>
    <w:rsid w:val="0EC5C819"/>
    <w:rsid w:val="0ED97282"/>
    <w:rsid w:val="0EDB11F3"/>
    <w:rsid w:val="0EEA886D"/>
    <w:rsid w:val="0F08C953"/>
    <w:rsid w:val="0F13B013"/>
    <w:rsid w:val="0F13D9E4"/>
    <w:rsid w:val="0F37C87B"/>
    <w:rsid w:val="0F3A13D7"/>
    <w:rsid w:val="0F4099E3"/>
    <w:rsid w:val="0F42A202"/>
    <w:rsid w:val="0F48817E"/>
    <w:rsid w:val="0F527AD0"/>
    <w:rsid w:val="0F536A47"/>
    <w:rsid w:val="0F57BE36"/>
    <w:rsid w:val="0F63B528"/>
    <w:rsid w:val="0F76A8B9"/>
    <w:rsid w:val="0F7A9FB2"/>
    <w:rsid w:val="0F9EE395"/>
    <w:rsid w:val="0FA2EC4B"/>
    <w:rsid w:val="0FA3D9F6"/>
    <w:rsid w:val="0FA8E21A"/>
    <w:rsid w:val="0FB975CF"/>
    <w:rsid w:val="0FBB56CC"/>
    <w:rsid w:val="0FD52F6B"/>
    <w:rsid w:val="0FE6B8E3"/>
    <w:rsid w:val="0FEBA672"/>
    <w:rsid w:val="0FF1E50B"/>
    <w:rsid w:val="0FF1FA29"/>
    <w:rsid w:val="0FF7B4A9"/>
    <w:rsid w:val="1004F451"/>
    <w:rsid w:val="100B6182"/>
    <w:rsid w:val="100CA040"/>
    <w:rsid w:val="1012AA82"/>
    <w:rsid w:val="101FBAD9"/>
    <w:rsid w:val="10208B79"/>
    <w:rsid w:val="102706FA"/>
    <w:rsid w:val="10292A25"/>
    <w:rsid w:val="10292EDB"/>
    <w:rsid w:val="10329EF7"/>
    <w:rsid w:val="10354C84"/>
    <w:rsid w:val="103E4483"/>
    <w:rsid w:val="104AC41E"/>
    <w:rsid w:val="104FFCAE"/>
    <w:rsid w:val="10519115"/>
    <w:rsid w:val="1065F155"/>
    <w:rsid w:val="10673866"/>
    <w:rsid w:val="106933CF"/>
    <w:rsid w:val="10729252"/>
    <w:rsid w:val="1089CA98"/>
    <w:rsid w:val="108D7010"/>
    <w:rsid w:val="10995AA2"/>
    <w:rsid w:val="10996797"/>
    <w:rsid w:val="109E0076"/>
    <w:rsid w:val="109E533A"/>
    <w:rsid w:val="10A1CA2A"/>
    <w:rsid w:val="10B0AB9F"/>
    <w:rsid w:val="10B6B32E"/>
    <w:rsid w:val="10B91EC7"/>
    <w:rsid w:val="10BB1943"/>
    <w:rsid w:val="10C0FFBD"/>
    <w:rsid w:val="10C71ABA"/>
    <w:rsid w:val="10D5606F"/>
    <w:rsid w:val="10D720AC"/>
    <w:rsid w:val="10DDEE4A"/>
    <w:rsid w:val="10EDA6E9"/>
    <w:rsid w:val="10F76A49"/>
    <w:rsid w:val="10FD1235"/>
    <w:rsid w:val="11016ED8"/>
    <w:rsid w:val="1103FF33"/>
    <w:rsid w:val="11143AFA"/>
    <w:rsid w:val="11161FF3"/>
    <w:rsid w:val="1120C95D"/>
    <w:rsid w:val="11234583"/>
    <w:rsid w:val="11259D4F"/>
    <w:rsid w:val="1150136C"/>
    <w:rsid w:val="1160C5EF"/>
    <w:rsid w:val="116369B9"/>
    <w:rsid w:val="11664831"/>
    <w:rsid w:val="11682CDC"/>
    <w:rsid w:val="11686106"/>
    <w:rsid w:val="1168DB18"/>
    <w:rsid w:val="117C08D1"/>
    <w:rsid w:val="1182E314"/>
    <w:rsid w:val="1186BAB7"/>
    <w:rsid w:val="118FB107"/>
    <w:rsid w:val="11958BCB"/>
    <w:rsid w:val="11ADE81C"/>
    <w:rsid w:val="11CA63DF"/>
    <w:rsid w:val="11CD111C"/>
    <w:rsid w:val="11D3214F"/>
    <w:rsid w:val="11DC575E"/>
    <w:rsid w:val="11EB4654"/>
    <w:rsid w:val="11F1A123"/>
    <w:rsid w:val="11FBAF97"/>
    <w:rsid w:val="1202918F"/>
    <w:rsid w:val="1202CFF3"/>
    <w:rsid w:val="120F1523"/>
    <w:rsid w:val="1224D355"/>
    <w:rsid w:val="1227BAF1"/>
    <w:rsid w:val="1228CCFC"/>
    <w:rsid w:val="122BDF64"/>
    <w:rsid w:val="123272EA"/>
    <w:rsid w:val="12348A1E"/>
    <w:rsid w:val="12362183"/>
    <w:rsid w:val="123B52B1"/>
    <w:rsid w:val="123DF26D"/>
    <w:rsid w:val="123F0C61"/>
    <w:rsid w:val="1240CCCA"/>
    <w:rsid w:val="1241C036"/>
    <w:rsid w:val="1241FE0C"/>
    <w:rsid w:val="12439A79"/>
    <w:rsid w:val="124AC6E2"/>
    <w:rsid w:val="12678447"/>
    <w:rsid w:val="126B9ECF"/>
    <w:rsid w:val="126CF976"/>
    <w:rsid w:val="126DD076"/>
    <w:rsid w:val="12719C41"/>
    <w:rsid w:val="12846B0B"/>
    <w:rsid w:val="1299CF98"/>
    <w:rsid w:val="129AAAFF"/>
    <w:rsid w:val="129B5F99"/>
    <w:rsid w:val="129FAE93"/>
    <w:rsid w:val="12A82528"/>
    <w:rsid w:val="12AD3D3E"/>
    <w:rsid w:val="12B22C63"/>
    <w:rsid w:val="12C9CEBA"/>
    <w:rsid w:val="12D47A95"/>
    <w:rsid w:val="12F01410"/>
    <w:rsid w:val="1302772D"/>
    <w:rsid w:val="13396E78"/>
    <w:rsid w:val="1341603D"/>
    <w:rsid w:val="134580F9"/>
    <w:rsid w:val="1346790E"/>
    <w:rsid w:val="13552652"/>
    <w:rsid w:val="13562AE7"/>
    <w:rsid w:val="1356DF05"/>
    <w:rsid w:val="1358A07D"/>
    <w:rsid w:val="1359EF1B"/>
    <w:rsid w:val="135C706A"/>
    <w:rsid w:val="1363D201"/>
    <w:rsid w:val="138B3386"/>
    <w:rsid w:val="13935E3D"/>
    <w:rsid w:val="13A03544"/>
    <w:rsid w:val="13A62870"/>
    <w:rsid w:val="13ABDC93"/>
    <w:rsid w:val="13B0FDA0"/>
    <w:rsid w:val="13B86B72"/>
    <w:rsid w:val="13BEB391"/>
    <w:rsid w:val="13D1639B"/>
    <w:rsid w:val="13D223CB"/>
    <w:rsid w:val="13D566B9"/>
    <w:rsid w:val="13D81440"/>
    <w:rsid w:val="13DD9881"/>
    <w:rsid w:val="13E2116A"/>
    <w:rsid w:val="13F53E94"/>
    <w:rsid w:val="13F7D8FE"/>
    <w:rsid w:val="13FAB794"/>
    <w:rsid w:val="13FF9770"/>
    <w:rsid w:val="140413FA"/>
    <w:rsid w:val="1412BB95"/>
    <w:rsid w:val="14176836"/>
    <w:rsid w:val="141CEFDF"/>
    <w:rsid w:val="142EC948"/>
    <w:rsid w:val="1431FA1B"/>
    <w:rsid w:val="143A4FB6"/>
    <w:rsid w:val="143C9F43"/>
    <w:rsid w:val="144AF23D"/>
    <w:rsid w:val="1453B4F1"/>
    <w:rsid w:val="145F2FFE"/>
    <w:rsid w:val="1469CE6F"/>
    <w:rsid w:val="146E5696"/>
    <w:rsid w:val="146E6A65"/>
    <w:rsid w:val="14786264"/>
    <w:rsid w:val="1480F39C"/>
    <w:rsid w:val="14817ED1"/>
    <w:rsid w:val="1489673F"/>
    <w:rsid w:val="148EE796"/>
    <w:rsid w:val="14912493"/>
    <w:rsid w:val="1496C75B"/>
    <w:rsid w:val="14978239"/>
    <w:rsid w:val="1498CD26"/>
    <w:rsid w:val="149CBCE8"/>
    <w:rsid w:val="149F4B9F"/>
    <w:rsid w:val="14A043B4"/>
    <w:rsid w:val="14A3798F"/>
    <w:rsid w:val="14A3E1F3"/>
    <w:rsid w:val="14A788E6"/>
    <w:rsid w:val="14A9500D"/>
    <w:rsid w:val="14ABE403"/>
    <w:rsid w:val="14ACEB3E"/>
    <w:rsid w:val="14B05F81"/>
    <w:rsid w:val="14BBF15A"/>
    <w:rsid w:val="14C5F63C"/>
    <w:rsid w:val="14D2FAD7"/>
    <w:rsid w:val="14D8482C"/>
    <w:rsid w:val="14D86C1F"/>
    <w:rsid w:val="14D987F8"/>
    <w:rsid w:val="14DCE94D"/>
    <w:rsid w:val="14E1EE5B"/>
    <w:rsid w:val="14EC2E6C"/>
    <w:rsid w:val="14F4193A"/>
    <w:rsid w:val="14F4AB3B"/>
    <w:rsid w:val="14F4C6DB"/>
    <w:rsid w:val="14F765D7"/>
    <w:rsid w:val="14FC4199"/>
    <w:rsid w:val="14FD3107"/>
    <w:rsid w:val="151747C3"/>
    <w:rsid w:val="151A6EE1"/>
    <w:rsid w:val="153BCA03"/>
    <w:rsid w:val="153FE60B"/>
    <w:rsid w:val="1542838E"/>
    <w:rsid w:val="154E3FF8"/>
    <w:rsid w:val="155DFDD9"/>
    <w:rsid w:val="1561214A"/>
    <w:rsid w:val="15622132"/>
    <w:rsid w:val="156898CB"/>
    <w:rsid w:val="156AA4CE"/>
    <w:rsid w:val="157F11FD"/>
    <w:rsid w:val="1581802F"/>
    <w:rsid w:val="158C70ED"/>
    <w:rsid w:val="158F021C"/>
    <w:rsid w:val="1596ADC9"/>
    <w:rsid w:val="159DF166"/>
    <w:rsid w:val="15A37ACC"/>
    <w:rsid w:val="15AA4454"/>
    <w:rsid w:val="15AB9929"/>
    <w:rsid w:val="15B13C31"/>
    <w:rsid w:val="15BA97D4"/>
    <w:rsid w:val="15BC235D"/>
    <w:rsid w:val="15C313A0"/>
    <w:rsid w:val="15CC26B7"/>
    <w:rsid w:val="15CD8D80"/>
    <w:rsid w:val="15D12338"/>
    <w:rsid w:val="15E3B4FD"/>
    <w:rsid w:val="15E5226D"/>
    <w:rsid w:val="15F69359"/>
    <w:rsid w:val="15F7D547"/>
    <w:rsid w:val="15F85EDA"/>
    <w:rsid w:val="160C1F0A"/>
    <w:rsid w:val="160F4E33"/>
    <w:rsid w:val="161ED97C"/>
    <w:rsid w:val="1620F6F6"/>
    <w:rsid w:val="165BD3E3"/>
    <w:rsid w:val="1666ACDD"/>
    <w:rsid w:val="16748533"/>
    <w:rsid w:val="1683028F"/>
    <w:rsid w:val="16859C33"/>
    <w:rsid w:val="1686487C"/>
    <w:rsid w:val="1687F5FA"/>
    <w:rsid w:val="168E7269"/>
    <w:rsid w:val="1699863A"/>
    <w:rsid w:val="16A72AB2"/>
    <w:rsid w:val="16B50CC1"/>
    <w:rsid w:val="16B6454C"/>
    <w:rsid w:val="16CEE4DE"/>
    <w:rsid w:val="16D2987B"/>
    <w:rsid w:val="16D30080"/>
    <w:rsid w:val="16DD3A6D"/>
    <w:rsid w:val="16E6BBA8"/>
    <w:rsid w:val="16EA95AD"/>
    <w:rsid w:val="16FE66D8"/>
    <w:rsid w:val="170A0FC3"/>
    <w:rsid w:val="17185300"/>
    <w:rsid w:val="174AB076"/>
    <w:rsid w:val="1753BFB4"/>
    <w:rsid w:val="17637555"/>
    <w:rsid w:val="17658A43"/>
    <w:rsid w:val="1768B452"/>
    <w:rsid w:val="17776F07"/>
    <w:rsid w:val="1777BFFB"/>
    <w:rsid w:val="17829E29"/>
    <w:rsid w:val="1785488B"/>
    <w:rsid w:val="17879558"/>
    <w:rsid w:val="17AB2503"/>
    <w:rsid w:val="17ACFBB0"/>
    <w:rsid w:val="17B1683B"/>
    <w:rsid w:val="17B6623C"/>
    <w:rsid w:val="17BC90F4"/>
    <w:rsid w:val="17BFD8C4"/>
    <w:rsid w:val="17D8D24C"/>
    <w:rsid w:val="17E06150"/>
    <w:rsid w:val="17E2B3B7"/>
    <w:rsid w:val="17F5D54B"/>
    <w:rsid w:val="1818989B"/>
    <w:rsid w:val="182BB18B"/>
    <w:rsid w:val="182E9A7F"/>
    <w:rsid w:val="183836E5"/>
    <w:rsid w:val="1839D217"/>
    <w:rsid w:val="18425E8B"/>
    <w:rsid w:val="18435495"/>
    <w:rsid w:val="184E8591"/>
    <w:rsid w:val="185851E3"/>
    <w:rsid w:val="1859E363"/>
    <w:rsid w:val="1867F07A"/>
    <w:rsid w:val="18690E5E"/>
    <w:rsid w:val="1869B9AA"/>
    <w:rsid w:val="18715326"/>
    <w:rsid w:val="187A8FE2"/>
    <w:rsid w:val="187EE80E"/>
    <w:rsid w:val="1880C59C"/>
    <w:rsid w:val="188B064A"/>
    <w:rsid w:val="1896B54E"/>
    <w:rsid w:val="18B279BA"/>
    <w:rsid w:val="18B57983"/>
    <w:rsid w:val="18C0D3AF"/>
    <w:rsid w:val="18D110C1"/>
    <w:rsid w:val="18D23121"/>
    <w:rsid w:val="18D6964A"/>
    <w:rsid w:val="18DB7060"/>
    <w:rsid w:val="18E31537"/>
    <w:rsid w:val="18E718DD"/>
    <w:rsid w:val="18F3427B"/>
    <w:rsid w:val="18F6B7C7"/>
    <w:rsid w:val="18FBC7E7"/>
    <w:rsid w:val="190DFCBD"/>
    <w:rsid w:val="1913DD97"/>
    <w:rsid w:val="19287F33"/>
    <w:rsid w:val="192D22B1"/>
    <w:rsid w:val="194D31FE"/>
    <w:rsid w:val="195EBAB7"/>
    <w:rsid w:val="1960A468"/>
    <w:rsid w:val="19842602"/>
    <w:rsid w:val="198FDA23"/>
    <w:rsid w:val="199C705A"/>
    <w:rsid w:val="19A58DC9"/>
    <w:rsid w:val="19A6ED67"/>
    <w:rsid w:val="19B19CA9"/>
    <w:rsid w:val="19BDE6EA"/>
    <w:rsid w:val="19CCB355"/>
    <w:rsid w:val="19CEDEBF"/>
    <w:rsid w:val="19D960C4"/>
    <w:rsid w:val="19F3D9F1"/>
    <w:rsid w:val="19F6EC55"/>
    <w:rsid w:val="19F745AD"/>
    <w:rsid w:val="19FA2556"/>
    <w:rsid w:val="19FC6169"/>
    <w:rsid w:val="1A059D06"/>
    <w:rsid w:val="1A15FFE8"/>
    <w:rsid w:val="1A18A2C8"/>
    <w:rsid w:val="1A28FE05"/>
    <w:rsid w:val="1A2A4EA0"/>
    <w:rsid w:val="1A2AE947"/>
    <w:rsid w:val="1A2CF46E"/>
    <w:rsid w:val="1A374E72"/>
    <w:rsid w:val="1A377C18"/>
    <w:rsid w:val="1A42F799"/>
    <w:rsid w:val="1A452928"/>
    <w:rsid w:val="1A6D2FF8"/>
    <w:rsid w:val="1A7587AD"/>
    <w:rsid w:val="1A7846B6"/>
    <w:rsid w:val="1A7C292B"/>
    <w:rsid w:val="1A7DA065"/>
    <w:rsid w:val="1A7DD63F"/>
    <w:rsid w:val="1A7FB7AD"/>
    <w:rsid w:val="1A83D866"/>
    <w:rsid w:val="1A8C531E"/>
    <w:rsid w:val="1A8F792D"/>
    <w:rsid w:val="1A928866"/>
    <w:rsid w:val="1A9BC0B3"/>
    <w:rsid w:val="1AA148A3"/>
    <w:rsid w:val="1AA151A8"/>
    <w:rsid w:val="1AA33620"/>
    <w:rsid w:val="1AADABB7"/>
    <w:rsid w:val="1AB50C4B"/>
    <w:rsid w:val="1AB8CEA0"/>
    <w:rsid w:val="1ABFEC36"/>
    <w:rsid w:val="1AC6BE04"/>
    <w:rsid w:val="1ACD0A3C"/>
    <w:rsid w:val="1ACF03C1"/>
    <w:rsid w:val="1AD082CD"/>
    <w:rsid w:val="1AD591BE"/>
    <w:rsid w:val="1AD9C1BA"/>
    <w:rsid w:val="1ADA9F71"/>
    <w:rsid w:val="1AE09295"/>
    <w:rsid w:val="1AED6426"/>
    <w:rsid w:val="1AEF6514"/>
    <w:rsid w:val="1AEFA56E"/>
    <w:rsid w:val="1AF02C5A"/>
    <w:rsid w:val="1B0F98A5"/>
    <w:rsid w:val="1B1039E7"/>
    <w:rsid w:val="1B17FBAC"/>
    <w:rsid w:val="1B227F7A"/>
    <w:rsid w:val="1B24B916"/>
    <w:rsid w:val="1B3E2762"/>
    <w:rsid w:val="1B4144C3"/>
    <w:rsid w:val="1B437620"/>
    <w:rsid w:val="1B57771E"/>
    <w:rsid w:val="1B57B16D"/>
    <w:rsid w:val="1B57B9BA"/>
    <w:rsid w:val="1B581C7B"/>
    <w:rsid w:val="1B5FFB1B"/>
    <w:rsid w:val="1B632630"/>
    <w:rsid w:val="1B694A71"/>
    <w:rsid w:val="1B69CFD8"/>
    <w:rsid w:val="1B7A2DB0"/>
    <w:rsid w:val="1B7B9271"/>
    <w:rsid w:val="1B872FCF"/>
    <w:rsid w:val="1B8889FD"/>
    <w:rsid w:val="1B8E5B3B"/>
    <w:rsid w:val="1B9180EF"/>
    <w:rsid w:val="1B93C6C6"/>
    <w:rsid w:val="1BA0AD65"/>
    <w:rsid w:val="1BA391C1"/>
    <w:rsid w:val="1BABCDC8"/>
    <w:rsid w:val="1BAE3A7A"/>
    <w:rsid w:val="1BB26005"/>
    <w:rsid w:val="1BB84099"/>
    <w:rsid w:val="1BB8423E"/>
    <w:rsid w:val="1BB97C06"/>
    <w:rsid w:val="1BF1A522"/>
    <w:rsid w:val="1BF9F222"/>
    <w:rsid w:val="1BFE4A89"/>
    <w:rsid w:val="1C085246"/>
    <w:rsid w:val="1C1A2C0E"/>
    <w:rsid w:val="1C1C9AAE"/>
    <w:rsid w:val="1C1E6CA7"/>
    <w:rsid w:val="1C313707"/>
    <w:rsid w:val="1C3419EB"/>
    <w:rsid w:val="1C35CE6F"/>
    <w:rsid w:val="1C3A22E5"/>
    <w:rsid w:val="1C412611"/>
    <w:rsid w:val="1C423817"/>
    <w:rsid w:val="1C45A24B"/>
    <w:rsid w:val="1C524270"/>
    <w:rsid w:val="1C542D1D"/>
    <w:rsid w:val="1C563540"/>
    <w:rsid w:val="1C57418F"/>
    <w:rsid w:val="1C5B4555"/>
    <w:rsid w:val="1C5CA8F7"/>
    <w:rsid w:val="1C615BF8"/>
    <w:rsid w:val="1C61E2C1"/>
    <w:rsid w:val="1C63BCBB"/>
    <w:rsid w:val="1C7EC7DD"/>
    <w:rsid w:val="1C85C7A3"/>
    <w:rsid w:val="1C8F42F4"/>
    <w:rsid w:val="1C98E2FB"/>
    <w:rsid w:val="1CA12BBA"/>
    <w:rsid w:val="1CACBC50"/>
    <w:rsid w:val="1CB2500C"/>
    <w:rsid w:val="1CB54F4D"/>
    <w:rsid w:val="1CBB8F78"/>
    <w:rsid w:val="1CC118F0"/>
    <w:rsid w:val="1CC4BFD7"/>
    <w:rsid w:val="1CCFC996"/>
    <w:rsid w:val="1CD5E8F9"/>
    <w:rsid w:val="1CE44506"/>
    <w:rsid w:val="1CE48558"/>
    <w:rsid w:val="1CF06666"/>
    <w:rsid w:val="1CF77EAD"/>
    <w:rsid w:val="1CFE261E"/>
    <w:rsid w:val="1D1A6061"/>
    <w:rsid w:val="1D1ADC48"/>
    <w:rsid w:val="1D2E7A3A"/>
    <w:rsid w:val="1D302FC3"/>
    <w:rsid w:val="1D306775"/>
    <w:rsid w:val="1D38378D"/>
    <w:rsid w:val="1D3B4A1B"/>
    <w:rsid w:val="1D46E7B0"/>
    <w:rsid w:val="1D55A9BF"/>
    <w:rsid w:val="1D59CE48"/>
    <w:rsid w:val="1D5C437A"/>
    <w:rsid w:val="1D65FC69"/>
    <w:rsid w:val="1D6B91B7"/>
    <w:rsid w:val="1D6BF17B"/>
    <w:rsid w:val="1D6E3FFF"/>
    <w:rsid w:val="1D6F156C"/>
    <w:rsid w:val="1D741CD2"/>
    <w:rsid w:val="1D780BFA"/>
    <w:rsid w:val="1D7D0655"/>
    <w:rsid w:val="1D850F16"/>
    <w:rsid w:val="1D8E098B"/>
    <w:rsid w:val="1D90A5BA"/>
    <w:rsid w:val="1DB5DB67"/>
    <w:rsid w:val="1DC77D8F"/>
    <w:rsid w:val="1DCD261C"/>
    <w:rsid w:val="1DD84E06"/>
    <w:rsid w:val="1DDDAE7F"/>
    <w:rsid w:val="1DE1EA59"/>
    <w:rsid w:val="1DF01853"/>
    <w:rsid w:val="1DF8C901"/>
    <w:rsid w:val="1DFD90B1"/>
    <w:rsid w:val="1E049194"/>
    <w:rsid w:val="1E1293AE"/>
    <w:rsid w:val="1E1611A5"/>
    <w:rsid w:val="1E1782DE"/>
    <w:rsid w:val="1E17B0D3"/>
    <w:rsid w:val="1E182B44"/>
    <w:rsid w:val="1E1C5C88"/>
    <w:rsid w:val="1E25F789"/>
    <w:rsid w:val="1E2A6967"/>
    <w:rsid w:val="1E378E34"/>
    <w:rsid w:val="1E3B937B"/>
    <w:rsid w:val="1E4232F1"/>
    <w:rsid w:val="1E426B52"/>
    <w:rsid w:val="1E43F919"/>
    <w:rsid w:val="1E5501BF"/>
    <w:rsid w:val="1E5DB734"/>
    <w:rsid w:val="1E5E6224"/>
    <w:rsid w:val="1E716965"/>
    <w:rsid w:val="1E71D7EC"/>
    <w:rsid w:val="1E80D929"/>
    <w:rsid w:val="1E837F27"/>
    <w:rsid w:val="1E877EAA"/>
    <w:rsid w:val="1E8F1AF3"/>
    <w:rsid w:val="1EABAD9D"/>
    <w:rsid w:val="1EB1EFAD"/>
    <w:rsid w:val="1EB23626"/>
    <w:rsid w:val="1EB5ED16"/>
    <w:rsid w:val="1ECA81B6"/>
    <w:rsid w:val="1ECCBB62"/>
    <w:rsid w:val="1EDB2D30"/>
    <w:rsid w:val="1EDBB5A1"/>
    <w:rsid w:val="1EE5AD83"/>
    <w:rsid w:val="1EF19321"/>
    <w:rsid w:val="1F08DDEC"/>
    <w:rsid w:val="1F0E8EA4"/>
    <w:rsid w:val="1F147A0D"/>
    <w:rsid w:val="1F22ABC7"/>
    <w:rsid w:val="1F2B2C3C"/>
    <w:rsid w:val="1F34E0F4"/>
    <w:rsid w:val="1F39BD11"/>
    <w:rsid w:val="1F3F11B3"/>
    <w:rsid w:val="1F5EBFFB"/>
    <w:rsid w:val="1F7159A5"/>
    <w:rsid w:val="1F767664"/>
    <w:rsid w:val="1F789515"/>
    <w:rsid w:val="1F7DB12E"/>
    <w:rsid w:val="1F86C85B"/>
    <w:rsid w:val="1F872454"/>
    <w:rsid w:val="1F93CCA3"/>
    <w:rsid w:val="1FA04945"/>
    <w:rsid w:val="1FA2E67B"/>
    <w:rsid w:val="1FAB33D1"/>
    <w:rsid w:val="1FBAA024"/>
    <w:rsid w:val="1FCC13CE"/>
    <w:rsid w:val="1FCD900A"/>
    <w:rsid w:val="1FD37CFA"/>
    <w:rsid w:val="1FDD0389"/>
    <w:rsid w:val="1FE6F2DD"/>
    <w:rsid w:val="1FEB69A7"/>
    <w:rsid w:val="2002502D"/>
    <w:rsid w:val="20168E1B"/>
    <w:rsid w:val="20209132"/>
    <w:rsid w:val="2023C3CA"/>
    <w:rsid w:val="2025C2B4"/>
    <w:rsid w:val="2026E24E"/>
    <w:rsid w:val="2027D005"/>
    <w:rsid w:val="20365EB1"/>
    <w:rsid w:val="20386C6F"/>
    <w:rsid w:val="204AD2D1"/>
    <w:rsid w:val="204DC72C"/>
    <w:rsid w:val="204E10D0"/>
    <w:rsid w:val="205CA7AB"/>
    <w:rsid w:val="205EF326"/>
    <w:rsid w:val="20635F8F"/>
    <w:rsid w:val="206DBF90"/>
    <w:rsid w:val="2073EB60"/>
    <w:rsid w:val="207667C0"/>
    <w:rsid w:val="207B3FD3"/>
    <w:rsid w:val="208180C3"/>
    <w:rsid w:val="20975467"/>
    <w:rsid w:val="2098E642"/>
    <w:rsid w:val="209B172C"/>
    <w:rsid w:val="20B2C8E9"/>
    <w:rsid w:val="20BC979D"/>
    <w:rsid w:val="20BEA88A"/>
    <w:rsid w:val="20D0E655"/>
    <w:rsid w:val="20DBCA4E"/>
    <w:rsid w:val="20EB2DD9"/>
    <w:rsid w:val="20EB3B38"/>
    <w:rsid w:val="20F1472E"/>
    <w:rsid w:val="20F2A2EE"/>
    <w:rsid w:val="21086105"/>
    <w:rsid w:val="21122F88"/>
    <w:rsid w:val="211AD383"/>
    <w:rsid w:val="2129C52F"/>
    <w:rsid w:val="212FAD1A"/>
    <w:rsid w:val="213AC41B"/>
    <w:rsid w:val="21438273"/>
    <w:rsid w:val="21476938"/>
    <w:rsid w:val="21489C5B"/>
    <w:rsid w:val="215ADF4A"/>
    <w:rsid w:val="21603B20"/>
    <w:rsid w:val="2163CCD8"/>
    <w:rsid w:val="2165C835"/>
    <w:rsid w:val="21667E39"/>
    <w:rsid w:val="21695F0B"/>
    <w:rsid w:val="2175CAFC"/>
    <w:rsid w:val="218ADE7F"/>
    <w:rsid w:val="218B78FE"/>
    <w:rsid w:val="21956522"/>
    <w:rsid w:val="21AF5291"/>
    <w:rsid w:val="21B06552"/>
    <w:rsid w:val="21B5F201"/>
    <w:rsid w:val="21D45B74"/>
    <w:rsid w:val="21D9DEEA"/>
    <w:rsid w:val="21DC0999"/>
    <w:rsid w:val="21E25CD5"/>
    <w:rsid w:val="21F418C4"/>
    <w:rsid w:val="21F5B366"/>
    <w:rsid w:val="21FA0DC2"/>
    <w:rsid w:val="21FB4BE8"/>
    <w:rsid w:val="21FC5C62"/>
    <w:rsid w:val="220F2476"/>
    <w:rsid w:val="2213A33E"/>
    <w:rsid w:val="221B479A"/>
    <w:rsid w:val="221CC45E"/>
    <w:rsid w:val="22232526"/>
    <w:rsid w:val="2223F590"/>
    <w:rsid w:val="222648C3"/>
    <w:rsid w:val="2231B48B"/>
    <w:rsid w:val="22377062"/>
    <w:rsid w:val="22390A57"/>
    <w:rsid w:val="224B14EE"/>
    <w:rsid w:val="225250A4"/>
    <w:rsid w:val="2270B264"/>
    <w:rsid w:val="227BD92D"/>
    <w:rsid w:val="2282AAA9"/>
    <w:rsid w:val="22856906"/>
    <w:rsid w:val="2285EED5"/>
    <w:rsid w:val="22891040"/>
    <w:rsid w:val="228DDDD9"/>
    <w:rsid w:val="22900B22"/>
    <w:rsid w:val="2297D31C"/>
    <w:rsid w:val="229F1BB4"/>
    <w:rsid w:val="22A18ABB"/>
    <w:rsid w:val="22B036BD"/>
    <w:rsid w:val="22BAC414"/>
    <w:rsid w:val="22C14C59"/>
    <w:rsid w:val="22C24CDF"/>
    <w:rsid w:val="22CD6EA7"/>
    <w:rsid w:val="22DD31AC"/>
    <w:rsid w:val="22E564BB"/>
    <w:rsid w:val="22F168CB"/>
    <w:rsid w:val="22F16A43"/>
    <w:rsid w:val="22F1986F"/>
    <w:rsid w:val="22F2DEB0"/>
    <w:rsid w:val="22FA653E"/>
    <w:rsid w:val="23032E99"/>
    <w:rsid w:val="230E0EF7"/>
    <w:rsid w:val="23130B49"/>
    <w:rsid w:val="2315B839"/>
    <w:rsid w:val="23278F0C"/>
    <w:rsid w:val="232C301D"/>
    <w:rsid w:val="23407165"/>
    <w:rsid w:val="2341DCB9"/>
    <w:rsid w:val="2344492D"/>
    <w:rsid w:val="234C46FD"/>
    <w:rsid w:val="2352DA2A"/>
    <w:rsid w:val="235E7AC8"/>
    <w:rsid w:val="23704722"/>
    <w:rsid w:val="23777FB2"/>
    <w:rsid w:val="237EE2FA"/>
    <w:rsid w:val="2385F9A1"/>
    <w:rsid w:val="239F8896"/>
    <w:rsid w:val="23A1B19E"/>
    <w:rsid w:val="23AE0393"/>
    <w:rsid w:val="23B6D901"/>
    <w:rsid w:val="23B6EFC0"/>
    <w:rsid w:val="23BD3011"/>
    <w:rsid w:val="23D6FC02"/>
    <w:rsid w:val="23DAB336"/>
    <w:rsid w:val="23DBF01D"/>
    <w:rsid w:val="23DCA569"/>
    <w:rsid w:val="23FD4057"/>
    <w:rsid w:val="23FE97D1"/>
    <w:rsid w:val="24055493"/>
    <w:rsid w:val="2407FA1E"/>
    <w:rsid w:val="2409B76D"/>
    <w:rsid w:val="241C255D"/>
    <w:rsid w:val="2438751D"/>
    <w:rsid w:val="24404843"/>
    <w:rsid w:val="2451946E"/>
    <w:rsid w:val="245875EE"/>
    <w:rsid w:val="24650ECE"/>
    <w:rsid w:val="24692516"/>
    <w:rsid w:val="247E0B2F"/>
    <w:rsid w:val="248371D2"/>
    <w:rsid w:val="248378CE"/>
    <w:rsid w:val="2487DD0B"/>
    <w:rsid w:val="249466CA"/>
    <w:rsid w:val="24A3D4FD"/>
    <w:rsid w:val="24A8D3AC"/>
    <w:rsid w:val="24AFE0AD"/>
    <w:rsid w:val="24B84964"/>
    <w:rsid w:val="24C15DF2"/>
    <w:rsid w:val="24C68EDF"/>
    <w:rsid w:val="24C85589"/>
    <w:rsid w:val="24CA9F10"/>
    <w:rsid w:val="24CBE304"/>
    <w:rsid w:val="24DCCCE0"/>
    <w:rsid w:val="24E0DBDE"/>
    <w:rsid w:val="24E4F8F2"/>
    <w:rsid w:val="24EC4C68"/>
    <w:rsid w:val="24F8457D"/>
    <w:rsid w:val="24F98DC9"/>
    <w:rsid w:val="24FB2D8F"/>
    <w:rsid w:val="25292125"/>
    <w:rsid w:val="2533D47D"/>
    <w:rsid w:val="2536B29B"/>
    <w:rsid w:val="25372AB7"/>
    <w:rsid w:val="253D3551"/>
    <w:rsid w:val="2541A214"/>
    <w:rsid w:val="2551E8B0"/>
    <w:rsid w:val="2557E3DD"/>
    <w:rsid w:val="255D5277"/>
    <w:rsid w:val="2561D724"/>
    <w:rsid w:val="2563E772"/>
    <w:rsid w:val="25688388"/>
    <w:rsid w:val="256B5B86"/>
    <w:rsid w:val="256D1B18"/>
    <w:rsid w:val="25704E86"/>
    <w:rsid w:val="25743138"/>
    <w:rsid w:val="25895BC7"/>
    <w:rsid w:val="2589986B"/>
    <w:rsid w:val="2594FA3F"/>
    <w:rsid w:val="25AD89AB"/>
    <w:rsid w:val="25BC3D01"/>
    <w:rsid w:val="25C394A1"/>
    <w:rsid w:val="25C52E66"/>
    <w:rsid w:val="25C5FDC5"/>
    <w:rsid w:val="25CB8F91"/>
    <w:rsid w:val="25DB7353"/>
    <w:rsid w:val="25DFCFEB"/>
    <w:rsid w:val="25E1FCF6"/>
    <w:rsid w:val="25E533CC"/>
    <w:rsid w:val="25F23540"/>
    <w:rsid w:val="25F4B33B"/>
    <w:rsid w:val="25FCE14F"/>
    <w:rsid w:val="2602577E"/>
    <w:rsid w:val="2602F929"/>
    <w:rsid w:val="260B85AF"/>
    <w:rsid w:val="260BD8F7"/>
    <w:rsid w:val="261B8E0C"/>
    <w:rsid w:val="262170C3"/>
    <w:rsid w:val="262C72E6"/>
    <w:rsid w:val="263EEFCA"/>
    <w:rsid w:val="263FAF21"/>
    <w:rsid w:val="26581041"/>
    <w:rsid w:val="266A00C2"/>
    <w:rsid w:val="266BE4DA"/>
    <w:rsid w:val="266E0055"/>
    <w:rsid w:val="2671614C"/>
    <w:rsid w:val="26734050"/>
    <w:rsid w:val="267CBE96"/>
    <w:rsid w:val="267D6DD3"/>
    <w:rsid w:val="2681628D"/>
    <w:rsid w:val="2684042C"/>
    <w:rsid w:val="2687FAA8"/>
    <w:rsid w:val="26964020"/>
    <w:rsid w:val="2698A03D"/>
    <w:rsid w:val="26A186E4"/>
    <w:rsid w:val="26C78256"/>
    <w:rsid w:val="26CF7CBC"/>
    <w:rsid w:val="26D39947"/>
    <w:rsid w:val="26DB874E"/>
    <w:rsid w:val="26E3764A"/>
    <w:rsid w:val="26EF74F4"/>
    <w:rsid w:val="26F5F1F3"/>
    <w:rsid w:val="26F720DF"/>
    <w:rsid w:val="26FB664B"/>
    <w:rsid w:val="2706E7DB"/>
    <w:rsid w:val="270A28B4"/>
    <w:rsid w:val="270AAFA1"/>
    <w:rsid w:val="270B600A"/>
    <w:rsid w:val="27140599"/>
    <w:rsid w:val="272493A6"/>
    <w:rsid w:val="27272886"/>
    <w:rsid w:val="2729B74F"/>
    <w:rsid w:val="272E7674"/>
    <w:rsid w:val="2730AD52"/>
    <w:rsid w:val="2734B9B8"/>
    <w:rsid w:val="27549D0F"/>
    <w:rsid w:val="275772E1"/>
    <w:rsid w:val="27580D62"/>
    <w:rsid w:val="27590654"/>
    <w:rsid w:val="275EE86E"/>
    <w:rsid w:val="276D11B1"/>
    <w:rsid w:val="27725700"/>
    <w:rsid w:val="2772C8BD"/>
    <w:rsid w:val="27779236"/>
    <w:rsid w:val="277F69FE"/>
    <w:rsid w:val="2780C077"/>
    <w:rsid w:val="27812CC6"/>
    <w:rsid w:val="279082D0"/>
    <w:rsid w:val="2796E0A5"/>
    <w:rsid w:val="279AF48E"/>
    <w:rsid w:val="27A352AE"/>
    <w:rsid w:val="27B74383"/>
    <w:rsid w:val="27BC4F96"/>
    <w:rsid w:val="27CA0D53"/>
    <w:rsid w:val="27D9C889"/>
    <w:rsid w:val="27E64330"/>
    <w:rsid w:val="27F5821E"/>
    <w:rsid w:val="27FA7611"/>
    <w:rsid w:val="27FCE489"/>
    <w:rsid w:val="2806FD65"/>
    <w:rsid w:val="2808B692"/>
    <w:rsid w:val="2817CE3A"/>
    <w:rsid w:val="282EED88"/>
    <w:rsid w:val="282F81A5"/>
    <w:rsid w:val="283E2D55"/>
    <w:rsid w:val="283F439D"/>
    <w:rsid w:val="28473E03"/>
    <w:rsid w:val="284F653F"/>
    <w:rsid w:val="284F6FDC"/>
    <w:rsid w:val="28558EB0"/>
    <w:rsid w:val="287E4D23"/>
    <w:rsid w:val="28807C67"/>
    <w:rsid w:val="2881C7A3"/>
    <w:rsid w:val="28908EDD"/>
    <w:rsid w:val="289ED516"/>
    <w:rsid w:val="28A04F4B"/>
    <w:rsid w:val="28A6971D"/>
    <w:rsid w:val="28BBD99C"/>
    <w:rsid w:val="28CA95EE"/>
    <w:rsid w:val="28D5D7D6"/>
    <w:rsid w:val="28E50BA9"/>
    <w:rsid w:val="28ED19FF"/>
    <w:rsid w:val="28EFA207"/>
    <w:rsid w:val="28F2258E"/>
    <w:rsid w:val="28F23B82"/>
    <w:rsid w:val="290F6879"/>
    <w:rsid w:val="291779C2"/>
    <w:rsid w:val="291AD301"/>
    <w:rsid w:val="2921FB53"/>
    <w:rsid w:val="29229F0D"/>
    <w:rsid w:val="29289452"/>
    <w:rsid w:val="29331E9D"/>
    <w:rsid w:val="29363A82"/>
    <w:rsid w:val="29387F2B"/>
    <w:rsid w:val="293B700A"/>
    <w:rsid w:val="294BB974"/>
    <w:rsid w:val="294FD422"/>
    <w:rsid w:val="2953BC02"/>
    <w:rsid w:val="29637AA7"/>
    <w:rsid w:val="2965CCBC"/>
    <w:rsid w:val="29695267"/>
    <w:rsid w:val="2978190F"/>
    <w:rsid w:val="297A117C"/>
    <w:rsid w:val="299357FF"/>
    <w:rsid w:val="299ADFA1"/>
    <w:rsid w:val="299E1136"/>
    <w:rsid w:val="29AB0CD8"/>
    <w:rsid w:val="29B2826D"/>
    <w:rsid w:val="29B33AD8"/>
    <w:rsid w:val="29BA84E1"/>
    <w:rsid w:val="29C629E9"/>
    <w:rsid w:val="29C777B6"/>
    <w:rsid w:val="29C988C8"/>
    <w:rsid w:val="29D40B31"/>
    <w:rsid w:val="29DCF14E"/>
    <w:rsid w:val="29E41FD8"/>
    <w:rsid w:val="29E98D9B"/>
    <w:rsid w:val="29F8A0B5"/>
    <w:rsid w:val="29FDC832"/>
    <w:rsid w:val="2A060BB2"/>
    <w:rsid w:val="2A084537"/>
    <w:rsid w:val="2A165829"/>
    <w:rsid w:val="2A1E2E6A"/>
    <w:rsid w:val="2A2A5DAE"/>
    <w:rsid w:val="2A312211"/>
    <w:rsid w:val="2A41499A"/>
    <w:rsid w:val="2A444374"/>
    <w:rsid w:val="2A50CD9B"/>
    <w:rsid w:val="2A5D9F0C"/>
    <w:rsid w:val="2A6126AB"/>
    <w:rsid w:val="2A6C51C1"/>
    <w:rsid w:val="2A73D2D4"/>
    <w:rsid w:val="2A745494"/>
    <w:rsid w:val="2A753DA6"/>
    <w:rsid w:val="2A8369F6"/>
    <w:rsid w:val="2A8C365D"/>
    <w:rsid w:val="2AA14F5D"/>
    <w:rsid w:val="2AA72BB1"/>
    <w:rsid w:val="2AA7DF52"/>
    <w:rsid w:val="2AAD45D3"/>
    <w:rsid w:val="2AB2BC4F"/>
    <w:rsid w:val="2AB2F8D7"/>
    <w:rsid w:val="2AC60787"/>
    <w:rsid w:val="2AC7FB1C"/>
    <w:rsid w:val="2AE375D3"/>
    <w:rsid w:val="2AED82EA"/>
    <w:rsid w:val="2AFFF986"/>
    <w:rsid w:val="2B106BE8"/>
    <w:rsid w:val="2B154491"/>
    <w:rsid w:val="2B1DB7C3"/>
    <w:rsid w:val="2B25A6C5"/>
    <w:rsid w:val="2B290397"/>
    <w:rsid w:val="2B2EDD58"/>
    <w:rsid w:val="2B37FE0A"/>
    <w:rsid w:val="2B3E1F2D"/>
    <w:rsid w:val="2B46D4C6"/>
    <w:rsid w:val="2B4A995E"/>
    <w:rsid w:val="2B4BD904"/>
    <w:rsid w:val="2B52F307"/>
    <w:rsid w:val="2B599222"/>
    <w:rsid w:val="2B6AC8BB"/>
    <w:rsid w:val="2B753CF0"/>
    <w:rsid w:val="2B76ECC4"/>
    <w:rsid w:val="2B813B36"/>
    <w:rsid w:val="2B86E88F"/>
    <w:rsid w:val="2B8DC73B"/>
    <w:rsid w:val="2B9BDFE3"/>
    <w:rsid w:val="2BA586FB"/>
    <w:rsid w:val="2BA95169"/>
    <w:rsid w:val="2BB82EE6"/>
    <w:rsid w:val="2BBA00AF"/>
    <w:rsid w:val="2BC4B42A"/>
    <w:rsid w:val="2BCA3374"/>
    <w:rsid w:val="2BCBF3C7"/>
    <w:rsid w:val="2BDEC18F"/>
    <w:rsid w:val="2BE74D04"/>
    <w:rsid w:val="2BFFE7E0"/>
    <w:rsid w:val="2C09E682"/>
    <w:rsid w:val="2C108D06"/>
    <w:rsid w:val="2C1A5757"/>
    <w:rsid w:val="2C3ABA0A"/>
    <w:rsid w:val="2C584518"/>
    <w:rsid w:val="2C6496B5"/>
    <w:rsid w:val="2C697C87"/>
    <w:rsid w:val="2C6EAC32"/>
    <w:rsid w:val="2C738A4E"/>
    <w:rsid w:val="2C74D2A7"/>
    <w:rsid w:val="2C7A030F"/>
    <w:rsid w:val="2C85F58D"/>
    <w:rsid w:val="2C90D6C0"/>
    <w:rsid w:val="2C94EA6F"/>
    <w:rsid w:val="2C964C7C"/>
    <w:rsid w:val="2CA1F696"/>
    <w:rsid w:val="2CA3B593"/>
    <w:rsid w:val="2CB2BD6D"/>
    <w:rsid w:val="2CB75F65"/>
    <w:rsid w:val="2CB8E1CF"/>
    <w:rsid w:val="2CBB2E44"/>
    <w:rsid w:val="2CC1B2D6"/>
    <w:rsid w:val="2CC323BE"/>
    <w:rsid w:val="2CC4DDBC"/>
    <w:rsid w:val="2CD92342"/>
    <w:rsid w:val="2CDBE429"/>
    <w:rsid w:val="2CDC95C1"/>
    <w:rsid w:val="2CDE9BAC"/>
    <w:rsid w:val="2CE4895B"/>
    <w:rsid w:val="2CE649A6"/>
    <w:rsid w:val="2CE64B6D"/>
    <w:rsid w:val="2CF305BC"/>
    <w:rsid w:val="2CF30D47"/>
    <w:rsid w:val="2CF36E77"/>
    <w:rsid w:val="2CF9E72E"/>
    <w:rsid w:val="2D058F3C"/>
    <w:rsid w:val="2D128425"/>
    <w:rsid w:val="2D130502"/>
    <w:rsid w:val="2D1B368B"/>
    <w:rsid w:val="2D1CC983"/>
    <w:rsid w:val="2D235E2D"/>
    <w:rsid w:val="2D252D1E"/>
    <w:rsid w:val="2D3AF2FB"/>
    <w:rsid w:val="2D3BD11D"/>
    <w:rsid w:val="2D3C8190"/>
    <w:rsid w:val="2D420476"/>
    <w:rsid w:val="2D555CDC"/>
    <w:rsid w:val="2D5A0EC8"/>
    <w:rsid w:val="2D5B6279"/>
    <w:rsid w:val="2D5BEC3F"/>
    <w:rsid w:val="2D65B282"/>
    <w:rsid w:val="2D6B2567"/>
    <w:rsid w:val="2D8704DD"/>
    <w:rsid w:val="2D8CB1B9"/>
    <w:rsid w:val="2D910042"/>
    <w:rsid w:val="2DA0411C"/>
    <w:rsid w:val="2DA3712E"/>
    <w:rsid w:val="2DA6DC79"/>
    <w:rsid w:val="2DA9ED4D"/>
    <w:rsid w:val="2DAC2B6A"/>
    <w:rsid w:val="2DADEE5A"/>
    <w:rsid w:val="2DB5F3B9"/>
    <w:rsid w:val="2DB866D6"/>
    <w:rsid w:val="2DBC71B3"/>
    <w:rsid w:val="2DC35AEB"/>
    <w:rsid w:val="2DCBE03F"/>
    <w:rsid w:val="2DCE01F2"/>
    <w:rsid w:val="2DD8EABD"/>
    <w:rsid w:val="2DE2D3BE"/>
    <w:rsid w:val="2DE37147"/>
    <w:rsid w:val="2DE97F81"/>
    <w:rsid w:val="2DE98F37"/>
    <w:rsid w:val="2E09855D"/>
    <w:rsid w:val="2E0AB19A"/>
    <w:rsid w:val="2E122C49"/>
    <w:rsid w:val="2E152D00"/>
    <w:rsid w:val="2E155AEF"/>
    <w:rsid w:val="2E33BC7F"/>
    <w:rsid w:val="2E34FCE6"/>
    <w:rsid w:val="2E35DF6A"/>
    <w:rsid w:val="2E38EB69"/>
    <w:rsid w:val="2E43BAFE"/>
    <w:rsid w:val="2E474481"/>
    <w:rsid w:val="2E4B814E"/>
    <w:rsid w:val="2E4EF6C3"/>
    <w:rsid w:val="2E506F1E"/>
    <w:rsid w:val="2E5B7F78"/>
    <w:rsid w:val="2E5BA385"/>
    <w:rsid w:val="2E5E14AA"/>
    <w:rsid w:val="2E6A54FA"/>
    <w:rsid w:val="2E6D14D1"/>
    <w:rsid w:val="2E7265C9"/>
    <w:rsid w:val="2E737333"/>
    <w:rsid w:val="2E74C95A"/>
    <w:rsid w:val="2E78A0CF"/>
    <w:rsid w:val="2E7A27B0"/>
    <w:rsid w:val="2E864A30"/>
    <w:rsid w:val="2E8776D0"/>
    <w:rsid w:val="2EA597EC"/>
    <w:rsid w:val="2EA79AC9"/>
    <w:rsid w:val="2EA7F81C"/>
    <w:rsid w:val="2EA820B5"/>
    <w:rsid w:val="2EB29772"/>
    <w:rsid w:val="2EC38EFA"/>
    <w:rsid w:val="2EC4F77B"/>
    <w:rsid w:val="2EDF3788"/>
    <w:rsid w:val="2EE5918F"/>
    <w:rsid w:val="2EE61FCA"/>
    <w:rsid w:val="2EEDB282"/>
    <w:rsid w:val="2EF4DEB7"/>
    <w:rsid w:val="2EF6F907"/>
    <w:rsid w:val="2F033DB3"/>
    <w:rsid w:val="2F084C5B"/>
    <w:rsid w:val="2F1799C4"/>
    <w:rsid w:val="2F1D6406"/>
    <w:rsid w:val="2F1DE4C3"/>
    <w:rsid w:val="2F25698A"/>
    <w:rsid w:val="2F302EF7"/>
    <w:rsid w:val="2F41C109"/>
    <w:rsid w:val="2F44269D"/>
    <w:rsid w:val="2F513530"/>
    <w:rsid w:val="2F52417A"/>
    <w:rsid w:val="2F63C7D9"/>
    <w:rsid w:val="2F6ACEF8"/>
    <w:rsid w:val="2F7014D1"/>
    <w:rsid w:val="2F75916A"/>
    <w:rsid w:val="2F761796"/>
    <w:rsid w:val="2F7D8CC2"/>
    <w:rsid w:val="2F8606B2"/>
    <w:rsid w:val="2F93E9F2"/>
    <w:rsid w:val="2F94232A"/>
    <w:rsid w:val="2F9D6530"/>
    <w:rsid w:val="2FA3F010"/>
    <w:rsid w:val="2FAC26FD"/>
    <w:rsid w:val="2FAD5655"/>
    <w:rsid w:val="2FB241FA"/>
    <w:rsid w:val="2FBA3A94"/>
    <w:rsid w:val="2FBD60D7"/>
    <w:rsid w:val="2FBEBA93"/>
    <w:rsid w:val="2FC185B5"/>
    <w:rsid w:val="2FCD9EDC"/>
    <w:rsid w:val="2FD55481"/>
    <w:rsid w:val="2FEF548D"/>
    <w:rsid w:val="2FF1EC77"/>
    <w:rsid w:val="3003FA6A"/>
    <w:rsid w:val="3013F2E0"/>
    <w:rsid w:val="3022F2B5"/>
    <w:rsid w:val="302616CE"/>
    <w:rsid w:val="30330B62"/>
    <w:rsid w:val="303731B0"/>
    <w:rsid w:val="3070FF5F"/>
    <w:rsid w:val="3077CF42"/>
    <w:rsid w:val="3089BE9C"/>
    <w:rsid w:val="3095129F"/>
    <w:rsid w:val="309B2F55"/>
    <w:rsid w:val="30A07E18"/>
    <w:rsid w:val="30CD337A"/>
    <w:rsid w:val="30CEEA2E"/>
    <w:rsid w:val="30E177A6"/>
    <w:rsid w:val="30E31AC5"/>
    <w:rsid w:val="30EDC0F0"/>
    <w:rsid w:val="30EDFAE1"/>
    <w:rsid w:val="30FD8876"/>
    <w:rsid w:val="310A1C37"/>
    <w:rsid w:val="310FD7FA"/>
    <w:rsid w:val="311AE699"/>
    <w:rsid w:val="31273CF3"/>
    <w:rsid w:val="3128B6E9"/>
    <w:rsid w:val="31321B7D"/>
    <w:rsid w:val="31331F82"/>
    <w:rsid w:val="313CDE54"/>
    <w:rsid w:val="313D18E0"/>
    <w:rsid w:val="313FCEBC"/>
    <w:rsid w:val="314346A0"/>
    <w:rsid w:val="31437FA1"/>
    <w:rsid w:val="31472973"/>
    <w:rsid w:val="315D0391"/>
    <w:rsid w:val="317B2F0B"/>
    <w:rsid w:val="317D4DD0"/>
    <w:rsid w:val="317E8034"/>
    <w:rsid w:val="3181DB8A"/>
    <w:rsid w:val="31843DCC"/>
    <w:rsid w:val="3184A107"/>
    <w:rsid w:val="3184F807"/>
    <w:rsid w:val="318CDE31"/>
    <w:rsid w:val="31911ADF"/>
    <w:rsid w:val="319D5576"/>
    <w:rsid w:val="31AC7E29"/>
    <w:rsid w:val="31B28C3E"/>
    <w:rsid w:val="31B2C8A8"/>
    <w:rsid w:val="31DFF578"/>
    <w:rsid w:val="31EF5CFF"/>
    <w:rsid w:val="32010777"/>
    <w:rsid w:val="32029BDA"/>
    <w:rsid w:val="320CC3DE"/>
    <w:rsid w:val="322D0E03"/>
    <w:rsid w:val="32356F0B"/>
    <w:rsid w:val="32451025"/>
    <w:rsid w:val="3248ADF3"/>
    <w:rsid w:val="324A9DA4"/>
    <w:rsid w:val="324B5A4F"/>
    <w:rsid w:val="324C7009"/>
    <w:rsid w:val="324C97B3"/>
    <w:rsid w:val="3252FEE6"/>
    <w:rsid w:val="3259197D"/>
    <w:rsid w:val="325B0BE3"/>
    <w:rsid w:val="325EB1A7"/>
    <w:rsid w:val="3264E5EF"/>
    <w:rsid w:val="326DC1CD"/>
    <w:rsid w:val="326F21F3"/>
    <w:rsid w:val="327365F6"/>
    <w:rsid w:val="327B0C49"/>
    <w:rsid w:val="328B540B"/>
    <w:rsid w:val="3290190A"/>
    <w:rsid w:val="32930275"/>
    <w:rsid w:val="3294570D"/>
    <w:rsid w:val="3297D95B"/>
    <w:rsid w:val="32A050EE"/>
    <w:rsid w:val="32A28047"/>
    <w:rsid w:val="32A37698"/>
    <w:rsid w:val="32A96858"/>
    <w:rsid w:val="32AA16C2"/>
    <w:rsid w:val="32AF791F"/>
    <w:rsid w:val="32C27503"/>
    <w:rsid w:val="32CCB018"/>
    <w:rsid w:val="32CDE3FF"/>
    <w:rsid w:val="32D5071E"/>
    <w:rsid w:val="32D74BE6"/>
    <w:rsid w:val="32D8E451"/>
    <w:rsid w:val="32DAC205"/>
    <w:rsid w:val="32DCB095"/>
    <w:rsid w:val="32E0C5E7"/>
    <w:rsid w:val="32E304D2"/>
    <w:rsid w:val="32E63AF7"/>
    <w:rsid w:val="32E7CDE7"/>
    <w:rsid w:val="32ECA47C"/>
    <w:rsid w:val="32F0EEAA"/>
    <w:rsid w:val="32F71D9B"/>
    <w:rsid w:val="33048C40"/>
    <w:rsid w:val="331000B6"/>
    <w:rsid w:val="33123AE3"/>
    <w:rsid w:val="3320EEB3"/>
    <w:rsid w:val="33285B49"/>
    <w:rsid w:val="332CD0ED"/>
    <w:rsid w:val="33302BA9"/>
    <w:rsid w:val="3331AAFD"/>
    <w:rsid w:val="33331145"/>
    <w:rsid w:val="333703EF"/>
    <w:rsid w:val="333BB375"/>
    <w:rsid w:val="333E4EAE"/>
    <w:rsid w:val="334B7F8F"/>
    <w:rsid w:val="334EA739"/>
    <w:rsid w:val="3357D4E7"/>
    <w:rsid w:val="335C02FD"/>
    <w:rsid w:val="335CF605"/>
    <w:rsid w:val="3362E29D"/>
    <w:rsid w:val="336489BF"/>
    <w:rsid w:val="3367ED24"/>
    <w:rsid w:val="336C45EB"/>
    <w:rsid w:val="33747C08"/>
    <w:rsid w:val="337E2320"/>
    <w:rsid w:val="338F6522"/>
    <w:rsid w:val="3392789B"/>
    <w:rsid w:val="33B38833"/>
    <w:rsid w:val="33B43740"/>
    <w:rsid w:val="33B65E87"/>
    <w:rsid w:val="33B6DB54"/>
    <w:rsid w:val="33BB065F"/>
    <w:rsid w:val="33BD439C"/>
    <w:rsid w:val="33BE9712"/>
    <w:rsid w:val="33C5FEB9"/>
    <w:rsid w:val="33D02BF8"/>
    <w:rsid w:val="33F120CC"/>
    <w:rsid w:val="33FB2C46"/>
    <w:rsid w:val="33FBB595"/>
    <w:rsid w:val="33FFD5C5"/>
    <w:rsid w:val="340EE363"/>
    <w:rsid w:val="341520C5"/>
    <w:rsid w:val="342387A6"/>
    <w:rsid w:val="34241419"/>
    <w:rsid w:val="3424762A"/>
    <w:rsid w:val="343C2D4A"/>
    <w:rsid w:val="34426EC2"/>
    <w:rsid w:val="3442AAC3"/>
    <w:rsid w:val="344C3A6C"/>
    <w:rsid w:val="3458F258"/>
    <w:rsid w:val="3461762F"/>
    <w:rsid w:val="346434B4"/>
    <w:rsid w:val="34682478"/>
    <w:rsid w:val="34689FA6"/>
    <w:rsid w:val="346A719B"/>
    <w:rsid w:val="3474D9DB"/>
    <w:rsid w:val="3474FA02"/>
    <w:rsid w:val="34822A63"/>
    <w:rsid w:val="34840720"/>
    <w:rsid w:val="348DFF79"/>
    <w:rsid w:val="348ED2E3"/>
    <w:rsid w:val="348FFFDA"/>
    <w:rsid w:val="3491D79F"/>
    <w:rsid w:val="34940D00"/>
    <w:rsid w:val="34960679"/>
    <w:rsid w:val="34AD3FC1"/>
    <w:rsid w:val="34B1A469"/>
    <w:rsid w:val="34C0552A"/>
    <w:rsid w:val="34C195DC"/>
    <w:rsid w:val="34C4D868"/>
    <w:rsid w:val="34D91060"/>
    <w:rsid w:val="34DC6D43"/>
    <w:rsid w:val="34EDC421"/>
    <w:rsid w:val="34F02C45"/>
    <w:rsid w:val="34F075CF"/>
    <w:rsid w:val="3501B788"/>
    <w:rsid w:val="352EA04A"/>
    <w:rsid w:val="3532D3AF"/>
    <w:rsid w:val="3536272D"/>
    <w:rsid w:val="3537880B"/>
    <w:rsid w:val="353AA4FB"/>
    <w:rsid w:val="353C350A"/>
    <w:rsid w:val="35449545"/>
    <w:rsid w:val="354816AE"/>
    <w:rsid w:val="35580B0A"/>
    <w:rsid w:val="356FA1E5"/>
    <w:rsid w:val="3571EE6B"/>
    <w:rsid w:val="35756F4B"/>
    <w:rsid w:val="3582B7C3"/>
    <w:rsid w:val="35848E33"/>
    <w:rsid w:val="358509E3"/>
    <w:rsid w:val="35977A8A"/>
    <w:rsid w:val="35A16FBC"/>
    <w:rsid w:val="35A60A4A"/>
    <w:rsid w:val="35B2F21F"/>
    <w:rsid w:val="35B37982"/>
    <w:rsid w:val="35B3DA1D"/>
    <w:rsid w:val="35B4153F"/>
    <w:rsid w:val="35B5E660"/>
    <w:rsid w:val="35C309FA"/>
    <w:rsid w:val="35CFD86F"/>
    <w:rsid w:val="35D4EE50"/>
    <w:rsid w:val="35D64762"/>
    <w:rsid w:val="35D72381"/>
    <w:rsid w:val="35DBE7A6"/>
    <w:rsid w:val="35DC6387"/>
    <w:rsid w:val="35E75FC3"/>
    <w:rsid w:val="35EF5BBB"/>
    <w:rsid w:val="35F556EF"/>
    <w:rsid w:val="35FF0962"/>
    <w:rsid w:val="36035F7E"/>
    <w:rsid w:val="36040554"/>
    <w:rsid w:val="360B4919"/>
    <w:rsid w:val="360C33DB"/>
    <w:rsid w:val="360ED740"/>
    <w:rsid w:val="36158500"/>
    <w:rsid w:val="36200A2B"/>
    <w:rsid w:val="36300DFD"/>
    <w:rsid w:val="36326C40"/>
    <w:rsid w:val="3633BFFC"/>
    <w:rsid w:val="36341685"/>
    <w:rsid w:val="363AC005"/>
    <w:rsid w:val="36466D08"/>
    <w:rsid w:val="365DE946"/>
    <w:rsid w:val="3669EAA4"/>
    <w:rsid w:val="3679BFB4"/>
    <w:rsid w:val="367E1512"/>
    <w:rsid w:val="368694EA"/>
    <w:rsid w:val="36880803"/>
    <w:rsid w:val="369714A6"/>
    <w:rsid w:val="36A2C3B7"/>
    <w:rsid w:val="36A9E2E0"/>
    <w:rsid w:val="36B04694"/>
    <w:rsid w:val="36B1EDBF"/>
    <w:rsid w:val="36C0243F"/>
    <w:rsid w:val="36D38871"/>
    <w:rsid w:val="36D8B615"/>
    <w:rsid w:val="36E17997"/>
    <w:rsid w:val="36E6C83F"/>
    <w:rsid w:val="36EEA778"/>
    <w:rsid w:val="36F62BFE"/>
    <w:rsid w:val="36FA6FA5"/>
    <w:rsid w:val="36FB40C0"/>
    <w:rsid w:val="3710B2CC"/>
    <w:rsid w:val="371940CC"/>
    <w:rsid w:val="371E4CD8"/>
    <w:rsid w:val="3730CF24"/>
    <w:rsid w:val="3735EE9C"/>
    <w:rsid w:val="374285B7"/>
    <w:rsid w:val="3745C6D0"/>
    <w:rsid w:val="375604EA"/>
    <w:rsid w:val="3762934D"/>
    <w:rsid w:val="3775F002"/>
    <w:rsid w:val="37761177"/>
    <w:rsid w:val="37762A93"/>
    <w:rsid w:val="37808282"/>
    <w:rsid w:val="37961AA3"/>
    <w:rsid w:val="37969E41"/>
    <w:rsid w:val="3798A391"/>
    <w:rsid w:val="379F42BD"/>
    <w:rsid w:val="37A1922E"/>
    <w:rsid w:val="37A8C61D"/>
    <w:rsid w:val="37C34D51"/>
    <w:rsid w:val="37C55DA6"/>
    <w:rsid w:val="37C75475"/>
    <w:rsid w:val="37D05B97"/>
    <w:rsid w:val="37DB63F5"/>
    <w:rsid w:val="37EB870D"/>
    <w:rsid w:val="37EBB1E3"/>
    <w:rsid w:val="37F2F297"/>
    <w:rsid w:val="37FFD73F"/>
    <w:rsid w:val="380806AA"/>
    <w:rsid w:val="381BA052"/>
    <w:rsid w:val="382EF244"/>
    <w:rsid w:val="383E9396"/>
    <w:rsid w:val="3840CE0A"/>
    <w:rsid w:val="3858EAB2"/>
    <w:rsid w:val="386199EB"/>
    <w:rsid w:val="38623BEA"/>
    <w:rsid w:val="386AB4A4"/>
    <w:rsid w:val="38715DC9"/>
    <w:rsid w:val="388918D1"/>
    <w:rsid w:val="38898D38"/>
    <w:rsid w:val="389B51ED"/>
    <w:rsid w:val="38A8AF11"/>
    <w:rsid w:val="38ABD894"/>
    <w:rsid w:val="38AC3B1B"/>
    <w:rsid w:val="38B35F4C"/>
    <w:rsid w:val="38B8B365"/>
    <w:rsid w:val="38B8B8B6"/>
    <w:rsid w:val="38C67A32"/>
    <w:rsid w:val="38D0BF74"/>
    <w:rsid w:val="38E6A942"/>
    <w:rsid w:val="38E95658"/>
    <w:rsid w:val="38EDB2A9"/>
    <w:rsid w:val="38F47F84"/>
    <w:rsid w:val="38FF9CF4"/>
    <w:rsid w:val="38FFA50C"/>
    <w:rsid w:val="3907EAEC"/>
    <w:rsid w:val="39157359"/>
    <w:rsid w:val="3931AAEC"/>
    <w:rsid w:val="3933040F"/>
    <w:rsid w:val="3936BC10"/>
    <w:rsid w:val="3936E333"/>
    <w:rsid w:val="39374239"/>
    <w:rsid w:val="393BA78A"/>
    <w:rsid w:val="393CC058"/>
    <w:rsid w:val="3940F4E0"/>
    <w:rsid w:val="394387D5"/>
    <w:rsid w:val="394883A1"/>
    <w:rsid w:val="3949F608"/>
    <w:rsid w:val="39511B71"/>
    <w:rsid w:val="3971C219"/>
    <w:rsid w:val="397B82E7"/>
    <w:rsid w:val="397C9E97"/>
    <w:rsid w:val="3984F22A"/>
    <w:rsid w:val="398CF5CD"/>
    <w:rsid w:val="398F0180"/>
    <w:rsid w:val="3990C077"/>
    <w:rsid w:val="39928845"/>
    <w:rsid w:val="3996015F"/>
    <w:rsid w:val="399A4088"/>
    <w:rsid w:val="399BE1C9"/>
    <w:rsid w:val="39A8492C"/>
    <w:rsid w:val="39AAB6BA"/>
    <w:rsid w:val="39C6176E"/>
    <w:rsid w:val="39CB5B39"/>
    <w:rsid w:val="39DF85FC"/>
    <w:rsid w:val="39E1E8A4"/>
    <w:rsid w:val="39EA5680"/>
    <w:rsid w:val="39EE47A6"/>
    <w:rsid w:val="39EFFAA1"/>
    <w:rsid w:val="39F579AF"/>
    <w:rsid w:val="39FDBA56"/>
    <w:rsid w:val="3A01BC78"/>
    <w:rsid w:val="3A07678D"/>
    <w:rsid w:val="3A1C593D"/>
    <w:rsid w:val="3A1D60EB"/>
    <w:rsid w:val="3A21C2F2"/>
    <w:rsid w:val="3A265687"/>
    <w:rsid w:val="3A26FD91"/>
    <w:rsid w:val="3A2908F7"/>
    <w:rsid w:val="3A2C1AC4"/>
    <w:rsid w:val="3A369A56"/>
    <w:rsid w:val="3A3CDC11"/>
    <w:rsid w:val="3A429F2F"/>
    <w:rsid w:val="3A438D10"/>
    <w:rsid w:val="3A687708"/>
    <w:rsid w:val="3A697FD8"/>
    <w:rsid w:val="3A703001"/>
    <w:rsid w:val="3A7B8DDE"/>
    <w:rsid w:val="3A7CCDAE"/>
    <w:rsid w:val="3A7DA64D"/>
    <w:rsid w:val="3A855164"/>
    <w:rsid w:val="3A85979E"/>
    <w:rsid w:val="3A889248"/>
    <w:rsid w:val="3A8BB8BF"/>
    <w:rsid w:val="3A8E9C1C"/>
    <w:rsid w:val="3A8EA9E7"/>
    <w:rsid w:val="3A8F1D2C"/>
    <w:rsid w:val="3A941CA7"/>
    <w:rsid w:val="3A94915C"/>
    <w:rsid w:val="3A9DF3DE"/>
    <w:rsid w:val="3AA6CB24"/>
    <w:rsid w:val="3AA70D30"/>
    <w:rsid w:val="3AAB37FB"/>
    <w:rsid w:val="3AB8FC2B"/>
    <w:rsid w:val="3ABAFA1C"/>
    <w:rsid w:val="3AC1F960"/>
    <w:rsid w:val="3AC8C86F"/>
    <w:rsid w:val="3ACEF61D"/>
    <w:rsid w:val="3AD8DE88"/>
    <w:rsid w:val="3AE1497A"/>
    <w:rsid w:val="3AF4D164"/>
    <w:rsid w:val="3AF5162B"/>
    <w:rsid w:val="3AF8D5A0"/>
    <w:rsid w:val="3B23D458"/>
    <w:rsid w:val="3B2A003A"/>
    <w:rsid w:val="3B35891F"/>
    <w:rsid w:val="3B45B3F7"/>
    <w:rsid w:val="3B494ECF"/>
    <w:rsid w:val="3B4DA08B"/>
    <w:rsid w:val="3B5103E0"/>
    <w:rsid w:val="3B700F14"/>
    <w:rsid w:val="3B740B89"/>
    <w:rsid w:val="3B84B804"/>
    <w:rsid w:val="3B8EAFB8"/>
    <w:rsid w:val="3B9E69AA"/>
    <w:rsid w:val="3BA7575A"/>
    <w:rsid w:val="3BAF1937"/>
    <w:rsid w:val="3BBEB4B0"/>
    <w:rsid w:val="3BBF5BE7"/>
    <w:rsid w:val="3BC5FB0F"/>
    <w:rsid w:val="3BC61844"/>
    <w:rsid w:val="3BC983ED"/>
    <w:rsid w:val="3BD3166E"/>
    <w:rsid w:val="3BDBAD46"/>
    <w:rsid w:val="3BE98101"/>
    <w:rsid w:val="3BF1A787"/>
    <w:rsid w:val="3BFA9E39"/>
    <w:rsid w:val="3C00321A"/>
    <w:rsid w:val="3C01B521"/>
    <w:rsid w:val="3C1322F8"/>
    <w:rsid w:val="3C15BE3E"/>
    <w:rsid w:val="3C1E0562"/>
    <w:rsid w:val="3C26E33E"/>
    <w:rsid w:val="3C3012C9"/>
    <w:rsid w:val="3C38F174"/>
    <w:rsid w:val="3C4E8C6A"/>
    <w:rsid w:val="3C4F59D6"/>
    <w:rsid w:val="3C57A551"/>
    <w:rsid w:val="3C5980F3"/>
    <w:rsid w:val="3C607CE6"/>
    <w:rsid w:val="3C655B82"/>
    <w:rsid w:val="3C689296"/>
    <w:rsid w:val="3C6AE06A"/>
    <w:rsid w:val="3C722B9E"/>
    <w:rsid w:val="3CB33070"/>
    <w:rsid w:val="3CBDAF3A"/>
    <w:rsid w:val="3CC3EFA7"/>
    <w:rsid w:val="3CCA816A"/>
    <w:rsid w:val="3CCB0669"/>
    <w:rsid w:val="3CDC5732"/>
    <w:rsid w:val="3CEF64F4"/>
    <w:rsid w:val="3CFC849C"/>
    <w:rsid w:val="3D051FBD"/>
    <w:rsid w:val="3D0C3437"/>
    <w:rsid w:val="3D1CD1F1"/>
    <w:rsid w:val="3D1EC065"/>
    <w:rsid w:val="3D25FF3F"/>
    <w:rsid w:val="3D2B96CD"/>
    <w:rsid w:val="3D31B04F"/>
    <w:rsid w:val="3D31D7A8"/>
    <w:rsid w:val="3D3A642C"/>
    <w:rsid w:val="3D3FA3A4"/>
    <w:rsid w:val="3D413363"/>
    <w:rsid w:val="3D480D0D"/>
    <w:rsid w:val="3D498DFC"/>
    <w:rsid w:val="3D4A2125"/>
    <w:rsid w:val="3D4BACDB"/>
    <w:rsid w:val="3D4C980D"/>
    <w:rsid w:val="3D516A34"/>
    <w:rsid w:val="3D5C34A1"/>
    <w:rsid w:val="3D61E8A5"/>
    <w:rsid w:val="3D72ED5E"/>
    <w:rsid w:val="3D77BD83"/>
    <w:rsid w:val="3D8A458E"/>
    <w:rsid w:val="3D8C7E85"/>
    <w:rsid w:val="3D9268DD"/>
    <w:rsid w:val="3D979E9E"/>
    <w:rsid w:val="3D9D0C44"/>
    <w:rsid w:val="3D9E63B1"/>
    <w:rsid w:val="3DACDA41"/>
    <w:rsid w:val="3DB5F25E"/>
    <w:rsid w:val="3DBBEBFF"/>
    <w:rsid w:val="3DC3F885"/>
    <w:rsid w:val="3DD48D3E"/>
    <w:rsid w:val="3DD58AA1"/>
    <w:rsid w:val="3DDCC5A5"/>
    <w:rsid w:val="3DE4BA6B"/>
    <w:rsid w:val="3DE4CA1C"/>
    <w:rsid w:val="3DE51BD4"/>
    <w:rsid w:val="3DE62662"/>
    <w:rsid w:val="3DEA3F78"/>
    <w:rsid w:val="3DF0BA7F"/>
    <w:rsid w:val="3DFAEB03"/>
    <w:rsid w:val="3E129021"/>
    <w:rsid w:val="3E2E3364"/>
    <w:rsid w:val="3E3BD87B"/>
    <w:rsid w:val="3E4AEDD4"/>
    <w:rsid w:val="3E4D4C80"/>
    <w:rsid w:val="3E51524F"/>
    <w:rsid w:val="3E53545A"/>
    <w:rsid w:val="3E54A9B5"/>
    <w:rsid w:val="3E58EDD0"/>
    <w:rsid w:val="3E6079BD"/>
    <w:rsid w:val="3E6759AB"/>
    <w:rsid w:val="3E6A9799"/>
    <w:rsid w:val="3E794023"/>
    <w:rsid w:val="3E80027A"/>
    <w:rsid w:val="3E82E5A3"/>
    <w:rsid w:val="3E860DC8"/>
    <w:rsid w:val="3E8C8040"/>
    <w:rsid w:val="3E8F9C4D"/>
    <w:rsid w:val="3E906AA0"/>
    <w:rsid w:val="3E91CA72"/>
    <w:rsid w:val="3E99563E"/>
    <w:rsid w:val="3E99CDDE"/>
    <w:rsid w:val="3E9BD85B"/>
    <w:rsid w:val="3EA5A9DA"/>
    <w:rsid w:val="3EACA387"/>
    <w:rsid w:val="3EB0E8CE"/>
    <w:rsid w:val="3EB29CA8"/>
    <w:rsid w:val="3EB4B3A7"/>
    <w:rsid w:val="3EB4E0DC"/>
    <w:rsid w:val="3EBFD062"/>
    <w:rsid w:val="3EC0D3E1"/>
    <w:rsid w:val="3EC6EC14"/>
    <w:rsid w:val="3ED151BE"/>
    <w:rsid w:val="3EDD8CCC"/>
    <w:rsid w:val="3EDF6C4E"/>
    <w:rsid w:val="3EF24AFE"/>
    <w:rsid w:val="3EF48032"/>
    <w:rsid w:val="3F07AA91"/>
    <w:rsid w:val="3F0B4121"/>
    <w:rsid w:val="3F0C9DF0"/>
    <w:rsid w:val="3F118188"/>
    <w:rsid w:val="3F12813F"/>
    <w:rsid w:val="3F170FC1"/>
    <w:rsid w:val="3F225FE7"/>
    <w:rsid w:val="3F240E4D"/>
    <w:rsid w:val="3F25D179"/>
    <w:rsid w:val="3F28D2C7"/>
    <w:rsid w:val="3F30D83F"/>
    <w:rsid w:val="3F3B873D"/>
    <w:rsid w:val="3F55308A"/>
    <w:rsid w:val="3F55D07E"/>
    <w:rsid w:val="3F5B8CEB"/>
    <w:rsid w:val="3F5D8A84"/>
    <w:rsid w:val="3F5F01BE"/>
    <w:rsid w:val="3F764764"/>
    <w:rsid w:val="3F83170B"/>
    <w:rsid w:val="3F848BB1"/>
    <w:rsid w:val="3F89C830"/>
    <w:rsid w:val="3F8B3DD1"/>
    <w:rsid w:val="3F98D727"/>
    <w:rsid w:val="3FA35D64"/>
    <w:rsid w:val="3FAB7E53"/>
    <w:rsid w:val="3FAE0264"/>
    <w:rsid w:val="3FB66DAD"/>
    <w:rsid w:val="3FB8EEB7"/>
    <w:rsid w:val="3FCF4793"/>
    <w:rsid w:val="3FD98058"/>
    <w:rsid w:val="3FE1892C"/>
    <w:rsid w:val="3FEDB4B8"/>
    <w:rsid w:val="3FF1D6FB"/>
    <w:rsid w:val="3FF52A2D"/>
    <w:rsid w:val="400EE2FC"/>
    <w:rsid w:val="401C504D"/>
    <w:rsid w:val="4033CCEE"/>
    <w:rsid w:val="403D44AB"/>
    <w:rsid w:val="40442585"/>
    <w:rsid w:val="4044EF0A"/>
    <w:rsid w:val="4049CFFE"/>
    <w:rsid w:val="404D09BC"/>
    <w:rsid w:val="4051D4B2"/>
    <w:rsid w:val="405DD0BA"/>
    <w:rsid w:val="407A7F69"/>
    <w:rsid w:val="408CB6F4"/>
    <w:rsid w:val="4094E219"/>
    <w:rsid w:val="409E06EC"/>
    <w:rsid w:val="409FED6B"/>
    <w:rsid w:val="40A76A7D"/>
    <w:rsid w:val="40B2EF7E"/>
    <w:rsid w:val="40B3E986"/>
    <w:rsid w:val="40B90F15"/>
    <w:rsid w:val="40BBFD31"/>
    <w:rsid w:val="40C75C1F"/>
    <w:rsid w:val="40C87A91"/>
    <w:rsid w:val="40DCB496"/>
    <w:rsid w:val="40ED2522"/>
    <w:rsid w:val="40FA9DDC"/>
    <w:rsid w:val="40FB09B0"/>
    <w:rsid w:val="40FD1EDB"/>
    <w:rsid w:val="4105DBF7"/>
    <w:rsid w:val="41097295"/>
    <w:rsid w:val="410ECA8E"/>
    <w:rsid w:val="4114A945"/>
    <w:rsid w:val="41189436"/>
    <w:rsid w:val="412111A0"/>
    <w:rsid w:val="412E1A22"/>
    <w:rsid w:val="412F9D29"/>
    <w:rsid w:val="413AEC04"/>
    <w:rsid w:val="416C05E4"/>
    <w:rsid w:val="41811F98"/>
    <w:rsid w:val="4184E9A1"/>
    <w:rsid w:val="41870795"/>
    <w:rsid w:val="4191CD98"/>
    <w:rsid w:val="419351FD"/>
    <w:rsid w:val="41967F2F"/>
    <w:rsid w:val="41991D69"/>
    <w:rsid w:val="41A51FC8"/>
    <w:rsid w:val="41B93C39"/>
    <w:rsid w:val="41C0CD75"/>
    <w:rsid w:val="41C5DAEF"/>
    <w:rsid w:val="41CE5684"/>
    <w:rsid w:val="41D5CB27"/>
    <w:rsid w:val="41DAC66A"/>
    <w:rsid w:val="41E24E0A"/>
    <w:rsid w:val="41E63E37"/>
    <w:rsid w:val="41EC57C0"/>
    <w:rsid w:val="41F2E2CE"/>
    <w:rsid w:val="41FB7021"/>
    <w:rsid w:val="4201FE23"/>
    <w:rsid w:val="42162BB2"/>
    <w:rsid w:val="42172EF1"/>
    <w:rsid w:val="421BF7D4"/>
    <w:rsid w:val="422C70C7"/>
    <w:rsid w:val="422CED8C"/>
    <w:rsid w:val="4231686C"/>
    <w:rsid w:val="42361AED"/>
    <w:rsid w:val="423DF629"/>
    <w:rsid w:val="424C4247"/>
    <w:rsid w:val="42585EC2"/>
    <w:rsid w:val="4265013E"/>
    <w:rsid w:val="4273FA24"/>
    <w:rsid w:val="427635F0"/>
    <w:rsid w:val="4298164D"/>
    <w:rsid w:val="4299AD6C"/>
    <w:rsid w:val="42A17252"/>
    <w:rsid w:val="42CD0CBA"/>
    <w:rsid w:val="42DA8EB8"/>
    <w:rsid w:val="42DD205E"/>
    <w:rsid w:val="42EF4C9A"/>
    <w:rsid w:val="42F64D31"/>
    <w:rsid w:val="42F77242"/>
    <w:rsid w:val="43137C8E"/>
    <w:rsid w:val="431EEAD6"/>
    <w:rsid w:val="43244A86"/>
    <w:rsid w:val="4337B044"/>
    <w:rsid w:val="43387971"/>
    <w:rsid w:val="434AC317"/>
    <w:rsid w:val="4354C8EB"/>
    <w:rsid w:val="43592093"/>
    <w:rsid w:val="436BCB61"/>
    <w:rsid w:val="436FEAFF"/>
    <w:rsid w:val="4373FDB6"/>
    <w:rsid w:val="437A3C46"/>
    <w:rsid w:val="43896ADE"/>
    <w:rsid w:val="438FB6C6"/>
    <w:rsid w:val="439B4764"/>
    <w:rsid w:val="43A0B8D5"/>
    <w:rsid w:val="43B80EAD"/>
    <w:rsid w:val="43BF6A00"/>
    <w:rsid w:val="43C2CA95"/>
    <w:rsid w:val="43C3CF97"/>
    <w:rsid w:val="43C60B79"/>
    <w:rsid w:val="43D38547"/>
    <w:rsid w:val="43D5C726"/>
    <w:rsid w:val="43DF91A6"/>
    <w:rsid w:val="43ED6145"/>
    <w:rsid w:val="43EF2464"/>
    <w:rsid w:val="4402B9C1"/>
    <w:rsid w:val="44057820"/>
    <w:rsid w:val="4407B075"/>
    <w:rsid w:val="440FEE22"/>
    <w:rsid w:val="441FE9CD"/>
    <w:rsid w:val="442E7726"/>
    <w:rsid w:val="443D55F3"/>
    <w:rsid w:val="444B21FF"/>
    <w:rsid w:val="445845FE"/>
    <w:rsid w:val="445ED3A6"/>
    <w:rsid w:val="4463F911"/>
    <w:rsid w:val="4480681B"/>
    <w:rsid w:val="448A5D5A"/>
    <w:rsid w:val="4492297A"/>
    <w:rsid w:val="44A1E497"/>
    <w:rsid w:val="44A92C53"/>
    <w:rsid w:val="44BC0D91"/>
    <w:rsid w:val="44C5842E"/>
    <w:rsid w:val="44D685EA"/>
    <w:rsid w:val="44D88A31"/>
    <w:rsid w:val="45004238"/>
    <w:rsid w:val="45057741"/>
    <w:rsid w:val="4509C1DA"/>
    <w:rsid w:val="45113114"/>
    <w:rsid w:val="45180A84"/>
    <w:rsid w:val="45185A8D"/>
    <w:rsid w:val="452609E6"/>
    <w:rsid w:val="452ACA2A"/>
    <w:rsid w:val="453205BF"/>
    <w:rsid w:val="45321764"/>
    <w:rsid w:val="45403102"/>
    <w:rsid w:val="455E1508"/>
    <w:rsid w:val="45633516"/>
    <w:rsid w:val="457474BE"/>
    <w:rsid w:val="457569D2"/>
    <w:rsid w:val="458BACB3"/>
    <w:rsid w:val="458BEEFF"/>
    <w:rsid w:val="458CE9D8"/>
    <w:rsid w:val="4591B1B7"/>
    <w:rsid w:val="4595C5D9"/>
    <w:rsid w:val="45A9662A"/>
    <w:rsid w:val="45B3254E"/>
    <w:rsid w:val="45BDB05C"/>
    <w:rsid w:val="45C3779F"/>
    <w:rsid w:val="45C4D6D8"/>
    <w:rsid w:val="45D694B3"/>
    <w:rsid w:val="45DEEF46"/>
    <w:rsid w:val="45E39C04"/>
    <w:rsid w:val="45E732D2"/>
    <w:rsid w:val="45E9BACA"/>
    <w:rsid w:val="45F09402"/>
    <w:rsid w:val="45FBAF4C"/>
    <w:rsid w:val="45FBF164"/>
    <w:rsid w:val="46161856"/>
    <w:rsid w:val="461D5089"/>
    <w:rsid w:val="4623E067"/>
    <w:rsid w:val="4623EA6C"/>
    <w:rsid w:val="462B8067"/>
    <w:rsid w:val="464C8EAB"/>
    <w:rsid w:val="464F709F"/>
    <w:rsid w:val="4666D742"/>
    <w:rsid w:val="4682BC8F"/>
    <w:rsid w:val="4682E1AA"/>
    <w:rsid w:val="468DACD0"/>
    <w:rsid w:val="468EBC0E"/>
    <w:rsid w:val="46A103DF"/>
    <w:rsid w:val="46BA7441"/>
    <w:rsid w:val="46BBC149"/>
    <w:rsid w:val="46BD852A"/>
    <w:rsid w:val="46C149C1"/>
    <w:rsid w:val="46CC1AC3"/>
    <w:rsid w:val="46D37675"/>
    <w:rsid w:val="46D3EC34"/>
    <w:rsid w:val="46E669BA"/>
    <w:rsid w:val="46E76636"/>
    <w:rsid w:val="46ED0E97"/>
    <w:rsid w:val="46F1178C"/>
    <w:rsid w:val="46F424D0"/>
    <w:rsid w:val="46FD6C64"/>
    <w:rsid w:val="4701066F"/>
    <w:rsid w:val="4702D7EE"/>
    <w:rsid w:val="470E9F4B"/>
    <w:rsid w:val="471223A8"/>
    <w:rsid w:val="4726FB3D"/>
    <w:rsid w:val="4743E6E7"/>
    <w:rsid w:val="474C9426"/>
    <w:rsid w:val="47523E96"/>
    <w:rsid w:val="475390E3"/>
    <w:rsid w:val="4758A7E2"/>
    <w:rsid w:val="47622394"/>
    <w:rsid w:val="47625684"/>
    <w:rsid w:val="4768317F"/>
    <w:rsid w:val="477AA3FF"/>
    <w:rsid w:val="47801FE1"/>
    <w:rsid w:val="47986DE4"/>
    <w:rsid w:val="47B5BFCC"/>
    <w:rsid w:val="47B7A8C5"/>
    <w:rsid w:val="47B899E9"/>
    <w:rsid w:val="47BE23D1"/>
    <w:rsid w:val="47C582ED"/>
    <w:rsid w:val="47C9B0DE"/>
    <w:rsid w:val="47CE58B9"/>
    <w:rsid w:val="47D0FD9F"/>
    <w:rsid w:val="47E297ED"/>
    <w:rsid w:val="47E36581"/>
    <w:rsid w:val="47ED3DD9"/>
    <w:rsid w:val="47FA6446"/>
    <w:rsid w:val="47FCDAD8"/>
    <w:rsid w:val="480CB679"/>
    <w:rsid w:val="4814A59A"/>
    <w:rsid w:val="481ED25A"/>
    <w:rsid w:val="48250F18"/>
    <w:rsid w:val="482A684A"/>
    <w:rsid w:val="482AF511"/>
    <w:rsid w:val="483076DA"/>
    <w:rsid w:val="4845CF3B"/>
    <w:rsid w:val="4848004E"/>
    <w:rsid w:val="4850A5DF"/>
    <w:rsid w:val="4850E596"/>
    <w:rsid w:val="485E6622"/>
    <w:rsid w:val="4860C88C"/>
    <w:rsid w:val="48782E9D"/>
    <w:rsid w:val="48823A1B"/>
    <w:rsid w:val="48866837"/>
    <w:rsid w:val="48874A0B"/>
    <w:rsid w:val="488AC2B7"/>
    <w:rsid w:val="4898D2B5"/>
    <w:rsid w:val="489B61B4"/>
    <w:rsid w:val="489D4DB7"/>
    <w:rsid w:val="489FBD42"/>
    <w:rsid w:val="48A8F9B0"/>
    <w:rsid w:val="48AE8BAF"/>
    <w:rsid w:val="48BBF258"/>
    <w:rsid w:val="48BCF28C"/>
    <w:rsid w:val="48BCFF47"/>
    <w:rsid w:val="48BF4D09"/>
    <w:rsid w:val="48D373D1"/>
    <w:rsid w:val="48D6880F"/>
    <w:rsid w:val="48D973AD"/>
    <w:rsid w:val="48E3E140"/>
    <w:rsid w:val="48E4BF73"/>
    <w:rsid w:val="48EC1FC0"/>
    <w:rsid w:val="48F9BA97"/>
    <w:rsid w:val="490C5F22"/>
    <w:rsid w:val="49147D9C"/>
    <w:rsid w:val="491D8ADC"/>
    <w:rsid w:val="491F918B"/>
    <w:rsid w:val="49260571"/>
    <w:rsid w:val="4940C945"/>
    <w:rsid w:val="4954DD9F"/>
    <w:rsid w:val="495D0DBF"/>
    <w:rsid w:val="4962DC0E"/>
    <w:rsid w:val="4996390E"/>
    <w:rsid w:val="499984BC"/>
    <w:rsid w:val="499A2C97"/>
    <w:rsid w:val="49A9F49D"/>
    <w:rsid w:val="49ADB941"/>
    <w:rsid w:val="49AE2B48"/>
    <w:rsid w:val="49BA6BFA"/>
    <w:rsid w:val="49C215A5"/>
    <w:rsid w:val="49CD4EDD"/>
    <w:rsid w:val="49D4FB08"/>
    <w:rsid w:val="49DD317E"/>
    <w:rsid w:val="49DEF65B"/>
    <w:rsid w:val="49E7937B"/>
    <w:rsid w:val="49EADFCE"/>
    <w:rsid w:val="49F6304E"/>
    <w:rsid w:val="49F65B9D"/>
    <w:rsid w:val="4A019268"/>
    <w:rsid w:val="4A024F99"/>
    <w:rsid w:val="4A1D002F"/>
    <w:rsid w:val="4A1E542B"/>
    <w:rsid w:val="4A1EC63E"/>
    <w:rsid w:val="4A20FE61"/>
    <w:rsid w:val="4A2CF83B"/>
    <w:rsid w:val="4A2D1555"/>
    <w:rsid w:val="4A2D3C99"/>
    <w:rsid w:val="4A2F30D6"/>
    <w:rsid w:val="4A35AB1A"/>
    <w:rsid w:val="4A3A41A8"/>
    <w:rsid w:val="4A4414AD"/>
    <w:rsid w:val="4A454C6E"/>
    <w:rsid w:val="4A4CF10B"/>
    <w:rsid w:val="4A4FEBFA"/>
    <w:rsid w:val="4A550D7C"/>
    <w:rsid w:val="4A55735D"/>
    <w:rsid w:val="4A59D427"/>
    <w:rsid w:val="4A5A7520"/>
    <w:rsid w:val="4A608976"/>
    <w:rsid w:val="4A61B762"/>
    <w:rsid w:val="4A640289"/>
    <w:rsid w:val="4A6F23A4"/>
    <w:rsid w:val="4A7E8258"/>
    <w:rsid w:val="4A8272DB"/>
    <w:rsid w:val="4A9FE2CB"/>
    <w:rsid w:val="4AA01336"/>
    <w:rsid w:val="4AAC8C6F"/>
    <w:rsid w:val="4AAE9134"/>
    <w:rsid w:val="4AB0425C"/>
    <w:rsid w:val="4AB57591"/>
    <w:rsid w:val="4ABAF6CA"/>
    <w:rsid w:val="4AC0A0A3"/>
    <w:rsid w:val="4AC1004E"/>
    <w:rsid w:val="4AD1957B"/>
    <w:rsid w:val="4AE40F2E"/>
    <w:rsid w:val="4AE5B0DE"/>
    <w:rsid w:val="4AE7DBD1"/>
    <w:rsid w:val="4AF30810"/>
    <w:rsid w:val="4B0A2695"/>
    <w:rsid w:val="4B15E8B9"/>
    <w:rsid w:val="4B2427DC"/>
    <w:rsid w:val="4B38F48B"/>
    <w:rsid w:val="4B3EFA10"/>
    <w:rsid w:val="4B45FCD3"/>
    <w:rsid w:val="4B49D3A3"/>
    <w:rsid w:val="4B522037"/>
    <w:rsid w:val="4B55F12F"/>
    <w:rsid w:val="4B66B496"/>
    <w:rsid w:val="4B712705"/>
    <w:rsid w:val="4B73A864"/>
    <w:rsid w:val="4B7AD0E6"/>
    <w:rsid w:val="4B94F404"/>
    <w:rsid w:val="4B98B071"/>
    <w:rsid w:val="4B9C8468"/>
    <w:rsid w:val="4B9DD5BC"/>
    <w:rsid w:val="4B9E4C70"/>
    <w:rsid w:val="4BAE75E6"/>
    <w:rsid w:val="4BAF7BA7"/>
    <w:rsid w:val="4BB3B0FC"/>
    <w:rsid w:val="4BD88CF2"/>
    <w:rsid w:val="4BDEF380"/>
    <w:rsid w:val="4BE23532"/>
    <w:rsid w:val="4BEBC66B"/>
    <w:rsid w:val="4BEC5A76"/>
    <w:rsid w:val="4BEF3832"/>
    <w:rsid w:val="4C027312"/>
    <w:rsid w:val="4C08166D"/>
    <w:rsid w:val="4C16EB47"/>
    <w:rsid w:val="4C1A4A09"/>
    <w:rsid w:val="4C1C03B1"/>
    <w:rsid w:val="4C24BA17"/>
    <w:rsid w:val="4C301A52"/>
    <w:rsid w:val="4C324D8A"/>
    <w:rsid w:val="4C36B86A"/>
    <w:rsid w:val="4C45DE04"/>
    <w:rsid w:val="4C639A36"/>
    <w:rsid w:val="4C6BCCAD"/>
    <w:rsid w:val="4C6FD21F"/>
    <w:rsid w:val="4C799728"/>
    <w:rsid w:val="4C7B7CEA"/>
    <w:rsid w:val="4C7DF940"/>
    <w:rsid w:val="4C8AD222"/>
    <w:rsid w:val="4C939BDD"/>
    <w:rsid w:val="4C9DC151"/>
    <w:rsid w:val="4CA1032D"/>
    <w:rsid w:val="4CB139AB"/>
    <w:rsid w:val="4CBB22FA"/>
    <w:rsid w:val="4CD00519"/>
    <w:rsid w:val="4CD5C982"/>
    <w:rsid w:val="4CDFCCB6"/>
    <w:rsid w:val="4CE3AEBC"/>
    <w:rsid w:val="4CE5D922"/>
    <w:rsid w:val="4CEB0B87"/>
    <w:rsid w:val="4CED68F8"/>
    <w:rsid w:val="4CF6EF9E"/>
    <w:rsid w:val="4CFAE48A"/>
    <w:rsid w:val="4D127BA5"/>
    <w:rsid w:val="4D1758E3"/>
    <w:rsid w:val="4D19EA35"/>
    <w:rsid w:val="4D2E5635"/>
    <w:rsid w:val="4D3E8EDB"/>
    <w:rsid w:val="4D4127AB"/>
    <w:rsid w:val="4D455A68"/>
    <w:rsid w:val="4D536C76"/>
    <w:rsid w:val="4D5773B4"/>
    <w:rsid w:val="4D57A838"/>
    <w:rsid w:val="4D5A5125"/>
    <w:rsid w:val="4D61136E"/>
    <w:rsid w:val="4D7E147F"/>
    <w:rsid w:val="4D8AE8D5"/>
    <w:rsid w:val="4DBC2A42"/>
    <w:rsid w:val="4DC08C72"/>
    <w:rsid w:val="4DC94D81"/>
    <w:rsid w:val="4DDC30C1"/>
    <w:rsid w:val="4DE62B27"/>
    <w:rsid w:val="4DEC2411"/>
    <w:rsid w:val="4DECD6BE"/>
    <w:rsid w:val="4DEDA181"/>
    <w:rsid w:val="4DF72C63"/>
    <w:rsid w:val="4DF85FDD"/>
    <w:rsid w:val="4DFDD77B"/>
    <w:rsid w:val="4DFF6A97"/>
    <w:rsid w:val="4E0DE217"/>
    <w:rsid w:val="4E19F29B"/>
    <w:rsid w:val="4E244BAD"/>
    <w:rsid w:val="4E257C6C"/>
    <w:rsid w:val="4E2C6CD0"/>
    <w:rsid w:val="4E34D77D"/>
    <w:rsid w:val="4E41DC28"/>
    <w:rsid w:val="4E4798BE"/>
    <w:rsid w:val="4E4C0BDA"/>
    <w:rsid w:val="4E559334"/>
    <w:rsid w:val="4E5D8D62"/>
    <w:rsid w:val="4E7572CB"/>
    <w:rsid w:val="4E7745A9"/>
    <w:rsid w:val="4E779E86"/>
    <w:rsid w:val="4E82EC53"/>
    <w:rsid w:val="4E86479A"/>
    <w:rsid w:val="4E888658"/>
    <w:rsid w:val="4E90CABE"/>
    <w:rsid w:val="4E910CD4"/>
    <w:rsid w:val="4E91D7DC"/>
    <w:rsid w:val="4E9D121D"/>
    <w:rsid w:val="4EA4D156"/>
    <w:rsid w:val="4EA83EF8"/>
    <w:rsid w:val="4EAC1678"/>
    <w:rsid w:val="4EAEA368"/>
    <w:rsid w:val="4EAEC2DF"/>
    <w:rsid w:val="4EB22C84"/>
    <w:rsid w:val="4ECD3BE1"/>
    <w:rsid w:val="4ED350D3"/>
    <w:rsid w:val="4ED4BB1C"/>
    <w:rsid w:val="4EE5CC50"/>
    <w:rsid w:val="4F020E64"/>
    <w:rsid w:val="4F076756"/>
    <w:rsid w:val="4F1F2F56"/>
    <w:rsid w:val="4F29AEC7"/>
    <w:rsid w:val="4F4450BC"/>
    <w:rsid w:val="4F47D474"/>
    <w:rsid w:val="4F529EAC"/>
    <w:rsid w:val="4F54BD3A"/>
    <w:rsid w:val="4F568990"/>
    <w:rsid w:val="4F5C63B1"/>
    <w:rsid w:val="4F6A9CCF"/>
    <w:rsid w:val="4F7288EB"/>
    <w:rsid w:val="4F731850"/>
    <w:rsid w:val="4F735729"/>
    <w:rsid w:val="4F73874A"/>
    <w:rsid w:val="4F7A4EFC"/>
    <w:rsid w:val="4F7B32F7"/>
    <w:rsid w:val="4FA69F4F"/>
    <w:rsid w:val="4FABEB86"/>
    <w:rsid w:val="4FB65F98"/>
    <w:rsid w:val="4FBB4E2F"/>
    <w:rsid w:val="4FC27BDA"/>
    <w:rsid w:val="4FC92925"/>
    <w:rsid w:val="4FCC432B"/>
    <w:rsid w:val="4FD1B47E"/>
    <w:rsid w:val="4FD2903A"/>
    <w:rsid w:val="4FE4CCC1"/>
    <w:rsid w:val="4FF3E487"/>
    <w:rsid w:val="4FF47D49"/>
    <w:rsid w:val="4FF48AAF"/>
    <w:rsid w:val="4FF9397A"/>
    <w:rsid w:val="5013AC7E"/>
    <w:rsid w:val="502671FF"/>
    <w:rsid w:val="502C6192"/>
    <w:rsid w:val="502E88B9"/>
    <w:rsid w:val="503038EB"/>
    <w:rsid w:val="5034E10F"/>
    <w:rsid w:val="503B876A"/>
    <w:rsid w:val="50563A2C"/>
    <w:rsid w:val="505E369F"/>
    <w:rsid w:val="5060722E"/>
    <w:rsid w:val="5067C704"/>
    <w:rsid w:val="5084BDC8"/>
    <w:rsid w:val="5086AEA6"/>
    <w:rsid w:val="5087DB0A"/>
    <w:rsid w:val="508B6CB6"/>
    <w:rsid w:val="50A521F8"/>
    <w:rsid w:val="50A81CF7"/>
    <w:rsid w:val="50ABBBD5"/>
    <w:rsid w:val="50AE0113"/>
    <w:rsid w:val="50C1A247"/>
    <w:rsid w:val="50C5EE4C"/>
    <w:rsid w:val="50CCA2A0"/>
    <w:rsid w:val="50FF9DC5"/>
    <w:rsid w:val="5105B78C"/>
    <w:rsid w:val="511B5C3B"/>
    <w:rsid w:val="51219773"/>
    <w:rsid w:val="5124A2E4"/>
    <w:rsid w:val="512D4AF3"/>
    <w:rsid w:val="512F637E"/>
    <w:rsid w:val="51300679"/>
    <w:rsid w:val="5147344B"/>
    <w:rsid w:val="515F2AC7"/>
    <w:rsid w:val="5164D791"/>
    <w:rsid w:val="516AEB7F"/>
    <w:rsid w:val="5174EBBE"/>
    <w:rsid w:val="5180E948"/>
    <w:rsid w:val="5181A9EF"/>
    <w:rsid w:val="518455B6"/>
    <w:rsid w:val="5184DB22"/>
    <w:rsid w:val="518AAAE0"/>
    <w:rsid w:val="519489A9"/>
    <w:rsid w:val="51AEA30B"/>
    <w:rsid w:val="51C10ED0"/>
    <w:rsid w:val="51C72F73"/>
    <w:rsid w:val="51C92E58"/>
    <w:rsid w:val="51CE6549"/>
    <w:rsid w:val="51D3FD17"/>
    <w:rsid w:val="51D45F08"/>
    <w:rsid w:val="51E29D87"/>
    <w:rsid w:val="51E61790"/>
    <w:rsid w:val="51ED2850"/>
    <w:rsid w:val="51FAEA7B"/>
    <w:rsid w:val="52013CB0"/>
    <w:rsid w:val="52065012"/>
    <w:rsid w:val="520E7D62"/>
    <w:rsid w:val="5211DD09"/>
    <w:rsid w:val="521D4D72"/>
    <w:rsid w:val="521F467B"/>
    <w:rsid w:val="5226CEA9"/>
    <w:rsid w:val="522FA97E"/>
    <w:rsid w:val="5232446C"/>
    <w:rsid w:val="5234CA11"/>
    <w:rsid w:val="5234FB2A"/>
    <w:rsid w:val="52412D6E"/>
    <w:rsid w:val="5243A75E"/>
    <w:rsid w:val="5249C91E"/>
    <w:rsid w:val="524A34E7"/>
    <w:rsid w:val="52532B12"/>
    <w:rsid w:val="525DCB3A"/>
    <w:rsid w:val="52640414"/>
    <w:rsid w:val="5270EF3E"/>
    <w:rsid w:val="52718BF2"/>
    <w:rsid w:val="5273D70A"/>
    <w:rsid w:val="529E671C"/>
    <w:rsid w:val="52A46748"/>
    <w:rsid w:val="52B900AD"/>
    <w:rsid w:val="52B9D0A7"/>
    <w:rsid w:val="52C84B44"/>
    <w:rsid w:val="52D62820"/>
    <w:rsid w:val="52D99D99"/>
    <w:rsid w:val="52F75D3B"/>
    <w:rsid w:val="53015191"/>
    <w:rsid w:val="53022466"/>
    <w:rsid w:val="530DDEF9"/>
    <w:rsid w:val="53119D60"/>
    <w:rsid w:val="5311C3E3"/>
    <w:rsid w:val="53126831"/>
    <w:rsid w:val="531992D2"/>
    <w:rsid w:val="531B95BD"/>
    <w:rsid w:val="531C1F1C"/>
    <w:rsid w:val="5344D92A"/>
    <w:rsid w:val="535A5AB1"/>
    <w:rsid w:val="535B87E6"/>
    <w:rsid w:val="53627D4F"/>
    <w:rsid w:val="53695F28"/>
    <w:rsid w:val="5374EEA5"/>
    <w:rsid w:val="5378ED93"/>
    <w:rsid w:val="5396C757"/>
    <w:rsid w:val="539CBCC3"/>
    <w:rsid w:val="53A058A5"/>
    <w:rsid w:val="53A7EBFC"/>
    <w:rsid w:val="53A81D05"/>
    <w:rsid w:val="53AC9DB7"/>
    <w:rsid w:val="53B7557C"/>
    <w:rsid w:val="53BDD5A5"/>
    <w:rsid w:val="53C0B523"/>
    <w:rsid w:val="53E02586"/>
    <w:rsid w:val="53E29F44"/>
    <w:rsid w:val="53FF17EF"/>
    <w:rsid w:val="5403DE78"/>
    <w:rsid w:val="5404E382"/>
    <w:rsid w:val="540B14D0"/>
    <w:rsid w:val="540DE5D9"/>
    <w:rsid w:val="540FBA04"/>
    <w:rsid w:val="541D269C"/>
    <w:rsid w:val="543A8F0C"/>
    <w:rsid w:val="544D74F7"/>
    <w:rsid w:val="545E90A2"/>
    <w:rsid w:val="54814889"/>
    <w:rsid w:val="54917E6C"/>
    <w:rsid w:val="549A7952"/>
    <w:rsid w:val="54A7B6C3"/>
    <w:rsid w:val="54ABF86A"/>
    <w:rsid w:val="54B97788"/>
    <w:rsid w:val="54BAF4BB"/>
    <w:rsid w:val="54C13743"/>
    <w:rsid w:val="54C7F24E"/>
    <w:rsid w:val="54C96FB4"/>
    <w:rsid w:val="54DC25B2"/>
    <w:rsid w:val="54DFD829"/>
    <w:rsid w:val="54F4A47B"/>
    <w:rsid w:val="54F91378"/>
    <w:rsid w:val="55047831"/>
    <w:rsid w:val="55103753"/>
    <w:rsid w:val="55193C9C"/>
    <w:rsid w:val="551B0640"/>
    <w:rsid w:val="552A90F1"/>
    <w:rsid w:val="552BCA9E"/>
    <w:rsid w:val="55315952"/>
    <w:rsid w:val="5531D266"/>
    <w:rsid w:val="55399227"/>
    <w:rsid w:val="5549CA51"/>
    <w:rsid w:val="554F73EE"/>
    <w:rsid w:val="55541B6A"/>
    <w:rsid w:val="55670696"/>
    <w:rsid w:val="557E5664"/>
    <w:rsid w:val="559BA8D7"/>
    <w:rsid w:val="55A55F66"/>
    <w:rsid w:val="55A7D149"/>
    <w:rsid w:val="55AAFBA6"/>
    <w:rsid w:val="55AFA502"/>
    <w:rsid w:val="55BA58BB"/>
    <w:rsid w:val="55BFE52B"/>
    <w:rsid w:val="55D6BFCD"/>
    <w:rsid w:val="55D91A97"/>
    <w:rsid w:val="55ED28EE"/>
    <w:rsid w:val="55EF350C"/>
    <w:rsid w:val="55F21EDE"/>
    <w:rsid w:val="55F2C719"/>
    <w:rsid w:val="55F7E1F1"/>
    <w:rsid w:val="55F9A58A"/>
    <w:rsid w:val="55FCCB82"/>
    <w:rsid w:val="5600C3BC"/>
    <w:rsid w:val="5614CEC6"/>
    <w:rsid w:val="561EEA30"/>
    <w:rsid w:val="562AC1EC"/>
    <w:rsid w:val="56305605"/>
    <w:rsid w:val="5635D1E0"/>
    <w:rsid w:val="56379E30"/>
    <w:rsid w:val="56448E4C"/>
    <w:rsid w:val="564C1C33"/>
    <w:rsid w:val="564F48FB"/>
    <w:rsid w:val="5659C78E"/>
    <w:rsid w:val="565ED066"/>
    <w:rsid w:val="56624F6A"/>
    <w:rsid w:val="5662FA3B"/>
    <w:rsid w:val="567525A1"/>
    <w:rsid w:val="5678517C"/>
    <w:rsid w:val="5678F44A"/>
    <w:rsid w:val="567C1393"/>
    <w:rsid w:val="568EC8AE"/>
    <w:rsid w:val="569CC602"/>
    <w:rsid w:val="569EE934"/>
    <w:rsid w:val="56A03D1A"/>
    <w:rsid w:val="56A7C9F7"/>
    <w:rsid w:val="56B36BE7"/>
    <w:rsid w:val="56B4A608"/>
    <w:rsid w:val="56B7C4EB"/>
    <w:rsid w:val="56B8A9D9"/>
    <w:rsid w:val="56BD3D19"/>
    <w:rsid w:val="56C39731"/>
    <w:rsid w:val="56D93F51"/>
    <w:rsid w:val="56DB96D1"/>
    <w:rsid w:val="56E94865"/>
    <w:rsid w:val="56F10E25"/>
    <w:rsid w:val="56F6D155"/>
    <w:rsid w:val="56F7F12A"/>
    <w:rsid w:val="56F81A82"/>
    <w:rsid w:val="570F35A0"/>
    <w:rsid w:val="5713106B"/>
    <w:rsid w:val="571382E7"/>
    <w:rsid w:val="57139417"/>
    <w:rsid w:val="571DA67A"/>
    <w:rsid w:val="57222129"/>
    <w:rsid w:val="57298AE0"/>
    <w:rsid w:val="5755C2A7"/>
    <w:rsid w:val="5780501E"/>
    <w:rsid w:val="5797C427"/>
    <w:rsid w:val="57A6E6F2"/>
    <w:rsid w:val="57BF7B45"/>
    <w:rsid w:val="57C360F7"/>
    <w:rsid w:val="57C424FA"/>
    <w:rsid w:val="57D066D2"/>
    <w:rsid w:val="57DF9063"/>
    <w:rsid w:val="57E91E14"/>
    <w:rsid w:val="57F0972F"/>
    <w:rsid w:val="5809E13F"/>
    <w:rsid w:val="581837E8"/>
    <w:rsid w:val="58212EF2"/>
    <w:rsid w:val="582B1AC3"/>
    <w:rsid w:val="5837E266"/>
    <w:rsid w:val="583B92E5"/>
    <w:rsid w:val="583D0FD0"/>
    <w:rsid w:val="583D5EC6"/>
    <w:rsid w:val="5847D218"/>
    <w:rsid w:val="584B363C"/>
    <w:rsid w:val="585C0589"/>
    <w:rsid w:val="585C6174"/>
    <w:rsid w:val="58630220"/>
    <w:rsid w:val="586A75F9"/>
    <w:rsid w:val="586F8304"/>
    <w:rsid w:val="5876B7D8"/>
    <w:rsid w:val="5878A9B6"/>
    <w:rsid w:val="58792EB9"/>
    <w:rsid w:val="587D7365"/>
    <w:rsid w:val="58820CAE"/>
    <w:rsid w:val="588E1ACA"/>
    <w:rsid w:val="589D0A3A"/>
    <w:rsid w:val="58ABF382"/>
    <w:rsid w:val="58B9D0ED"/>
    <w:rsid w:val="58C2046A"/>
    <w:rsid w:val="58C2CB65"/>
    <w:rsid w:val="58C55A7D"/>
    <w:rsid w:val="58C821DE"/>
    <w:rsid w:val="58CF2B6C"/>
    <w:rsid w:val="58CFFA76"/>
    <w:rsid w:val="58DE279B"/>
    <w:rsid w:val="58E32446"/>
    <w:rsid w:val="58E9179F"/>
    <w:rsid w:val="58F82EEC"/>
    <w:rsid w:val="58FDE933"/>
    <w:rsid w:val="59044770"/>
    <w:rsid w:val="591ED28B"/>
    <w:rsid w:val="5923C6F3"/>
    <w:rsid w:val="59395CA4"/>
    <w:rsid w:val="593E4AF3"/>
    <w:rsid w:val="5944D937"/>
    <w:rsid w:val="595100D0"/>
    <w:rsid w:val="5958BB62"/>
    <w:rsid w:val="596BD0A5"/>
    <w:rsid w:val="59917AA5"/>
    <w:rsid w:val="59B600B6"/>
    <w:rsid w:val="59B98C2A"/>
    <w:rsid w:val="59BA6330"/>
    <w:rsid w:val="59D40F5B"/>
    <w:rsid w:val="59D830C0"/>
    <w:rsid w:val="59D8E4CC"/>
    <w:rsid w:val="59DA2E2E"/>
    <w:rsid w:val="59E1FAEF"/>
    <w:rsid w:val="59F7CB65"/>
    <w:rsid w:val="5A01AAAD"/>
    <w:rsid w:val="5A172E91"/>
    <w:rsid w:val="5A201B51"/>
    <w:rsid w:val="5A434D7C"/>
    <w:rsid w:val="5A490B58"/>
    <w:rsid w:val="5A535952"/>
    <w:rsid w:val="5A5EE331"/>
    <w:rsid w:val="5A648378"/>
    <w:rsid w:val="5A73B9E0"/>
    <w:rsid w:val="5A7B6A3C"/>
    <w:rsid w:val="5A85C04F"/>
    <w:rsid w:val="5AA331C6"/>
    <w:rsid w:val="5AA9DCDC"/>
    <w:rsid w:val="5AB9CB24"/>
    <w:rsid w:val="5ACFDFFD"/>
    <w:rsid w:val="5AD61E9E"/>
    <w:rsid w:val="5AD87EF2"/>
    <w:rsid w:val="5ADE42DA"/>
    <w:rsid w:val="5AE27249"/>
    <w:rsid w:val="5AF3FBA3"/>
    <w:rsid w:val="5AF89C58"/>
    <w:rsid w:val="5B04BE50"/>
    <w:rsid w:val="5B0D6F8D"/>
    <w:rsid w:val="5B0E3EBE"/>
    <w:rsid w:val="5B2396AC"/>
    <w:rsid w:val="5B2CB6C2"/>
    <w:rsid w:val="5B2FF370"/>
    <w:rsid w:val="5B34F760"/>
    <w:rsid w:val="5B43FE55"/>
    <w:rsid w:val="5B689AE4"/>
    <w:rsid w:val="5B6C0F97"/>
    <w:rsid w:val="5B75BF54"/>
    <w:rsid w:val="5B775BD7"/>
    <w:rsid w:val="5B7B2C7A"/>
    <w:rsid w:val="5B8CDF28"/>
    <w:rsid w:val="5B8E1F6B"/>
    <w:rsid w:val="5BA10A54"/>
    <w:rsid w:val="5BA79637"/>
    <w:rsid w:val="5BA7EBAB"/>
    <w:rsid w:val="5BADE9CE"/>
    <w:rsid w:val="5BB0E2E2"/>
    <w:rsid w:val="5BB1B1FC"/>
    <w:rsid w:val="5BBDAF22"/>
    <w:rsid w:val="5BC1D085"/>
    <w:rsid w:val="5BCB34C1"/>
    <w:rsid w:val="5BCE139F"/>
    <w:rsid w:val="5BF98AEC"/>
    <w:rsid w:val="5C0C54F9"/>
    <w:rsid w:val="5C1D9D77"/>
    <w:rsid w:val="5C25D39F"/>
    <w:rsid w:val="5C26A615"/>
    <w:rsid w:val="5C28FD82"/>
    <w:rsid w:val="5C34D9CE"/>
    <w:rsid w:val="5C3E25FB"/>
    <w:rsid w:val="5C6C1D4C"/>
    <w:rsid w:val="5C6DFE04"/>
    <w:rsid w:val="5C7A9AFE"/>
    <w:rsid w:val="5C802450"/>
    <w:rsid w:val="5C84DEF8"/>
    <w:rsid w:val="5C8CA061"/>
    <w:rsid w:val="5CA9EDAA"/>
    <w:rsid w:val="5CAC77BD"/>
    <w:rsid w:val="5CB4FD12"/>
    <w:rsid w:val="5CB9CF47"/>
    <w:rsid w:val="5CC90912"/>
    <w:rsid w:val="5CCF15FA"/>
    <w:rsid w:val="5CE732D0"/>
    <w:rsid w:val="5CE8DF89"/>
    <w:rsid w:val="5CF4C22E"/>
    <w:rsid w:val="5CFB1BA5"/>
    <w:rsid w:val="5CFC7459"/>
    <w:rsid w:val="5D076770"/>
    <w:rsid w:val="5D0D8D76"/>
    <w:rsid w:val="5D132F0E"/>
    <w:rsid w:val="5D14D1BF"/>
    <w:rsid w:val="5D174DEE"/>
    <w:rsid w:val="5D29A577"/>
    <w:rsid w:val="5D420E25"/>
    <w:rsid w:val="5D51088C"/>
    <w:rsid w:val="5D5DA919"/>
    <w:rsid w:val="5D5EE722"/>
    <w:rsid w:val="5D664175"/>
    <w:rsid w:val="5D851006"/>
    <w:rsid w:val="5D8DBC29"/>
    <w:rsid w:val="5D9EECD4"/>
    <w:rsid w:val="5DA4C4A4"/>
    <w:rsid w:val="5DA96F65"/>
    <w:rsid w:val="5DB69862"/>
    <w:rsid w:val="5DB8E819"/>
    <w:rsid w:val="5DD2C4EE"/>
    <w:rsid w:val="5DD6EF2A"/>
    <w:rsid w:val="5DDDF7F1"/>
    <w:rsid w:val="5DE3FC4E"/>
    <w:rsid w:val="5DE457AC"/>
    <w:rsid w:val="5DE6DFF4"/>
    <w:rsid w:val="5DE7F327"/>
    <w:rsid w:val="5E005C69"/>
    <w:rsid w:val="5E02761D"/>
    <w:rsid w:val="5E11CF97"/>
    <w:rsid w:val="5E1E87A8"/>
    <w:rsid w:val="5E309073"/>
    <w:rsid w:val="5E3598B5"/>
    <w:rsid w:val="5E608A47"/>
    <w:rsid w:val="5E6E1A2B"/>
    <w:rsid w:val="5E70C1F2"/>
    <w:rsid w:val="5E7A7732"/>
    <w:rsid w:val="5E7C9A21"/>
    <w:rsid w:val="5E81D73E"/>
    <w:rsid w:val="5E8A98D8"/>
    <w:rsid w:val="5E8BDD4D"/>
    <w:rsid w:val="5E937CB5"/>
    <w:rsid w:val="5E9464E0"/>
    <w:rsid w:val="5E954519"/>
    <w:rsid w:val="5E9AB90C"/>
    <w:rsid w:val="5E9DB79F"/>
    <w:rsid w:val="5EA73C28"/>
    <w:rsid w:val="5EAC8889"/>
    <w:rsid w:val="5EAE5917"/>
    <w:rsid w:val="5EB4A504"/>
    <w:rsid w:val="5EB567CD"/>
    <w:rsid w:val="5EBE13E0"/>
    <w:rsid w:val="5EC579B1"/>
    <w:rsid w:val="5EC87DE5"/>
    <w:rsid w:val="5ECFEB5B"/>
    <w:rsid w:val="5ED563B2"/>
    <w:rsid w:val="5EFB0A5B"/>
    <w:rsid w:val="5EFD72E9"/>
    <w:rsid w:val="5EFFB65B"/>
    <w:rsid w:val="5F0E7EF1"/>
    <w:rsid w:val="5F14AF34"/>
    <w:rsid w:val="5F1BDEEA"/>
    <w:rsid w:val="5F1ECA2A"/>
    <w:rsid w:val="5F2265E1"/>
    <w:rsid w:val="5F25ECC4"/>
    <w:rsid w:val="5F29DAB5"/>
    <w:rsid w:val="5F2A4090"/>
    <w:rsid w:val="5F2CB715"/>
    <w:rsid w:val="5F398D64"/>
    <w:rsid w:val="5F3CA8B0"/>
    <w:rsid w:val="5F3ED7D8"/>
    <w:rsid w:val="5F417CF3"/>
    <w:rsid w:val="5F4BC0CA"/>
    <w:rsid w:val="5F539C66"/>
    <w:rsid w:val="5F5659EA"/>
    <w:rsid w:val="5F57D24B"/>
    <w:rsid w:val="5F5D0B19"/>
    <w:rsid w:val="5F6D91BE"/>
    <w:rsid w:val="5F6FF7D5"/>
    <w:rsid w:val="5F72422A"/>
    <w:rsid w:val="5F7593E0"/>
    <w:rsid w:val="5F7BDF85"/>
    <w:rsid w:val="5F8D47AC"/>
    <w:rsid w:val="5F9294D0"/>
    <w:rsid w:val="5F9700AF"/>
    <w:rsid w:val="5F97B5C7"/>
    <w:rsid w:val="5FAC4F96"/>
    <w:rsid w:val="5FCAB1FF"/>
    <w:rsid w:val="5FCBA66F"/>
    <w:rsid w:val="5FCBA977"/>
    <w:rsid w:val="5FD298FA"/>
    <w:rsid w:val="5FE7225A"/>
    <w:rsid w:val="5FE78177"/>
    <w:rsid w:val="5FE87863"/>
    <w:rsid w:val="5FEC3685"/>
    <w:rsid w:val="5FF40477"/>
    <w:rsid w:val="5FFCFFCF"/>
    <w:rsid w:val="600642E7"/>
    <w:rsid w:val="600808F5"/>
    <w:rsid w:val="6008F0BA"/>
    <w:rsid w:val="6013D853"/>
    <w:rsid w:val="6018FE7C"/>
    <w:rsid w:val="6022E962"/>
    <w:rsid w:val="60245B2C"/>
    <w:rsid w:val="60251B86"/>
    <w:rsid w:val="602993E2"/>
    <w:rsid w:val="60316235"/>
    <w:rsid w:val="6036CBD8"/>
    <w:rsid w:val="603ADB50"/>
    <w:rsid w:val="6042B430"/>
    <w:rsid w:val="605173E9"/>
    <w:rsid w:val="605FA7CB"/>
    <w:rsid w:val="6063441D"/>
    <w:rsid w:val="606952F9"/>
    <w:rsid w:val="607855D4"/>
    <w:rsid w:val="607D1E8C"/>
    <w:rsid w:val="608B2936"/>
    <w:rsid w:val="608F8CA7"/>
    <w:rsid w:val="609FE5F3"/>
    <w:rsid w:val="60A5CD2F"/>
    <w:rsid w:val="60AE727E"/>
    <w:rsid w:val="60B14B4C"/>
    <w:rsid w:val="60C8DE6F"/>
    <w:rsid w:val="60D1DD83"/>
    <w:rsid w:val="60D25C0D"/>
    <w:rsid w:val="60E537E0"/>
    <w:rsid w:val="60E97834"/>
    <w:rsid w:val="60E9A61A"/>
    <w:rsid w:val="60EC5E6A"/>
    <w:rsid w:val="60F5EB22"/>
    <w:rsid w:val="60FA8725"/>
    <w:rsid w:val="60FAEB94"/>
    <w:rsid w:val="61078750"/>
    <w:rsid w:val="6107FF71"/>
    <w:rsid w:val="61081ADB"/>
    <w:rsid w:val="6108F6DF"/>
    <w:rsid w:val="610BD18F"/>
    <w:rsid w:val="610CA564"/>
    <w:rsid w:val="610FCF05"/>
    <w:rsid w:val="6111BB24"/>
    <w:rsid w:val="61120678"/>
    <w:rsid w:val="611FF2DA"/>
    <w:rsid w:val="61211B4A"/>
    <w:rsid w:val="612129BF"/>
    <w:rsid w:val="6128D3D1"/>
    <w:rsid w:val="6132C9FC"/>
    <w:rsid w:val="6135A7E0"/>
    <w:rsid w:val="613FFEAA"/>
    <w:rsid w:val="614331CB"/>
    <w:rsid w:val="6145940E"/>
    <w:rsid w:val="614BB58B"/>
    <w:rsid w:val="614C730C"/>
    <w:rsid w:val="61624A0C"/>
    <w:rsid w:val="616C8F6B"/>
    <w:rsid w:val="6170C804"/>
    <w:rsid w:val="61785F22"/>
    <w:rsid w:val="617F7485"/>
    <w:rsid w:val="617FAE7B"/>
    <w:rsid w:val="618BA105"/>
    <w:rsid w:val="619265D1"/>
    <w:rsid w:val="61931FD2"/>
    <w:rsid w:val="6195FCAE"/>
    <w:rsid w:val="619F0963"/>
    <w:rsid w:val="61A1B712"/>
    <w:rsid w:val="61AC918E"/>
    <w:rsid w:val="61B51216"/>
    <w:rsid w:val="61C6100B"/>
    <w:rsid w:val="61C91AEE"/>
    <w:rsid w:val="61C9FC30"/>
    <w:rsid w:val="61D00D43"/>
    <w:rsid w:val="61D5234A"/>
    <w:rsid w:val="61D90B15"/>
    <w:rsid w:val="61E142EB"/>
    <w:rsid w:val="61E3B9F4"/>
    <w:rsid w:val="61EDD72C"/>
    <w:rsid w:val="61FF309D"/>
    <w:rsid w:val="620B724D"/>
    <w:rsid w:val="620BD7DA"/>
    <w:rsid w:val="621862B2"/>
    <w:rsid w:val="621FD4CA"/>
    <w:rsid w:val="621FD6D1"/>
    <w:rsid w:val="6227652B"/>
    <w:rsid w:val="6227BC31"/>
    <w:rsid w:val="622BD9E3"/>
    <w:rsid w:val="62552289"/>
    <w:rsid w:val="62581AFB"/>
    <w:rsid w:val="627CE897"/>
    <w:rsid w:val="627E631D"/>
    <w:rsid w:val="627F5100"/>
    <w:rsid w:val="628950CE"/>
    <w:rsid w:val="628EE3B9"/>
    <w:rsid w:val="6295719D"/>
    <w:rsid w:val="6299B6A6"/>
    <w:rsid w:val="62A2EEE7"/>
    <w:rsid w:val="62A56E86"/>
    <w:rsid w:val="62B59A33"/>
    <w:rsid w:val="62BDD19F"/>
    <w:rsid w:val="62C08036"/>
    <w:rsid w:val="62CC9724"/>
    <w:rsid w:val="62D64F5D"/>
    <w:rsid w:val="62DD8884"/>
    <w:rsid w:val="62E0FA2F"/>
    <w:rsid w:val="62E10076"/>
    <w:rsid w:val="62EBEDDD"/>
    <w:rsid w:val="62F2E240"/>
    <w:rsid w:val="6305AD9B"/>
    <w:rsid w:val="630645A8"/>
    <w:rsid w:val="6311F79D"/>
    <w:rsid w:val="63197EF6"/>
    <w:rsid w:val="631D461D"/>
    <w:rsid w:val="631DA790"/>
    <w:rsid w:val="632902E4"/>
    <w:rsid w:val="63365A2D"/>
    <w:rsid w:val="633778D1"/>
    <w:rsid w:val="633842F7"/>
    <w:rsid w:val="63399341"/>
    <w:rsid w:val="6343F85D"/>
    <w:rsid w:val="6354D1BB"/>
    <w:rsid w:val="63561307"/>
    <w:rsid w:val="6356AAFD"/>
    <w:rsid w:val="635BC21B"/>
    <w:rsid w:val="635C14F6"/>
    <w:rsid w:val="636CB6D8"/>
    <w:rsid w:val="637DC026"/>
    <w:rsid w:val="63833D75"/>
    <w:rsid w:val="63837A3C"/>
    <w:rsid w:val="63881F10"/>
    <w:rsid w:val="639FDD2B"/>
    <w:rsid w:val="63A88D62"/>
    <w:rsid w:val="63A93DE0"/>
    <w:rsid w:val="63AE66EB"/>
    <w:rsid w:val="63B87DCC"/>
    <w:rsid w:val="63BC31DB"/>
    <w:rsid w:val="63BF469A"/>
    <w:rsid w:val="63C1D0F1"/>
    <w:rsid w:val="63C69C65"/>
    <w:rsid w:val="63CE3ED9"/>
    <w:rsid w:val="63D19703"/>
    <w:rsid w:val="63DE78D7"/>
    <w:rsid w:val="63E0145A"/>
    <w:rsid w:val="640ED224"/>
    <w:rsid w:val="64120EF7"/>
    <w:rsid w:val="64362898"/>
    <w:rsid w:val="643990AA"/>
    <w:rsid w:val="643B6AC3"/>
    <w:rsid w:val="645F8776"/>
    <w:rsid w:val="6465AD4D"/>
    <w:rsid w:val="64896A76"/>
    <w:rsid w:val="648D20CC"/>
    <w:rsid w:val="649EB471"/>
    <w:rsid w:val="64C1FFB4"/>
    <w:rsid w:val="64C647BC"/>
    <w:rsid w:val="64CB15C4"/>
    <w:rsid w:val="64D7B435"/>
    <w:rsid w:val="64E05C6C"/>
    <w:rsid w:val="64E34FAB"/>
    <w:rsid w:val="64E3CC02"/>
    <w:rsid w:val="64ED2660"/>
    <w:rsid w:val="64F61283"/>
    <w:rsid w:val="64FE3600"/>
    <w:rsid w:val="651A2D50"/>
    <w:rsid w:val="65274420"/>
    <w:rsid w:val="6532A0CB"/>
    <w:rsid w:val="65530F8B"/>
    <w:rsid w:val="655C2B28"/>
    <w:rsid w:val="655F5643"/>
    <w:rsid w:val="65725080"/>
    <w:rsid w:val="6578C54A"/>
    <w:rsid w:val="658FB571"/>
    <w:rsid w:val="65AB41CA"/>
    <w:rsid w:val="65B2E690"/>
    <w:rsid w:val="65B3D24E"/>
    <w:rsid w:val="65B83DE2"/>
    <w:rsid w:val="65B9C6AB"/>
    <w:rsid w:val="65D02307"/>
    <w:rsid w:val="65D05834"/>
    <w:rsid w:val="65D26E1A"/>
    <w:rsid w:val="65DFA174"/>
    <w:rsid w:val="65E78617"/>
    <w:rsid w:val="65FB54B8"/>
    <w:rsid w:val="6605F38F"/>
    <w:rsid w:val="66072949"/>
    <w:rsid w:val="66078D91"/>
    <w:rsid w:val="660B2F08"/>
    <w:rsid w:val="66116F0E"/>
    <w:rsid w:val="66196DEF"/>
    <w:rsid w:val="66244812"/>
    <w:rsid w:val="66262167"/>
    <w:rsid w:val="66295548"/>
    <w:rsid w:val="6640AEF5"/>
    <w:rsid w:val="6644F6AF"/>
    <w:rsid w:val="6645CC01"/>
    <w:rsid w:val="664ACFC4"/>
    <w:rsid w:val="66501090"/>
    <w:rsid w:val="66584A5B"/>
    <w:rsid w:val="665B029E"/>
    <w:rsid w:val="66614B9E"/>
    <w:rsid w:val="6662A1DD"/>
    <w:rsid w:val="666F271D"/>
    <w:rsid w:val="666FDC25"/>
    <w:rsid w:val="667059E3"/>
    <w:rsid w:val="66761B5F"/>
    <w:rsid w:val="667BCA3A"/>
    <w:rsid w:val="667E0EB6"/>
    <w:rsid w:val="667ED0A9"/>
    <w:rsid w:val="66838DED"/>
    <w:rsid w:val="66992B7B"/>
    <w:rsid w:val="669B3994"/>
    <w:rsid w:val="66AA48CB"/>
    <w:rsid w:val="66AAE7BA"/>
    <w:rsid w:val="66B05F81"/>
    <w:rsid w:val="66B32547"/>
    <w:rsid w:val="66B7FC5D"/>
    <w:rsid w:val="66BCD56B"/>
    <w:rsid w:val="66C505E1"/>
    <w:rsid w:val="66CE8C8E"/>
    <w:rsid w:val="66D6FB89"/>
    <w:rsid w:val="66D83433"/>
    <w:rsid w:val="66E26EBE"/>
    <w:rsid w:val="66E41745"/>
    <w:rsid w:val="66E9AEE4"/>
    <w:rsid w:val="66F1D3EF"/>
    <w:rsid w:val="66FEB5BD"/>
    <w:rsid w:val="670B581F"/>
    <w:rsid w:val="670BDE3B"/>
    <w:rsid w:val="670C210F"/>
    <w:rsid w:val="670ED032"/>
    <w:rsid w:val="67108FD2"/>
    <w:rsid w:val="6718C769"/>
    <w:rsid w:val="6727626E"/>
    <w:rsid w:val="6739732A"/>
    <w:rsid w:val="674CC5E0"/>
    <w:rsid w:val="67516D21"/>
    <w:rsid w:val="675BD06F"/>
    <w:rsid w:val="675DD72B"/>
    <w:rsid w:val="6768B0ED"/>
    <w:rsid w:val="676A7138"/>
    <w:rsid w:val="6773AE23"/>
    <w:rsid w:val="67759329"/>
    <w:rsid w:val="677BB407"/>
    <w:rsid w:val="677C7F55"/>
    <w:rsid w:val="677D4842"/>
    <w:rsid w:val="6785F4AB"/>
    <w:rsid w:val="67874C17"/>
    <w:rsid w:val="678952AD"/>
    <w:rsid w:val="67895537"/>
    <w:rsid w:val="678F9761"/>
    <w:rsid w:val="67915089"/>
    <w:rsid w:val="67AD2EC6"/>
    <w:rsid w:val="67B27E5C"/>
    <w:rsid w:val="67B5C51B"/>
    <w:rsid w:val="67C0770D"/>
    <w:rsid w:val="67C303AC"/>
    <w:rsid w:val="67E5E30D"/>
    <w:rsid w:val="67F17DDC"/>
    <w:rsid w:val="67F38945"/>
    <w:rsid w:val="6801F323"/>
    <w:rsid w:val="6802D6A5"/>
    <w:rsid w:val="6804E52B"/>
    <w:rsid w:val="6807A557"/>
    <w:rsid w:val="6811D902"/>
    <w:rsid w:val="681BF742"/>
    <w:rsid w:val="682B2729"/>
    <w:rsid w:val="6835EF0B"/>
    <w:rsid w:val="683673B4"/>
    <w:rsid w:val="683FDC33"/>
    <w:rsid w:val="684150DF"/>
    <w:rsid w:val="6846A5B4"/>
    <w:rsid w:val="68548584"/>
    <w:rsid w:val="685B78F9"/>
    <w:rsid w:val="685F4C13"/>
    <w:rsid w:val="687A1ECA"/>
    <w:rsid w:val="6886EBC9"/>
    <w:rsid w:val="6886F3A4"/>
    <w:rsid w:val="68897D43"/>
    <w:rsid w:val="688A84F1"/>
    <w:rsid w:val="689941BC"/>
    <w:rsid w:val="68999B51"/>
    <w:rsid w:val="689DACAC"/>
    <w:rsid w:val="689DC347"/>
    <w:rsid w:val="68A9D221"/>
    <w:rsid w:val="68AC42CE"/>
    <w:rsid w:val="68ACB6BF"/>
    <w:rsid w:val="68BF55CC"/>
    <w:rsid w:val="68BFCFF5"/>
    <w:rsid w:val="68C2336A"/>
    <w:rsid w:val="68C6E664"/>
    <w:rsid w:val="68CD99AC"/>
    <w:rsid w:val="68D06000"/>
    <w:rsid w:val="68D1CF67"/>
    <w:rsid w:val="68D43D8C"/>
    <w:rsid w:val="68DD746C"/>
    <w:rsid w:val="68ECE5FB"/>
    <w:rsid w:val="68FFDA21"/>
    <w:rsid w:val="6905C990"/>
    <w:rsid w:val="691A8786"/>
    <w:rsid w:val="691BB33E"/>
    <w:rsid w:val="691E51FD"/>
    <w:rsid w:val="6927B634"/>
    <w:rsid w:val="692EA73B"/>
    <w:rsid w:val="692F05C1"/>
    <w:rsid w:val="6930F313"/>
    <w:rsid w:val="693BE87F"/>
    <w:rsid w:val="69571A14"/>
    <w:rsid w:val="69625D73"/>
    <w:rsid w:val="6968A884"/>
    <w:rsid w:val="697276C1"/>
    <w:rsid w:val="69868C8A"/>
    <w:rsid w:val="698C58FF"/>
    <w:rsid w:val="6992CFDC"/>
    <w:rsid w:val="6999FC7B"/>
    <w:rsid w:val="699B9B59"/>
    <w:rsid w:val="699DCC0E"/>
    <w:rsid w:val="699E8E70"/>
    <w:rsid w:val="69A77EBD"/>
    <w:rsid w:val="69A9DA8A"/>
    <w:rsid w:val="69B2F5D8"/>
    <w:rsid w:val="69BD9101"/>
    <w:rsid w:val="69BF8737"/>
    <w:rsid w:val="69CA840E"/>
    <w:rsid w:val="69CEB1C0"/>
    <w:rsid w:val="69D4C1EE"/>
    <w:rsid w:val="69D8D38B"/>
    <w:rsid w:val="69DC800B"/>
    <w:rsid w:val="69DD0ACF"/>
    <w:rsid w:val="69E22242"/>
    <w:rsid w:val="69E9A156"/>
    <w:rsid w:val="69EA3DA2"/>
    <w:rsid w:val="69EC9B74"/>
    <w:rsid w:val="69F463D1"/>
    <w:rsid w:val="69FF4CC2"/>
    <w:rsid w:val="6A0CE0FB"/>
    <w:rsid w:val="6A151ADD"/>
    <w:rsid w:val="6A1F0848"/>
    <w:rsid w:val="6A2EC8E2"/>
    <w:rsid w:val="6A337289"/>
    <w:rsid w:val="6A3BD339"/>
    <w:rsid w:val="6A3DE9D3"/>
    <w:rsid w:val="6A46319F"/>
    <w:rsid w:val="6A479AE7"/>
    <w:rsid w:val="6A4D3CFB"/>
    <w:rsid w:val="6A4ECF06"/>
    <w:rsid w:val="6A5DEA6D"/>
    <w:rsid w:val="6A6F2CAC"/>
    <w:rsid w:val="6A6FD70C"/>
    <w:rsid w:val="6A83BF4E"/>
    <w:rsid w:val="6A84DEB2"/>
    <w:rsid w:val="6A8C26BA"/>
    <w:rsid w:val="6A8CB501"/>
    <w:rsid w:val="6A9318A0"/>
    <w:rsid w:val="6A969FC2"/>
    <w:rsid w:val="6A9C984F"/>
    <w:rsid w:val="6A9ED6A8"/>
    <w:rsid w:val="6AA5CE34"/>
    <w:rsid w:val="6AA8E8EE"/>
    <w:rsid w:val="6AAAEB96"/>
    <w:rsid w:val="6AAE1EA0"/>
    <w:rsid w:val="6AC653B4"/>
    <w:rsid w:val="6AC704C8"/>
    <w:rsid w:val="6AC9B4B3"/>
    <w:rsid w:val="6ACD0EB7"/>
    <w:rsid w:val="6ACF2E52"/>
    <w:rsid w:val="6AD00CAB"/>
    <w:rsid w:val="6ADE9EC3"/>
    <w:rsid w:val="6ADFE486"/>
    <w:rsid w:val="6AEE0FE4"/>
    <w:rsid w:val="6AF000AE"/>
    <w:rsid w:val="6AFDEC7B"/>
    <w:rsid w:val="6B0C43C0"/>
    <w:rsid w:val="6B0F1446"/>
    <w:rsid w:val="6B184A3E"/>
    <w:rsid w:val="6B1B961A"/>
    <w:rsid w:val="6B28A38D"/>
    <w:rsid w:val="6B3B36EE"/>
    <w:rsid w:val="6B3F67BA"/>
    <w:rsid w:val="6B445A19"/>
    <w:rsid w:val="6B5A9B9E"/>
    <w:rsid w:val="6B7A551E"/>
    <w:rsid w:val="6B7F3DF3"/>
    <w:rsid w:val="6B9195B3"/>
    <w:rsid w:val="6BA18E52"/>
    <w:rsid w:val="6BBA19B6"/>
    <w:rsid w:val="6BC668C7"/>
    <w:rsid w:val="6BD94E89"/>
    <w:rsid w:val="6BDB45E0"/>
    <w:rsid w:val="6BDC11EF"/>
    <w:rsid w:val="6BE19012"/>
    <w:rsid w:val="6BEB4AA3"/>
    <w:rsid w:val="6BF37169"/>
    <w:rsid w:val="6C0A798F"/>
    <w:rsid w:val="6C17BC43"/>
    <w:rsid w:val="6C201C4D"/>
    <w:rsid w:val="6C21694C"/>
    <w:rsid w:val="6C2939B2"/>
    <w:rsid w:val="6C29778C"/>
    <w:rsid w:val="6C3B6EB3"/>
    <w:rsid w:val="6C3F59B0"/>
    <w:rsid w:val="6C4FDFE1"/>
    <w:rsid w:val="6C54F85C"/>
    <w:rsid w:val="6C61AB96"/>
    <w:rsid w:val="6C7D3977"/>
    <w:rsid w:val="6C8A6A28"/>
    <w:rsid w:val="6C8B1A06"/>
    <w:rsid w:val="6C925CB3"/>
    <w:rsid w:val="6C93876B"/>
    <w:rsid w:val="6C944A8E"/>
    <w:rsid w:val="6C9A2BBD"/>
    <w:rsid w:val="6C9B6ECE"/>
    <w:rsid w:val="6CAAE6CD"/>
    <w:rsid w:val="6CABEBE2"/>
    <w:rsid w:val="6CAF06C0"/>
    <w:rsid w:val="6CBA4B39"/>
    <w:rsid w:val="6CC6047F"/>
    <w:rsid w:val="6CC728FE"/>
    <w:rsid w:val="6CD3DB57"/>
    <w:rsid w:val="6CEC1204"/>
    <w:rsid w:val="6CEC6C7D"/>
    <w:rsid w:val="6CF62B50"/>
    <w:rsid w:val="6CFB3DF0"/>
    <w:rsid w:val="6D007586"/>
    <w:rsid w:val="6D04B77E"/>
    <w:rsid w:val="6D05B36F"/>
    <w:rsid w:val="6D063C9D"/>
    <w:rsid w:val="6D1234AB"/>
    <w:rsid w:val="6D150060"/>
    <w:rsid w:val="6D32835F"/>
    <w:rsid w:val="6D42C0EF"/>
    <w:rsid w:val="6D482FC4"/>
    <w:rsid w:val="6D515403"/>
    <w:rsid w:val="6D584C7C"/>
    <w:rsid w:val="6D5EF143"/>
    <w:rsid w:val="6D5FCF28"/>
    <w:rsid w:val="6D685C06"/>
    <w:rsid w:val="6D79FC49"/>
    <w:rsid w:val="6D7F0332"/>
    <w:rsid w:val="6D87BA86"/>
    <w:rsid w:val="6D8A9637"/>
    <w:rsid w:val="6DA9CF4D"/>
    <w:rsid w:val="6DAB7F2F"/>
    <w:rsid w:val="6DB59EFA"/>
    <w:rsid w:val="6DB8B6DB"/>
    <w:rsid w:val="6DBB6780"/>
    <w:rsid w:val="6DBB7821"/>
    <w:rsid w:val="6DC3817E"/>
    <w:rsid w:val="6DD05D0A"/>
    <w:rsid w:val="6DE5B2BF"/>
    <w:rsid w:val="6DE677FE"/>
    <w:rsid w:val="6DEADE24"/>
    <w:rsid w:val="6DECF83F"/>
    <w:rsid w:val="6DEE2DFB"/>
    <w:rsid w:val="6DF26A8C"/>
    <w:rsid w:val="6DF2D91E"/>
    <w:rsid w:val="6DF315D3"/>
    <w:rsid w:val="6DF61356"/>
    <w:rsid w:val="6DFE4AD9"/>
    <w:rsid w:val="6E1204C6"/>
    <w:rsid w:val="6E21EC93"/>
    <w:rsid w:val="6E230E2D"/>
    <w:rsid w:val="6E26ED7C"/>
    <w:rsid w:val="6E4200FC"/>
    <w:rsid w:val="6E47241B"/>
    <w:rsid w:val="6E497117"/>
    <w:rsid w:val="6E531B94"/>
    <w:rsid w:val="6E5C67CE"/>
    <w:rsid w:val="6E5E3F53"/>
    <w:rsid w:val="6E623FC8"/>
    <w:rsid w:val="6E6C9925"/>
    <w:rsid w:val="6E81FE1A"/>
    <w:rsid w:val="6E839C19"/>
    <w:rsid w:val="6E8765D0"/>
    <w:rsid w:val="6EA222DC"/>
    <w:rsid w:val="6EA2EEA8"/>
    <w:rsid w:val="6EA72A21"/>
    <w:rsid w:val="6EA99A31"/>
    <w:rsid w:val="6EBB81A0"/>
    <w:rsid w:val="6EBF372A"/>
    <w:rsid w:val="6EC28F19"/>
    <w:rsid w:val="6EC8930D"/>
    <w:rsid w:val="6ED26BBF"/>
    <w:rsid w:val="6ED8F27C"/>
    <w:rsid w:val="6EDD8DA2"/>
    <w:rsid w:val="6EDF3366"/>
    <w:rsid w:val="6EEB111D"/>
    <w:rsid w:val="6EF1814F"/>
    <w:rsid w:val="6EFC7CAC"/>
    <w:rsid w:val="6F003FAD"/>
    <w:rsid w:val="6F03C645"/>
    <w:rsid w:val="6F067F33"/>
    <w:rsid w:val="6F0EE538"/>
    <w:rsid w:val="6F2A9EE5"/>
    <w:rsid w:val="6F2B46F5"/>
    <w:rsid w:val="6F2BE96C"/>
    <w:rsid w:val="6F2EDFFB"/>
    <w:rsid w:val="6F38B31B"/>
    <w:rsid w:val="6F3978F9"/>
    <w:rsid w:val="6F4AA4F0"/>
    <w:rsid w:val="6F517C50"/>
    <w:rsid w:val="6F5C1152"/>
    <w:rsid w:val="6F6D43C7"/>
    <w:rsid w:val="6F7458CA"/>
    <w:rsid w:val="6F8F8D73"/>
    <w:rsid w:val="6F975B0E"/>
    <w:rsid w:val="6FA84F42"/>
    <w:rsid w:val="6FA9494D"/>
    <w:rsid w:val="6FBAB480"/>
    <w:rsid w:val="6FBACB0D"/>
    <w:rsid w:val="6FBB37C0"/>
    <w:rsid w:val="6FC3A6F6"/>
    <w:rsid w:val="6FD0061C"/>
    <w:rsid w:val="6FDEFB03"/>
    <w:rsid w:val="6FE041A6"/>
    <w:rsid w:val="6FE66EB7"/>
    <w:rsid w:val="6FEA917D"/>
    <w:rsid w:val="6FEC47C8"/>
    <w:rsid w:val="6FECB11D"/>
    <w:rsid w:val="6FED70C3"/>
    <w:rsid w:val="6FF2B61C"/>
    <w:rsid w:val="6FF32744"/>
    <w:rsid w:val="700762F6"/>
    <w:rsid w:val="7014A413"/>
    <w:rsid w:val="7026B7ED"/>
    <w:rsid w:val="7032FB1B"/>
    <w:rsid w:val="70394D3C"/>
    <w:rsid w:val="703B470A"/>
    <w:rsid w:val="703D1AB6"/>
    <w:rsid w:val="703FA895"/>
    <w:rsid w:val="7044D3D9"/>
    <w:rsid w:val="70475838"/>
    <w:rsid w:val="704CFEF9"/>
    <w:rsid w:val="7054ADC6"/>
    <w:rsid w:val="7059E058"/>
    <w:rsid w:val="705CC593"/>
    <w:rsid w:val="7061F025"/>
    <w:rsid w:val="7070E515"/>
    <w:rsid w:val="707692A2"/>
    <w:rsid w:val="709B6458"/>
    <w:rsid w:val="709DFC50"/>
    <w:rsid w:val="709FE34D"/>
    <w:rsid w:val="70A22D87"/>
    <w:rsid w:val="70A420B0"/>
    <w:rsid w:val="70A7658C"/>
    <w:rsid w:val="70B84CDA"/>
    <w:rsid w:val="70D68CBD"/>
    <w:rsid w:val="70DA0DE8"/>
    <w:rsid w:val="70E24303"/>
    <w:rsid w:val="70EF3609"/>
    <w:rsid w:val="710724D1"/>
    <w:rsid w:val="7112595F"/>
    <w:rsid w:val="71267A0F"/>
    <w:rsid w:val="712DB4A6"/>
    <w:rsid w:val="7130EAF1"/>
    <w:rsid w:val="713D2F74"/>
    <w:rsid w:val="7140B1B4"/>
    <w:rsid w:val="7150BBDB"/>
    <w:rsid w:val="715F0A38"/>
    <w:rsid w:val="71626925"/>
    <w:rsid w:val="716C0CDA"/>
    <w:rsid w:val="716C678D"/>
    <w:rsid w:val="717039DD"/>
    <w:rsid w:val="717862CC"/>
    <w:rsid w:val="71792A9F"/>
    <w:rsid w:val="717EC57F"/>
    <w:rsid w:val="7180D62F"/>
    <w:rsid w:val="7183C34C"/>
    <w:rsid w:val="7190BF8E"/>
    <w:rsid w:val="71939978"/>
    <w:rsid w:val="719EA72C"/>
    <w:rsid w:val="71A65E9A"/>
    <w:rsid w:val="71B1669A"/>
    <w:rsid w:val="71B9A902"/>
    <w:rsid w:val="71B9F473"/>
    <w:rsid w:val="71C8C997"/>
    <w:rsid w:val="71CB9F84"/>
    <w:rsid w:val="71DC2132"/>
    <w:rsid w:val="71EDFE15"/>
    <w:rsid w:val="71F6151F"/>
    <w:rsid w:val="71F67B1B"/>
    <w:rsid w:val="720DC11C"/>
    <w:rsid w:val="72218ED5"/>
    <w:rsid w:val="7222273F"/>
    <w:rsid w:val="722FA05C"/>
    <w:rsid w:val="7230E880"/>
    <w:rsid w:val="7235CE8E"/>
    <w:rsid w:val="723B8C7B"/>
    <w:rsid w:val="72493454"/>
    <w:rsid w:val="7249C013"/>
    <w:rsid w:val="7277BC93"/>
    <w:rsid w:val="727A49B8"/>
    <w:rsid w:val="727C4B13"/>
    <w:rsid w:val="72814027"/>
    <w:rsid w:val="72856B88"/>
    <w:rsid w:val="72950689"/>
    <w:rsid w:val="729EBA05"/>
    <w:rsid w:val="72A6C6DD"/>
    <w:rsid w:val="72A82AD9"/>
    <w:rsid w:val="72B7C95E"/>
    <w:rsid w:val="72BCC65D"/>
    <w:rsid w:val="72C290F6"/>
    <w:rsid w:val="72C84DA9"/>
    <w:rsid w:val="72CBDB66"/>
    <w:rsid w:val="72CD9B43"/>
    <w:rsid w:val="72DDF399"/>
    <w:rsid w:val="72EE4675"/>
    <w:rsid w:val="72F54965"/>
    <w:rsid w:val="72F79BC9"/>
    <w:rsid w:val="72FE8520"/>
    <w:rsid w:val="730F5EBC"/>
    <w:rsid w:val="730FCF52"/>
    <w:rsid w:val="73199E52"/>
    <w:rsid w:val="7324E6AB"/>
    <w:rsid w:val="732C1445"/>
    <w:rsid w:val="732F4412"/>
    <w:rsid w:val="7331ED3B"/>
    <w:rsid w:val="733601B8"/>
    <w:rsid w:val="733BC566"/>
    <w:rsid w:val="7344147D"/>
    <w:rsid w:val="73483B04"/>
    <w:rsid w:val="734DEA34"/>
    <w:rsid w:val="73502C3C"/>
    <w:rsid w:val="7363BDDC"/>
    <w:rsid w:val="73667916"/>
    <w:rsid w:val="73726A96"/>
    <w:rsid w:val="737339FE"/>
    <w:rsid w:val="738F46C7"/>
    <w:rsid w:val="73A507E6"/>
    <w:rsid w:val="73A83E17"/>
    <w:rsid w:val="73B03C8A"/>
    <w:rsid w:val="73BCA84F"/>
    <w:rsid w:val="73D3343A"/>
    <w:rsid w:val="73D6F823"/>
    <w:rsid w:val="73DAE13F"/>
    <w:rsid w:val="73E07DC5"/>
    <w:rsid w:val="73ED4B0E"/>
    <w:rsid w:val="73EE0490"/>
    <w:rsid w:val="73EE71F3"/>
    <w:rsid w:val="73F45F0A"/>
    <w:rsid w:val="73FB35A9"/>
    <w:rsid w:val="73FD959B"/>
    <w:rsid w:val="74003CE4"/>
    <w:rsid w:val="7403F986"/>
    <w:rsid w:val="7413229E"/>
    <w:rsid w:val="74225ADF"/>
    <w:rsid w:val="74244F07"/>
    <w:rsid w:val="742CCB91"/>
    <w:rsid w:val="74330A25"/>
    <w:rsid w:val="74398D72"/>
    <w:rsid w:val="7454AB4A"/>
    <w:rsid w:val="74557963"/>
    <w:rsid w:val="745ADDA3"/>
    <w:rsid w:val="7474E729"/>
    <w:rsid w:val="749D5C5D"/>
    <w:rsid w:val="74A4CB4F"/>
    <w:rsid w:val="74A7378C"/>
    <w:rsid w:val="74A886A7"/>
    <w:rsid w:val="74BDA110"/>
    <w:rsid w:val="74C7D59F"/>
    <w:rsid w:val="74CD5936"/>
    <w:rsid w:val="74D7D192"/>
    <w:rsid w:val="74D7ECFF"/>
    <w:rsid w:val="74DFB4C7"/>
    <w:rsid w:val="74E8FFBE"/>
    <w:rsid w:val="74F0E43A"/>
    <w:rsid w:val="74F1846D"/>
    <w:rsid w:val="74F43FF2"/>
    <w:rsid w:val="7506CE76"/>
    <w:rsid w:val="75168DAB"/>
    <w:rsid w:val="751A083D"/>
    <w:rsid w:val="751FF293"/>
    <w:rsid w:val="7525183B"/>
    <w:rsid w:val="7549A15D"/>
    <w:rsid w:val="755841A4"/>
    <w:rsid w:val="755D7AF0"/>
    <w:rsid w:val="75628C1D"/>
    <w:rsid w:val="7562AD56"/>
    <w:rsid w:val="758013B0"/>
    <w:rsid w:val="7588554E"/>
    <w:rsid w:val="7594A621"/>
    <w:rsid w:val="759C9E4E"/>
    <w:rsid w:val="759F9E61"/>
    <w:rsid w:val="75A15F89"/>
    <w:rsid w:val="75A5FDEB"/>
    <w:rsid w:val="75B4698A"/>
    <w:rsid w:val="75B9DB75"/>
    <w:rsid w:val="75C2F9B9"/>
    <w:rsid w:val="75C6CD76"/>
    <w:rsid w:val="75C70557"/>
    <w:rsid w:val="75D80291"/>
    <w:rsid w:val="75EC32AE"/>
    <w:rsid w:val="75EF9B7D"/>
    <w:rsid w:val="7600E259"/>
    <w:rsid w:val="7610463E"/>
    <w:rsid w:val="7615FC3C"/>
    <w:rsid w:val="761CDAC0"/>
    <w:rsid w:val="762BFA02"/>
    <w:rsid w:val="76472676"/>
    <w:rsid w:val="764FD963"/>
    <w:rsid w:val="766A6C83"/>
    <w:rsid w:val="767CFCA6"/>
    <w:rsid w:val="7680B32D"/>
    <w:rsid w:val="7683C367"/>
    <w:rsid w:val="76853681"/>
    <w:rsid w:val="768C49B8"/>
    <w:rsid w:val="769D921E"/>
    <w:rsid w:val="76A7132D"/>
    <w:rsid w:val="76B888BD"/>
    <w:rsid w:val="76D62A9D"/>
    <w:rsid w:val="76E88596"/>
    <w:rsid w:val="76EB570C"/>
    <w:rsid w:val="76FE35F2"/>
    <w:rsid w:val="76FFE62A"/>
    <w:rsid w:val="77022B5F"/>
    <w:rsid w:val="771213A2"/>
    <w:rsid w:val="7730235B"/>
    <w:rsid w:val="774174C8"/>
    <w:rsid w:val="7743FF46"/>
    <w:rsid w:val="774D1116"/>
    <w:rsid w:val="77540E7A"/>
    <w:rsid w:val="7755635A"/>
    <w:rsid w:val="77556C04"/>
    <w:rsid w:val="7760A9B8"/>
    <w:rsid w:val="7774DB98"/>
    <w:rsid w:val="7781EEA4"/>
    <w:rsid w:val="778BDC68"/>
    <w:rsid w:val="7796C631"/>
    <w:rsid w:val="779BCCA3"/>
    <w:rsid w:val="77B13DF9"/>
    <w:rsid w:val="77B1A2EC"/>
    <w:rsid w:val="77B1B6A5"/>
    <w:rsid w:val="77BA8CC4"/>
    <w:rsid w:val="77BB39D2"/>
    <w:rsid w:val="77BF490C"/>
    <w:rsid w:val="77C17C48"/>
    <w:rsid w:val="77D23F7D"/>
    <w:rsid w:val="77E5A7B1"/>
    <w:rsid w:val="77E6F29B"/>
    <w:rsid w:val="77E88B88"/>
    <w:rsid w:val="77EEE50F"/>
    <w:rsid w:val="77F87FC2"/>
    <w:rsid w:val="77F9148B"/>
    <w:rsid w:val="77FF06C3"/>
    <w:rsid w:val="78202F3C"/>
    <w:rsid w:val="782621B8"/>
    <w:rsid w:val="782E9BA4"/>
    <w:rsid w:val="783582F9"/>
    <w:rsid w:val="78384D7E"/>
    <w:rsid w:val="78389CF1"/>
    <w:rsid w:val="786726EA"/>
    <w:rsid w:val="7872A885"/>
    <w:rsid w:val="787791CC"/>
    <w:rsid w:val="78A257F9"/>
    <w:rsid w:val="78A9F313"/>
    <w:rsid w:val="78AE3EEB"/>
    <w:rsid w:val="78B01F1A"/>
    <w:rsid w:val="78B22446"/>
    <w:rsid w:val="78B64F88"/>
    <w:rsid w:val="78C1BE3C"/>
    <w:rsid w:val="78C68BC3"/>
    <w:rsid w:val="78CEBEB9"/>
    <w:rsid w:val="78DFFC86"/>
    <w:rsid w:val="78E12EBC"/>
    <w:rsid w:val="78E94F81"/>
    <w:rsid w:val="78ED85F6"/>
    <w:rsid w:val="78F8F53C"/>
    <w:rsid w:val="78FA4829"/>
    <w:rsid w:val="78FF0242"/>
    <w:rsid w:val="79056196"/>
    <w:rsid w:val="79081B2C"/>
    <w:rsid w:val="790928EA"/>
    <w:rsid w:val="790D6F1F"/>
    <w:rsid w:val="790E9D1C"/>
    <w:rsid w:val="791248F9"/>
    <w:rsid w:val="79171390"/>
    <w:rsid w:val="792A449E"/>
    <w:rsid w:val="7940739E"/>
    <w:rsid w:val="7947BB15"/>
    <w:rsid w:val="79682629"/>
    <w:rsid w:val="796F4575"/>
    <w:rsid w:val="7975E412"/>
    <w:rsid w:val="79768CFA"/>
    <w:rsid w:val="7992009B"/>
    <w:rsid w:val="79928754"/>
    <w:rsid w:val="799439E8"/>
    <w:rsid w:val="799F1C3D"/>
    <w:rsid w:val="79A0A5D5"/>
    <w:rsid w:val="79A3FF14"/>
    <w:rsid w:val="79A66B14"/>
    <w:rsid w:val="79A968A3"/>
    <w:rsid w:val="79AB9155"/>
    <w:rsid w:val="79ADA73E"/>
    <w:rsid w:val="79B4BFD2"/>
    <w:rsid w:val="79B57FFA"/>
    <w:rsid w:val="79C5821A"/>
    <w:rsid w:val="79C5E5CA"/>
    <w:rsid w:val="79E3377F"/>
    <w:rsid w:val="79E5F891"/>
    <w:rsid w:val="79E7F9FF"/>
    <w:rsid w:val="7A041937"/>
    <w:rsid w:val="7A06E187"/>
    <w:rsid w:val="7A10C976"/>
    <w:rsid w:val="7A1248DC"/>
    <w:rsid w:val="7A13B8C8"/>
    <w:rsid w:val="7A19AE99"/>
    <w:rsid w:val="7A1A89FE"/>
    <w:rsid w:val="7A1F5050"/>
    <w:rsid w:val="7A28BD61"/>
    <w:rsid w:val="7A2D9D6F"/>
    <w:rsid w:val="7A344960"/>
    <w:rsid w:val="7A48259F"/>
    <w:rsid w:val="7A4E5C12"/>
    <w:rsid w:val="7A4E826D"/>
    <w:rsid w:val="7A53B07D"/>
    <w:rsid w:val="7A568EEE"/>
    <w:rsid w:val="7A57BFD9"/>
    <w:rsid w:val="7A6BA450"/>
    <w:rsid w:val="7A7725A1"/>
    <w:rsid w:val="7A795803"/>
    <w:rsid w:val="7A7BE6DC"/>
    <w:rsid w:val="7A859BC2"/>
    <w:rsid w:val="7A8737AC"/>
    <w:rsid w:val="7A9138C9"/>
    <w:rsid w:val="7A94B831"/>
    <w:rsid w:val="7A972176"/>
    <w:rsid w:val="7AA68073"/>
    <w:rsid w:val="7AA9B738"/>
    <w:rsid w:val="7AAD4C9D"/>
    <w:rsid w:val="7AAFEE1C"/>
    <w:rsid w:val="7AB15696"/>
    <w:rsid w:val="7AB5859D"/>
    <w:rsid w:val="7AB7374B"/>
    <w:rsid w:val="7AC08648"/>
    <w:rsid w:val="7AC26741"/>
    <w:rsid w:val="7AC8FB7A"/>
    <w:rsid w:val="7ACBA1EB"/>
    <w:rsid w:val="7ACFDD6F"/>
    <w:rsid w:val="7AD31A92"/>
    <w:rsid w:val="7ADEAFE0"/>
    <w:rsid w:val="7AE06BB7"/>
    <w:rsid w:val="7AE0E496"/>
    <w:rsid w:val="7AF0B922"/>
    <w:rsid w:val="7AF3F28D"/>
    <w:rsid w:val="7AF7B567"/>
    <w:rsid w:val="7B029DA1"/>
    <w:rsid w:val="7B1D718A"/>
    <w:rsid w:val="7B1E590C"/>
    <w:rsid w:val="7B1E78B2"/>
    <w:rsid w:val="7B2075D8"/>
    <w:rsid w:val="7B2096A1"/>
    <w:rsid w:val="7B39C62A"/>
    <w:rsid w:val="7B3B737E"/>
    <w:rsid w:val="7B3E6012"/>
    <w:rsid w:val="7B43BB42"/>
    <w:rsid w:val="7B43FB19"/>
    <w:rsid w:val="7B441848"/>
    <w:rsid w:val="7B50FDBC"/>
    <w:rsid w:val="7B5FBC30"/>
    <w:rsid w:val="7B668AA9"/>
    <w:rsid w:val="7B7157DB"/>
    <w:rsid w:val="7B726992"/>
    <w:rsid w:val="7B7B023C"/>
    <w:rsid w:val="7B801933"/>
    <w:rsid w:val="7B80C56A"/>
    <w:rsid w:val="7B80FED9"/>
    <w:rsid w:val="7B9A0767"/>
    <w:rsid w:val="7BB71AF9"/>
    <w:rsid w:val="7BBF100D"/>
    <w:rsid w:val="7BD39B01"/>
    <w:rsid w:val="7BE0F86D"/>
    <w:rsid w:val="7BE1D970"/>
    <w:rsid w:val="7BEB9F49"/>
    <w:rsid w:val="7BED63FC"/>
    <w:rsid w:val="7BFCA722"/>
    <w:rsid w:val="7C060CFD"/>
    <w:rsid w:val="7C07825A"/>
    <w:rsid w:val="7C089800"/>
    <w:rsid w:val="7C0BB336"/>
    <w:rsid w:val="7C0D1FA5"/>
    <w:rsid w:val="7C11E720"/>
    <w:rsid w:val="7C16B781"/>
    <w:rsid w:val="7C2EFC3A"/>
    <w:rsid w:val="7C360862"/>
    <w:rsid w:val="7C45F0A7"/>
    <w:rsid w:val="7C53CAA5"/>
    <w:rsid w:val="7C5A46C3"/>
    <w:rsid w:val="7C60CBA9"/>
    <w:rsid w:val="7C63B5F0"/>
    <w:rsid w:val="7C63E911"/>
    <w:rsid w:val="7C6B595E"/>
    <w:rsid w:val="7C73D7BC"/>
    <w:rsid w:val="7C750E9B"/>
    <w:rsid w:val="7C78E0FD"/>
    <w:rsid w:val="7C7AD847"/>
    <w:rsid w:val="7C7C959B"/>
    <w:rsid w:val="7C7FBE93"/>
    <w:rsid w:val="7C9C491D"/>
    <w:rsid w:val="7CA38013"/>
    <w:rsid w:val="7CBC2F26"/>
    <w:rsid w:val="7CBCCF7B"/>
    <w:rsid w:val="7CC2778C"/>
    <w:rsid w:val="7CC59CEB"/>
    <w:rsid w:val="7D0E7E30"/>
    <w:rsid w:val="7D0EF068"/>
    <w:rsid w:val="7D0EF588"/>
    <w:rsid w:val="7D314C53"/>
    <w:rsid w:val="7D38AE8A"/>
    <w:rsid w:val="7D394826"/>
    <w:rsid w:val="7D3DE8B0"/>
    <w:rsid w:val="7D3F4373"/>
    <w:rsid w:val="7D707B07"/>
    <w:rsid w:val="7D863A81"/>
    <w:rsid w:val="7D87FEAC"/>
    <w:rsid w:val="7DACD23B"/>
    <w:rsid w:val="7DB6FDCC"/>
    <w:rsid w:val="7DBC2156"/>
    <w:rsid w:val="7DC94F22"/>
    <w:rsid w:val="7DEBF732"/>
    <w:rsid w:val="7DF56A04"/>
    <w:rsid w:val="7DFDBA1E"/>
    <w:rsid w:val="7E0DBFBE"/>
    <w:rsid w:val="7E15605E"/>
    <w:rsid w:val="7E26BF50"/>
    <w:rsid w:val="7E2D5BA9"/>
    <w:rsid w:val="7E2EB82F"/>
    <w:rsid w:val="7E37279C"/>
    <w:rsid w:val="7E39C90A"/>
    <w:rsid w:val="7E3AB2B1"/>
    <w:rsid w:val="7E445DCE"/>
    <w:rsid w:val="7E4586CB"/>
    <w:rsid w:val="7E47DD69"/>
    <w:rsid w:val="7E4CFB84"/>
    <w:rsid w:val="7E50E87E"/>
    <w:rsid w:val="7E55EF09"/>
    <w:rsid w:val="7E561967"/>
    <w:rsid w:val="7E5EAA5F"/>
    <w:rsid w:val="7E653F49"/>
    <w:rsid w:val="7E68A9F3"/>
    <w:rsid w:val="7E6C6864"/>
    <w:rsid w:val="7E6E920D"/>
    <w:rsid w:val="7E778C5D"/>
    <w:rsid w:val="7E904554"/>
    <w:rsid w:val="7E92B222"/>
    <w:rsid w:val="7E956A40"/>
    <w:rsid w:val="7E985713"/>
    <w:rsid w:val="7E99AA7F"/>
    <w:rsid w:val="7E9B982D"/>
    <w:rsid w:val="7E9D4AF6"/>
    <w:rsid w:val="7E9F1882"/>
    <w:rsid w:val="7EA51713"/>
    <w:rsid w:val="7EA7E826"/>
    <w:rsid w:val="7EB44FAC"/>
    <w:rsid w:val="7EB73486"/>
    <w:rsid w:val="7ECC0635"/>
    <w:rsid w:val="7ECC2CAA"/>
    <w:rsid w:val="7ECDE083"/>
    <w:rsid w:val="7ED1BDD4"/>
    <w:rsid w:val="7ED59A06"/>
    <w:rsid w:val="7EE1A90F"/>
    <w:rsid w:val="7F021455"/>
    <w:rsid w:val="7F0D54BE"/>
    <w:rsid w:val="7F0F6F07"/>
    <w:rsid w:val="7F27B715"/>
    <w:rsid w:val="7F361E12"/>
    <w:rsid w:val="7F397403"/>
    <w:rsid w:val="7F397E2A"/>
    <w:rsid w:val="7F3AFB32"/>
    <w:rsid w:val="7F407D44"/>
    <w:rsid w:val="7F5F1BAF"/>
    <w:rsid w:val="7F6619CA"/>
    <w:rsid w:val="7F6BD960"/>
    <w:rsid w:val="7F6E3D8D"/>
    <w:rsid w:val="7F776842"/>
    <w:rsid w:val="7F7AC04B"/>
    <w:rsid w:val="7F8B05F7"/>
    <w:rsid w:val="7F8E95AA"/>
    <w:rsid w:val="7F951731"/>
    <w:rsid w:val="7F974DCD"/>
    <w:rsid w:val="7F9A2C75"/>
    <w:rsid w:val="7F9BD8E6"/>
    <w:rsid w:val="7F9EFF20"/>
    <w:rsid w:val="7FA75431"/>
    <w:rsid w:val="7FAC6A6B"/>
    <w:rsid w:val="7FB06117"/>
    <w:rsid w:val="7FB48612"/>
    <w:rsid w:val="7FB9DE41"/>
    <w:rsid w:val="7FCCFAFA"/>
    <w:rsid w:val="7FDC27F8"/>
    <w:rsid w:val="7FF481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E0627"/>
  <w15:chartTrackingRefBased/>
  <w15:docId w15:val="{8B495282-612C-48A0-8913-CA54B432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E0AB19A"/>
    <w:pPr>
      <w:keepNext/>
      <w:keepLines/>
      <w:spacing w:before="40" w:after="0"/>
      <w:contextualSpacing/>
      <w:jc w:val="both"/>
      <w:outlineLvl w:val="2"/>
    </w:pPr>
    <w:rPr>
      <w:rFonts w:ascii="Arial" w:eastAsia="Arial" w:hAnsi="Arial"/>
      <w:sz w:val="24"/>
      <w:szCs w:val="24"/>
      <w:lang w:val="en-GB"/>
    </w:rPr>
  </w:style>
  <w:style w:type="paragraph" w:styleId="Heading1">
    <w:name w:val="heading 1"/>
    <w:basedOn w:val="Normal"/>
    <w:next w:val="Normal"/>
    <w:link w:val="Heading1Char"/>
    <w:uiPriority w:val="9"/>
    <w:qFormat/>
    <w:rsid w:val="5311C3E3"/>
    <w:pPr>
      <w:spacing w:before="400" w:after="40"/>
      <w:outlineLvl w:val="0"/>
    </w:pPr>
    <w:rPr>
      <w:rFonts w:cs="Arial"/>
      <w:color w:val="1F4E79" w:themeColor="accent1" w:themeShade="80"/>
      <w:sz w:val="36"/>
      <w:szCs w:val="36"/>
    </w:rPr>
  </w:style>
  <w:style w:type="paragraph" w:styleId="Heading2">
    <w:name w:val="heading 2"/>
    <w:basedOn w:val="Normal"/>
    <w:next w:val="Normal"/>
    <w:link w:val="Heading2Char"/>
    <w:uiPriority w:val="9"/>
    <w:unhideWhenUsed/>
    <w:qFormat/>
    <w:rsid w:val="2E0AB19A"/>
    <w:pPr>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2E0AB19A"/>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2E0AB19A"/>
    <w:pPr>
      <w:outlineLvl w:val="3"/>
    </w:pPr>
    <w:rPr>
      <w:rFonts w:asciiTheme="majorHAnsi" w:eastAsiaTheme="majorEastAsia" w:hAnsiTheme="majorHAnsi" w:cstheme="majorBidi"/>
      <w:color w:val="2E74B5" w:themeColor="accent1" w:themeShade="BF"/>
    </w:rPr>
  </w:style>
  <w:style w:type="paragraph" w:styleId="Heading5">
    <w:name w:val="heading 5"/>
    <w:basedOn w:val="Normal"/>
    <w:next w:val="Normal"/>
    <w:link w:val="Heading5Char"/>
    <w:uiPriority w:val="9"/>
    <w:semiHidden/>
    <w:unhideWhenUsed/>
    <w:qFormat/>
    <w:rsid w:val="2E0AB19A"/>
    <w:pPr>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2E0AB19A"/>
    <w:pPr>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2E0AB19A"/>
    <w:pPr>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2E0AB19A"/>
    <w:pPr>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2E0AB19A"/>
    <w:pPr>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5311C3E3"/>
    <w:rPr>
      <w:rFonts w:ascii="Arial" w:eastAsia="Arial" w:hAnsi="Arial" w:cs="Arial"/>
      <w:noProof w:val="0"/>
      <w:color w:val="1F4E79" w:themeColor="accent1" w:themeShade="80"/>
      <w:sz w:val="36"/>
      <w:szCs w:val="36"/>
      <w:lang w:val="en-GB"/>
    </w:rPr>
  </w:style>
  <w:style w:type="character" w:customStyle="1" w:styleId="Heading2Char">
    <w:name w:val="Heading 2 Char"/>
    <w:basedOn w:val="DefaultParagraphFont"/>
    <w:link w:val="Heading2"/>
    <w:uiPriority w:val="9"/>
    <w:rsid w:val="006D25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D25E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25E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D25E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D25E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D25E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D25E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D25E6"/>
    <w:rPr>
      <w:rFonts w:asciiTheme="majorHAnsi" w:eastAsiaTheme="majorEastAsia" w:hAnsiTheme="majorHAnsi" w:cstheme="majorBidi"/>
      <w:i/>
      <w:iCs/>
      <w:color w:val="1F4E79" w:themeColor="accent1" w:themeShade="80"/>
    </w:rPr>
  </w:style>
  <w:style w:type="paragraph" w:customStyle="1" w:styleId="Default">
    <w:name w:val="Default"/>
    <w:basedOn w:val="Normal"/>
    <w:uiPriority w:val="1"/>
    <w:rsid w:val="2E0AB19A"/>
    <w:rPr>
      <w:rFonts w:eastAsia="HGSMinchoE"/>
      <w:color w:val="000000" w:themeColor="text1"/>
      <w:lang w:eastAsia="en-GB"/>
    </w:rPr>
  </w:style>
  <w:style w:type="paragraph" w:customStyle="1" w:styleId="commentcontentpara">
    <w:name w:val="commentcontentpara"/>
    <w:basedOn w:val="Normal"/>
    <w:uiPriority w:val="1"/>
    <w:rsid w:val="2E0AB19A"/>
    <w:pPr>
      <w:spacing w:beforeAutospacing="1" w:afterAutospacing="1"/>
    </w:pPr>
    <w:rPr>
      <w:rFonts w:ascii="Times New Roman" w:eastAsia="Times New Roman" w:hAnsi="Times New Roman" w:cs="Times New Roman"/>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2E0AB19A"/>
    <w:pPr>
      <w:ind w:left="720"/>
    </w:pPr>
  </w:style>
  <w:style w:type="character" w:styleId="Hyperlink">
    <w:name w:val="Hyperlink"/>
    <w:basedOn w:val="DefaultParagraphFont"/>
    <w:uiPriority w:val="99"/>
    <w:unhideWhenUsed/>
    <w:rPr>
      <w:color w:val="0563C1" w:themeColor="hyperlink"/>
      <w:u w:val="single"/>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sid w:val="2E0AB19A"/>
    <w:rPr>
      <w:sz w:val="20"/>
      <w:szCs w:val="20"/>
    </w:rPr>
  </w:style>
  <w:style w:type="paragraph" w:styleId="CommentText">
    <w:name w:val="annotation text"/>
    <w:basedOn w:val="Normal"/>
    <w:link w:val="CommentTextChar"/>
    <w:uiPriority w:val="99"/>
    <w:semiHidden/>
    <w:unhideWhenUsed/>
    <w:rsid w:val="2E0AB19A"/>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D7229"/>
    <w:pPr>
      <w:spacing w:after="0" w:line="240" w:lineRule="auto"/>
    </w:pPr>
  </w:style>
  <w:style w:type="paragraph" w:styleId="Header">
    <w:name w:val="header"/>
    <w:basedOn w:val="Normal"/>
    <w:uiPriority w:val="99"/>
    <w:unhideWhenUsed/>
    <w:rsid w:val="2E0AB19A"/>
    <w:pPr>
      <w:tabs>
        <w:tab w:val="center" w:pos="4680"/>
        <w:tab w:val="right" w:pos="9360"/>
      </w:tabs>
    </w:pPr>
  </w:style>
  <w:style w:type="paragraph" w:styleId="Footer">
    <w:name w:val="footer"/>
    <w:basedOn w:val="Normal"/>
    <w:uiPriority w:val="99"/>
    <w:unhideWhenUsed/>
    <w:rsid w:val="2E0AB19A"/>
    <w:pPr>
      <w:tabs>
        <w:tab w:val="center" w:pos="4680"/>
        <w:tab w:val="right" w:pos="9360"/>
      </w:tabs>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2E0AB19A"/>
    <w:rPr>
      <w:rFonts w:asciiTheme="majorHAnsi" w:eastAsiaTheme="majorEastAsia" w:hAnsiTheme="majorHAnsi" w:cstheme="majorBidi"/>
      <w:caps/>
      <w:color w:val="44546A" w:themeColor="text2"/>
      <w:sz w:val="72"/>
      <w:szCs w:val="72"/>
    </w:rPr>
  </w:style>
  <w:style w:type="character" w:customStyle="1" w:styleId="TitleChar">
    <w:name w:val="Title Char"/>
    <w:basedOn w:val="DefaultParagraphFont"/>
    <w:link w:val="Title"/>
    <w:uiPriority w:val="10"/>
    <w:rsid w:val="006D25E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2E0AB19A"/>
    <w:p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D25E6"/>
    <w:rPr>
      <w:rFonts w:asciiTheme="majorHAnsi" w:eastAsiaTheme="majorEastAsia" w:hAnsiTheme="majorHAnsi" w:cstheme="majorBidi"/>
      <w:color w:val="5B9BD5" w:themeColor="accent1"/>
      <w:sz w:val="28"/>
      <w:szCs w:val="28"/>
    </w:rPr>
  </w:style>
  <w:style w:type="paragraph" w:styleId="BalloonText">
    <w:name w:val="Balloon Text"/>
    <w:basedOn w:val="Normal"/>
    <w:link w:val="BalloonTextChar"/>
    <w:uiPriority w:val="99"/>
    <w:semiHidden/>
    <w:unhideWhenUsed/>
    <w:rsid w:val="2E0AB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5E6"/>
    <w:rPr>
      <w:rFonts w:ascii="Segoe UI" w:hAnsi="Segoe UI" w:cs="Segoe UI"/>
      <w:sz w:val="18"/>
      <w:szCs w:val="18"/>
    </w:rPr>
  </w:style>
  <w:style w:type="character" w:styleId="LineNumber">
    <w:name w:val="line number"/>
    <w:basedOn w:val="DefaultParagraphFont"/>
    <w:uiPriority w:val="99"/>
    <w:semiHidden/>
    <w:unhideWhenUsed/>
    <w:rsid w:val="006D25E6"/>
  </w:style>
  <w:style w:type="paragraph" w:styleId="Caption">
    <w:name w:val="caption"/>
    <w:basedOn w:val="Normal"/>
    <w:next w:val="Normal"/>
    <w:uiPriority w:val="35"/>
    <w:semiHidden/>
    <w:unhideWhenUsed/>
    <w:qFormat/>
    <w:rsid w:val="2E0AB19A"/>
    <w:rPr>
      <w:b/>
      <w:bCs/>
      <w:smallCaps/>
      <w:color w:val="44546A" w:themeColor="text2"/>
    </w:rPr>
  </w:style>
  <w:style w:type="character" w:styleId="Strong">
    <w:name w:val="Strong"/>
    <w:basedOn w:val="DefaultParagraphFont"/>
    <w:uiPriority w:val="22"/>
    <w:qFormat/>
    <w:rsid w:val="006D25E6"/>
    <w:rPr>
      <w:b/>
      <w:bCs/>
    </w:rPr>
  </w:style>
  <w:style w:type="character" w:styleId="Emphasis">
    <w:name w:val="Emphasis"/>
    <w:basedOn w:val="DefaultParagraphFont"/>
    <w:uiPriority w:val="20"/>
    <w:qFormat/>
    <w:rsid w:val="006D25E6"/>
    <w:rPr>
      <w:i/>
      <w:iCs/>
    </w:rPr>
  </w:style>
  <w:style w:type="paragraph" w:styleId="NoSpacing">
    <w:name w:val="No Spacing"/>
    <w:basedOn w:val="Heading2"/>
    <w:uiPriority w:val="1"/>
    <w:qFormat/>
    <w:rsid w:val="66992B7B"/>
    <w:pPr>
      <w:spacing w:after="120"/>
    </w:pPr>
    <w:rPr>
      <w:rFonts w:ascii="Arial" w:eastAsia="Arial" w:hAnsi="Arial" w:cs="Arial"/>
      <w:color w:val="000000" w:themeColor="text1"/>
      <w:sz w:val="22"/>
      <w:szCs w:val="22"/>
    </w:rPr>
  </w:style>
  <w:style w:type="paragraph" w:styleId="Quote">
    <w:name w:val="Quote"/>
    <w:basedOn w:val="Normal"/>
    <w:next w:val="Normal"/>
    <w:link w:val="QuoteChar"/>
    <w:uiPriority w:val="29"/>
    <w:qFormat/>
    <w:rsid w:val="2E0AB19A"/>
    <w:pPr>
      <w:spacing w:before="120" w:after="120"/>
      <w:ind w:left="720"/>
    </w:pPr>
    <w:rPr>
      <w:color w:val="44546A" w:themeColor="text2"/>
    </w:rPr>
  </w:style>
  <w:style w:type="character" w:customStyle="1" w:styleId="QuoteChar">
    <w:name w:val="Quote Char"/>
    <w:basedOn w:val="DefaultParagraphFont"/>
    <w:link w:val="Quote"/>
    <w:uiPriority w:val="29"/>
    <w:rsid w:val="006D25E6"/>
    <w:rPr>
      <w:color w:val="44546A" w:themeColor="text2"/>
      <w:sz w:val="24"/>
      <w:szCs w:val="24"/>
    </w:rPr>
  </w:style>
  <w:style w:type="paragraph" w:styleId="IntenseQuote">
    <w:name w:val="Intense Quote"/>
    <w:basedOn w:val="Normal"/>
    <w:next w:val="Normal"/>
    <w:link w:val="IntenseQuoteChar"/>
    <w:uiPriority w:val="30"/>
    <w:qFormat/>
    <w:rsid w:val="2E0AB19A"/>
    <w:pPr>
      <w:spacing w:beforeAutospacing="1" w:after="240"/>
      <w:ind w:left="720"/>
      <w:jc w:val="center"/>
    </w:pPr>
    <w:rPr>
      <w:rFonts w:asciiTheme="majorHAnsi" w:eastAsiaTheme="majorEastAsia" w:hAnsiTheme="majorHAnsi" w:cstheme="majorBidi"/>
      <w:color w:val="44546A" w:themeColor="text2"/>
      <w:sz w:val="32"/>
      <w:szCs w:val="32"/>
    </w:rPr>
  </w:style>
  <w:style w:type="character" w:customStyle="1" w:styleId="IntenseQuoteChar">
    <w:name w:val="Intense Quote Char"/>
    <w:basedOn w:val="DefaultParagraphFont"/>
    <w:link w:val="IntenseQuote"/>
    <w:uiPriority w:val="30"/>
    <w:rsid w:val="006D25E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D25E6"/>
    <w:rPr>
      <w:i/>
      <w:iCs/>
      <w:color w:val="595959" w:themeColor="text1" w:themeTint="A6"/>
    </w:rPr>
  </w:style>
  <w:style w:type="character" w:styleId="IntenseEmphasis">
    <w:name w:val="Intense Emphasis"/>
    <w:basedOn w:val="DefaultParagraphFont"/>
    <w:uiPriority w:val="21"/>
    <w:qFormat/>
    <w:rsid w:val="006D25E6"/>
    <w:rPr>
      <w:b/>
      <w:bCs/>
      <w:i/>
      <w:iCs/>
    </w:rPr>
  </w:style>
  <w:style w:type="character" w:styleId="SubtleReference">
    <w:name w:val="Subtle Reference"/>
    <w:basedOn w:val="DefaultParagraphFont"/>
    <w:uiPriority w:val="31"/>
    <w:qFormat/>
    <w:rsid w:val="006D25E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D25E6"/>
    <w:rPr>
      <w:b/>
      <w:bCs/>
      <w:smallCaps/>
      <w:color w:val="44546A" w:themeColor="text2"/>
      <w:u w:val="single"/>
    </w:rPr>
  </w:style>
  <w:style w:type="character" w:styleId="BookTitle">
    <w:name w:val="Book Title"/>
    <w:basedOn w:val="DefaultParagraphFont"/>
    <w:uiPriority w:val="33"/>
    <w:qFormat/>
    <w:rsid w:val="006D25E6"/>
    <w:rPr>
      <w:b/>
      <w:bCs/>
      <w:smallCaps/>
      <w:spacing w:val="10"/>
    </w:rPr>
  </w:style>
  <w:style w:type="paragraph" w:styleId="TOCHeading">
    <w:name w:val="TOC Heading"/>
    <w:basedOn w:val="Heading1"/>
    <w:next w:val="Normal"/>
    <w:uiPriority w:val="39"/>
    <w:unhideWhenUsed/>
    <w:qFormat/>
    <w:rsid w:val="5311C3E3"/>
  </w:style>
  <w:style w:type="paragraph" w:styleId="TOC1">
    <w:name w:val="toc 1"/>
    <w:basedOn w:val="Normal"/>
    <w:next w:val="Normal"/>
    <w:uiPriority w:val="39"/>
    <w:unhideWhenUsed/>
    <w:rsid w:val="2E0AB19A"/>
    <w:pPr>
      <w:spacing w:after="100"/>
    </w:pPr>
  </w:style>
  <w:style w:type="paragraph" w:styleId="TOC2">
    <w:name w:val="toc 2"/>
    <w:basedOn w:val="Normal"/>
    <w:next w:val="Normal"/>
    <w:uiPriority w:val="39"/>
    <w:unhideWhenUsed/>
    <w:rsid w:val="2E0AB19A"/>
    <w:pPr>
      <w:spacing w:after="100"/>
      <w:ind w:left="220"/>
    </w:pPr>
  </w:style>
  <w:style w:type="paragraph" w:styleId="TOC3">
    <w:name w:val="toc 3"/>
    <w:basedOn w:val="Normal"/>
    <w:next w:val="Normal"/>
    <w:uiPriority w:val="39"/>
    <w:unhideWhenUsed/>
    <w:rsid w:val="2E0AB19A"/>
    <w:pPr>
      <w:spacing w:after="100"/>
      <w:ind w:left="440"/>
    </w:pPr>
  </w:style>
  <w:style w:type="paragraph" w:styleId="TOC4">
    <w:name w:val="toc 4"/>
    <w:basedOn w:val="Normal"/>
    <w:next w:val="Normal"/>
    <w:uiPriority w:val="39"/>
    <w:unhideWhenUsed/>
    <w:rsid w:val="2E0AB19A"/>
    <w:pPr>
      <w:spacing w:after="100"/>
      <w:ind w:left="660"/>
    </w:pPr>
  </w:style>
  <w:style w:type="character" w:styleId="PlaceholderText">
    <w:name w:val="Placeholder Text"/>
    <w:basedOn w:val="DefaultParagraphFont"/>
    <w:uiPriority w:val="99"/>
    <w:semiHidden/>
    <w:rsid w:val="2E0AB19A"/>
    <w:rPr>
      <w:color w:val="808080" w:themeColor="background1" w:themeShade="80"/>
    </w:rPr>
  </w:style>
  <w:style w:type="paragraph" w:styleId="CommentSubject">
    <w:name w:val="annotation subject"/>
    <w:basedOn w:val="CommentText"/>
    <w:next w:val="CommentText"/>
    <w:link w:val="CommentSubjectChar"/>
    <w:uiPriority w:val="99"/>
    <w:semiHidden/>
    <w:unhideWhenUsed/>
    <w:rsid w:val="00110B70"/>
    <w:pPr>
      <w:spacing w:line="240" w:lineRule="auto"/>
    </w:pPr>
    <w:rPr>
      <w:b/>
      <w:bCs/>
    </w:rPr>
  </w:style>
  <w:style w:type="character" w:customStyle="1" w:styleId="CommentSubjectChar">
    <w:name w:val="Comment Subject Char"/>
    <w:basedOn w:val="CommentTextChar"/>
    <w:link w:val="CommentSubject"/>
    <w:uiPriority w:val="99"/>
    <w:semiHidden/>
    <w:rsid w:val="00110B70"/>
    <w:rPr>
      <w:rFonts w:ascii="Arial" w:eastAsia="Arial" w:hAnsi="Arial"/>
      <w:b/>
      <w:bCs/>
      <w:sz w:val="20"/>
      <w:szCs w:val="20"/>
      <w:lang w:val="en-GB"/>
    </w:rPr>
  </w:style>
  <w:style w:type="paragraph" w:styleId="TOC5">
    <w:name w:val="toc 5"/>
    <w:basedOn w:val="Normal"/>
    <w:next w:val="Normal"/>
    <w:autoRedefine/>
    <w:uiPriority w:val="39"/>
    <w:unhideWhenUsed/>
    <w:rsid w:val="00DB7ECA"/>
    <w:pPr>
      <w:keepNext w:val="0"/>
      <w:keepLines w:val="0"/>
      <w:spacing w:before="0" w:after="100"/>
      <w:ind w:left="880"/>
      <w:contextualSpacing w:val="0"/>
      <w:jc w:val="left"/>
      <w:outlineLvl w:val="9"/>
    </w:pPr>
    <w:rPr>
      <w:rFonts w:asciiTheme="minorHAnsi" w:eastAsiaTheme="minorEastAsia" w:hAnsiTheme="minorHAnsi"/>
      <w:sz w:val="22"/>
      <w:szCs w:val="22"/>
      <w:lang w:eastAsia="en-GB"/>
    </w:rPr>
  </w:style>
  <w:style w:type="paragraph" w:styleId="TOC6">
    <w:name w:val="toc 6"/>
    <w:basedOn w:val="Normal"/>
    <w:next w:val="Normal"/>
    <w:autoRedefine/>
    <w:uiPriority w:val="39"/>
    <w:unhideWhenUsed/>
    <w:rsid w:val="00DB7ECA"/>
    <w:pPr>
      <w:keepNext w:val="0"/>
      <w:keepLines w:val="0"/>
      <w:spacing w:before="0" w:after="100"/>
      <w:ind w:left="1100"/>
      <w:contextualSpacing w:val="0"/>
      <w:jc w:val="left"/>
      <w:outlineLvl w:val="9"/>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DB7ECA"/>
    <w:pPr>
      <w:keepNext w:val="0"/>
      <w:keepLines w:val="0"/>
      <w:spacing w:before="0" w:after="100"/>
      <w:ind w:left="1320"/>
      <w:contextualSpacing w:val="0"/>
      <w:jc w:val="left"/>
      <w:outlineLvl w:val="9"/>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DB7ECA"/>
    <w:pPr>
      <w:keepNext w:val="0"/>
      <w:keepLines w:val="0"/>
      <w:spacing w:before="0" w:after="100"/>
      <w:ind w:left="1540"/>
      <w:contextualSpacing w:val="0"/>
      <w:jc w:val="left"/>
      <w:outlineLvl w:val="9"/>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DB7ECA"/>
    <w:pPr>
      <w:keepNext w:val="0"/>
      <w:keepLines w:val="0"/>
      <w:spacing w:before="0" w:after="100"/>
      <w:ind w:left="1760"/>
      <w:contextualSpacing w:val="0"/>
      <w:jc w:val="left"/>
      <w:outlineLvl w:val="9"/>
    </w:pPr>
    <w:rPr>
      <w:rFonts w:asciiTheme="minorHAnsi" w:eastAsiaTheme="minorEastAsia" w:hAnsiTheme="minorHAnsi"/>
      <w:sz w:val="22"/>
      <w:szCs w:val="22"/>
      <w:lang w:eastAsia="en-GB"/>
    </w:rPr>
  </w:style>
  <w:style w:type="table" w:customStyle="1" w:styleId="TableGrid1">
    <w:name w:val="Table Grid1"/>
    <w:basedOn w:val="TableNormal"/>
    <w:next w:val="TableGrid"/>
    <w:rsid w:val="00086B57"/>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44831">
      <w:bodyDiv w:val="1"/>
      <w:marLeft w:val="0"/>
      <w:marRight w:val="0"/>
      <w:marTop w:val="0"/>
      <w:marBottom w:val="0"/>
      <w:divBdr>
        <w:top w:val="none" w:sz="0" w:space="0" w:color="auto"/>
        <w:left w:val="none" w:sz="0" w:space="0" w:color="auto"/>
        <w:bottom w:val="none" w:sz="0" w:space="0" w:color="auto"/>
        <w:right w:val="none" w:sz="0" w:space="0" w:color="auto"/>
      </w:divBdr>
    </w:div>
    <w:div w:id="15120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45A308C-0455-468E-BC4B-515CDB1932B9}">
    <t:Anchor>
      <t:Comment id="1199057395"/>
    </t:Anchor>
    <t:History>
      <t:Event id="{4DF9B403-462B-4794-B521-670A8945EFBA}" time="2025-07-15T15:21:25.738Z">
        <t:Attribution userId="S::iduna.heinrich1@nhs.net::94f36ebc-7e12-44f2-87b9-701137f0d7a3" userProvider="AD" userName="HEINRICH, Iduna (EAST LONDON NHS FOUNDATION TRUST)"/>
        <t:Anchor>
          <t:Comment id="1199057395"/>
        </t:Anchor>
        <t:Create/>
      </t:Event>
      <t:Event id="{CF41B008-7AF1-452B-B109-73316089FF6B}" time="2025-07-15T15:21:25.738Z">
        <t:Attribution userId="S::iduna.heinrich1@nhs.net::94f36ebc-7e12-44f2-87b9-701137f0d7a3" userProvider="AD" userName="HEINRICH, Iduna (EAST LONDON NHS FOUNDATION TRUST)"/>
        <t:Anchor>
          <t:Comment id="1199057395"/>
        </t:Anchor>
        <t:Assign userId="S::iduna.heinrich1@nhs.net::94f36ebc-7e12-44f2-87b9-701137f0d7a3" userProvider="AD" userName="HEINRICH, Iduna (EAST LONDON NHS FOUNDATION TRUST)"/>
      </t:Event>
      <t:Event id="{BF00E423-2DBE-42F6-B658-7CF3AAB507AF}" time="2025-07-15T15:21:25.738Z">
        <t:Attribution userId="S::iduna.heinrich1@nhs.net::94f36ebc-7e12-44f2-87b9-701137f0d7a3" userProvider="AD" userName="HEINRICH, Iduna (EAST LONDON NHS FOUNDATION TRUST)"/>
        <t:Anchor>
          <t:Comment id="1199057395"/>
        </t:Anchor>
        <t:SetTitle title="@HEINRICH, Iduna (EAST LONDON NHS FOUNDATION TRUST) insert table of services and related validated nutrition screening tool."/>
      </t:Event>
      <t:Event id="{8586E03D-EE0B-440C-897E-840A330EEFEF}" time="2025-08-12T11:41:52.337Z">
        <t:Attribution userId="S::iduna.heinrich1@nhs.net::94f36ebc-7e12-44f2-87b9-701137f0d7a3" userProvider="AD" userName="HEINRICH, Iduna (EAST LONDON NHS FOUNDATION TRUST)"/>
        <t:Progress percentComplete="100"/>
      </t:Event>
    </t:History>
  </t:Task>
  <t:Task id="{D06F15D9-E77C-47E6-8616-CE47F8A1CC15}">
    <t:Anchor>
      <t:Comment id="45478189"/>
    </t:Anchor>
    <t:History>
      <t:Event id="{D5EA2E27-11EF-49FF-898C-7137DFD22821}" time="2025-07-15T15:32:41.872Z">
        <t:Attribution userId="S::iduna.heinrich1@nhs.net::94f36ebc-7e12-44f2-87b9-701137f0d7a3" userProvider="AD" userName="HEINRICH, Iduna (EAST LONDON NHS FOUNDATION TRUST)"/>
        <t:Anchor>
          <t:Comment id="908925218"/>
        </t:Anchor>
        <t:Create/>
      </t:Event>
      <t:Event id="{4F0D447A-C84F-4E89-8EFE-EB5FC9530E6E}" time="2025-07-15T15:32:41.872Z">
        <t:Attribution userId="S::iduna.heinrich1@nhs.net::94f36ebc-7e12-44f2-87b9-701137f0d7a3" userProvider="AD" userName="HEINRICH, Iduna (EAST LONDON NHS FOUNDATION TRUST)"/>
        <t:Anchor>
          <t:Comment id="908925218"/>
        </t:Anchor>
        <t:Assign userId="S::iduna.heinrich1@nhs.net::94f36ebc-7e12-44f2-87b9-701137f0d7a3" userProvider="AD" userName="HEINRICH, Iduna (EAST LONDON NHS FOUNDATION TRUST)"/>
      </t:Event>
      <t:Event id="{723436EE-2E32-48CE-A9B8-3E2BC1643048}" time="2025-07-15T15:32:41.872Z">
        <t:Attribution userId="S::iduna.heinrich1@nhs.net::94f36ebc-7e12-44f2-87b9-701137f0d7a3" userProvider="AD" userName="HEINRICH, Iduna (EAST LONDON NHS FOUNDATION TRUST)"/>
        <t:Anchor>
          <t:Comment id="908925218"/>
        </t:Anchor>
        <t:SetTitle title="@HEINRICH, Iduna (EAST LONDON NHS FOUNDATION TRUST) find flow chart"/>
      </t:Event>
      <t:Event id="{5C419479-A392-416E-B577-CD3F6EF14E76}" time="2025-08-12T11:42:51.324Z">
        <t:Attribution userId="S::iduna.heinrich1@nhs.net::94f36ebc-7e12-44f2-87b9-701137f0d7a3" userProvider="AD" userName="HEINRICH, Iduna (EAST LONDON NHS FOUNDATION TRUST)"/>
        <t:Progress percentComplete="100"/>
      </t:Event>
    </t:History>
  </t:Task>
  <t:Task id="{0FF73331-9020-40D8-976A-4E7071F8492E}">
    <t:Anchor>
      <t:Comment id="997872902"/>
    </t:Anchor>
    <t:History>
      <t:Event id="{84971622-4B69-4311-BB8D-2C7466B15664}" time="2025-07-30T14:12:25.667Z">
        <t:Attribution userId="S::iduna.heinrich1@nhs.net::94f36ebc-7e12-44f2-87b9-701137f0d7a3" userProvider="AD" userName="HEINRICH, Iduna (EAST LONDON NHS FOUNDATION TRUST)"/>
        <t:Anchor>
          <t:Comment id="997872902"/>
        </t:Anchor>
        <t:Create/>
      </t:Event>
      <t:Event id="{53835758-0C6B-4EBD-A569-AB3A7F319E21}" time="2025-07-30T14:12:25.667Z">
        <t:Attribution userId="S::iduna.heinrich1@nhs.net::94f36ebc-7e12-44f2-87b9-701137f0d7a3" userProvider="AD" userName="HEINRICH, Iduna (EAST LONDON NHS FOUNDATION TRUST)"/>
        <t:Anchor>
          <t:Comment id="997872902"/>
        </t:Anchor>
        <t:Assign userId="S::iduna.heinrich1@nhs.net::94f36ebc-7e12-44f2-87b9-701137f0d7a3" userProvider="AD" userName="HEINRICH, Iduna (EAST LONDON NHS FOUNDATION TRUST)"/>
      </t:Event>
      <t:Event id="{D8196CD7-47C1-4D3F-A934-593527A468B6}" time="2025-07-30T14:12:25.667Z">
        <t:Attribution userId="S::iduna.heinrich1@nhs.net::94f36ebc-7e12-44f2-87b9-701137f0d7a3" userProvider="AD" userName="HEINRICH, Iduna (EAST LONDON NHS FOUNDATION TRUST)"/>
        <t:Anchor>
          <t:Comment id="997872902"/>
        </t:Anchor>
        <t:SetTitle title="@HEINRICH, Iduna (EAST LONDON NHS FOUNDATION TRUST) cross check which nutrition care plans are included in the ELFT MH NUTRITION MANUAL - Mar'25.docx"/>
      </t:Event>
      <t:Event id="{11415E6A-32E7-4A67-B9A8-8F9D969ECF42}" time="2025-08-12T11:50:11.859Z">
        <t:Attribution userId="S::iduna.heinrich1@nhs.net::94f36ebc-7e12-44f2-87b9-701137f0d7a3" userProvider="AD" userName="HEINRICH, Iduna (EAST LONDON NHS FOUNDATION TRUST)"/>
        <t:Progress percentComplete="100"/>
      </t:Event>
    </t:History>
  </t:Task>
  <t:Task id="{B7D8AB42-75BB-458E-899A-B33B1CF2F6E3}">
    <t:Anchor>
      <t:Comment id="605286508"/>
    </t:Anchor>
    <t:History>
      <t:Event id="{842F9BBB-5442-4FD3-844F-326DF0988666}" time="2025-07-30T15:22:14.678Z">
        <t:Attribution userId="S::iduna.heinrich1@nhs.net::94f36ebc-7e12-44f2-87b9-701137f0d7a3" userProvider="AD" userName="HEINRICH, Iduna (EAST LONDON NHS FOUNDATION TRUST)"/>
        <t:Anchor>
          <t:Comment id="605286508"/>
        </t:Anchor>
        <t:Create/>
      </t:Event>
      <t:Event id="{1F73B062-C496-4233-8D45-AA58FBEC5998}" time="2025-07-30T15:22:14.678Z">
        <t:Attribution userId="S::iduna.heinrich1@nhs.net::94f36ebc-7e12-44f2-87b9-701137f0d7a3" userProvider="AD" userName="HEINRICH, Iduna (EAST LONDON NHS FOUNDATION TRUST)"/>
        <t:Anchor>
          <t:Comment id="605286508"/>
        </t:Anchor>
        <t:Assign userId="S::iduna.heinrich1@nhs.net::94f36ebc-7e12-44f2-87b9-701137f0d7a3" userProvider="AD" userName="HEINRICH, Iduna (EAST LONDON NHS FOUNDATION TRUST)"/>
      </t:Event>
      <t:Event id="{3F4598DD-4C4B-4D40-8592-D84A3A42E51B}" time="2025-07-30T15:22:14.678Z">
        <t:Attribution userId="S::iduna.heinrich1@nhs.net::94f36ebc-7e12-44f2-87b9-701137f0d7a3" userProvider="AD" userName="HEINRICH, Iduna (EAST LONDON NHS FOUNDATION TRUST)"/>
        <t:Anchor>
          <t:Comment id="605286508"/>
        </t:Anchor>
        <t:SetTitle title="@HEINRICH, Iduna (EAST LONDON NHS FOUNDATION TRUST) review in line with BDA Nutrition and Hydration digest supplement for MH settings"/>
      </t:Event>
      <t:Event id="{299DB9C2-0D9F-44FF-B9F7-645DF5BDE7CA}" time="2025-08-12T12:50:35.514Z">
        <t:Attribution userId="S::iduna.heinrich1@nhs.net::94f36ebc-7e12-44f2-87b9-701137f0d7a3" userProvider="AD" userName="HEINRICH, Iduna (EAST LONDON NHS FOUNDATION TRUST)"/>
        <t:Progress percentComplete="100"/>
      </t:Event>
    </t:History>
  </t:Task>
  <t:Task id="{ADFAC4D6-E26F-478D-8428-ADF54F7917FE}">
    <t:Anchor>
      <t:Comment id="128129091"/>
    </t:Anchor>
    <t:History>
      <t:Event id="{5DE31AF5-A6A6-4AA4-BD21-6E6E75427864}" time="2025-07-30T14:59:56.046Z">
        <t:Attribution userId="S::iduna.heinrich1@nhs.net::94f36ebc-7e12-44f2-87b9-701137f0d7a3" userProvider="AD" userName="HEINRICH, Iduna (EAST LONDON NHS FOUNDATION TRUST)"/>
        <t:Anchor>
          <t:Comment id="128129091"/>
        </t:Anchor>
        <t:Create/>
      </t:Event>
      <t:Event id="{DDD901DC-3206-4B42-98EF-7C634788A8D4}" time="2025-07-30T14:59:56.046Z">
        <t:Attribution userId="S::iduna.heinrich1@nhs.net::94f36ebc-7e12-44f2-87b9-701137f0d7a3" userProvider="AD" userName="HEINRICH, Iduna (EAST LONDON NHS FOUNDATION TRUST)"/>
        <t:Anchor>
          <t:Comment id="128129091"/>
        </t:Anchor>
        <t:Assign userId="S::iduna.heinrich1@nhs.net::94f36ebc-7e12-44f2-87b9-701137f0d7a3" userProvider="AD" userName="HEINRICH, Iduna (EAST LONDON NHS FOUNDATION TRUST)"/>
      </t:Event>
      <t:Event id="{2272692F-84BD-495B-B6CE-E6633EBB8017}" time="2025-07-30T14:59:56.046Z">
        <t:Attribution userId="S::iduna.heinrich1@nhs.net::94f36ebc-7e12-44f2-87b9-701137f0d7a3" userProvider="AD" userName="HEINRICH, Iduna (EAST LONDON NHS FOUNDATION TRUST)"/>
        <t:Anchor>
          <t:Comment id="128129091"/>
        </t:Anchor>
        <t:SetTitle title="@HEINRICH, Iduna (EAST LONDON NHS FOUNDATION TRUST) send ED service section to Carolyn and Colette to draft"/>
      </t:Event>
      <t:Event id="{9DF57578-A36A-4A75-B357-5EA40CCC1849}" time="2025-08-12T10:29:37.951Z">
        <t:Attribution userId="S::iduna.heinrich1@nhs.net::94f36ebc-7e12-44f2-87b9-701137f0d7a3" userProvider="AD" userName="HEINRICH, Iduna (EAST LONDON NHS FOUNDATION TRUST)"/>
        <t:Progress percentComplete="100"/>
      </t:Event>
    </t:History>
  </t:Task>
  <t:Task id="{4AF4F998-AA17-4C13-B249-F7896CF3155D}">
    <t:Anchor>
      <t:Comment id="1814140086"/>
    </t:Anchor>
    <t:History>
      <t:Event id="{D171B514-7C24-4994-A881-F8FFD289B76E}" time="2025-07-30T15:18:42.355Z">
        <t:Attribution userId="S::iduna.heinrich1@nhs.net::94f36ebc-7e12-44f2-87b9-701137f0d7a3" userProvider="AD" userName="HEINRICH, Iduna (EAST LONDON NHS FOUNDATION TRUST)"/>
        <t:Anchor>
          <t:Comment id="1814140086"/>
        </t:Anchor>
        <t:Create/>
      </t:Event>
      <t:Event id="{73DB42B2-3475-428E-A2A2-277278C31863}" time="2025-07-30T15:18:42.355Z">
        <t:Attribution userId="S::iduna.heinrich1@nhs.net::94f36ebc-7e12-44f2-87b9-701137f0d7a3" userProvider="AD" userName="HEINRICH, Iduna (EAST LONDON NHS FOUNDATION TRUST)"/>
        <t:Anchor>
          <t:Comment id="1814140086"/>
        </t:Anchor>
        <t:Assign userId="S::iduna.heinrich1@nhs.net::94f36ebc-7e12-44f2-87b9-701137f0d7a3" userProvider="AD" userName="HEINRICH, Iduna (EAST LONDON NHS FOUNDATION TRUST)"/>
      </t:Event>
      <t:Event id="{BBA5726C-EA62-47B7-B249-D347324B4CD8}" time="2025-07-30T15:18:42.355Z">
        <t:Attribution userId="S::iduna.heinrich1@nhs.net::94f36ebc-7e12-44f2-87b9-701137f0d7a3" userProvider="AD" userName="HEINRICH, Iduna (EAST LONDON NHS FOUNDATION TRUST)"/>
        <t:Anchor>
          <t:Comment id="1814140086"/>
        </t:Anchor>
        <t:SetTitle title="@HEINRICH, Iduna (EAST LONDON NHS FOUNDATION TRUST) find out if all Fx MH IP have a hosp. passport vs. all MH IP"/>
      </t:Event>
      <t:Event id="{C336AAE3-408A-4AC3-A733-545A02CC2AE0}" time="2025-08-12T10:52:52.698Z">
        <t:Attribution userId="S::iduna.heinrich1@nhs.net::94f36ebc-7e12-44f2-87b9-701137f0d7a3" userProvider="AD" userName="HEINRICH, Iduna (EAST LONDON NHS FOUNDATION TRUST)"/>
        <t:Progress percentComplete="100"/>
      </t:Event>
    </t:History>
  </t:Task>
  <t:Task id="{9CEEC153-AD74-4088-8732-BE63910DF465}">
    <t:Anchor>
      <t:Comment id="814958508"/>
    </t:Anchor>
    <t:History>
      <t:Event id="{070B2F13-4591-4FE4-BA98-99ADB91BCC37}" time="2025-10-14T13:11:47.475Z">
        <t:Attribution userId="S::s.rogers20@nhs.net::00518855-87e7-44bc-a37b-67d007266bc5" userProvider="AD" userName="ROGERS, Sophie (EAST LONDON NHS FOUNDATION TRUST)"/>
        <t:Anchor>
          <t:Comment id="814958508"/>
        </t:Anchor>
        <t:Create/>
      </t:Event>
      <t:Event id="{38E17F72-03C2-4C2C-AB72-155BBE36C1CB}" time="2025-10-14T13:11:47.475Z">
        <t:Attribution userId="S::s.rogers20@nhs.net::00518855-87e7-44bc-a37b-67d007266bc5" userProvider="AD" userName="ROGERS, Sophie (EAST LONDON NHS FOUNDATION TRUST)"/>
        <t:Anchor>
          <t:Comment id="814958508"/>
        </t:Anchor>
        <t:Assign userId="S::iduna.heinrich1@nhs.net::94f36ebc-7e12-44f2-87b9-701137f0d7a3" userProvider="AD" userName="HEINRICH, Iduna (EAST LONDON NHS FOUNDATION TRUST)"/>
      </t:Event>
      <t:Event id="{37477668-5FAB-44CD-8B43-6A30F1086F8D}" time="2025-10-14T13:11:47.475Z">
        <t:Attribution userId="S::s.rogers20@nhs.net::00518855-87e7-44bc-a37b-67d007266bc5" userProvider="AD" userName="ROGERS, Sophie (EAST LONDON NHS FOUNDATION TRUST)"/>
        <t:Anchor>
          <t:Comment id="814958508"/>
        </t:Anchor>
        <t:SetTitle title="@HEINRICH, Iduna (EAST LONDON NHS FOUNDATION TRUST) Perhaps we need a section on appropriate environments ie supportive dining rooms. Supportive staff engagement at meal times to allow for mindful eating etc."/>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032335A-72CD-4FA2-8449-88CD27FB9E2C}"/>
      </w:docPartPr>
      <w:docPartBody>
        <w:p w:rsidR="004C5146" w:rsidRDefault="001C3688">
          <w:r w:rsidRPr="2E0AB19A">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GSMinchoE">
    <w:charset w:val="80"/>
    <w:family w:val="roman"/>
    <w:pitch w:val="variable"/>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3688"/>
    <w:rsid w:val="001C3688"/>
    <w:rsid w:val="003C4F60"/>
    <w:rsid w:val="004C5146"/>
    <w:rsid w:val="006349BA"/>
    <w:rsid w:val="00A12BB8"/>
    <w:rsid w:val="00B76247"/>
    <w:rsid w:val="00E22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8e5fa1-f5ca-4a82-b6c9-0fc3f91a2544">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7346be59-c4ac-404f-8512-0b3c6ab8ff87&quot;,&quot;properties&quot;:{&quot;noteIndex&quot;:0},&quot;isEdited&quot;:false,&quot;manualOverride&quot;:{&quot;isManuallyOverridden&quot;:true,&quot;citeprocText&quot;:&quot;(NICE (National Institute for Health and Care Excellence), 2012)&quot;,&quot;manualOverrideText&quot;:&quot;&quot;},&quot;citationTag&quot;:&quot;MENDELEY_CITATION_v3_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&quot;,&quot;citationItems&quot;:[{&quot;id&quot;:&quot;61bba150-1d61-365f-a302-40301bb49d2c&quot;,&quot;itemData&quot;:{&quot;type&quot;:&quot;book&quot;,&quot;id&quot;:&quot;61bba150-1d61-365f-a302-40301bb49d2c&quot;,&quot;title&quot;:&quot;Nutrition support in adults: Quality standard [QS24]&quot;,&quot;author&quot;:[{&quot;family&quot;:&quot;NICE (National Institute for Health and Care Excellence)&quot;,&quot;given&quot;:&quot;&quot;,&quot;parse-names&quot;:false,&quot;dropping-particle&quot;:&quot;&quot;,&quot;non-dropping-particle&quot;:&quot;&quot;}],&quot;issued&quot;:{&quot;date-parts&quot;:[[2012]]},&quot;publisher-place&quot;:&quot;London&quot;,&quot;publisher&quot;:&quot;NICE&quot;,&quot;container-title-short&quot;:&quot;&quot;},&quot;isTemporary&quot;:false}]},{&quot;citationID&quot;:&quot;MENDELEY_CITATION_1d364e5d-5e6e-4f36-9d10-2c31ae3a0e37&quot;,&quot;properties&quot;:{&quot;noteIndex&quot;:0},&quot;isEdited&quot;:false,&quot;manualOverride&quot;:{&quot;isManuallyOverridden&quot;:false,&quot;citeprocText&quot;:&quot;(Public Health England, 2018)&quot;,&quot;manualOverrideText&quot;:&quot;&quot;},&quot;citationTag&quot;:&quot;MENDELEY_CITATION_v3_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&quot;,&quot;citationItems&quot;:[{&quot;id&quot;:&quot;aa20d689-ca5f-358c-ac73-e52d3486ea34&quot;,&quot;itemData&quot;:{&quot;type&quot;:&quot;book&quot;,&quot;id&quot;:&quot;aa20d689-ca5f-358c-ac73-e52d3486ea34&quot;,&quot;title&quot;:&quot;Severe mental illness and physical health inequalities briefing.&quot;,&quot;author&quot;:[{&quot;family&quot;:&quot;Public Health England&quot;,&quot;given&quot;:&quot;&quot;,&quot;parse-names&quot;:false,&quot;dropping-particle&quot;:&quot;&quot;,&quot;non-dropping-particle&quot;:&quot;&quot;}],&quot;issued&quot;:{&quot;date-parts&quot;:[[2018]]},&quot;publisher-place&quot;:&quot;London&quot;,&quot;publisher&quot;:&quot;Public Health England&quot;,&quot;container-title-short&quot;:&quot;&quot;},&quot;isTemporary&quot;:false}]},{&quot;citationID&quot;:&quot;MENDELEY_CITATION_54dcd199-c6d2-431d-b666-12bb09a6225b&quot;,&quot;properties&quot;:{&quot;noteIndex&quot;:0},&quot;isEdited&quot;:false,&quot;manualOverride&quot;:{&quot;isManuallyOverridden&quot;:false,&quot;citeprocText&quot;:&quot;(Malnutrition Taskforce, 2017)&quot;,&quot;manualOverrideText&quot;:&quot;&quot;},&quot;citationTag&quot;:&quot;MENDELEY_CITATION_v3_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&quot;,&quot;citationItems&quot;:[{&quot;id&quot;:&quot;47918e33-164b-30ea-8d09-3393ec4f8d2a&quot;,&quot;itemData&quot;:{&quot;type&quot;:&quot;book&quot;,&quot;id&quot;:&quot;47918e33-164b-30ea-8d09-3393ec4f8d2a&quot;,&quot;title&quot;:&quot;?&quot;,&quot;author&quot;:[{&quot;family&quot;:&quot;Malnutrition Taskforce&quot;,&quot;given&quot;:&quot;&quot;,&quot;parse-names&quot;:false,&quot;dropping-particle&quot;:&quot;&quot;,&quot;non-dropping-particle&quot;:&quot;&quot;}],&quot;issued&quot;:{&quot;date-parts&quot;:[[2017]]},&quot;container-title-short&quot;:&quot;&quot;},&quot;isTemporary&quot;:false,&quot;suppress-author&quot;:false,&quot;composite&quot;:false,&quot;author-only&quot;:false}]},{&quot;citationID&quot;:&quot;MENDELEY_CITATION_c1491213-6107-423c-8927-8679d9e60a37&quot;,&quot;properties&quot;:{&quot;noteIndex&quot;:0},&quot;isEdited&quot;:false,&quot;manualOverride&quot;:{&quot;isManuallyOverridden&quot;:false,&quot;citeprocText&quot;:&quot;(NHS England, 2019)&quot;,&quot;manualOverrideText&quot;:&quot;&quot;},&quot;citationTag&quot;:&quot;MENDELEY_CITATION_v3_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&quot;,&quot;citationItems&quot;:[{&quot;id&quot;:&quot;ed671e1c-8e7a-39a9-8325-bbc32751aee4&quot;,&quot;itemData&quot;:{&quot;type&quot;:&quot;book&quot;,&quot;id&quot;:&quot;ed671e1c-8e7a-39a9-8325-bbc32751aee4&quot;,&quot;title&quot;:&quot;The NHS Long Term Plan&quot;,&quot;author&quot;:[{&quot;family&quot;:&quot;NHS England&quot;,&quot;given&quot;:&quot;&quot;,&quot;parse-names&quot;:false,&quot;dropping-particle&quot;:&quot;&quot;,&quot;non-dropping-particle&quot;:&quot;&quot;}],&quot;issued&quot;:{&quot;date-parts&quot;:[[2019]]},&quot;publisher-place&quot;:&quot;London&quot;,&quot;publisher&quot;:&quot;NHS England&quot;,&quot;container-title-short&quot;:&quot;&quot;},&quot;isTemporary&quot;:false}]},{&quot;citationID&quot;:&quot;MENDELEY_CITATION_508e402c-ac2b-4f57-8037-058c6e410d3a&quot;,&quot;properties&quot;:{&quot;noteIndex&quot;:0},&quot;isEdited&quot;:false,&quot;manualOverride&quot;:{&quot;isManuallyOverridden&quot;:false,&quot;citeprocText&quot;:&quot;(NHS England, 2019)&quot;,&quot;manualOverrideText&quot;:&quot;&quot;},&quot;citationTag&quot;:&quot;MENDELEY_CITATION_v3_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&quot;,&quot;citationItems&quot;:[{&quot;id&quot;:&quot;ed671e1c-8e7a-39a9-8325-bbc32751aee4&quot;,&quot;itemData&quot;:{&quot;type&quot;:&quot;book&quot;,&quot;id&quot;:&quot;ed671e1c-8e7a-39a9-8325-bbc32751aee4&quot;,&quot;title&quot;:&quot;The NHS Long Term Plan&quot;,&quot;author&quot;:[{&quot;family&quot;:&quot;NHS England&quot;,&quot;given&quot;:&quot;&quot;,&quot;parse-names&quot;:false,&quot;dropping-particle&quot;:&quot;&quot;,&quot;non-dropping-particle&quot;:&quot;&quot;}],&quot;issued&quot;:{&quot;date-parts&quot;:[[2019]]},&quot;publisher-place&quot;:&quot;London&quot;,&quot;publisher&quot;:&quot;NHS England&quot;,&quot;container-title-short&quot;:&quot;&quot;},&quot;isTemporary&quot;:false}]},{&quot;citationID&quot;:&quot;MENDELEY_CITATION_ae8c2f60-7b8f-4f03-a6b4-1cf05d562c95&quot;,&quot;properties&quot;:{&quot;noteIndex&quot;:0},&quot;isEdited&quot;:false,&quot;manualOverride&quot;:{&quot;isManuallyOverridden&quot;:false,&quot;citeprocText&quot;:&quot;(Royal College of Psychiatrists, 2022)&quot;,&quot;manualOverrideText&quot;:&quot;&quot;},&quot;citationTag&quot;:&quot;MENDELEY_CITATION_v3_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&quot;,&quot;citationItems&quot;:[{&quot;id&quot;:&quot;dd746f6b-ca95-3edd-8cb5-d392ff7c9a9a&quot;,&quot;itemData&quot;:{&quot;type&quot;:&quot;book&quot;,&quot;id&quot;:&quot;dd746f6b-ca95-3edd-8cb5-d392ff7c9a9a&quot;,&quot;title&quot;:&quot;CR223: Medical Emergencies in Eating Disorders (MEED)&quot;,&quot;author&quot;:[{&quot;family&quot;:&quot;Royal College of Psychiatrists&quot;,&quot;given&quot;:&quot;&quot;,&quot;parse-names&quot;:false,&quot;dropping-particle&quot;:&quot;&quot;,&quot;non-dropping-particle&quot;:&quot;&quot;}],&quot;issued&quot;:{&quot;date-parts&quot;:[[2022]]},&quot;container-title-short&quot;:&quot;&quot;},&quot;isTemporary&quot;:false}]},{&quot;citationID&quot;:&quot;MENDELEY_CITATION_04d3945b-e087-47c5-bcc2-ea452c5e6ae2&quot;,&quot;properties&quot;:{&quot;noteIndex&quot;:0},&quot;isEdited&quot;:false,&quot;manualOverride&quot;:{&quot;isManuallyOverridden&quot;:false,&quot;citeprocText&quot;:&quot;(NICE (National Institute for Health and Care Excellence), 2012)&quot;,&quot;manualOverrideText&quot;:&quot;&quot;},&quot;citationTag&quot;:&quot;MENDELEY_CITATION_v3_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&quot;,&quot;citationItems&quot;:[{&quot;id&quot;:&quot;61bba150-1d61-365f-a302-40301bb49d2c&quot;,&quot;itemData&quot;:{&quot;type&quot;:&quot;book&quot;,&quot;id&quot;:&quot;61bba150-1d61-365f-a302-40301bb49d2c&quot;,&quot;title&quot;:&quot;Nutrition support in adults: Quality standard [QS24]&quot;,&quot;author&quot;:[{&quot;family&quot;:&quot;NICE (National Institute for Health and Care Excellence)&quot;,&quot;given&quot;:&quot;&quot;,&quot;parse-names&quot;:false,&quot;dropping-particle&quot;:&quot;&quot;,&quot;non-dropping-particle&quot;:&quot;&quot;}],&quot;issued&quot;:{&quot;date-parts&quot;:[[2012]]},&quot;publisher-place&quot;:&quot;London&quot;,&quot;publisher&quot;:&quot;NICE&quot;,&quot;container-title-short&quot;:&quot;&quot;},&quot;isTemporary&quot;:false}]},{&quot;citationID&quot;:&quot;MENDELEY_CITATION_ff28fb7c-d060-49f2-a0ef-8e4ab33721f2&quot;,&quot;properties&quot;:{&quot;noteIndex&quot;:0},&quot;isEdited&quot;:false,&quot;manualOverride&quot;:{&quot;isManuallyOverridden&quot;:false,&quot;citeprocText&quot;:&quot;(NHS England, 2019)&quot;,&quot;manualOverrideText&quot;:&quot;&quot;},&quot;citationTag&quot;:&quot;MENDELEY_CITATION_v3_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&quot;,&quot;citationItems&quot;:[{&quot;id&quot;:&quot;ed671e1c-8e7a-39a9-8325-bbc32751aee4&quot;,&quot;itemData&quot;:{&quot;type&quot;:&quot;book&quot;,&quot;id&quot;:&quot;ed671e1c-8e7a-39a9-8325-bbc32751aee4&quot;,&quot;title&quot;:&quot;The NHS Long Term Plan&quot;,&quot;author&quot;:[{&quot;family&quot;:&quot;NHS England&quot;,&quot;given&quot;:&quot;&quot;,&quot;parse-names&quot;:false,&quot;dropping-particle&quot;:&quot;&quot;,&quot;non-dropping-particle&quot;:&quot;&quot;}],&quot;issued&quot;:{&quot;date-parts&quot;:[[2019]]},&quot;publisher-place&quot;:&quot;London&quot;,&quot;publisher&quot;:&quot;NHS England&quot;,&quot;container-title-short&quot;:&quot;&quot;},&quot;isTemporary&quot;:false}]},{&quot;citationID&quot;:&quot;MENDELEY_CITATION_029c09c1-3019-4bea-b062-363b763dc6bb&quot;,&quot;properties&quot;:{&quot;noteIndex&quot;:0},&quot;isEdited&quot;:false,&quot;manualOverride&quot;:{&quot;isManuallyOverridden&quot;:false,&quot;citeprocText&quot;:&quot;(Hooper, 2015)&quot;,&quot;manualOverrideText&quot;:&quot;&quot;},&quot;citationTag&quot;:&quot;MENDELEY_CITATION_v3_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&quot;,&quot;citationItems&quot;:[{&quot;id&quot;:&quot;d1cde1e7-a88c-3d6e-a2d7-a30810bf2c12&quot;,&quot;itemData&quot;:{&quot;type&quot;:&quot;article-journal&quot;,&quot;id&quot;:&quot;d1cde1e7-a88c-3d6e-a2d7-a30810bf2c12&quot;,&quot;title&quot;:&quot;Water-loss dehydration and aging&quot;,&quot;author&quot;:[{&quot;family&quot;:&quot;Hooper&quot;,&quot;given&quot;:&quot;L., Bunn, D., Jimoh, F.O. and Fairweather-Tait, S.J&quot;,&quot;parse-names&quot;:false,&quot;dropping-particle&quot;:&quot;&quot;,&quot;non-dropping-particle&quot;:&quot;&quot;}],&quot;container-title&quot;:&quot;Mechanisms of Ageing and Development&quot;,&quot;container-title-short&quot;:&quot;Mech. Ageing Dev.&quot;,&quot;issued&quot;:{&quot;date-parts&quot;:[[2015]]},&quot;page&quot;:&quot;10-21&quot;,&quot;volume&quot;:&quot;151&quot;},&quot;isTemporary&quot;:false}]},{&quot;citationID&quot;:&quot;MENDELEY_CITATION_2807a14a-73cd-4c95-8393-7f050e51e7b4&quot;,&quot;properties&quot;:{&quot;noteIndex&quot;:0},&quot;isEdited&quot;:false,&quot;manualOverride&quot;:{&quot;isManuallyOverridden&quot;:false,&quot;citeprocText&quot;:&quot;(De Hert, 2011)&quot;,&quot;manualOverrideText&quot;:&quot;&quot;},&quot;citationTag&quot;:&quot;MENDELEY_CITATION_v3_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&quot;,&quot;citationItems&quot;:[{&quot;id&quot;:&quot;19191dc5-7f31-3f49-8569-2f6ad5d0f24e&quot;,&quot;itemData&quot;:{&quot;type&quot;:&quot;article-journal&quot;,&quot;id&quot;:&quot;19191dc5-7f31-3f49-8569-2f6ad5d0f24e&quot;,&quot;title&quot;:&quot;Metabolic and cardiovascular adverse effects associated with antipsychotic drugs&quot;,&quot;author&quot;:[{&quot;family&quot;:&quot;Hert&quot;,&quot;given&quot;:&quot;M., Detraux, J., van Winkel, R., Yu, W. and Correll, C.U.&quot;,&quot;parse-names&quot;:false,&quot;dropping-particle&quot;:&quot;&quot;,&quot;non-dropping-particle&quot;:&quot;De&quot;}],&quot;container-title&quot;:&quot;Nature Reviews Endocrinology&quot;,&quot;container-title-short&quot;:&quot;Nat. Rev. Endocrinol.&quot;,&quot;issued&quot;:{&quot;date-parts&quot;:[[2011]]},&quot;page&quot;:&quot;114-126&quot;,&quot;issue&quot;:&quot;2&quot;,&quot;volume&quot;:&quot;8&quot;},&quot;isTemporary&quot;:false}]},{&quot;citationID&quot;:&quot;MENDELEY_CITATION_59d14cc6-3d82-4d19-955e-65730d510bcd&quot;,&quot;properties&quot;:{&quot;noteIndex&quot;:0},&quot;isEdited&quot;:false,&quot;manualOverride&quot;:{&quot;isManuallyOverridden&quot;:true,&quot;citeprocText&quot;:&quot;(Taylor, 2021)&quot;,&quot;manualOverrideText&quot;:&quot;(Taylor et al., 2021)&quot;},&quot;citationTag&quot;:&quot;MENDELEY_CITATION_v3_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&quot;,&quot;citationItems&quot;:[{&quot;id&quot;:&quot;ee29e08b-bfd2-374a-b01c-54cdab3b4cb0&quot;,&quot;itemData&quot;:{&quot;type&quot;:&quot;book&quot;,&quot;id&quot;:&quot;ee29e08b-bfd2-374a-b01c-54cdab3b4cb0&quot;,&quot;title&quot;:&quot;The Maudsley Prescribing Guidelines in Psychiatry&quot;,&quot;author&quot;:[{&quot;family&quot;:&quot;Taylor&quot;,&quot;given&quot;:&quot;D., Barnes, T.E.H. and Young, A.&quot;,&quot;parse-names&quot;:false,&quot;dropping-particle&quot;:&quot;&quot;,&quot;non-dropping-particle&quot;:&quot;&quot;}],&quot;issued&quot;:{&quot;date-parts&quot;:[[2021]]},&quot;publisher-place&quot;:&quot;London&quot;,&quot;publisher&quot;:&quot;Wiley-Blackwell.&quot;,&quot;container-title-short&quot;:&quot;&quot;},&quot;isTemporary&quot;:false}]},{&quot;citationID&quot;:&quot;MENDELEY_CITATION_8bd64f72-f913-4d95-b39b-9339bd1cbc0b&quot;,&quot;properties&quot;:{&quot;noteIndex&quot;:0},&quot;isEdited&quot;:false,&quot;manualOverride&quot;:{&quot;isManuallyOverridden&quot;:false,&quot;citeprocText&quot;:&quot;(Cichero, 2017)&quot;,&quot;manualOverrideText&quot;:&quot;&quot;},&quot;citationTag&quot;:&quot;MENDELEY_CITATION_v3_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&quot;,&quot;citationItems&quot;:[{&quot;id&quot;:&quot;ebd3146d-fdd1-38e0-9d50-03c4daf90743&quot;,&quot;itemData&quot;:{&quot;type&quot;:&quot;article-journal&quot;,&quot;id&quot;:&quot;ebd3146d-fdd1-38e0-9d50-03c4daf90743&quot;,&quot;title&quot;:&quot;Development of International Terminology and Definitions for Texture-Modified Foods and Thickened Fluids Used in Dysphagia Management: The IDDSI Framework&quot;,&quot;author&quot;:[{&quot;family&quot;:&quot;Cichero&quot;,&quot;given&quot;:&quot;J.A.Y., Lam, P., Steele, C.M., Hanson, B., Chen, J., Dantas, R.O., Duivestein, J., Kayashita, J., Lecko, C., Murray, J., Pillay, M., Riquelme, L., Stanschus, S., Wang, H. and Young, A&quot;,&quot;parse-names&quot;:false,&quot;dropping-particle&quot;:&quot;&quot;,&quot;non-dropping-particle&quot;:&quot;&quot;}],&quot;container-title&quot;:&quot;Dysphagia&quot;,&quot;container-title-short&quot;:&quot;Dysphagia&quot;,&quot;issued&quot;:{&quot;date-parts&quot;:[[2017]]},&quot;page&quot;:&quot;293-314&quot;,&quot;issue&quot;:&quot;2&quot;,&quot;volume&quot;:&quot;32&quot;},&quot;isTemporary&quot;:false}]},{&quot;citationID&quot;:&quot;MENDELEY_CITATION_4f00b59e-f64e-4c1b-a096-6feb25d620b0&quot;,&quot;properties&quot;:{&quot;noteIndex&quot;:0},&quot;isEdited&quot;:false,&quot;manualOverride&quot;:{&quot;isManuallyOverridden&quot;:true,&quot;citeprocText&quot;:&quot;(NICE (National Institute for Health and Care Excellence), 2006)&quot;,&quot;manualOverrideText&quot;:&quot;(2006)&quot;},&quot;citationTag&quot;:&quot;MENDELEY_CITATION_v3_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&quot;,&quot;citationItems&quot;:[{&quot;id&quot;:&quot;68432cbb-c2b2-3440-85ce-31d7317e226b&quot;,&quot;itemData&quot;:{&quot;type&quot;:&quot;article-journal&quot;,&quot;id&quot;:&quot;68432cbb-c2b2-3440-85ce-31d7317e226b&quot;,&quot;title&quot;:&quot;CG32: Nutrition support for adults.&quot;,&quot;author&quot;:[{&quot;family&quot;:&quot;NICE (National Institute for Health and Care Excellence)&quot;,&quot;given&quot;:&quot;&quot;,&quot;parse-names&quot;:false,&quot;dropping-particle&quot;:&quot;&quot;,&quot;non-dropping-particle&quot;:&quot;&quot;}],&quot;issued&quot;:{&quot;date-parts&quot;:[[2006]]},&quot;container-title-short&quot;:&quot;&quot;},&quot;isTemporary&quot;:false}]},{&quot;citationID&quot;:&quot;MENDELEY_CITATION_6906044c-618c-4aac-a58a-3153c5b7bca5&quot;,&quot;properties&quot;:{&quot;noteIndex&quot;:0},&quot;isEdited&quot;:false,&quot;manualOverride&quot;:{&quot;isManuallyOverridden&quot;:true,&quot;citeprocText&quot;:&quot;(NEL ICB, 2024)&quot;,&quot;manualOverrideText&quot;:&quot;(2024) and&quot;},&quot;citationTag&quot;:&quot;MENDELEY_CITATION_v3_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&quot;,&quot;citationItems&quot;:[{&quot;id&quot;:&quot;e9e56d6a-bbd5-39de-bab0-ce0f97ad7160&quot;,&quot;itemData&quot;:{&quot;type&quot;:&quot;webpage&quot;,&quot;id&quot;:&quot;e9e56d6a-bbd5-39de-bab0-ce0f97ad7160&quot;,&quot;title&quot;:&quot;Guidelines on the Identification, Treatment and Management of Malnutrition in Adults, including the appropriate prescribing of Oral Nutritional Supplements&quot;,&quot;author&quot;:[{&quot;family&quot;:&quot;NEL ICB&quot;,&quot;given&quot;:&quot;&quot;,&quot;parse-names&quot;:false,&quot;dropping-particle&quot;:&quot;&quot;,&quot;non-dropping-particle&quot;:&quot;&quot;}],&quot;accessed&quot;:{&quot;date-parts&quot;:[[2026,2,11]]},&quot;URL&quot;:&quot;https://primarycare.northeastlondon.icb.nhs.uk/wp-content/uploads/2024/03/Oral-nutritional-supplements-ONS-guideline-adults-NEL_02.2024.pdf&quot;,&quot;issued&quot;:{&quot;date-parts&quot;:[[2024,2,6]]},&quot;container-title-short&quot;:&quot;&quot;},&quot;isTemporary&quot;:false}]},{&quot;citationID&quot;:&quot;MENDELEY_CITATION_989f315b-39f1-491b-ac77-08df93748533&quot;,&quot;properties&quot;:{&quot;noteIndex&quot;:0},&quot;isEdited&quot;:false,&quot;manualOverride&quot;:{&quot;isManuallyOverridden&quot;:true,&quot;citeprocText&quot;:&quot;(Food First Project BMLK, 2022)&quot;,&quot;manualOverrideText&quot;:&quot;(Food First Project, 2022)&quot;},&quot;citationTag&quot;:&quot;MENDELEY_CITATION_v3_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&quot;,&quot;citationItems&quot;:[{&quot;id&quot;:&quot;b50c281b-af98-3907-aff3-52bd6c0a4819&quot;,&quot;itemData&quot;:{&quot;type&quot;:&quot;webpage&quot;,&quot;id&quot;:&quot;b50c281b-af98-3907-aff3-52bd6c0a4819&quot;,&quot;title&quot;:&quot;Oral Nutritoinal Supplement (ONS) Prescribing Guidelines&quot;,&quot;author&quot;:[{&quot;family&quot;:&quot;Food First Project BMLK&quot;,&quot;given&quot;:&quot;&quot;,&quot;parse-names&quot;:false,&quot;dropping-particle&quot;:&quot;&quot;,&quot;non-dropping-particle&quot;:&quot;&quot;}],&quot;accessed&quot;:{&quot;date-parts&quot;:[[2026,2,11]]},&quot;URL&quot;:&quot;https://www.mkuh.nhs.uk/wp-content/uploads/2019/04/BLMK-Adult-Oral-Nutritional-Supplement-Prescribing-Guidelines-2022-final.pdf&quot;,&quot;issued&quot;:{&quot;date-parts&quot;:[[2022,8]]},&quot;container-title-short&quot;:&quot;&quot;},&quot;isTemporary&quot;:false}]},{&quot;citationID&quot;:&quot;MENDELEY_CITATION_91d43f06-1255-4a0a-a602-cb0a547faf31&quot;,&quot;properties&quot;:{&quot;noteIndex&quot;:0},&quot;isEdited&quot;:false,&quot;manualOverride&quot;:{&quot;isManuallyOverridden&quot;:false,&quot;citeprocText&quot;:&quot;(Caleyachetty et al, 2021)&quot;,&quot;manualOverrideText&quot;:&quot;&quot;},&quot;citationTag&quot;:&quot;MENDELEY_CITATION_v3_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&quot;,&quot;citationItems&quot;:[{&quot;id&quot;:&quot;fae807f8-69c6-3bc4-8e70-3c8532c25bbc&quot;,&quot;itemData&quot;:{&quot;type&quot;:&quot;article-journal&quot;,&quot;id&quot;:&quot;fae807f8-69c6-3bc4-8e70-3c8532c25bbc&quot;,&quot;title&quot;:&quot;Ethnicity-specific BMI cutoffs for obesity based on type 2 diabetes risk in England: a population-based cohort study&quot;,&quot;author&quot;:[{&quot;family&quot;:&quot;Caleyachetty et al&quot;,&quot;given&quot;:&quot;&quot;,&quot;parse-names&quot;:false,&quot;dropping-particle&quot;:&quot;&quot;,&quot;non-dropping-particle&quot;:&quot;&quot;}],&quot;container-title&quot;:&quot;The Lancet, Diabetes and Endocrinology&quot;,&quot;container-title-short&quot;:&quot;Lancet Diabetes Endocrinol.&quot;,&quot;issued&quot;:{&quot;date-parts&quot;:[[2021]]},&quot;page&quot;:&quot;419-426&quot;,&quot;issue&quot;:&quot;7&quot;,&quot;volume&quot;:&quot;9&quot;},&quot;isTemporary&quot;:false}]},{&quot;citationID&quot;:&quot;MENDELEY_CITATION_ef88032d-20e2-475d-9a9a-1dae848d002f&quot;,&quot;properties&quot;:{&quot;noteIndex&quot;:0},&quot;isEdited&quot;:false,&quot;manualOverride&quot;:{&quot;isManuallyOverridden&quot;:false,&quot;citeprocText&quot;:&quot;(Royal College of Psychiatrists, 2022)&quot;,&quot;manualOverrideText&quot;:&quot;&quot;},&quot;citationTag&quot;:&quot;MENDELEY_CITATION_v3_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&quot;,&quot;citationItems&quot;:[{&quot;id&quot;:&quot;dd746f6b-ca95-3edd-8cb5-d392ff7c9a9a&quot;,&quot;itemData&quot;:{&quot;type&quot;:&quot;book&quot;,&quot;id&quot;:&quot;dd746f6b-ca95-3edd-8cb5-d392ff7c9a9a&quot;,&quot;title&quot;:&quot;CR223: Medical Emergencies in Eating Disorders (MEED)&quot;,&quot;author&quot;:[{&quot;family&quot;:&quot;Royal College of Psychiatrists&quot;,&quot;given&quot;:&quot;&quot;,&quot;parse-names&quot;:false,&quot;dropping-particle&quot;:&quot;&quot;,&quot;non-dropping-particle&quot;:&quot;&quot;}],&quot;issued&quot;:{&quot;date-parts&quot;:[[2022]]},&quot;container-title-short&quot;:&quot;&quot;},&quot;isTemporary&quot;:false}]},{&quot;citationID&quot;:&quot;MENDELEY_CITATION_2b70934e-fe3b-4052-b2b1-77e64594ee96&quot;,&quot;properties&quot;:{&quot;noteIndex&quot;:0},&quot;isEdited&quot;:false,&quot;manualOverride&quot;:{&quot;isManuallyOverridden&quot;:false,&quot;citeprocText&quot;:&quot;(Friedli, 2018)&quot;,&quot;manualOverrideText&quot;:&quot;&quot;},&quot;citationTag&quot;:&quot;MENDELEY_CITATION_v3_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&quot;,&quot;citationItems&quot;:[{&quot;id&quot;:&quot;366dd7b2-f94e-3c44-9784-fffdf565a2a8&quot;,&quot;itemData&quot;:{&quot;type&quot;:&quot;article-journal&quot;,&quot;id&quot;:&quot;366dd7b2-f94e-3c44-9784-fffdf565a2a8&quot;,&quot;title&quot;:&quot;Management and prevention of refeeding syndrome in medical inpatients: An evidence-based and consensus-supported algorithm&quot;,&quot;author&quot;:[{&quot;family&quot;:&quot;Friedli&quot;,&quot;given&quot;:&quot;N., Stanga, Z., Culkin, A., Crook, M., Laviano, A., Sobotka, L., Kressig, R.W., Kondrup, J. and Mueller, B.&quot;,&quot;parse-names&quot;:false,&quot;dropping-particle&quot;:&quot;&quot;,&quot;non-dropping-particle&quot;:&quot;&quot;}],&quot;container-title&quot;:&quot;Nutrition&quot;,&quot;issued&quot;:{&quot;date-parts&quot;:[[2018]]},&quot;page&quot;:&quot;13-20&quot;,&quot;volume&quot;:&quot;47&quot;,&quot;container-title-short&quot;:&quot;&quot;},&quot;isTemporary&quot;:false}]},{&quot;citationID&quot;:&quot;MENDELEY_CITATION_87ba5b35-bf5b-4a77-ba2f-e38c65cf107a&quot;,&quot;properties&quot;:{&quot;noteIndex&quot;:0},&quot;isEdited&quot;:false,&quot;manualOverride&quot;:{&quot;isManuallyOverridden&quot;:false,&quot;citeprocText&quot;:&quot;(NICE (National Institute for Health and Care Excellence), 2017)&quot;,&quot;manualOverrideText&quot;:&quot;&quot;},&quot;citationTag&quot;:&quot;MENDELEY_CITATION_v3_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&quot;,&quot;citationItems&quot;:[{&quot;id&quot;:&quot;cd4b3b35-14f0-39e4-940d-5f8fc5048425&quot;,&quot;itemData&quot;:{&quot;type&quot;:&quot;article&quot;,&quot;id&quot;:&quot;cd4b3b35-14f0-39e4-940d-5f8fc5048425&quot;,&quot;title&quot;:&quot;NG 69: Eating Disorders: recognition and treatmen&quot;,&quot;author&quot;:[{&quot;family&quot;:&quot;NICE (National Institute for Health and Care Excellence)&quot;,&quot;given&quot;:&quot;&quot;,&quot;parse-names&quot;:false,&quot;dropping-particle&quot;:&quot;&quot;,&quot;non-dropping-particle&quot;:&quot;&quot;}],&quot;container-title&quot;:&quot;https://www.nice.org.uk/guidance/ng69&quot;,&quot;issued&quot;:{&quot;date-parts&quot;:[[2017]]},&quot;container-title-short&quot;:&quot;&quot;},&quot;isTemporary&quot;:false}]},{&quot;citationID&quot;:&quot;MENDELEY_CITATION_8da5ca5f-74c3-4f6b-babe-815a95ea536b&quot;,&quot;properties&quot;:{&quot;noteIndex&quot;:0},&quot;isEdited&quot;:false,&quot;manualOverride&quot;:{&quot;isManuallyOverridden&quot;:false,&quot;citeprocText&quot;:&quot;(Fuller S.J. and Philpot U., 2020)&quot;,&quot;manualOverrideText&quot;:&quot;&quot;},&quot;citationTag&quot;:&quot;MENDELEY_CITATION_v3_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&quot;,&quot;citationItems&quot;:[{&quot;id&quot;:&quot;cd77cb92-d746-31d9-a3de-0ff08e67b215&quot;,&quot;itemData&quot;:{&quot;type&quot;:&quot;article-journal&quot;,&quot;id&quot;:&quot;cd77cb92-d746-31d9-a3de-0ff08e67b215&quot;,&quot;title&quot;:&quot;The development of consensus-based guidelines for dietetic practice in nasogastric tube feeding under restraint for patients with anorexia nervosa using a modified Delphi process&quot;,&quot;author&quot;:[{&quot;family&quot;:&quot;Fuller S.J. and Philpot U.&quot;,&quot;given&quot;:&quot;&quot;,&quot;parse-names&quot;:false,&quot;dropping-particle&quot;:&quot;&quot;,&quot;non-dropping-particle&quot;:&quot;&quot;}],&quot;container-title&quot;:&quot;Human Nutrition and Dietetics&quot;,&quot;issued&quot;:{&quot;date-parts&quot;:[[2020]]},&quot;page&quot;:&quot;287-294&quot;,&quot;issue&quot;:&quot;3&quot;,&quot;volume&quot;:&quot;33&quot;},&quot;isTemporary&quot;:false}]},{&quot;citationID&quot;:&quot;MENDELEY_CITATION_bfa548d9-cfad-44a9-8aa2-d63bd0f94e25&quot;,&quot;properties&quot;:{&quot;noteIndex&quot;:0},&quot;isEdited&quot;:false,&quot;manualOverride&quot;:{&quot;isManuallyOverridden&quot;:false,&quot;citeprocText&quot;:&quot;(NHS England, 2015)&quot;,&quot;manualOverrideText&quot;:&quot;&quot;},&quot;citationTag&quot;:&quot;MENDELEY_CITATION_v3_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&quot;,&quot;citationItems&quot;:[{&quot;id&quot;:&quot;9af1e14e-df90-3b09-979c-fcd097868adb&quot;,&quot;itemData&quot;:{&quot;type&quot;:&quot;book&quot;,&quot;id&quot;:&quot;9af1e14e-df90-3b09-979c-fcd097868adb&quot;,&quot;title&quot;:&quot;Hospital passports: A guide for healthcare staff&quot;,&quot;author&quot;:[{&quot;family&quot;:&quot;NHS England&quot;,&quot;given&quot;:&quot;&quot;,&quot;parse-names&quot;:false,&quot;dropping-particle&quot;:&quot;&quot;,&quot;non-dropping-particle&quot;:&quot;&quot;}],&quot;issued&quot;:{&quot;date-parts&quot;:[[2015]]},&quot;publisher-place&quot;:&quot;London&quot;,&quot;publisher&quot;:&quot;NHS England&quot;,&quot;container-title-short&quot;:&quot;&quot;},&quot;isTemporary&quot;:false}]},{&quot;citationID&quot;:&quot;MENDELEY_CITATION_84ea92a8-7eb2-47ff-b506-90878d4d0f12&quot;,&quot;properties&quot;:{&quot;noteIndex&quot;:0},&quot;isEdited&quot;:false,&quot;manualOverride&quot;:{&quot;isManuallyOverridden&quot;:false,&quot;citeprocText&quot;:&quot;(Bischoff et al., 2020)&quot;,&quot;manualOverrideText&quot;:&quot;&quot;},&quot;citationTag&quot;:&quot;MENDELEY_CITATION_v3_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&quot;,&quot;citationItems&quot;:[{&quot;id&quot;:&quot;81087c95-b607-3685-a4ad-cc01b37e0718&quot;,&quot;itemData&quot;:{&quot;type&quot;:&quot;article-journal&quot;,&quot;id&quot;:&quot;81087c95-b607-3685-a4ad-cc01b37e0718&quot;,&quot;title&quot;:&quot;ESPEN guideline on home enteral nutrition&quot;,&quot;author&quot;:[{&quot;family&quot;:&quot;Bischoff et al.&quot;,&quot;given&quot;:&quot;&quot;,&quot;parse-names&quot;:false,&quot;dropping-particle&quot;:&quot;&quot;,&quot;non-dropping-particle&quot;:&quot;&quot;}],&quot;container-title&quot;:&quot;Clinical Nutrition&quot;,&quot;issued&quot;:{&quot;date-parts&quot;:[[2020]]},&quot;page&quot;:&quot;5-22&quot;,&quot;issue&quot;:&quot;1&quot;,&quot;volume&quot;:&quot;39&quot;,&quot;container-title-short&quot;:&quot;&quot;},&quot;isTemporary&quot;:false}]},{&quot;citationID&quot;:&quot;MENDELEY_CITATION_eff2ceca-87f8-4d91-94de-771c477940b2&quot;,&quot;properties&quot;:{&quot;noteIndex&quot;:0},&quot;isEdited&quot;:false,&quot;manualOverride&quot;:{&quot;isManuallyOverridden&quot;:false,&quot;citeprocText&quot;:&quot;(Bischoff et al., 2020)&quot;,&quot;manualOverrideText&quot;:&quot;&quot;},&quot;citationTag&quot;:&quot;MENDELEY_CITATION_v3_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&quot;,&quot;citationItems&quot;:[{&quot;id&quot;:&quot;81087c95-b607-3685-a4ad-cc01b37e0718&quot;,&quot;itemData&quot;:{&quot;type&quot;:&quot;article-journal&quot;,&quot;id&quot;:&quot;81087c95-b607-3685-a4ad-cc01b37e0718&quot;,&quot;title&quot;:&quot;ESPEN guideline on home enteral nutrition&quot;,&quot;author&quot;:[{&quot;family&quot;:&quot;Bischoff et al.&quot;,&quot;given&quot;:&quot;&quot;,&quot;parse-names&quot;:false,&quot;dropping-particle&quot;:&quot;&quot;,&quot;non-dropping-particle&quot;:&quot;&quot;}],&quot;container-title&quot;:&quot;Clinical Nutrition&quot;,&quot;issued&quot;:{&quot;date-parts&quot;:[[2020]]},&quot;page&quot;:&quot;5-22&quot;,&quot;issue&quot;:&quot;1&quot;,&quot;volume&quot;:&quot;39&quot;},&quot;isTemporary&quot;:false}]},{&quot;citationID&quot;:&quot;MENDELEY_CITATION_643d59ea-b799-41ae-aef4-2acec879093f&quot;,&quot;properties&quot;:{&quot;noteIndex&quot;:0},&quot;isEdited&quot;:false,&quot;manualOverride&quot;:{&quot;isManuallyOverridden&quot;:true,&quot;citeprocText&quot;:&quot;(British Dietetic Association Food Services Specialist Group, 2023)&quot;,&quot;manualOverrideText&quot;:&quot;&quot;},&quot;citationTag&quot;:&quot;MENDELEY_CITATION_v3_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&quot;,&quot;citationItems&quot;:[{&quot;id&quot;:&quot;32b07076-746b-34b4-91d4-e84b196acf48&quot;,&quot;itemData&quot;:{&quot;type&quot;:&quot;webpage&quot;,&quot;id&quot;:&quot;32b07076-746b-34b4-91d4-e84b196acf48&quot;,&quot;title&quot;:&quot;The Nutrition and Hydration Digest 3rd Edition&quot;,&quot;author&quot;:[{&quot;family&quot;:&quot;British Dietetic Association Food Services Specialist Group&quot;,&quot;given&quot;:&quot;&quot;,&quot;parse-names&quot;:false,&quot;dropping-particle&quot;:&quot;&quot;,&quot;non-dropping-particle&quot;:&quot;&quot;}],&quot;accessed&quot;:{&quot;date-parts&quot;:[[2026,2,18]]},&quot;URL&quot;:&quot;https://www.bda.uk.com/practice-and-education/resources-for-practice/the-nutrition-and-hydration-digest.html&quot;,&quot;issued&quot;:{&quot;date-parts&quot;:[[2023,6]]},&quot;container-title-short&quot;:&quot;&quot;},&quot;isTemporary&quot;:false}]},{&quot;citationID&quot;:&quot;MENDELEY_CITATION_56f0f5ca-d4f0-4ce8-a129-79b0d1a8528e&quot;,&quot;properties&quot;:{&quot;noteIndex&quot;:0},&quot;isEdited&quot;:false,&quot;manualOverride&quot;:{&quot;isManuallyOverridden&quot;:false,&quot;citeprocText&quot;:&quot;(British Dietetic Association Food Services Specialist Group, 2023)&quot;,&quot;manualOverrideText&quot;:&quot;&quot;},&quot;citationTag&quot;:&quot;MENDELEY_CITATION_v3_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&quot;,&quot;citationItems&quot;:[{&quot;id&quot;:&quot;32b07076-746b-34b4-91d4-e84b196acf48&quot;,&quot;itemData&quot;:{&quot;type&quot;:&quot;webpage&quot;,&quot;id&quot;:&quot;32b07076-746b-34b4-91d4-e84b196acf48&quot;,&quot;title&quot;:&quot;The Nutrition and Hydration Digest 3rd Edition&quot;,&quot;author&quot;:[{&quot;family&quot;:&quot;British Dietetic Association Food Services Specialist Group&quot;,&quot;given&quot;:&quot;&quot;,&quot;parse-names&quot;:false,&quot;dropping-particle&quot;:&quot;&quot;,&quot;non-dropping-particle&quot;:&quot;&quot;}],&quot;accessed&quot;:{&quot;date-parts&quot;:[[2026,2,18]]},&quot;URL&quot;:&quot;https://www.bda.uk.com/practice-and-education/resources-for-practice/the-nutrition-and-hydration-digest.html&quot;,&quot;issued&quot;:{&quot;date-parts&quot;:[[2023,6]]},&quot;container-title-short&quot;:&quot;&quot;},&quot;isTemporary&quot;:false}]}]"/>
    <we:property name="MENDELEY_CITATIONS_STYLE" value="{&quot;id&quot;:&quot;https://www.zotero.org/styles/harvard-cite-them-right&quot;,&quot;title&quot;:&quot;Cite Them Right 12th edition (author-date/Harvard)&quot;,&quot;format&quot;:&quot;author-date&quot;,&quot;defaultLocale&quot;:null,&quot;isLocaleCodeValid&quot;:true}"/>
    <we:property name="MENDELEY_BIBLIOGRAPHY_IS_DIRTY" value="false"/>
    <we:property name="MENDELEY_BIBLIOGRAPHY_LAST_MODIFIED" value="1772882517457"/>
    <we:property name="MENDELEY_CITATIONS_LOCALE_CODE" value="&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eb9b9c5-6ba7-49d3-8f51-68541bbcd012">
      <UserInfo>
        <DisplayName>SKRZYPCZAK, Gill (EAST LONDON NHS FOUNDATION TRUST)</DisplayName>
        <AccountId>142</AccountId>
        <AccountType/>
      </UserInfo>
      <UserInfo>
        <DisplayName>BURY, Fran (EAST LONDON NHS FOUNDATION TRUST)</DisplayName>
        <AccountId>467</AccountId>
        <AccountType/>
      </UserInfo>
      <UserInfo>
        <DisplayName>BEDIAKO, Josephine (EAST LONDON NHS FOUNDATION TRUST)</DisplayName>
        <AccountId>774</AccountId>
        <AccountType/>
      </UserInfo>
      <UserInfo>
        <DisplayName>AL-BUSAIDY, Mundhir (EAST LONDON NHS FOUNDATION TRUST)</DisplayName>
        <AccountId>1138</AccountId>
        <AccountType/>
      </UserInfo>
      <UserInfo>
        <DisplayName>BEGUM, Tasnim (EAST LONDON NHS FOUNDATION TRUST)</DisplayName>
        <AccountId>773</AccountId>
        <AccountType/>
      </UserInfo>
      <UserInfo>
        <DisplayName>RAMJAUN, Nazeema (EAST LONDON NHS FOUNDATION TRUST)</DisplayName>
        <AccountId>764</AccountId>
        <AccountType/>
      </UserInfo>
      <UserInfo>
        <DisplayName>PONGCHAI, Rena (EAST LONDON NHS FOUNDATION TRUST)</DisplayName>
        <AccountId>771</AccountId>
        <AccountType/>
      </UserInfo>
      <UserInfo>
        <DisplayName>STYLE, Hannah (EAST LONDON NHS FOUNDATION TRUST)</DisplayName>
        <AccountId>16</AccountId>
        <AccountType/>
      </UserInfo>
      <UserInfo>
        <DisplayName>ADDO, Nathaniel (EAST LONDON NHS FOUNDATION TRUST)</DisplayName>
        <AccountId>1141</AccountId>
        <AccountType/>
      </UserInfo>
      <UserInfo>
        <DisplayName>MCMULLEN, Deirdre (EAST LONDON NHS FOUNDATION TRUST)</DisplayName>
        <AccountId>238</AccountId>
        <AccountType/>
      </UserInfo>
      <UserInfo>
        <DisplayName>ASTON, Diane (EAST LONDON NHS FOUNDATION TRUST)</DisplayName>
        <AccountId>1142</AccountId>
        <AccountType/>
      </UserInfo>
      <UserInfo>
        <DisplayName>DEAN, Hazel (EAST LONDON NHS FOUNDATION TRUST)</DisplayName>
        <AccountId>274</AccountId>
        <AccountType/>
      </UserInfo>
      <UserInfo>
        <DisplayName>AUSTIN CROFT, Laura (EAST LONDON NHS FOUNDATION TRUST)</DisplayName>
        <AccountId>939</AccountId>
        <AccountType/>
      </UserInfo>
      <UserInfo>
        <DisplayName>BANHAM, Stuart (EAST LONDON NHS FOUNDATION TRUST)</DisplayName>
        <AccountId>781</AccountId>
        <AccountType/>
      </UserInfo>
      <UserInfo>
        <DisplayName>WELLER, Rebecca (EAST LONDON NHS FOUNDATION TRUST)</DisplayName>
        <AccountId>36</AccountId>
        <AccountType/>
      </UserInfo>
      <UserInfo>
        <DisplayName>DOWNING, Susan (EAST LONDON NHS FOUNDATION TRUST)</DisplayName>
        <AccountId>1140</AccountId>
        <AccountType/>
      </UserInfo>
      <UserInfo>
        <DisplayName>ROBINSON, Emma (EAST LONDON NHS FOUNDATION TRUST)</DisplayName>
        <AccountId>770</AccountId>
        <AccountType/>
      </UserInfo>
      <UserInfo>
        <DisplayName>FAHN, Adam (EAST LONDON NHS FOUNDATION TRUST)</DisplayName>
        <AccountId>359</AccountId>
        <AccountType/>
      </UserInfo>
      <UserInfo>
        <DisplayName>GONZALEZ, Lorena (EAST LONDON NHS FOUNDATION TRUST)</DisplayName>
        <AccountId>84</AccountId>
        <AccountType/>
      </UserInfo>
      <UserInfo>
        <DisplayName>DAVIES, Hannah (EAST LONDON NHS FOUNDATION TRUST)</DisplayName>
        <AccountId>969</AccountId>
        <AccountType/>
      </UserInfo>
      <UserInfo>
        <DisplayName>GIORDANO, Vincenzo (EAST LONDON NHS FOUNDATION TRUST)</DisplayName>
        <AccountId>386</AccountId>
        <AccountType/>
      </UserInfo>
      <UserInfo>
        <DisplayName>DELAMOTTA, Kate (EAST LONDON NHS FOUNDATION TRUST)</DisplayName>
        <AccountId>201</AccountId>
        <AccountType/>
      </UserInfo>
      <UserInfo>
        <DisplayName>SMITH, Akeena (EAST LONDON NHS FOUNDATION TRUST)</DisplayName>
        <AccountId>162</AccountId>
        <AccountType/>
      </UserInfo>
      <UserInfo>
        <DisplayName>SEPANJ, Nastaran (EAST LONDON NHS FOUNDATION TRUST)</DisplayName>
        <AccountId>941</AccountId>
        <AccountType/>
      </UserInfo>
      <UserInfo>
        <DisplayName>WHITE, Elliott (EAST LONDON NHS FOUNDATION TRUST)</DisplayName>
        <AccountId>736</AccountId>
        <AccountType/>
      </UserInfo>
      <UserInfo>
        <DisplayName>FOULADI-NASHTA, Shiva (EAST LONDON NHS FOUNDATION TRUST)</DisplayName>
        <AccountId>31</AccountId>
        <AccountType/>
      </UserInfo>
      <UserInfo>
        <DisplayName>MINGAY, Simone (EAST LONDON NHS FOUNDATION TRUST)</DisplayName>
        <AccountId>478</AccountId>
        <AccountType/>
      </UserInfo>
      <UserInfo>
        <DisplayName>SALIM, Iffah (EAST LONDON NHS FOUNDATION TRUST)</DisplayName>
        <AccountId>24</AccountId>
        <AccountType/>
      </UserInfo>
      <UserInfo>
        <DisplayName>LOMAX, Paul (EAST LONDON NHS FOUNDATION TRUST)</DisplayName>
        <AccountId>279</AccountId>
        <AccountType/>
      </UserInfo>
      <UserInfo>
        <DisplayName>DRACASS, Sarah (EAST LONDON NHS FOUNDATION TRUST)</DisplayName>
        <AccountId>779</AccountId>
        <AccountType/>
      </UserInfo>
      <UserInfo>
        <DisplayName>MARSHALL, Deana (EAST LONDON NHS FOUNDATION TRUST)</DisplayName>
        <AccountId>825</AccountId>
        <AccountType/>
      </UserInfo>
      <UserInfo>
        <DisplayName>JOHN, Thomas (EAST LONDON NHS FOUNDATION TRUST)</DisplayName>
        <AccountId>782</AccountId>
        <AccountType/>
      </UserInfo>
      <UserInfo>
        <DisplayName>LINGARD, Rebecca (EAST LONDON NHS FOUNDATION TRUST)</DisplayName>
        <AccountId>1076</AccountId>
        <AccountType/>
      </UserInfo>
      <UserInfo>
        <DisplayName>MCLAUGHLIN, Paul (EAST LONDON NHS FOUNDATION TRUST)</DisplayName>
        <AccountId>674</AccountId>
        <AccountType/>
      </UserInfo>
      <UserInfo>
        <DisplayName>SMITH, Chouna (EAST LONDON NHS FOUNDATION TRUST)</DisplayName>
        <AccountId>115</AccountId>
        <AccountType/>
      </UserInfo>
      <UserInfo>
        <DisplayName>GLYN-DAVIES, Helen (EAST LONDON NHS FOUNDATION TRUST)</DisplayName>
        <AccountId>17</AccountId>
        <AccountType/>
      </UserInfo>
      <UserInfo>
        <DisplayName>WEST, Colette (EAST LONDON NHS FOUNDATION TRUST)</DisplayName>
        <AccountId>13</AccountId>
        <AccountType/>
      </UserInfo>
      <UserInfo>
        <DisplayName>BELASCO, Gari (EAST LONDON NHS FOUNDATION TRUST)</DisplayName>
        <AccountId>1004</AccountId>
        <AccountType/>
      </UserInfo>
      <UserInfo>
        <DisplayName>RUFF, Bernice (EAST LONDON NHS FOUNDATION TRUST)</DisplayName>
        <AccountId>116</AccountId>
        <AccountType/>
      </UserInfo>
      <UserInfo>
        <DisplayName>COHEN, Victoria (EAST LONDON NHS FOUNDATION TRUST)</DisplayName>
        <AccountId>777</AccountId>
        <AccountType/>
      </UserInfo>
      <UserInfo>
        <DisplayName>DOUGILL, Paula (EAST LONDON NHS FOUNDATION TRUST)</DisplayName>
        <AccountId>83</AccountId>
        <AccountType/>
      </UserInfo>
      <UserInfo>
        <DisplayName>SHIELDS, Gavin (EAST LONDON NHS FOUNDATION TRUST)</DisplayName>
        <AccountId>435</AccountId>
        <AccountType/>
      </UserInfo>
      <UserInfo>
        <DisplayName>AKEHURST, Sophie (EAST LONDON NHS FOUNDATION TRUST)</DisplayName>
        <AccountId>826</AccountId>
        <AccountType/>
      </UserInfo>
      <UserInfo>
        <DisplayName>MOLLER, Danica (EAST LONDON NHS FOUNDATION TRUST)</DisplayName>
        <AccountId>1146</AccountId>
        <AccountType/>
      </UserInfo>
      <UserInfo>
        <DisplayName>BOXER, Shifra (CAMBRIDGESHIRE COMMUNITY SERVICES NHS TRUST)</DisplayName>
        <AccountId>19</AccountId>
        <AccountType/>
      </UserInfo>
      <UserInfo>
        <DisplayName>TOVEY, Emma (HOMERTON HEALTHCARE NHS FOUNDATION TRUST)</DisplayName>
        <AccountId>290</AccountId>
        <AccountType/>
      </UserInfo>
      <UserInfo>
        <DisplayName>CARR, Dina (EAST LONDON NHS FOUNDATION TRUST)</DisplayName>
        <AccountId>105</AccountId>
        <AccountType/>
      </UserInfo>
      <UserInfo>
        <DisplayName>HODGKINSON, Sian (EAST LONDON NHS FOUNDATION TRUST)</DisplayName>
        <AccountId>1145</AccountId>
        <AccountType/>
      </UserInfo>
      <UserInfo>
        <DisplayName>SMITH, Alison (EAST LONDON NHS FOUNDATION TRUST)</DisplayName>
        <AccountId>99</AccountId>
        <AccountType/>
      </UserInfo>
      <UserInfo>
        <DisplayName>RAPHAEL, Joanna (EAST LONDON NHS FOUNDATION TRUST)</DisplayName>
        <AccountId>1149</AccountId>
        <AccountType/>
      </UserInfo>
      <UserInfo>
        <DisplayName>PADDOCK, Carolyn (EAST LONDON NHS FOUNDATION TRUST)</DisplayName>
        <AccountId>14</AccountId>
        <AccountType/>
      </UserInfo>
      <UserInfo>
        <DisplayName>SINGH, Sasha (EAST LONDON NHS FOUNDATION TRUST)</DisplayName>
        <AccountId>745</AccountId>
        <AccountType/>
      </UserInfo>
      <UserInfo>
        <DisplayName>OJO, Fabiola (EAST LONDON NHS FOUNDATION TRUST)</DisplayName>
        <AccountId>1035</AccountId>
        <AccountType/>
      </UserInfo>
      <UserInfo>
        <DisplayName>KITNEY, Danielle (EAST LONDON NHS FOUNDATION TRUST)</DisplayName>
        <AccountId>20</AccountId>
        <AccountType/>
      </UserInfo>
      <UserInfo>
        <DisplayName>OLOKUNTOYE, Gbenga (EAST LONDON NHS FOUNDATION TRUST)</DisplayName>
        <AccountId>1148</AccountId>
        <AccountType/>
      </UserInfo>
      <UserInfo>
        <DisplayName>FLAHERTY, Janet (EAST LONDON NHS FOUNDATION TRUST)</DisplayName>
        <AccountId>231</AccountId>
        <AccountType/>
      </UserInfo>
      <UserInfo>
        <DisplayName>FRANCIQUE, Jed (EAST LONDON NHS FOUNDATION TRUST)</DisplayName>
        <AccountId>1144</AccountId>
        <AccountType/>
      </UserInfo>
      <UserInfo>
        <DisplayName>CLARKE-JOHNNEY, Anya (EAST LONDON NHS FOUNDATION TRUST)</DisplayName>
        <AccountId>284</AccountId>
        <AccountType/>
      </UserInfo>
      <UserInfo>
        <DisplayName>SCOTT, Dianette (EAST LONDON NHS FOUNDATION TRUST)</DisplayName>
        <AccountId>1150</AccountId>
        <AccountType/>
      </UserInfo>
      <UserInfo>
        <DisplayName>DENIZ, Irem (EAST LONDON NHS FOUNDATION TRUST)</DisplayName>
        <AccountId>227</AccountId>
        <AccountType/>
      </UserInfo>
      <UserInfo>
        <DisplayName>REECE, Curtis (EAST LONDON NHS FOUNDATION TRUST)</DisplayName>
        <AccountId>273</AccountId>
        <AccountType/>
      </UserInfo>
      <UserInfo>
        <DisplayName>LONG, Sophie (EAST LONDON NHS FOUNDATION TRUST)</DisplayName>
        <AccountId>23</AccountId>
        <AccountType/>
      </UserInfo>
      <UserInfo>
        <DisplayName>SIMS, Joanne (EAST LONDON NHS FOUNDATION TRUST)</DisplayName>
        <AccountId>714</AccountId>
        <AccountType/>
      </UserInfo>
      <UserInfo>
        <DisplayName>GREEN, Amanda (EAST LONDON NHS FOUNDATION TRUST)</DisplayName>
        <AccountId>775</AccountId>
        <AccountType/>
      </UserInfo>
      <UserInfo>
        <DisplayName>NICHOLAS, Tom (EAST LONDON NHS FOUNDATION TRUST)</DisplayName>
        <AccountId>686</AccountId>
        <AccountType/>
      </UserInfo>
      <UserInfo>
        <DisplayName>NELSON, Sanjay (EAST LONDON NHS FOUNDATION TRUST)</DisplayName>
        <AccountId>1147</AccountId>
        <AccountType/>
      </UserInfo>
      <UserInfo>
        <DisplayName>BINFIELD, Paul (EAST LONDON NHS FOUNDATION TRUST)</DisplayName>
        <AccountId>594</AccountId>
        <AccountType/>
      </UserInfo>
      <UserInfo>
        <DisplayName>KINSELLA, Bernadette (EAST LONDON NHS FOUNDATION TRUST)</DisplayName>
        <AccountId>75</AccountId>
        <AccountType/>
      </UserInfo>
      <UserInfo>
        <DisplayName>BALDWIN, Toby (EAST LONDON NHS FOUNDATION TRUST)</DisplayName>
        <AccountId>117</AccountId>
        <AccountType/>
      </UserInfo>
      <UserInfo>
        <DisplayName>BARROW, Andrew (BARTS HEALTH NHS TRUST)</DisplayName>
        <AccountId>1137</AccountId>
        <AccountType/>
      </UserInfo>
      <UserInfo>
        <DisplayName>SANTOS, Carlos (EAST LONDON NHS FOUNDATION TRUST)</DisplayName>
        <AccountId>206</AccountId>
        <AccountType/>
      </UserInfo>
      <UserInfo>
        <DisplayName>OGBUEFI, Chinedu (LINCOLNSHIRE COMMUNITY HEALTH SERVICES NHS TRUST)</DisplayName>
        <AccountId>688</AccountId>
        <AccountType/>
      </UserInfo>
      <UserInfo>
        <DisplayName>HEARN, Elizabeth (EAST LONDON NHS FOUNDATION TRUST)</DisplayName>
        <AccountId>417</AccountId>
        <AccountType/>
      </UserInfo>
      <UserInfo>
        <DisplayName>OKOLOEKWE, Andrea (EAST LONDON NHS FOUNDATION TRUST)</DisplayName>
        <AccountId>32</AccountId>
        <AccountType/>
      </UserInfo>
      <UserInfo>
        <DisplayName>DOUGALL, Dominic (EAST LONDON NHS FOUNDATION TRUST)</DisplayName>
        <AccountId>780</AccountId>
        <AccountType/>
      </UserInfo>
      <UserInfo>
        <DisplayName>ANOKWURU, Ogechi (EAST LONDON NHS FOUNDATION TRUST)</DisplayName>
        <AccountId>428</AccountId>
        <AccountType/>
      </UserInfo>
      <UserInfo>
        <DisplayName>TOLL, Adam (EAST LONDON NHS FOUNDATION TRUST)</DisplayName>
        <AccountId>281</AccountId>
        <AccountType/>
      </UserInfo>
      <UserInfo>
        <DisplayName>BROWN, Juliette (EAST LONDON NHS FOUNDATION TRUST)</DisplayName>
        <AccountId>280</AccountId>
        <AccountType/>
      </UserInfo>
      <UserInfo>
        <DisplayName>HUSSAIN, Kalpana (EAST LONDON NHS FOUNDATION TRUST)</DisplayName>
        <AccountId>35</AccountId>
        <AccountType/>
      </UserInfo>
      <UserInfo>
        <DisplayName>HEINRICH, Iduna (EAST LONDON NHS FOUNDATION TRUST)</DisplayName>
        <AccountId>21</AccountId>
        <AccountType/>
      </UserInfo>
      <UserInfo>
        <DisplayName>FOWLER, Paul (EAST LONDON NHS FOUNDATION TRUST)</DisplayName>
        <AccountId>187</AccountId>
        <AccountType/>
      </UserInfo>
      <UserInfo>
        <DisplayName>DAVEGUN, Ruby (EAST LONDON NHS FOUNDATION TRUST)</DisplayName>
        <AccountId>236</AccountId>
        <AccountType/>
      </UserInfo>
      <UserInfo>
        <DisplayName>ANDLAUER, Olivier (EAST LONDON NHS FOUNDATION TRUST)</DisplayName>
        <AccountId>776</AccountId>
        <AccountType/>
      </UserInfo>
      <UserInfo>
        <DisplayName>COOPER, Ruth (EAST LONDON NHS FOUNDATION TRUST)</DisplayName>
        <AccountId>609</AccountId>
        <AccountType/>
      </UserInfo>
      <UserInfo>
        <DisplayName>WARD, Keeley (EAST LONDON NHS FOUNDATION TRUST)</DisplayName>
        <AccountId>783</AccountId>
        <AccountType/>
      </UserInfo>
      <UserInfo>
        <DisplayName>AJAYI-OBE, Abiola (EAST LONDON NHS FOUNDATION TRUST)</DisplayName>
        <AccountId>181</AccountId>
        <AccountType/>
      </UserInfo>
      <UserInfo>
        <DisplayName>CLARKE, Alan (EAST LONDON NHS FOUNDATION TRUST)</DisplayName>
        <AccountId>77</AccountId>
        <AccountType/>
      </UserInfo>
      <UserInfo>
        <DisplayName>GRIFFITHS, Eva (EAST LONDON NHS FOUNDATION TRUST)</DisplayName>
        <AccountId>52</AccountId>
        <AccountType/>
      </UserInfo>
      <UserInfo>
        <DisplayName>DACOSTA, Claudia (BARTS HEALTH NHS TRUST)</DisplayName>
        <AccountId>22</AccountId>
        <AccountType/>
      </UserInfo>
      <UserInfo>
        <DisplayName>CHESTERS, Eleanor (EAST LONDON NHS FOUNDATION TRUST)</DisplayName>
        <AccountId>1143</AccountId>
        <AccountType/>
      </UserInfo>
      <UserInfo>
        <DisplayName>SUTHERLAND, Ian (EAST LONDON NHS FOUNDATION TRUST)</DisplayName>
        <AccountId>137</AccountId>
        <AccountType/>
      </UserInfo>
      <UserInfo>
        <DisplayName>LEE, Elliott (BARTS HEALTH NHS TRUST)</DisplayName>
        <AccountId>1127</AccountId>
        <AccountType/>
      </UserInfo>
      <UserInfo>
        <DisplayName>FALCOSKI, Paola (EAST LONDON NHS FOUNDATION TRUST)</DisplayName>
        <AccountId>15</AccountId>
        <AccountType/>
      </UserInfo>
      <UserInfo>
        <DisplayName>ABBASS, Mohamed (EAST LONDON NHS FOUNDATION TRUST)</DisplayName>
        <AccountId>403</AccountId>
        <AccountType/>
      </UserInfo>
      <UserInfo>
        <DisplayName>MOLLER, Ilana (EAST LONDON NHS FOUNDATION TRUST)</DisplayName>
        <AccountId>1128</AccountId>
        <AccountType/>
      </UserInfo>
      <UserInfo>
        <DisplayName>BAKER-GLENN, Elena (EAST LONDON NHS FOUNDATION TRUST)</DisplayName>
        <AccountId>432</AccountId>
        <AccountType/>
      </UserInfo>
      <UserInfo>
        <DisplayName>SMITH, Millie (EAST LONDON NHS FOUNDATION TRUST)</DisplayName>
        <AccountId>715</AccountId>
        <AccountType/>
      </UserInfo>
      <UserInfo>
        <DisplayName>BEDEAU, Simon (EAST LONDON NHS FOUNDATION TRUST)</DisplayName>
        <AccountId>101</AccountId>
        <AccountType/>
      </UserInfo>
      <UserInfo>
        <DisplayName>WILCOX, Flora (EAST LONDON NHS FOUNDATION TRUST)</DisplayName>
        <AccountId>208</AccountId>
        <AccountType/>
      </UserInfo>
      <UserInfo>
        <DisplayName>KELLY, Fiona (EAST LONDON NHS FOUNDATION TRUST)</DisplayName>
        <AccountId>287</AccountId>
        <AccountType/>
      </UserInfo>
      <UserInfo>
        <DisplayName>REDMAN, Alison (EAST LONDON NHS FOUNDATION TRUST)</DisplayName>
        <AccountId>1480</AccountId>
        <AccountType/>
      </UserInfo>
      <UserInfo>
        <DisplayName>PHILLIPS, Alice (EAST LONDON NHS FOUNDATION TRUST)</DisplayName>
        <AccountId>1611</AccountId>
        <AccountType/>
      </UserInfo>
      <UserInfo>
        <DisplayName>EASTMAN, Darren (EAST LONDON NHS FOUNDATION TRUST)</DisplayName>
        <AccountId>884</AccountId>
        <AccountType/>
      </UserInfo>
      <UserInfo>
        <DisplayName>CHOWDHURY, Syma (EAST LONDON NHS FOUNDATION TRUST)</DisplayName>
        <AccountId>1494</AccountId>
        <AccountType/>
      </UserInfo>
      <UserInfo>
        <DisplayName>HALL, Jena (EAST LONDON NHS FOUNDATION TRUST)</DisplayName>
        <AccountId>833</AccountId>
        <AccountType/>
      </UserInfo>
      <UserInfo>
        <DisplayName>WEBSTER, Alex (EAST LONDON NHS FOUNDATION TRUST)</DisplayName>
        <AccountId>734</AccountId>
        <AccountType/>
      </UserInfo>
      <UserInfo>
        <DisplayName>CHISANGA, Mutale (NORTH MIDDLESEX UNIVERSITY HOSPITAL NHS TRUST)</DisplayName>
        <AccountId>1727</AccountId>
        <AccountType/>
      </UserInfo>
      <UserInfo>
        <DisplayName>CHISANGA, Mutale (EAST LONDON NHS FOUNDATION TRUST)</DisplayName>
        <AccountId>1728</AccountId>
        <AccountType/>
      </UserInfo>
      <UserInfo>
        <DisplayName>DONGA, Nigel (EAST LONDON NHS FOUNDATION TRUST)</DisplayName>
        <AccountId>509</AccountId>
        <AccountType/>
      </UserInfo>
      <UserInfo>
        <DisplayName>GREENE, Lorraine (EAST LONDON NHS FOUNDATION TRUST)</DisplayName>
        <AccountId>1729</AccountId>
        <AccountType/>
      </UserInfo>
      <UserInfo>
        <DisplayName>MUTEMARINGA, Chido (EAST LONDON NHS FOUNDATION TRUST)</DisplayName>
        <AccountId>1357</AccountId>
        <AccountType/>
      </UserInfo>
      <UserInfo>
        <DisplayName>BVUNZAWABAYA, Charles (EAST LONDON NHS FOUNDATION TRUST)</DisplayName>
        <AccountId>1319</AccountId>
        <AccountType/>
      </UserInfo>
      <UserInfo>
        <DisplayName>CONNELLAN, Tracy (EAST LONDON NHS FOUNDATION TRUST)</DisplayName>
        <AccountId>1710</AccountId>
        <AccountType/>
      </UserInfo>
      <UserInfo>
        <DisplayName>GWENDOLINE DANDATO, Dadai (EAST LONDON NHS FOUNDATION TRUST)</DisplayName>
        <AccountId>823</AccountId>
        <AccountType/>
      </UserInfo>
      <UserInfo>
        <DisplayName>RAJKUMAR, Andy (EAST LONDON NHS FOUNDATION TRUST)</DisplayName>
        <AccountId>1362</AccountId>
        <AccountType/>
      </UserInfo>
      <UserInfo>
        <DisplayName>GILBERT, Duncan (EAST LONDON NHS FOUNDATION TRUST)</DisplayName>
        <AccountId>635</AccountId>
        <AccountType/>
      </UserInfo>
      <UserInfo>
        <DisplayName>RIEDEL, Frank (EAST LONDON NHS FOUNDATION TRUST)</DisplayName>
        <AccountId>706</AccountId>
        <AccountType/>
      </UserInfo>
      <UserInfo>
        <DisplayName>MOHAMED, Huda (EAST LONDON NHS FOUNDATION TRUST)</DisplayName>
        <AccountId>1058</AccountId>
        <AccountType/>
      </UserInfo>
      <UserInfo>
        <DisplayName>KASAMBIRA, Tonderai (EAST LONDON NHS FOUNDATION TRUST)</DisplayName>
        <AccountId>272</AccountId>
        <AccountType/>
      </UserInfo>
      <UserInfo>
        <DisplayName>HAKATA, Helga (EAST LONDON NHS FOUNDATION TRUST)</DisplayName>
        <AccountId>1780</AccountId>
        <AccountType/>
      </UserInfo>
      <UserInfo>
        <DisplayName>VIVIAN, Richard (EAST LONDON NHS FOUNDATION TRUST)</DisplayName>
        <AccountId>1781</AccountId>
        <AccountType/>
      </UserInfo>
      <UserInfo>
        <DisplayName>MUZONDO, Matekenya (EAST LONDON NHS FOUNDATION TRUST)</DisplayName>
        <AccountId>1782</AccountId>
        <AccountType/>
      </UserInfo>
      <UserInfo>
        <DisplayName>PRITCHARD, Jodie (EAST LONDON NHS FOUNDATION TRUST)</DisplayName>
        <AccountId>1783</AccountId>
        <AccountType/>
      </UserInfo>
      <UserInfo>
        <DisplayName>DUBE, Valentine (EAST LONDON NHS FOUNDATION TRUST)</DisplayName>
        <AccountId>1784</AccountId>
        <AccountType/>
      </UserInfo>
      <UserInfo>
        <DisplayName>MANYERE, Graham (EAST LONDON NHS FOUNDATION TRUST)</DisplayName>
        <AccountId>1785</AccountId>
        <AccountType/>
      </UserInfo>
      <UserInfo>
        <DisplayName>FREESTONE, Clare (EAST LONDON NHS FOUNDATION TRUST)</DisplayName>
        <AccountId>441</AccountId>
        <AccountType/>
      </UserInfo>
    </SharedWithUsers>
    <TaxCatchAll xmlns="ceb9b9c5-6ba7-49d3-8f51-68541bbcd012" xsi:nil="true"/>
    <lcf76f155ced4ddcb4097134ff3c332f xmlns="68575eb3-9c97-4437-a18c-a10ada17218b">
      <Terms xmlns="http://schemas.microsoft.com/office/infopath/2007/PartnerControls"/>
    </lcf76f155ced4ddcb4097134ff3c332f>
    <Typeofresource xmlns="68575eb3-9c97-4437-a18c-a10ada17218b" xsi:nil="true"/>
    <Format xmlns="68575eb3-9c97-4437-a18c-a10ada1721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1C81CF8C03A547A5BE80F572E856B4" ma:contentTypeVersion="21" ma:contentTypeDescription="Create a new document." ma:contentTypeScope="" ma:versionID="b76b8cfc5cfe57410d0af5d406906e84">
  <xsd:schema xmlns:xsd="http://www.w3.org/2001/XMLSchema" xmlns:xs="http://www.w3.org/2001/XMLSchema" xmlns:p="http://schemas.microsoft.com/office/2006/metadata/properties" xmlns:ns1="http://schemas.microsoft.com/sharepoint/v3" xmlns:ns2="68575eb3-9c97-4437-a18c-a10ada17218b" xmlns:ns3="ceb9b9c5-6ba7-49d3-8f51-68541bbcd012" targetNamespace="http://schemas.microsoft.com/office/2006/metadata/properties" ma:root="true" ma:fieldsID="cde56718d5109bbf6543209211dfe725" ns1:_="" ns2:_="" ns3:_="">
    <xsd:import namespace="http://schemas.microsoft.com/sharepoint/v3"/>
    <xsd:import namespace="68575eb3-9c97-4437-a18c-a10ada17218b"/>
    <xsd:import namespace="ceb9b9c5-6ba7-49d3-8f51-68541bbcd0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element ref="ns2:Format" minOccurs="0"/>
                <xsd:element ref="ns2:Typeof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75eb3-9c97-4437-a18c-a10ada172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Format" ma:index="27" nillable="true" ma:displayName="Format" ma:format="Dropdown" ma:internalName="Format">
      <xsd:simpleType>
        <xsd:restriction base="dms:Choice">
          <xsd:enumeration value="General"/>
          <xsd:enumeration value="Plain English"/>
          <xsd:enumeration value="Easy Read"/>
        </xsd:restriction>
      </xsd:simpleType>
    </xsd:element>
    <xsd:element name="Typeofresource" ma:index="28" nillable="true" ma:displayName="Type of resource" ma:format="Dropdown" ma:internalName="Typeofresource">
      <xsd:simpleType>
        <xsd:restriction base="dms:Choice">
          <xsd:enumeration value="Patient Leaflet/Resouce"/>
          <xsd:enumeration value="Website"/>
          <xsd:enumeration value="Video"/>
          <xsd:enumeration value="Carer Leaflet/Resource"/>
          <xsd:enumeration value="Healthcare professional Leaflet/Resource"/>
        </xsd:restriction>
      </xsd:simpleType>
    </xsd:element>
  </xsd:schema>
  <xsd:schema xmlns:xsd="http://www.w3.org/2001/XMLSchema" xmlns:xs="http://www.w3.org/2001/XMLSchema" xmlns:dms="http://schemas.microsoft.com/office/2006/documentManagement/types" xmlns:pc="http://schemas.microsoft.com/office/infopath/2007/PartnerControls" targetNamespace="ceb9b9c5-6ba7-49d3-8f51-68541bbcd0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39e0aa-a80f-49a5-b8df-3e65fd5b6da2}" ma:internalName="TaxCatchAll" ma:showField="CatchAllData" ma:web="ceb9b9c5-6ba7-49d3-8f51-68541bbcd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92984-8FE6-458F-91A5-A23BC7E6F909}">
  <ds:schemaRefs>
    <ds:schemaRef ds:uri="http://schemas.openxmlformats.org/officeDocument/2006/bibliography"/>
  </ds:schemaRefs>
</ds:datastoreItem>
</file>

<file path=customXml/itemProps2.xml><?xml version="1.0" encoding="utf-8"?>
<ds:datastoreItem xmlns:ds="http://schemas.openxmlformats.org/officeDocument/2006/customXml" ds:itemID="{5AC51623-8234-4557-B05F-0319FFCC8997}">
  <ds:schemaRefs>
    <ds:schemaRef ds:uri="http://schemas.microsoft.com/office/2006/metadata/properties"/>
    <ds:schemaRef ds:uri="http://schemas.microsoft.com/office/infopath/2007/PartnerControls"/>
    <ds:schemaRef ds:uri="http://schemas.microsoft.com/sharepoint/v3"/>
    <ds:schemaRef ds:uri="ceb9b9c5-6ba7-49d3-8f51-68541bbcd012"/>
    <ds:schemaRef ds:uri="68575eb3-9c97-4437-a18c-a10ada17218b"/>
  </ds:schemaRefs>
</ds:datastoreItem>
</file>

<file path=customXml/itemProps3.xml><?xml version="1.0" encoding="utf-8"?>
<ds:datastoreItem xmlns:ds="http://schemas.openxmlformats.org/officeDocument/2006/customXml" ds:itemID="{26690C0B-FFF6-403C-8F6C-CC928018D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575eb3-9c97-4437-a18c-a10ada17218b"/>
    <ds:schemaRef ds:uri="ceb9b9c5-6ba7-49d3-8f51-68541bbcd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ED43F-BB0F-4736-9FAA-124F6D522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13301</Words>
  <Characters>75822</Characters>
  <Application>Microsoft Office Word</Application>
  <DocSecurity>4</DocSecurity>
  <Lines>631</Lines>
  <Paragraphs>177</Paragraphs>
  <ScaleCrop>false</ScaleCrop>
  <Company/>
  <LinksUpToDate>false</LinksUpToDate>
  <CharactersWithSpaces>88946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STYLE, Hannah (EAST LONDON NHS FOUNDATION TRUST)</dc:creator>
  <cp:keywords/>
  <dc:description/>
  <cp:lastModifiedBy>KHATUN, Rashida (EAST LONDON NHS FOUNDATION TRUST)</cp:lastModifiedBy>
  <cp:revision>2</cp:revision>
  <dcterms:created xsi:type="dcterms:W3CDTF">2026-04-16T14:53:00Z</dcterms:created>
  <dcterms:modified xsi:type="dcterms:W3CDTF">2026-04-16T14:53:00Z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0x010100681C81CF8C03A547A5BE80F572E856B4</vt:lpwstr>
  </property>
  <property fmtid="{D5CDD505-2E9C-101B-9397-08002B2CF9AE}" pid="3" name="Order">
    <vt:r8>25400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