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8464"/>
        <w:rPr>
          <w:rFonts w:ascii="Times New Roman"/>
          <w:sz w:val="20"/>
        </w:rPr>
      </w:pPr>
      <w:r>
        <w:rPr/>
        <w:pict>
          <v:group style="position:absolute;margin-left:0pt;margin-top:363.52124pt;width:595.5pt;height:478.75pt;mso-position-horizontal-relative:page;mso-position-vertical-relative:page;z-index:15728640" id="docshapegroup1" coordorigin="0,7270" coordsize="11910,9575">
            <v:rect style="position:absolute;left:0;top:14218;width:11906;height:2619" id="docshape2" filled="true" fillcolor="#0072bc" stroked="false">
              <v:fill type="solid"/>
            </v:rect>
            <v:shape style="position:absolute;left:1310;top:15068;width:758;height:758" type="#_x0000_t75" id="docshape3" stroked="false">
              <v:imagedata r:id="rId5" o:title=""/>
            </v:shape>
            <v:shape style="position:absolute;left:0;top:7270;width:11910;height:9575" type="#_x0000_t75" id="docshape4" stroked="false">
              <v:imagedata r:id="rId6" o:title=""/>
            </v:shape>
            <v:shape style="position:absolute;left:7458;top:14954;width:3885;height:1380" type="#_x0000_t75" id="docshape5" stroked="false">
              <v:imagedata r:id="rId7" o:title=""/>
            </v:shape>
            <v:shape style="position:absolute;left:0;top:7591;width:11910;height:6315" type="#_x0000_t75" id="docshape6" stroked="false">
              <v:imagedata r:id="rId8" o:title=""/>
            </v:shape>
            <w10:wrap type="none"/>
          </v:group>
        </w:pict>
      </w:r>
      <w:r>
        <w:rPr>
          <w:rFonts w:ascii="Times New Roman"/>
          <w:sz w:val="20"/>
        </w:rPr>
        <w:drawing>
          <wp:inline distT="0" distB="0" distL="0" distR="0">
            <wp:extent cx="1831460" cy="972311"/>
            <wp:effectExtent l="0" t="0" r="0" b="0"/>
            <wp:docPr id="1" name="image5.png"/>
            <wp:cNvGraphicFramePr>
              <a:graphicFrameLocks noChangeAspect="1"/>
            </wp:cNvGraphicFramePr>
            <a:graphic>
              <a:graphicData uri="http://schemas.openxmlformats.org/drawingml/2006/picture">
                <pic:pic>
                  <pic:nvPicPr>
                    <pic:cNvPr id="2" name="image5.png"/>
                    <pic:cNvPicPr/>
                  </pic:nvPicPr>
                  <pic:blipFill>
                    <a:blip r:embed="rId9" cstate="print"/>
                    <a:stretch>
                      <a:fillRect/>
                    </a:stretch>
                  </pic:blipFill>
                  <pic:spPr>
                    <a:xfrm>
                      <a:off x="0" y="0"/>
                      <a:ext cx="1831460" cy="972311"/>
                    </a:xfrm>
                    <a:prstGeom prst="rect">
                      <a:avLst/>
                    </a:prstGeom>
                  </pic:spPr>
                </pic:pic>
              </a:graphicData>
            </a:graphic>
          </wp:inline>
        </w:drawing>
      </w:r>
      <w:r>
        <w:rPr>
          <w:rFonts w:ascii="Times New Roman"/>
          <w:sz w:val="20"/>
        </w:rPr>
      </w:r>
    </w:p>
    <w:p>
      <w:pPr>
        <w:pStyle w:val="BodyText"/>
        <w:spacing w:before="3"/>
        <w:rPr>
          <w:rFonts w:ascii="Times New Roman"/>
          <w:sz w:val="16"/>
        </w:rPr>
      </w:pPr>
    </w:p>
    <w:p>
      <w:pPr>
        <w:pStyle w:val="Title"/>
        <w:spacing w:line="220" w:lineRule="auto"/>
      </w:pPr>
      <w:r>
        <w:rPr>
          <w:color w:val="231F20"/>
        </w:rPr>
        <w:t>The Mental </w:t>
      </w:r>
      <w:r>
        <w:rPr>
          <w:color w:val="231F20"/>
        </w:rPr>
        <w:t>Capacity Act for Patients, Families and Carers</w:t>
      </w:r>
    </w:p>
    <w:p>
      <w:pPr>
        <w:spacing w:after="0" w:line="220" w:lineRule="auto"/>
        <w:sectPr>
          <w:type w:val="continuous"/>
          <w:pgSz w:w="11910" w:h="16850"/>
          <w:pgMar w:top="580" w:bottom="0" w:left="0" w:right="0"/>
        </w:sectPr>
      </w:pPr>
    </w:p>
    <w:p>
      <w:pPr>
        <w:spacing w:line="276" w:lineRule="auto" w:before="90"/>
        <w:ind w:left="1265" w:right="2937" w:firstLine="0"/>
        <w:jc w:val="left"/>
        <w:rPr>
          <w:sz w:val="36"/>
        </w:rPr>
      </w:pPr>
      <w:r>
        <w:rPr/>
        <w:pict>
          <v:rect style="position:absolute;margin-left:0pt;margin-top:-.000004pt;width:595.499953pt;height:842.249933pt;mso-position-horizontal-relative:page;mso-position-vertical-relative:page;z-index:-15836672" id="docshape7" filled="true" fillcolor="#f7911c" stroked="false">
            <v:fill type="solid"/>
            <w10:wrap type="none"/>
          </v:rect>
        </w:pict>
      </w:r>
      <w:r>
        <w:rPr/>
        <w:drawing>
          <wp:anchor distT="0" distB="0" distL="0" distR="0" allowOverlap="1" layoutInCell="1" locked="0" behindDoc="0" simplePos="0" relativeHeight="15730176">
            <wp:simplePos x="0" y="0"/>
            <wp:positionH relativeFrom="page">
              <wp:posOffset>0</wp:posOffset>
            </wp:positionH>
            <wp:positionV relativeFrom="page">
              <wp:posOffset>6051537</wp:posOffset>
            </wp:positionV>
            <wp:extent cx="7562849" cy="3886199"/>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10" cstate="print"/>
                    <a:stretch>
                      <a:fillRect/>
                    </a:stretch>
                  </pic:blipFill>
                  <pic:spPr>
                    <a:xfrm>
                      <a:off x="0" y="0"/>
                      <a:ext cx="7562849" cy="3886199"/>
                    </a:xfrm>
                    <a:prstGeom prst="rect">
                      <a:avLst/>
                    </a:prstGeom>
                  </pic:spPr>
                </pic:pic>
              </a:graphicData>
            </a:graphic>
          </wp:anchor>
        </w:drawing>
      </w:r>
      <w:r>
        <w:rPr>
          <w:color w:val="FFFFFF"/>
          <w:w w:val="115"/>
          <w:sz w:val="36"/>
        </w:rPr>
        <w:t>We</w:t>
      </w:r>
      <w:r>
        <w:rPr>
          <w:color w:val="FFFFFF"/>
          <w:spacing w:val="-8"/>
          <w:w w:val="115"/>
          <w:sz w:val="36"/>
        </w:rPr>
        <w:t> </w:t>
      </w:r>
      <w:r>
        <w:rPr>
          <w:color w:val="FFFFFF"/>
          <w:w w:val="115"/>
          <w:sz w:val="36"/>
        </w:rPr>
        <w:t>promise</w:t>
      </w:r>
      <w:r>
        <w:rPr>
          <w:color w:val="FFFFFF"/>
          <w:spacing w:val="-8"/>
          <w:w w:val="115"/>
          <w:sz w:val="36"/>
        </w:rPr>
        <w:t> </w:t>
      </w:r>
      <w:r>
        <w:rPr>
          <w:color w:val="FFFFFF"/>
          <w:w w:val="115"/>
          <w:sz w:val="36"/>
        </w:rPr>
        <w:t>to</w:t>
      </w:r>
      <w:r>
        <w:rPr>
          <w:color w:val="FFFFFF"/>
          <w:spacing w:val="-8"/>
          <w:w w:val="115"/>
          <w:sz w:val="36"/>
        </w:rPr>
        <w:t> </w:t>
      </w:r>
      <w:r>
        <w:rPr>
          <w:color w:val="FFFFFF"/>
          <w:w w:val="115"/>
          <w:sz w:val="36"/>
        </w:rPr>
        <w:t>work</w:t>
      </w:r>
      <w:r>
        <w:rPr>
          <w:color w:val="FFFFFF"/>
          <w:spacing w:val="-8"/>
          <w:w w:val="115"/>
          <w:sz w:val="36"/>
        </w:rPr>
        <w:t> </w:t>
      </w:r>
      <w:r>
        <w:rPr>
          <w:color w:val="FFFFFF"/>
          <w:w w:val="115"/>
          <w:sz w:val="36"/>
        </w:rPr>
        <w:t>together</w:t>
      </w:r>
      <w:r>
        <w:rPr>
          <w:color w:val="FFFFFF"/>
          <w:spacing w:val="-8"/>
          <w:w w:val="115"/>
          <w:sz w:val="36"/>
        </w:rPr>
        <w:t> </w:t>
      </w:r>
      <w:r>
        <w:rPr>
          <w:color w:val="FFFFFF"/>
          <w:w w:val="115"/>
          <w:sz w:val="36"/>
        </w:rPr>
        <w:t>creatively</w:t>
      </w:r>
      <w:r>
        <w:rPr>
          <w:color w:val="FFFFFF"/>
          <w:spacing w:val="-8"/>
          <w:w w:val="115"/>
          <w:sz w:val="36"/>
        </w:rPr>
        <w:t> </w:t>
      </w:r>
      <w:r>
        <w:rPr>
          <w:color w:val="FFFFFF"/>
          <w:w w:val="115"/>
          <w:sz w:val="36"/>
        </w:rPr>
        <w:t>to: learn</w:t>
      </w:r>
      <w:r>
        <w:rPr>
          <w:color w:val="FFFFFF"/>
          <w:spacing w:val="-14"/>
          <w:w w:val="115"/>
          <w:sz w:val="36"/>
        </w:rPr>
        <w:t> </w:t>
      </w:r>
      <w:r>
        <w:rPr>
          <w:color w:val="FFFFFF"/>
          <w:w w:val="115"/>
          <w:sz w:val="36"/>
        </w:rPr>
        <w:t>‘what</w:t>
      </w:r>
      <w:r>
        <w:rPr>
          <w:color w:val="FFFFFF"/>
          <w:spacing w:val="-14"/>
          <w:w w:val="115"/>
          <w:sz w:val="36"/>
        </w:rPr>
        <w:t> </w:t>
      </w:r>
      <w:r>
        <w:rPr>
          <w:color w:val="FFFFFF"/>
          <w:w w:val="115"/>
          <w:sz w:val="36"/>
        </w:rPr>
        <w:t>matters’</w:t>
      </w:r>
      <w:r>
        <w:rPr>
          <w:color w:val="FFFFFF"/>
          <w:spacing w:val="-14"/>
          <w:w w:val="115"/>
          <w:sz w:val="36"/>
        </w:rPr>
        <w:t> </w:t>
      </w:r>
      <w:r>
        <w:rPr>
          <w:color w:val="FFFFFF"/>
          <w:w w:val="115"/>
          <w:sz w:val="36"/>
        </w:rPr>
        <w:t>to</w:t>
      </w:r>
      <w:r>
        <w:rPr>
          <w:color w:val="FFFFFF"/>
          <w:spacing w:val="-14"/>
          <w:w w:val="115"/>
          <w:sz w:val="36"/>
        </w:rPr>
        <w:t> </w:t>
      </w:r>
      <w:r>
        <w:rPr>
          <w:color w:val="FFFFFF"/>
          <w:w w:val="115"/>
          <w:sz w:val="36"/>
        </w:rPr>
        <w:t>everyone,</w:t>
      </w:r>
      <w:r>
        <w:rPr>
          <w:color w:val="FFFFFF"/>
          <w:spacing w:val="-14"/>
          <w:w w:val="115"/>
          <w:sz w:val="36"/>
        </w:rPr>
        <w:t> </w:t>
      </w:r>
      <w:r>
        <w:rPr>
          <w:color w:val="FFFFFF"/>
          <w:w w:val="115"/>
          <w:sz w:val="36"/>
        </w:rPr>
        <w:t>achieve</w:t>
      </w:r>
      <w:r>
        <w:rPr>
          <w:color w:val="FFFFFF"/>
          <w:spacing w:val="-14"/>
          <w:w w:val="115"/>
          <w:sz w:val="36"/>
        </w:rPr>
        <w:t> </w:t>
      </w:r>
      <w:r>
        <w:rPr>
          <w:color w:val="FFFFFF"/>
          <w:w w:val="115"/>
          <w:sz w:val="36"/>
        </w:rPr>
        <w:t>a better quality of life and continuously improve our services.</w:t>
      </w:r>
    </w:p>
    <w:p>
      <w:pPr>
        <w:pStyle w:val="BodyText"/>
        <w:spacing w:before="10"/>
        <w:rPr>
          <w:sz w:val="11"/>
        </w:rPr>
      </w:pPr>
      <w:r>
        <w:rPr/>
        <w:drawing>
          <wp:anchor distT="0" distB="0" distL="0" distR="0" allowOverlap="1" layoutInCell="1" locked="0" behindDoc="0" simplePos="0" relativeHeight="1">
            <wp:simplePos x="0" y="0"/>
            <wp:positionH relativeFrom="page">
              <wp:posOffset>756284</wp:posOffset>
            </wp:positionH>
            <wp:positionV relativeFrom="paragraph">
              <wp:posOffset>107264</wp:posOffset>
            </wp:positionV>
            <wp:extent cx="3898747" cy="268604"/>
            <wp:effectExtent l="0" t="0" r="0" b="0"/>
            <wp:wrapTopAndBottom/>
            <wp:docPr id="5" name="image7.png"/>
            <wp:cNvGraphicFramePr>
              <a:graphicFrameLocks noChangeAspect="1"/>
            </wp:cNvGraphicFramePr>
            <a:graphic>
              <a:graphicData uri="http://schemas.openxmlformats.org/drawingml/2006/picture">
                <pic:pic>
                  <pic:nvPicPr>
                    <pic:cNvPr id="6" name="image7.png"/>
                    <pic:cNvPicPr/>
                  </pic:nvPicPr>
                  <pic:blipFill>
                    <a:blip r:embed="rId11" cstate="print"/>
                    <a:stretch>
                      <a:fillRect/>
                    </a:stretch>
                  </pic:blipFill>
                  <pic:spPr>
                    <a:xfrm>
                      <a:off x="0" y="0"/>
                      <a:ext cx="3898747" cy="268604"/>
                    </a:xfrm>
                    <a:prstGeom prst="rect">
                      <a:avLst/>
                    </a:prstGeom>
                  </pic:spPr>
                </pic:pic>
              </a:graphicData>
            </a:graphic>
          </wp:anchor>
        </w:drawing>
      </w:r>
    </w:p>
    <w:p>
      <w:pPr>
        <w:spacing w:after="0"/>
        <w:rPr>
          <w:sz w:val="11"/>
        </w:rPr>
        <w:sectPr>
          <w:pgSz w:w="11910" w:h="16850"/>
          <w:pgMar w:top="1880" w:bottom="280" w:left="0" w:right="0"/>
        </w:sectPr>
      </w:pPr>
    </w:p>
    <w:p>
      <w:pPr>
        <w:spacing w:before="79"/>
        <w:ind w:left="1190" w:right="0" w:firstLine="0"/>
        <w:jc w:val="left"/>
        <w:rPr>
          <w:b/>
          <w:sz w:val="48"/>
        </w:rPr>
      </w:pPr>
      <w:r>
        <w:rPr/>
        <w:pict>
          <v:group style="position:absolute;margin-left:0pt;margin-top:573.852173pt;width:595.5pt;height:268.4pt;mso-position-horizontal-relative:page;mso-position-vertical-relative:page;z-index:15730688" id="docshapegroup8" coordorigin="0,11477" coordsize="11910,5368">
            <v:shape style="position:absolute;left:3048;top:11850;width:8862;height:4995" type="#_x0000_t75" id="docshape9" stroked="false">
              <v:imagedata r:id="rId12" o:title=""/>
            </v:shape>
            <v:shape style="position:absolute;left:0;top:11477;width:3984;height:5368" type="#_x0000_t75" id="docshape10" stroked="false">
              <v:imagedata r:id="rId13" o:title=""/>
            </v:shape>
            <w10:wrap type="none"/>
          </v:group>
        </w:pict>
      </w:r>
      <w:r>
        <w:rPr>
          <w:b/>
          <w:color w:val="0072BC"/>
          <w:w w:val="110"/>
          <w:sz w:val="48"/>
        </w:rPr>
        <w:t>What</w:t>
      </w:r>
      <w:r>
        <w:rPr>
          <w:b/>
          <w:color w:val="0072BC"/>
          <w:spacing w:val="31"/>
          <w:w w:val="110"/>
          <w:sz w:val="48"/>
        </w:rPr>
        <w:t> </w:t>
      </w:r>
      <w:r>
        <w:rPr>
          <w:b/>
          <w:color w:val="0072BC"/>
          <w:w w:val="110"/>
          <w:sz w:val="48"/>
        </w:rPr>
        <w:t>is</w:t>
      </w:r>
      <w:r>
        <w:rPr>
          <w:b/>
          <w:color w:val="0072BC"/>
          <w:spacing w:val="31"/>
          <w:w w:val="110"/>
          <w:sz w:val="48"/>
        </w:rPr>
        <w:t> </w:t>
      </w:r>
      <w:r>
        <w:rPr>
          <w:b/>
          <w:color w:val="0072BC"/>
          <w:w w:val="110"/>
          <w:sz w:val="48"/>
        </w:rPr>
        <w:t>the</w:t>
      </w:r>
      <w:r>
        <w:rPr>
          <w:b/>
          <w:color w:val="0072BC"/>
          <w:spacing w:val="32"/>
          <w:w w:val="110"/>
          <w:sz w:val="48"/>
        </w:rPr>
        <w:t> </w:t>
      </w:r>
      <w:r>
        <w:rPr>
          <w:b/>
          <w:color w:val="0072BC"/>
          <w:w w:val="110"/>
          <w:sz w:val="48"/>
        </w:rPr>
        <w:t>Mental</w:t>
      </w:r>
      <w:r>
        <w:rPr>
          <w:b/>
          <w:color w:val="0072BC"/>
          <w:spacing w:val="31"/>
          <w:w w:val="110"/>
          <w:sz w:val="48"/>
        </w:rPr>
        <w:t> </w:t>
      </w:r>
      <w:r>
        <w:rPr>
          <w:b/>
          <w:color w:val="0072BC"/>
          <w:w w:val="110"/>
          <w:sz w:val="48"/>
        </w:rPr>
        <w:t>Capacity</w:t>
      </w:r>
      <w:r>
        <w:rPr>
          <w:b/>
          <w:color w:val="0072BC"/>
          <w:spacing w:val="31"/>
          <w:w w:val="110"/>
          <w:sz w:val="48"/>
        </w:rPr>
        <w:t> </w:t>
      </w:r>
      <w:r>
        <w:rPr>
          <w:b/>
          <w:color w:val="0072BC"/>
          <w:w w:val="110"/>
          <w:sz w:val="48"/>
        </w:rPr>
        <w:t>Act</w:t>
      </w:r>
      <w:r>
        <w:rPr>
          <w:b/>
          <w:color w:val="0072BC"/>
          <w:spacing w:val="32"/>
          <w:w w:val="110"/>
          <w:sz w:val="48"/>
        </w:rPr>
        <w:t> </w:t>
      </w:r>
      <w:r>
        <w:rPr>
          <w:b/>
          <w:color w:val="0072BC"/>
          <w:spacing w:val="-2"/>
          <w:w w:val="110"/>
          <w:sz w:val="48"/>
        </w:rPr>
        <w:t>(MCA)?</w:t>
      </w:r>
    </w:p>
    <w:p>
      <w:pPr>
        <w:spacing w:line="271" w:lineRule="auto" w:before="386"/>
        <w:ind w:left="1190" w:right="704" w:firstLine="0"/>
        <w:jc w:val="left"/>
        <w:rPr>
          <w:sz w:val="37"/>
        </w:rPr>
      </w:pPr>
      <w:r>
        <w:rPr>
          <w:color w:val="0072BC"/>
          <w:w w:val="115"/>
          <w:sz w:val="37"/>
        </w:rPr>
        <w:t>The MCA provides a legal framework for assessing people’s</w:t>
      </w:r>
      <w:r>
        <w:rPr>
          <w:color w:val="0072BC"/>
          <w:spacing w:val="-15"/>
          <w:w w:val="115"/>
          <w:sz w:val="37"/>
        </w:rPr>
        <w:t> </w:t>
      </w:r>
      <w:r>
        <w:rPr>
          <w:color w:val="0072BC"/>
          <w:w w:val="115"/>
          <w:sz w:val="37"/>
        </w:rPr>
        <w:t>ability</w:t>
      </w:r>
      <w:r>
        <w:rPr>
          <w:color w:val="0072BC"/>
          <w:spacing w:val="-15"/>
          <w:w w:val="115"/>
          <w:sz w:val="37"/>
        </w:rPr>
        <w:t> </w:t>
      </w:r>
      <w:r>
        <w:rPr>
          <w:color w:val="0072BC"/>
          <w:w w:val="115"/>
          <w:sz w:val="37"/>
        </w:rPr>
        <w:t>to</w:t>
      </w:r>
      <w:r>
        <w:rPr>
          <w:color w:val="0072BC"/>
          <w:spacing w:val="-15"/>
          <w:w w:val="115"/>
          <w:sz w:val="37"/>
        </w:rPr>
        <w:t> </w:t>
      </w:r>
      <w:r>
        <w:rPr>
          <w:color w:val="0072BC"/>
          <w:w w:val="115"/>
          <w:sz w:val="37"/>
        </w:rPr>
        <w:t>make</w:t>
      </w:r>
      <w:r>
        <w:rPr>
          <w:color w:val="0072BC"/>
          <w:spacing w:val="-15"/>
          <w:w w:val="115"/>
          <w:sz w:val="37"/>
        </w:rPr>
        <w:t> </w:t>
      </w:r>
      <w:r>
        <w:rPr>
          <w:color w:val="0072BC"/>
          <w:w w:val="115"/>
          <w:sz w:val="37"/>
        </w:rPr>
        <w:t>decisions</w:t>
      </w:r>
      <w:r>
        <w:rPr>
          <w:color w:val="0072BC"/>
          <w:spacing w:val="-15"/>
          <w:w w:val="115"/>
          <w:sz w:val="37"/>
        </w:rPr>
        <w:t> </w:t>
      </w:r>
      <w:r>
        <w:rPr>
          <w:color w:val="0072BC"/>
          <w:w w:val="115"/>
          <w:sz w:val="37"/>
        </w:rPr>
        <w:t>for</w:t>
      </w:r>
      <w:r>
        <w:rPr>
          <w:color w:val="0072BC"/>
          <w:spacing w:val="-15"/>
          <w:w w:val="115"/>
          <w:sz w:val="37"/>
        </w:rPr>
        <w:t> </w:t>
      </w:r>
      <w:r>
        <w:rPr>
          <w:color w:val="0072BC"/>
          <w:w w:val="115"/>
          <w:sz w:val="37"/>
        </w:rPr>
        <w:t>themselves,</w:t>
      </w:r>
      <w:r>
        <w:rPr>
          <w:color w:val="0072BC"/>
          <w:spacing w:val="-15"/>
          <w:w w:val="115"/>
          <w:sz w:val="37"/>
        </w:rPr>
        <w:t> </w:t>
      </w:r>
      <w:r>
        <w:rPr>
          <w:color w:val="0072BC"/>
          <w:w w:val="115"/>
          <w:sz w:val="37"/>
        </w:rPr>
        <w:t>and</w:t>
      </w:r>
      <w:r>
        <w:rPr>
          <w:color w:val="0072BC"/>
          <w:spacing w:val="-15"/>
          <w:w w:val="115"/>
          <w:sz w:val="37"/>
        </w:rPr>
        <w:t> </w:t>
      </w:r>
      <w:r>
        <w:rPr>
          <w:color w:val="0072BC"/>
          <w:w w:val="115"/>
          <w:sz w:val="37"/>
        </w:rPr>
        <w:t>for others</w:t>
      </w:r>
      <w:r>
        <w:rPr>
          <w:color w:val="0072BC"/>
          <w:spacing w:val="-14"/>
          <w:w w:val="115"/>
          <w:sz w:val="37"/>
        </w:rPr>
        <w:t> </w:t>
      </w:r>
      <w:r>
        <w:rPr>
          <w:color w:val="0072BC"/>
          <w:w w:val="115"/>
          <w:sz w:val="37"/>
        </w:rPr>
        <w:t>to</w:t>
      </w:r>
      <w:r>
        <w:rPr>
          <w:color w:val="0072BC"/>
          <w:spacing w:val="-14"/>
          <w:w w:val="115"/>
          <w:sz w:val="37"/>
        </w:rPr>
        <w:t> </w:t>
      </w:r>
      <w:r>
        <w:rPr>
          <w:color w:val="0072BC"/>
          <w:w w:val="115"/>
          <w:sz w:val="37"/>
        </w:rPr>
        <w:t>make</w:t>
      </w:r>
      <w:r>
        <w:rPr>
          <w:color w:val="0072BC"/>
          <w:spacing w:val="-14"/>
          <w:w w:val="115"/>
          <w:sz w:val="37"/>
        </w:rPr>
        <w:t> </w:t>
      </w:r>
      <w:r>
        <w:rPr>
          <w:color w:val="0072BC"/>
          <w:w w:val="115"/>
          <w:sz w:val="37"/>
        </w:rPr>
        <w:t>decisions</w:t>
      </w:r>
      <w:r>
        <w:rPr>
          <w:color w:val="0072BC"/>
          <w:spacing w:val="-14"/>
          <w:w w:val="115"/>
          <w:sz w:val="37"/>
        </w:rPr>
        <w:t> </w:t>
      </w:r>
      <w:r>
        <w:rPr>
          <w:color w:val="0072BC"/>
          <w:w w:val="115"/>
          <w:sz w:val="37"/>
        </w:rPr>
        <w:t>for</w:t>
      </w:r>
      <w:r>
        <w:rPr>
          <w:color w:val="0072BC"/>
          <w:spacing w:val="-14"/>
          <w:w w:val="115"/>
          <w:sz w:val="37"/>
        </w:rPr>
        <w:t> </w:t>
      </w:r>
      <w:r>
        <w:rPr>
          <w:color w:val="0072BC"/>
          <w:w w:val="115"/>
          <w:sz w:val="37"/>
        </w:rPr>
        <w:t>them</w:t>
      </w:r>
      <w:r>
        <w:rPr>
          <w:color w:val="0072BC"/>
          <w:spacing w:val="-14"/>
          <w:w w:val="115"/>
          <w:sz w:val="37"/>
        </w:rPr>
        <w:t> </w:t>
      </w:r>
      <w:r>
        <w:rPr>
          <w:color w:val="0072BC"/>
          <w:w w:val="115"/>
          <w:sz w:val="37"/>
        </w:rPr>
        <w:t>where</w:t>
      </w:r>
      <w:r>
        <w:rPr>
          <w:color w:val="0072BC"/>
          <w:spacing w:val="-14"/>
          <w:w w:val="115"/>
          <w:sz w:val="37"/>
        </w:rPr>
        <w:t> </w:t>
      </w:r>
      <w:r>
        <w:rPr>
          <w:color w:val="0072BC"/>
          <w:w w:val="115"/>
          <w:sz w:val="37"/>
        </w:rPr>
        <w:t>they</w:t>
      </w:r>
      <w:r>
        <w:rPr>
          <w:color w:val="0072BC"/>
          <w:spacing w:val="-14"/>
          <w:w w:val="115"/>
          <w:sz w:val="37"/>
        </w:rPr>
        <w:t> </w:t>
      </w:r>
      <w:r>
        <w:rPr>
          <w:color w:val="0072BC"/>
          <w:w w:val="115"/>
          <w:sz w:val="37"/>
        </w:rPr>
        <w:t>are</w:t>
      </w:r>
      <w:r>
        <w:rPr>
          <w:color w:val="0072BC"/>
          <w:spacing w:val="-14"/>
          <w:w w:val="115"/>
          <w:sz w:val="37"/>
        </w:rPr>
        <w:t> </w:t>
      </w:r>
      <w:r>
        <w:rPr>
          <w:color w:val="0072BC"/>
          <w:w w:val="115"/>
          <w:sz w:val="37"/>
        </w:rPr>
        <w:t>unable to do so.</w:t>
      </w:r>
    </w:p>
    <w:p>
      <w:pPr>
        <w:pStyle w:val="BodyText"/>
        <w:spacing w:before="8"/>
        <w:rPr>
          <w:sz w:val="41"/>
        </w:rPr>
      </w:pPr>
    </w:p>
    <w:p>
      <w:pPr>
        <w:spacing w:line="271" w:lineRule="auto" w:before="0"/>
        <w:ind w:left="1190" w:right="704" w:firstLine="0"/>
        <w:jc w:val="left"/>
        <w:rPr>
          <w:sz w:val="37"/>
        </w:rPr>
      </w:pPr>
      <w:r>
        <w:rPr>
          <w:color w:val="0072BC"/>
          <w:w w:val="115"/>
          <w:sz w:val="37"/>
        </w:rPr>
        <w:t>The</w:t>
      </w:r>
      <w:r>
        <w:rPr>
          <w:color w:val="0072BC"/>
          <w:spacing w:val="-12"/>
          <w:w w:val="115"/>
          <w:sz w:val="37"/>
        </w:rPr>
        <w:t> </w:t>
      </w:r>
      <w:r>
        <w:rPr>
          <w:color w:val="0072BC"/>
          <w:w w:val="115"/>
          <w:sz w:val="37"/>
        </w:rPr>
        <w:t>decision</w:t>
      </w:r>
      <w:r>
        <w:rPr>
          <w:color w:val="0072BC"/>
          <w:spacing w:val="-12"/>
          <w:w w:val="115"/>
          <w:sz w:val="37"/>
        </w:rPr>
        <w:t> </w:t>
      </w:r>
      <w:r>
        <w:rPr>
          <w:color w:val="0072BC"/>
          <w:w w:val="115"/>
          <w:sz w:val="37"/>
        </w:rPr>
        <w:t>could</w:t>
      </w:r>
      <w:r>
        <w:rPr>
          <w:color w:val="0072BC"/>
          <w:spacing w:val="-12"/>
          <w:w w:val="115"/>
          <w:sz w:val="37"/>
        </w:rPr>
        <w:t> </w:t>
      </w:r>
      <w:r>
        <w:rPr>
          <w:color w:val="0072BC"/>
          <w:w w:val="115"/>
          <w:sz w:val="37"/>
        </w:rPr>
        <w:t>relate</w:t>
      </w:r>
      <w:r>
        <w:rPr>
          <w:color w:val="0072BC"/>
          <w:spacing w:val="-12"/>
          <w:w w:val="115"/>
          <w:sz w:val="37"/>
        </w:rPr>
        <w:t> </w:t>
      </w:r>
      <w:r>
        <w:rPr>
          <w:color w:val="0072BC"/>
          <w:w w:val="115"/>
          <w:sz w:val="37"/>
        </w:rPr>
        <w:t>to</w:t>
      </w:r>
      <w:r>
        <w:rPr>
          <w:color w:val="0072BC"/>
          <w:spacing w:val="-12"/>
          <w:w w:val="115"/>
          <w:sz w:val="37"/>
        </w:rPr>
        <w:t> </w:t>
      </w:r>
      <w:r>
        <w:rPr>
          <w:color w:val="0072BC"/>
          <w:w w:val="115"/>
          <w:sz w:val="37"/>
        </w:rPr>
        <w:t>washing,</w:t>
      </w:r>
      <w:r>
        <w:rPr>
          <w:color w:val="0072BC"/>
          <w:spacing w:val="-12"/>
          <w:w w:val="115"/>
          <w:sz w:val="37"/>
        </w:rPr>
        <w:t> </w:t>
      </w:r>
      <w:r>
        <w:rPr>
          <w:color w:val="0072BC"/>
          <w:w w:val="115"/>
          <w:sz w:val="37"/>
        </w:rPr>
        <w:t>dressing</w:t>
      </w:r>
      <w:r>
        <w:rPr>
          <w:color w:val="0072BC"/>
          <w:spacing w:val="-12"/>
          <w:w w:val="115"/>
          <w:sz w:val="37"/>
        </w:rPr>
        <w:t> </w:t>
      </w:r>
      <w:r>
        <w:rPr>
          <w:color w:val="0072BC"/>
          <w:w w:val="115"/>
          <w:sz w:val="37"/>
        </w:rPr>
        <w:t>or</w:t>
      </w:r>
      <w:r>
        <w:rPr>
          <w:color w:val="0072BC"/>
          <w:spacing w:val="-12"/>
          <w:w w:val="115"/>
          <w:sz w:val="37"/>
        </w:rPr>
        <w:t> </w:t>
      </w:r>
      <w:r>
        <w:rPr>
          <w:color w:val="0072BC"/>
          <w:w w:val="115"/>
          <w:sz w:val="37"/>
        </w:rPr>
        <w:t>medical treatment, for example. It empowers people to make decisions</w:t>
      </w:r>
      <w:r>
        <w:rPr>
          <w:color w:val="0072BC"/>
          <w:spacing w:val="-4"/>
          <w:w w:val="115"/>
          <w:sz w:val="37"/>
        </w:rPr>
        <w:t> </w:t>
      </w:r>
      <w:r>
        <w:rPr>
          <w:color w:val="0072BC"/>
          <w:w w:val="115"/>
          <w:sz w:val="37"/>
        </w:rPr>
        <w:t>for</w:t>
      </w:r>
      <w:r>
        <w:rPr>
          <w:color w:val="0072BC"/>
          <w:spacing w:val="-4"/>
          <w:w w:val="115"/>
          <w:sz w:val="37"/>
        </w:rPr>
        <w:t> </w:t>
      </w:r>
      <w:r>
        <w:rPr>
          <w:color w:val="0072BC"/>
          <w:w w:val="115"/>
          <w:sz w:val="37"/>
        </w:rPr>
        <w:t>themselves</w:t>
      </w:r>
      <w:r>
        <w:rPr>
          <w:color w:val="0072BC"/>
          <w:spacing w:val="-4"/>
          <w:w w:val="115"/>
          <w:sz w:val="37"/>
        </w:rPr>
        <w:t> </w:t>
      </w:r>
      <w:r>
        <w:rPr>
          <w:color w:val="0072BC"/>
          <w:w w:val="115"/>
          <w:sz w:val="37"/>
        </w:rPr>
        <w:t>where</w:t>
      </w:r>
      <w:r>
        <w:rPr>
          <w:color w:val="0072BC"/>
          <w:spacing w:val="-4"/>
          <w:w w:val="115"/>
          <w:sz w:val="37"/>
        </w:rPr>
        <w:t> </w:t>
      </w:r>
      <w:r>
        <w:rPr>
          <w:color w:val="0072BC"/>
          <w:w w:val="115"/>
          <w:sz w:val="37"/>
        </w:rPr>
        <w:t>they</w:t>
      </w:r>
      <w:r>
        <w:rPr>
          <w:color w:val="0072BC"/>
          <w:spacing w:val="-4"/>
          <w:w w:val="115"/>
          <w:sz w:val="37"/>
        </w:rPr>
        <w:t> </w:t>
      </w:r>
      <w:r>
        <w:rPr>
          <w:color w:val="0072BC"/>
          <w:w w:val="115"/>
          <w:sz w:val="37"/>
        </w:rPr>
        <w:t>can</w:t>
      </w:r>
      <w:r>
        <w:rPr>
          <w:color w:val="0072BC"/>
          <w:spacing w:val="-4"/>
          <w:w w:val="115"/>
          <w:sz w:val="37"/>
        </w:rPr>
        <w:t> </w:t>
      </w:r>
      <w:r>
        <w:rPr>
          <w:color w:val="0072BC"/>
          <w:w w:val="115"/>
          <w:sz w:val="37"/>
        </w:rPr>
        <w:t>do</w:t>
      </w:r>
      <w:r>
        <w:rPr>
          <w:color w:val="0072BC"/>
          <w:spacing w:val="-4"/>
          <w:w w:val="115"/>
          <w:sz w:val="37"/>
        </w:rPr>
        <w:t> </w:t>
      </w:r>
      <w:r>
        <w:rPr>
          <w:color w:val="0072BC"/>
          <w:w w:val="115"/>
          <w:sz w:val="37"/>
        </w:rPr>
        <w:t>so</w:t>
      </w:r>
      <w:r>
        <w:rPr>
          <w:color w:val="0072BC"/>
          <w:spacing w:val="-4"/>
          <w:w w:val="115"/>
          <w:sz w:val="37"/>
        </w:rPr>
        <w:t> </w:t>
      </w:r>
      <w:r>
        <w:rPr>
          <w:color w:val="0072BC"/>
          <w:w w:val="115"/>
          <w:sz w:val="37"/>
        </w:rPr>
        <w:t>and</w:t>
      </w:r>
      <w:r>
        <w:rPr>
          <w:color w:val="0072BC"/>
          <w:spacing w:val="-4"/>
          <w:w w:val="115"/>
          <w:sz w:val="37"/>
        </w:rPr>
        <w:t> </w:t>
      </w:r>
      <w:r>
        <w:rPr>
          <w:color w:val="0072BC"/>
          <w:w w:val="115"/>
          <w:sz w:val="37"/>
        </w:rPr>
        <w:t>puts those who are unable to at the centre of the decision- making process.</w:t>
      </w:r>
    </w:p>
    <w:p>
      <w:pPr>
        <w:pStyle w:val="BodyText"/>
        <w:spacing w:before="8"/>
        <w:rPr>
          <w:sz w:val="41"/>
        </w:rPr>
      </w:pPr>
    </w:p>
    <w:p>
      <w:pPr>
        <w:spacing w:before="0"/>
        <w:ind w:left="1190" w:right="0" w:firstLine="0"/>
        <w:jc w:val="left"/>
        <w:rPr>
          <w:sz w:val="37"/>
        </w:rPr>
      </w:pPr>
      <w:r>
        <w:rPr>
          <w:color w:val="0072BC"/>
          <w:w w:val="115"/>
          <w:sz w:val="37"/>
        </w:rPr>
        <w:t>The</w:t>
      </w:r>
      <w:r>
        <w:rPr>
          <w:color w:val="0072BC"/>
          <w:spacing w:val="-7"/>
          <w:w w:val="115"/>
          <w:sz w:val="37"/>
        </w:rPr>
        <w:t> </w:t>
      </w:r>
      <w:r>
        <w:rPr>
          <w:color w:val="0072BC"/>
          <w:w w:val="115"/>
          <w:sz w:val="37"/>
        </w:rPr>
        <w:t>MCA</w:t>
      </w:r>
      <w:r>
        <w:rPr>
          <w:color w:val="0072BC"/>
          <w:spacing w:val="-6"/>
          <w:w w:val="115"/>
          <w:sz w:val="37"/>
        </w:rPr>
        <w:t> </w:t>
      </w:r>
      <w:r>
        <w:rPr>
          <w:color w:val="0072BC"/>
          <w:w w:val="115"/>
          <w:sz w:val="37"/>
        </w:rPr>
        <w:t>applies</w:t>
      </w:r>
      <w:r>
        <w:rPr>
          <w:color w:val="0072BC"/>
          <w:spacing w:val="-6"/>
          <w:w w:val="115"/>
          <w:sz w:val="37"/>
        </w:rPr>
        <w:t> </w:t>
      </w:r>
      <w:r>
        <w:rPr>
          <w:color w:val="0072BC"/>
          <w:w w:val="115"/>
          <w:sz w:val="37"/>
        </w:rPr>
        <w:t>to</w:t>
      </w:r>
      <w:r>
        <w:rPr>
          <w:color w:val="0072BC"/>
          <w:spacing w:val="-6"/>
          <w:w w:val="115"/>
          <w:sz w:val="37"/>
        </w:rPr>
        <w:t> </w:t>
      </w:r>
      <w:r>
        <w:rPr>
          <w:color w:val="0072BC"/>
          <w:w w:val="115"/>
          <w:sz w:val="37"/>
        </w:rPr>
        <w:t>those</w:t>
      </w:r>
      <w:r>
        <w:rPr>
          <w:color w:val="0072BC"/>
          <w:spacing w:val="-7"/>
          <w:w w:val="115"/>
          <w:sz w:val="37"/>
        </w:rPr>
        <w:t> </w:t>
      </w:r>
      <w:r>
        <w:rPr>
          <w:color w:val="0072BC"/>
          <w:w w:val="115"/>
          <w:sz w:val="37"/>
        </w:rPr>
        <w:t>age</w:t>
      </w:r>
      <w:r>
        <w:rPr>
          <w:color w:val="0072BC"/>
          <w:spacing w:val="-6"/>
          <w:w w:val="115"/>
          <w:sz w:val="37"/>
        </w:rPr>
        <w:t> </w:t>
      </w:r>
      <w:r>
        <w:rPr>
          <w:color w:val="0072BC"/>
          <w:w w:val="115"/>
          <w:sz w:val="37"/>
        </w:rPr>
        <w:t>16</w:t>
      </w:r>
      <w:r>
        <w:rPr>
          <w:color w:val="0072BC"/>
          <w:spacing w:val="-6"/>
          <w:w w:val="115"/>
          <w:sz w:val="37"/>
        </w:rPr>
        <w:t> </w:t>
      </w:r>
      <w:r>
        <w:rPr>
          <w:color w:val="0072BC"/>
          <w:w w:val="115"/>
          <w:sz w:val="37"/>
        </w:rPr>
        <w:t>and</w:t>
      </w:r>
      <w:r>
        <w:rPr>
          <w:color w:val="0072BC"/>
          <w:spacing w:val="-6"/>
          <w:w w:val="115"/>
          <w:sz w:val="37"/>
        </w:rPr>
        <w:t> </w:t>
      </w:r>
      <w:r>
        <w:rPr>
          <w:color w:val="0072BC"/>
          <w:spacing w:val="-2"/>
          <w:w w:val="115"/>
          <w:sz w:val="37"/>
        </w:rPr>
        <w:t>over.</w:t>
      </w:r>
    </w:p>
    <w:p>
      <w:pPr>
        <w:spacing w:after="0"/>
        <w:jc w:val="left"/>
        <w:rPr>
          <w:sz w:val="37"/>
        </w:rPr>
        <w:sectPr>
          <w:pgSz w:w="11910" w:h="16850"/>
          <w:pgMar w:top="1100" w:bottom="0" w:left="0" w:right="0"/>
        </w:sectPr>
      </w:pPr>
    </w:p>
    <w:p>
      <w:pPr>
        <w:pStyle w:val="Heading1"/>
        <w:spacing w:line="271" w:lineRule="auto" w:before="84"/>
        <w:ind w:right="81"/>
      </w:pPr>
      <w:r>
        <w:rPr>
          <w:w w:val="110"/>
        </w:rPr>
        <w:t>When is mental capacity </w:t>
      </w:r>
      <w:r>
        <w:rPr>
          <w:spacing w:val="-2"/>
          <w:w w:val="110"/>
        </w:rPr>
        <w:t>assessed?</w:t>
      </w:r>
    </w:p>
    <w:p>
      <w:pPr>
        <w:pStyle w:val="BodyText"/>
        <w:spacing w:before="8"/>
        <w:rPr>
          <w:b/>
          <w:sz w:val="42"/>
        </w:rPr>
      </w:pPr>
    </w:p>
    <w:p>
      <w:pPr>
        <w:pStyle w:val="BodyText"/>
        <w:spacing w:line="266" w:lineRule="auto"/>
        <w:ind w:left="1190" w:right="81"/>
      </w:pPr>
      <w:r>
        <w:rPr>
          <w:w w:val="110"/>
        </w:rPr>
        <w:t>A person’s mental capacity must be assessed when there is a</w:t>
      </w:r>
      <w:r>
        <w:rPr>
          <w:spacing w:val="40"/>
          <w:w w:val="110"/>
        </w:rPr>
        <w:t> </w:t>
      </w:r>
      <w:r>
        <w:rPr>
          <w:w w:val="110"/>
        </w:rPr>
        <w:t>reason to question their ability to make decision(s) for themselves.</w:t>
      </w:r>
    </w:p>
    <w:p>
      <w:pPr>
        <w:pStyle w:val="BodyText"/>
        <w:spacing w:line="266" w:lineRule="auto" w:before="5"/>
        <w:ind w:left="1190" w:right="81"/>
      </w:pPr>
      <w:r>
        <w:rPr>
          <w:w w:val="115"/>
        </w:rPr>
        <w:t>Capacity assessments must be decision specific, and with consideration to the ‘material time’</w:t>
      </w:r>
      <w:r>
        <w:rPr>
          <w:spacing w:val="-15"/>
          <w:w w:val="115"/>
        </w:rPr>
        <w:t> </w:t>
      </w:r>
      <w:r>
        <w:rPr>
          <w:w w:val="115"/>
        </w:rPr>
        <w:t>the</w:t>
      </w:r>
      <w:r>
        <w:rPr>
          <w:spacing w:val="-15"/>
          <w:w w:val="115"/>
        </w:rPr>
        <w:t> </w:t>
      </w:r>
      <w:r>
        <w:rPr>
          <w:w w:val="115"/>
        </w:rPr>
        <w:t>person</w:t>
      </w:r>
      <w:r>
        <w:rPr>
          <w:spacing w:val="-15"/>
          <w:w w:val="115"/>
        </w:rPr>
        <w:t> </w:t>
      </w:r>
      <w:r>
        <w:rPr>
          <w:w w:val="115"/>
        </w:rPr>
        <w:t>needs</w:t>
      </w:r>
      <w:r>
        <w:rPr>
          <w:spacing w:val="-15"/>
          <w:w w:val="115"/>
        </w:rPr>
        <w:t> </w:t>
      </w:r>
      <w:r>
        <w:rPr>
          <w:w w:val="115"/>
        </w:rPr>
        <w:t>to</w:t>
      </w:r>
      <w:r>
        <w:rPr>
          <w:spacing w:val="-15"/>
          <w:w w:val="115"/>
        </w:rPr>
        <w:t> </w:t>
      </w:r>
      <w:r>
        <w:rPr>
          <w:w w:val="115"/>
        </w:rPr>
        <w:t>make the decision. Sometimes it may be necessary for a person’s capacity to be assessed more than once and in relation to more than one decision.</w:t>
      </w:r>
    </w:p>
    <w:p>
      <w:pPr>
        <w:spacing w:line="271" w:lineRule="auto" w:before="75"/>
        <w:ind w:left="222" w:right="0" w:firstLine="0"/>
        <w:jc w:val="left"/>
        <w:rPr>
          <w:b/>
          <w:sz w:val="37"/>
        </w:rPr>
      </w:pPr>
      <w:r>
        <w:rPr/>
        <w:br w:type="column"/>
      </w:r>
      <w:r>
        <w:rPr>
          <w:b/>
          <w:w w:val="115"/>
          <w:sz w:val="37"/>
        </w:rPr>
        <w:t>What</w:t>
      </w:r>
      <w:r>
        <w:rPr>
          <w:b/>
          <w:spacing w:val="-25"/>
          <w:w w:val="115"/>
          <w:sz w:val="37"/>
        </w:rPr>
        <w:t> </w:t>
      </w:r>
      <w:r>
        <w:rPr>
          <w:b/>
          <w:w w:val="115"/>
          <w:sz w:val="37"/>
        </w:rPr>
        <w:t>decisions</w:t>
      </w:r>
      <w:r>
        <w:rPr>
          <w:b/>
          <w:spacing w:val="-24"/>
          <w:w w:val="115"/>
          <w:sz w:val="37"/>
        </w:rPr>
        <w:t> </w:t>
      </w:r>
      <w:r>
        <w:rPr>
          <w:b/>
          <w:w w:val="115"/>
          <w:sz w:val="37"/>
        </w:rPr>
        <w:t>might</w:t>
      </w:r>
      <w:r>
        <w:rPr>
          <w:b/>
          <w:spacing w:val="-24"/>
          <w:w w:val="115"/>
          <w:sz w:val="37"/>
        </w:rPr>
        <w:t> </w:t>
      </w:r>
      <w:r>
        <w:rPr>
          <w:b/>
          <w:w w:val="115"/>
          <w:sz w:val="37"/>
        </w:rPr>
        <w:t>this apply to?</w:t>
      </w:r>
    </w:p>
    <w:p>
      <w:pPr>
        <w:pStyle w:val="BodyText"/>
        <w:spacing w:before="8"/>
        <w:rPr>
          <w:b/>
          <w:sz w:val="40"/>
        </w:rPr>
      </w:pPr>
    </w:p>
    <w:p>
      <w:pPr>
        <w:pStyle w:val="BodyText"/>
        <w:spacing w:line="266" w:lineRule="auto"/>
        <w:ind w:left="222" w:right="491"/>
      </w:pPr>
      <w:r>
        <w:rPr>
          <w:w w:val="115"/>
        </w:rPr>
        <w:t>The assessment of capacity set out in the MCA applies to most decisions relating to a person’s finances, healthcare or welfare (with a small number of exceptions, such as capacity to make a will). This includes making</w:t>
      </w:r>
      <w:r>
        <w:rPr>
          <w:spacing w:val="-14"/>
          <w:w w:val="115"/>
        </w:rPr>
        <w:t> </w:t>
      </w:r>
      <w:r>
        <w:rPr>
          <w:w w:val="115"/>
        </w:rPr>
        <w:t>decisions</w:t>
      </w:r>
      <w:r>
        <w:rPr>
          <w:spacing w:val="-14"/>
          <w:w w:val="115"/>
        </w:rPr>
        <w:t> </w:t>
      </w:r>
      <w:r>
        <w:rPr>
          <w:w w:val="115"/>
        </w:rPr>
        <w:t>about</w:t>
      </w:r>
      <w:r>
        <w:rPr>
          <w:spacing w:val="-14"/>
          <w:w w:val="115"/>
        </w:rPr>
        <w:t> </w:t>
      </w:r>
      <w:r>
        <w:rPr>
          <w:w w:val="115"/>
        </w:rPr>
        <w:t>medical treatment, care and support needs,</w:t>
      </w:r>
      <w:r>
        <w:rPr>
          <w:spacing w:val="-11"/>
          <w:w w:val="115"/>
        </w:rPr>
        <w:t> </w:t>
      </w:r>
      <w:r>
        <w:rPr>
          <w:w w:val="115"/>
        </w:rPr>
        <w:t>residence</w:t>
      </w:r>
      <w:r>
        <w:rPr>
          <w:spacing w:val="-11"/>
          <w:w w:val="115"/>
        </w:rPr>
        <w:t> </w:t>
      </w:r>
      <w:r>
        <w:rPr>
          <w:w w:val="115"/>
        </w:rPr>
        <w:t>and</w:t>
      </w:r>
      <w:r>
        <w:rPr>
          <w:spacing w:val="-11"/>
          <w:w w:val="115"/>
        </w:rPr>
        <w:t> </w:t>
      </w:r>
      <w:r>
        <w:rPr>
          <w:w w:val="115"/>
        </w:rPr>
        <w:t>admission to hospital.</w:t>
      </w:r>
    </w:p>
    <w:p>
      <w:pPr>
        <w:spacing w:after="0" w:line="266" w:lineRule="auto"/>
        <w:sectPr>
          <w:pgSz w:w="11910" w:h="16850"/>
          <w:pgMar w:top="1100" w:bottom="0" w:left="0" w:right="0"/>
          <w:cols w:num="2" w:equalWidth="0">
            <w:col w:w="6205" w:space="40"/>
            <w:col w:w="5665"/>
          </w:cols>
        </w:sectPr>
      </w:pPr>
    </w:p>
    <w:p>
      <w:pPr>
        <w:rPr>
          <w:sz w:val="2"/>
          <w:szCs w:val="2"/>
        </w:rPr>
      </w:pPr>
      <w:r>
        <w:rPr/>
        <w:drawing>
          <wp:anchor distT="0" distB="0" distL="0" distR="0" allowOverlap="1" layoutInCell="1" locked="0" behindDoc="0" simplePos="0" relativeHeight="15731200">
            <wp:simplePos x="0" y="0"/>
            <wp:positionH relativeFrom="page">
              <wp:posOffset>0</wp:posOffset>
            </wp:positionH>
            <wp:positionV relativeFrom="page">
              <wp:posOffset>7181376</wp:posOffset>
            </wp:positionV>
            <wp:extent cx="7562849" cy="3515198"/>
            <wp:effectExtent l="0" t="0" r="0" b="0"/>
            <wp:wrapNone/>
            <wp:docPr id="7" name="image10.jpeg"/>
            <wp:cNvGraphicFramePr>
              <a:graphicFrameLocks noChangeAspect="1"/>
            </wp:cNvGraphicFramePr>
            <a:graphic>
              <a:graphicData uri="http://schemas.openxmlformats.org/drawingml/2006/picture">
                <pic:pic>
                  <pic:nvPicPr>
                    <pic:cNvPr id="8" name="image10.jpeg"/>
                    <pic:cNvPicPr/>
                  </pic:nvPicPr>
                  <pic:blipFill>
                    <a:blip r:embed="rId14" cstate="print"/>
                    <a:stretch>
                      <a:fillRect/>
                    </a:stretch>
                  </pic:blipFill>
                  <pic:spPr>
                    <a:xfrm>
                      <a:off x="0" y="0"/>
                      <a:ext cx="7562849" cy="3515198"/>
                    </a:xfrm>
                    <a:prstGeom prst="rect">
                      <a:avLst/>
                    </a:prstGeom>
                  </pic:spPr>
                </pic:pic>
              </a:graphicData>
            </a:graphic>
          </wp:anchor>
        </w:drawing>
      </w:r>
    </w:p>
    <w:p>
      <w:pPr>
        <w:spacing w:after="0"/>
        <w:rPr>
          <w:sz w:val="2"/>
          <w:szCs w:val="2"/>
        </w:rPr>
        <w:sectPr>
          <w:type w:val="continuous"/>
          <w:pgSz w:w="11910" w:h="16850"/>
          <w:pgMar w:top="580" w:bottom="0" w:left="0" w:right="0"/>
        </w:sectPr>
      </w:pPr>
    </w:p>
    <w:p>
      <w:pPr>
        <w:pStyle w:val="Heading1"/>
        <w:spacing w:line="271" w:lineRule="auto" w:before="104"/>
      </w:pPr>
      <w:r>
        <w:rPr>
          <w:w w:val="110"/>
        </w:rPr>
        <w:t>Who will assess mental </w:t>
      </w:r>
      <w:r>
        <w:rPr>
          <w:spacing w:val="-2"/>
          <w:w w:val="110"/>
        </w:rPr>
        <w:t>capacity?</w:t>
      </w:r>
    </w:p>
    <w:p>
      <w:pPr>
        <w:pStyle w:val="BodyText"/>
        <w:spacing w:before="8"/>
        <w:rPr>
          <w:b/>
          <w:sz w:val="42"/>
        </w:rPr>
      </w:pPr>
    </w:p>
    <w:p>
      <w:pPr>
        <w:pStyle w:val="BodyText"/>
        <w:spacing w:line="266" w:lineRule="auto"/>
        <w:ind w:left="1190"/>
      </w:pPr>
      <w:r>
        <w:rPr>
          <w:w w:val="115"/>
        </w:rPr>
        <w:t>Capacity</w:t>
      </w:r>
      <w:r>
        <w:rPr>
          <w:spacing w:val="-15"/>
          <w:w w:val="115"/>
        </w:rPr>
        <w:t> </w:t>
      </w:r>
      <w:r>
        <w:rPr>
          <w:w w:val="115"/>
        </w:rPr>
        <w:t>to</w:t>
      </w:r>
      <w:r>
        <w:rPr>
          <w:spacing w:val="-15"/>
          <w:w w:val="115"/>
        </w:rPr>
        <w:t> </w:t>
      </w:r>
      <w:r>
        <w:rPr>
          <w:w w:val="115"/>
        </w:rPr>
        <w:t>make</w:t>
      </w:r>
      <w:r>
        <w:rPr>
          <w:spacing w:val="-15"/>
          <w:w w:val="115"/>
        </w:rPr>
        <w:t> </w:t>
      </w:r>
      <w:r>
        <w:rPr>
          <w:w w:val="115"/>
        </w:rPr>
        <w:t>decisions</w:t>
      </w:r>
      <w:r>
        <w:rPr>
          <w:spacing w:val="-15"/>
          <w:w w:val="115"/>
        </w:rPr>
        <w:t> </w:t>
      </w:r>
      <w:r>
        <w:rPr>
          <w:w w:val="115"/>
        </w:rPr>
        <w:t>about health and social care matters will normally be assessed by a health</w:t>
      </w:r>
      <w:r>
        <w:rPr>
          <w:spacing w:val="-19"/>
          <w:w w:val="115"/>
        </w:rPr>
        <w:t> </w:t>
      </w:r>
      <w:r>
        <w:rPr>
          <w:w w:val="115"/>
        </w:rPr>
        <w:t>or</w:t>
      </w:r>
      <w:r>
        <w:rPr>
          <w:spacing w:val="-19"/>
          <w:w w:val="115"/>
        </w:rPr>
        <w:t> </w:t>
      </w:r>
      <w:r>
        <w:rPr>
          <w:w w:val="115"/>
        </w:rPr>
        <w:t>social</w:t>
      </w:r>
      <w:r>
        <w:rPr>
          <w:spacing w:val="-19"/>
          <w:w w:val="115"/>
        </w:rPr>
        <w:t> </w:t>
      </w:r>
      <w:r>
        <w:rPr>
          <w:w w:val="115"/>
        </w:rPr>
        <w:t>care</w:t>
      </w:r>
      <w:r>
        <w:rPr>
          <w:spacing w:val="-19"/>
          <w:w w:val="115"/>
        </w:rPr>
        <w:t> </w:t>
      </w:r>
      <w:r>
        <w:rPr>
          <w:w w:val="115"/>
        </w:rPr>
        <w:t>professional. If they have reason to question a person’s capacity, they must complete an assessment. The starting point for all assessments is a presumption that the person has capacity, and it is the responsibility of the professional to form a reasonable belief that the</w:t>
      </w:r>
      <w:r>
        <w:rPr>
          <w:spacing w:val="-17"/>
          <w:w w:val="115"/>
        </w:rPr>
        <w:t> </w:t>
      </w:r>
      <w:r>
        <w:rPr>
          <w:w w:val="115"/>
        </w:rPr>
        <w:t>person</w:t>
      </w:r>
      <w:r>
        <w:rPr>
          <w:spacing w:val="-17"/>
          <w:w w:val="115"/>
        </w:rPr>
        <w:t> </w:t>
      </w:r>
      <w:r>
        <w:rPr>
          <w:w w:val="115"/>
        </w:rPr>
        <w:t>has,</w:t>
      </w:r>
      <w:r>
        <w:rPr>
          <w:spacing w:val="-17"/>
          <w:w w:val="115"/>
        </w:rPr>
        <w:t> </w:t>
      </w:r>
      <w:r>
        <w:rPr>
          <w:w w:val="115"/>
        </w:rPr>
        <w:t>or</w:t>
      </w:r>
      <w:r>
        <w:rPr>
          <w:spacing w:val="-17"/>
          <w:w w:val="115"/>
        </w:rPr>
        <w:t> </w:t>
      </w:r>
      <w:r>
        <w:rPr>
          <w:w w:val="115"/>
        </w:rPr>
        <w:t>lacks,</w:t>
      </w:r>
      <w:r>
        <w:rPr>
          <w:spacing w:val="-17"/>
          <w:w w:val="115"/>
        </w:rPr>
        <w:t> </w:t>
      </w:r>
      <w:r>
        <w:rPr>
          <w:w w:val="115"/>
        </w:rPr>
        <w:t>capacity.</w:t>
      </w:r>
    </w:p>
    <w:p>
      <w:pPr>
        <w:pStyle w:val="BodyText"/>
        <w:rPr>
          <w:sz w:val="39"/>
        </w:rPr>
      </w:pPr>
    </w:p>
    <w:p>
      <w:pPr>
        <w:pStyle w:val="Heading1"/>
        <w:spacing w:line="271" w:lineRule="auto"/>
      </w:pPr>
      <w:r>
        <w:rPr>
          <w:w w:val="115"/>
        </w:rPr>
        <w:t>How</w:t>
      </w:r>
      <w:r>
        <w:rPr>
          <w:spacing w:val="-18"/>
          <w:w w:val="115"/>
        </w:rPr>
        <w:t> </w:t>
      </w:r>
      <w:r>
        <w:rPr>
          <w:w w:val="115"/>
        </w:rPr>
        <w:t>will</w:t>
      </w:r>
      <w:r>
        <w:rPr>
          <w:spacing w:val="-18"/>
          <w:w w:val="115"/>
        </w:rPr>
        <w:t> </w:t>
      </w:r>
      <w:r>
        <w:rPr>
          <w:w w:val="115"/>
        </w:rPr>
        <w:t>capacity</w:t>
      </w:r>
      <w:r>
        <w:rPr>
          <w:spacing w:val="-18"/>
          <w:w w:val="115"/>
        </w:rPr>
        <w:t> </w:t>
      </w:r>
      <w:r>
        <w:rPr>
          <w:w w:val="115"/>
        </w:rPr>
        <w:t>be </w:t>
      </w:r>
      <w:r>
        <w:rPr>
          <w:spacing w:val="-2"/>
          <w:w w:val="115"/>
        </w:rPr>
        <w:t>assessed?</w:t>
      </w:r>
    </w:p>
    <w:p>
      <w:pPr>
        <w:pStyle w:val="BodyText"/>
        <w:spacing w:before="8"/>
        <w:rPr>
          <w:b/>
          <w:sz w:val="42"/>
        </w:rPr>
      </w:pPr>
    </w:p>
    <w:p>
      <w:pPr>
        <w:pStyle w:val="BodyText"/>
        <w:spacing w:line="266" w:lineRule="auto"/>
        <w:ind w:left="1190"/>
      </w:pPr>
      <w:r>
        <w:rPr>
          <w:w w:val="115"/>
        </w:rPr>
        <w:t>The assessment of capacity is set out</w:t>
      </w:r>
      <w:r>
        <w:rPr>
          <w:spacing w:val="-6"/>
          <w:w w:val="115"/>
        </w:rPr>
        <w:t> </w:t>
      </w:r>
      <w:r>
        <w:rPr>
          <w:w w:val="115"/>
        </w:rPr>
        <w:t>in</w:t>
      </w:r>
      <w:r>
        <w:rPr>
          <w:spacing w:val="-6"/>
          <w:w w:val="115"/>
        </w:rPr>
        <w:t> </w:t>
      </w:r>
      <w:r>
        <w:rPr>
          <w:w w:val="115"/>
        </w:rPr>
        <w:t>the</w:t>
      </w:r>
      <w:r>
        <w:rPr>
          <w:spacing w:val="-6"/>
          <w:w w:val="115"/>
        </w:rPr>
        <w:t> </w:t>
      </w:r>
      <w:r>
        <w:rPr>
          <w:w w:val="115"/>
        </w:rPr>
        <w:t>MCA</w:t>
      </w:r>
      <w:r>
        <w:rPr>
          <w:spacing w:val="-6"/>
          <w:w w:val="115"/>
        </w:rPr>
        <w:t> </w:t>
      </w:r>
      <w:r>
        <w:rPr>
          <w:w w:val="115"/>
        </w:rPr>
        <w:t>and</w:t>
      </w:r>
      <w:r>
        <w:rPr>
          <w:spacing w:val="-6"/>
          <w:w w:val="115"/>
        </w:rPr>
        <w:t> </w:t>
      </w:r>
      <w:r>
        <w:rPr>
          <w:w w:val="115"/>
        </w:rPr>
        <w:t>professionals are expected to adopt the approach set out below:</w:t>
      </w:r>
    </w:p>
    <w:p>
      <w:pPr>
        <w:pStyle w:val="ListParagraph"/>
        <w:numPr>
          <w:ilvl w:val="0"/>
          <w:numId w:val="1"/>
        </w:numPr>
        <w:tabs>
          <w:tab w:pos="1825" w:val="left" w:leader="none"/>
        </w:tabs>
        <w:spacing w:line="266" w:lineRule="auto" w:before="6" w:after="0"/>
        <w:ind w:left="1734" w:right="699" w:hanging="299"/>
        <w:jc w:val="left"/>
        <w:rPr>
          <w:sz w:val="32"/>
        </w:rPr>
      </w:pPr>
      <w:r>
        <w:rPr>
          <w:w w:val="115"/>
          <w:sz w:val="32"/>
        </w:rPr>
        <w:t>Identify the specific decision(s)</w:t>
      </w:r>
      <w:r>
        <w:rPr>
          <w:spacing w:val="-21"/>
          <w:w w:val="115"/>
          <w:sz w:val="32"/>
        </w:rPr>
        <w:t> </w:t>
      </w:r>
      <w:r>
        <w:rPr>
          <w:w w:val="115"/>
          <w:sz w:val="32"/>
        </w:rPr>
        <w:t>they</w:t>
      </w:r>
      <w:r>
        <w:rPr>
          <w:spacing w:val="-21"/>
          <w:w w:val="115"/>
          <w:sz w:val="32"/>
        </w:rPr>
        <w:t> </w:t>
      </w:r>
      <w:r>
        <w:rPr>
          <w:w w:val="115"/>
          <w:sz w:val="32"/>
        </w:rPr>
        <w:t>want</w:t>
      </w:r>
      <w:r>
        <w:rPr>
          <w:spacing w:val="-21"/>
          <w:w w:val="115"/>
          <w:sz w:val="32"/>
        </w:rPr>
        <w:t> </w:t>
      </w:r>
      <w:r>
        <w:rPr>
          <w:w w:val="115"/>
          <w:sz w:val="32"/>
        </w:rPr>
        <w:t>the person to make.</w:t>
      </w:r>
    </w:p>
    <w:p>
      <w:pPr>
        <w:pStyle w:val="ListParagraph"/>
        <w:numPr>
          <w:ilvl w:val="0"/>
          <w:numId w:val="1"/>
        </w:numPr>
        <w:tabs>
          <w:tab w:pos="1825" w:val="left" w:leader="none"/>
        </w:tabs>
        <w:spacing w:line="266" w:lineRule="auto" w:before="4" w:after="0"/>
        <w:ind w:left="1734" w:right="698" w:hanging="299"/>
        <w:jc w:val="left"/>
        <w:rPr>
          <w:sz w:val="32"/>
        </w:rPr>
      </w:pPr>
      <w:r>
        <w:rPr>
          <w:w w:val="115"/>
          <w:sz w:val="32"/>
        </w:rPr>
        <w:t>Identify the information relevant</w:t>
      </w:r>
      <w:r>
        <w:rPr>
          <w:spacing w:val="-17"/>
          <w:w w:val="115"/>
          <w:sz w:val="32"/>
        </w:rPr>
        <w:t> </w:t>
      </w:r>
      <w:r>
        <w:rPr>
          <w:w w:val="115"/>
          <w:sz w:val="32"/>
        </w:rPr>
        <w:t>to</w:t>
      </w:r>
      <w:r>
        <w:rPr>
          <w:spacing w:val="-17"/>
          <w:w w:val="115"/>
          <w:sz w:val="32"/>
        </w:rPr>
        <w:t> </w:t>
      </w:r>
      <w:r>
        <w:rPr>
          <w:w w:val="115"/>
          <w:sz w:val="32"/>
        </w:rPr>
        <w:t>that</w:t>
      </w:r>
      <w:r>
        <w:rPr>
          <w:spacing w:val="-17"/>
          <w:w w:val="115"/>
          <w:sz w:val="32"/>
        </w:rPr>
        <w:t> </w:t>
      </w:r>
      <w:r>
        <w:rPr>
          <w:w w:val="115"/>
          <w:sz w:val="32"/>
        </w:rPr>
        <w:t>decision.</w:t>
      </w:r>
    </w:p>
    <w:p>
      <w:pPr>
        <w:pStyle w:val="ListParagraph"/>
        <w:numPr>
          <w:ilvl w:val="0"/>
          <w:numId w:val="1"/>
        </w:numPr>
        <w:tabs>
          <w:tab w:pos="1825" w:val="left" w:leader="none"/>
        </w:tabs>
        <w:spacing w:line="266" w:lineRule="auto" w:before="3" w:after="0"/>
        <w:ind w:left="1734" w:right="4" w:hanging="299"/>
        <w:jc w:val="left"/>
        <w:rPr>
          <w:sz w:val="32"/>
        </w:rPr>
      </w:pPr>
      <w:r>
        <w:rPr>
          <w:w w:val="115"/>
          <w:sz w:val="32"/>
        </w:rPr>
        <w:t>Assess if the person is able to make the decision.</w:t>
      </w:r>
    </w:p>
    <w:p>
      <w:pPr>
        <w:pStyle w:val="BodyText"/>
        <w:spacing w:line="266" w:lineRule="auto" w:before="87"/>
        <w:ind w:left="258" w:right="498"/>
      </w:pPr>
      <w:r>
        <w:rPr/>
        <w:br w:type="column"/>
      </w:r>
      <w:r>
        <w:rPr>
          <w:w w:val="115"/>
        </w:rPr>
        <w:t>To be found to be able to make the</w:t>
      </w:r>
      <w:r>
        <w:rPr>
          <w:spacing w:val="-10"/>
          <w:w w:val="115"/>
        </w:rPr>
        <w:t> </w:t>
      </w:r>
      <w:r>
        <w:rPr>
          <w:w w:val="115"/>
        </w:rPr>
        <w:t>decision</w:t>
      </w:r>
      <w:r>
        <w:rPr>
          <w:spacing w:val="-10"/>
          <w:w w:val="115"/>
        </w:rPr>
        <w:t> </w:t>
      </w:r>
      <w:r>
        <w:rPr>
          <w:w w:val="115"/>
        </w:rPr>
        <w:t>the</w:t>
      </w:r>
      <w:r>
        <w:rPr>
          <w:spacing w:val="-10"/>
          <w:w w:val="115"/>
        </w:rPr>
        <w:t> </w:t>
      </w:r>
      <w:r>
        <w:rPr>
          <w:w w:val="115"/>
        </w:rPr>
        <w:t>person</w:t>
      </w:r>
      <w:r>
        <w:rPr>
          <w:spacing w:val="-10"/>
          <w:w w:val="115"/>
        </w:rPr>
        <w:t> </w:t>
      </w:r>
      <w:r>
        <w:rPr>
          <w:w w:val="115"/>
        </w:rPr>
        <w:t>will</w:t>
      </w:r>
      <w:r>
        <w:rPr>
          <w:spacing w:val="-10"/>
          <w:w w:val="115"/>
        </w:rPr>
        <w:t> </w:t>
      </w:r>
      <w:r>
        <w:rPr>
          <w:w w:val="115"/>
        </w:rPr>
        <w:t>need to be able to understand the information relevant to the decision, retain it for long enough to make the decision, and use and weigh the information. They also need to be able to communicate their decision (this can be by any </w:t>
      </w:r>
      <w:r>
        <w:rPr>
          <w:spacing w:val="-2"/>
          <w:w w:val="115"/>
        </w:rPr>
        <w:t>means).</w:t>
      </w:r>
    </w:p>
    <w:p>
      <w:pPr>
        <w:pStyle w:val="ListParagraph"/>
        <w:numPr>
          <w:ilvl w:val="0"/>
          <w:numId w:val="1"/>
        </w:numPr>
        <w:tabs>
          <w:tab w:pos="970" w:val="left" w:leader="none"/>
        </w:tabs>
        <w:spacing w:line="266" w:lineRule="auto" w:before="16" w:after="0"/>
        <w:ind w:left="258" w:right="499" w:firstLine="355"/>
        <w:jc w:val="left"/>
        <w:rPr>
          <w:sz w:val="32"/>
        </w:rPr>
      </w:pPr>
      <w:r>
        <w:rPr>
          <w:w w:val="115"/>
          <w:sz w:val="32"/>
        </w:rPr>
        <w:t>If the person is unable to make a decision, this must be caused by an impairment or disturbance in the functioning of their mind or brain.</w:t>
      </w:r>
    </w:p>
    <w:p>
      <w:pPr>
        <w:pStyle w:val="BodyText"/>
        <w:spacing w:before="1"/>
        <w:rPr>
          <w:sz w:val="38"/>
        </w:rPr>
      </w:pPr>
    </w:p>
    <w:p>
      <w:pPr>
        <w:pStyle w:val="Heading1"/>
        <w:ind w:left="258"/>
      </w:pPr>
      <w:r>
        <w:rPr>
          <w:w w:val="110"/>
        </w:rPr>
        <w:t>What</w:t>
      </w:r>
      <w:r>
        <w:rPr>
          <w:spacing w:val="32"/>
          <w:w w:val="110"/>
        </w:rPr>
        <w:t> </w:t>
      </w:r>
      <w:r>
        <w:rPr>
          <w:w w:val="110"/>
        </w:rPr>
        <w:t>happens</w:t>
      </w:r>
      <w:r>
        <w:rPr>
          <w:spacing w:val="33"/>
          <w:w w:val="110"/>
        </w:rPr>
        <w:t> </w:t>
      </w:r>
      <w:r>
        <w:rPr>
          <w:spacing w:val="-4"/>
          <w:w w:val="110"/>
        </w:rPr>
        <w:t>next?</w:t>
      </w:r>
    </w:p>
    <w:p>
      <w:pPr>
        <w:pStyle w:val="BodyText"/>
        <w:spacing w:before="7"/>
        <w:rPr>
          <w:b/>
          <w:sz w:val="47"/>
        </w:rPr>
      </w:pPr>
    </w:p>
    <w:p>
      <w:pPr>
        <w:pStyle w:val="BodyText"/>
        <w:spacing w:line="266" w:lineRule="auto"/>
        <w:ind w:left="258" w:right="716"/>
      </w:pPr>
      <w:r>
        <w:rPr>
          <w:w w:val="110"/>
        </w:rPr>
        <w:t>If a person is assessed to have capacity, they can make decisions for themselves.</w:t>
      </w:r>
    </w:p>
    <w:p>
      <w:pPr>
        <w:pStyle w:val="BodyText"/>
        <w:spacing w:line="266" w:lineRule="auto" w:before="4"/>
        <w:ind w:left="258" w:right="627"/>
      </w:pPr>
      <w:r>
        <w:rPr>
          <w:w w:val="110"/>
        </w:rPr>
        <w:t>Although, in some circumstances professionals may still need to take steps to safeguard the person or others; the rationale</w:t>
      </w:r>
      <w:r>
        <w:rPr>
          <w:spacing w:val="40"/>
          <w:w w:val="110"/>
        </w:rPr>
        <w:t> </w:t>
      </w:r>
      <w:r>
        <w:rPr>
          <w:w w:val="110"/>
        </w:rPr>
        <w:t>for this must be documented in their health and social care </w:t>
      </w:r>
      <w:r>
        <w:rPr>
          <w:spacing w:val="-2"/>
          <w:w w:val="110"/>
        </w:rPr>
        <w:t>records.</w:t>
      </w:r>
    </w:p>
    <w:p>
      <w:pPr>
        <w:spacing w:after="0" w:line="266" w:lineRule="auto"/>
        <w:sectPr>
          <w:pgSz w:w="11910" w:h="16850"/>
          <w:pgMar w:top="1080" w:bottom="0" w:left="0" w:right="0"/>
          <w:cols w:num="2" w:equalWidth="0">
            <w:col w:w="6170" w:space="40"/>
            <w:col w:w="5700"/>
          </w:cols>
        </w:sectPr>
      </w:pPr>
    </w:p>
    <w:p>
      <w:pPr>
        <w:rPr>
          <w:sz w:val="2"/>
          <w:szCs w:val="2"/>
        </w:rPr>
      </w:pPr>
      <w:r>
        <w:rPr/>
        <w:drawing>
          <wp:anchor distT="0" distB="0" distL="0" distR="0" allowOverlap="1" layoutInCell="1" locked="0" behindDoc="0" simplePos="0" relativeHeight="15731712">
            <wp:simplePos x="0" y="0"/>
            <wp:positionH relativeFrom="page">
              <wp:posOffset>0</wp:posOffset>
            </wp:positionH>
            <wp:positionV relativeFrom="page">
              <wp:posOffset>9724359</wp:posOffset>
            </wp:positionV>
            <wp:extent cx="7562849" cy="972215"/>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7562849" cy="972215"/>
                    </a:xfrm>
                    <a:prstGeom prst="rect">
                      <a:avLst/>
                    </a:prstGeom>
                  </pic:spPr>
                </pic:pic>
              </a:graphicData>
            </a:graphic>
          </wp:anchor>
        </w:drawing>
      </w:r>
    </w:p>
    <w:p>
      <w:pPr>
        <w:spacing w:after="0"/>
        <w:rPr>
          <w:sz w:val="2"/>
          <w:szCs w:val="2"/>
        </w:rPr>
        <w:sectPr>
          <w:type w:val="continuous"/>
          <w:pgSz w:w="11910" w:h="16850"/>
          <w:pgMar w:top="580" w:bottom="0" w:left="0" w:right="0"/>
        </w:sectPr>
      </w:pPr>
    </w:p>
    <w:p>
      <w:pPr>
        <w:pStyle w:val="BodyText"/>
        <w:spacing w:line="266" w:lineRule="auto" w:before="87"/>
        <w:ind w:left="1190" w:right="4"/>
      </w:pPr>
      <w:r>
        <w:rPr>
          <w:w w:val="115"/>
        </w:rPr>
        <w:t>If a person is assessed to lack capacity,</w:t>
      </w:r>
      <w:r>
        <w:rPr>
          <w:spacing w:val="-9"/>
          <w:w w:val="115"/>
        </w:rPr>
        <w:t> </w:t>
      </w:r>
      <w:r>
        <w:rPr>
          <w:w w:val="115"/>
        </w:rPr>
        <w:t>decisions</w:t>
      </w:r>
      <w:r>
        <w:rPr>
          <w:spacing w:val="-9"/>
          <w:w w:val="115"/>
        </w:rPr>
        <w:t> </w:t>
      </w:r>
      <w:r>
        <w:rPr>
          <w:w w:val="115"/>
        </w:rPr>
        <w:t>will</w:t>
      </w:r>
      <w:r>
        <w:rPr>
          <w:spacing w:val="-9"/>
          <w:w w:val="115"/>
        </w:rPr>
        <w:t> </w:t>
      </w:r>
      <w:r>
        <w:rPr>
          <w:w w:val="115"/>
        </w:rPr>
        <w:t>need</w:t>
      </w:r>
      <w:r>
        <w:rPr>
          <w:spacing w:val="-9"/>
          <w:w w:val="115"/>
        </w:rPr>
        <w:t> </w:t>
      </w:r>
      <w:r>
        <w:rPr>
          <w:w w:val="115"/>
        </w:rPr>
        <w:t>to be</w:t>
      </w:r>
      <w:r>
        <w:rPr>
          <w:spacing w:val="-18"/>
          <w:w w:val="115"/>
        </w:rPr>
        <w:t> </w:t>
      </w:r>
      <w:r>
        <w:rPr>
          <w:w w:val="115"/>
        </w:rPr>
        <w:t>made</w:t>
      </w:r>
      <w:r>
        <w:rPr>
          <w:spacing w:val="-18"/>
          <w:w w:val="115"/>
        </w:rPr>
        <w:t> </w:t>
      </w:r>
      <w:r>
        <w:rPr>
          <w:w w:val="115"/>
        </w:rPr>
        <w:t>in</w:t>
      </w:r>
      <w:r>
        <w:rPr>
          <w:spacing w:val="-18"/>
          <w:w w:val="115"/>
        </w:rPr>
        <w:t> </w:t>
      </w:r>
      <w:r>
        <w:rPr>
          <w:w w:val="115"/>
        </w:rPr>
        <w:t>their</w:t>
      </w:r>
      <w:r>
        <w:rPr>
          <w:spacing w:val="-18"/>
          <w:w w:val="115"/>
        </w:rPr>
        <w:t> </w:t>
      </w:r>
      <w:r>
        <w:rPr>
          <w:w w:val="115"/>
        </w:rPr>
        <w:t>best</w:t>
      </w:r>
      <w:r>
        <w:rPr>
          <w:spacing w:val="-18"/>
          <w:w w:val="115"/>
        </w:rPr>
        <w:t> </w:t>
      </w:r>
      <w:r>
        <w:rPr>
          <w:w w:val="115"/>
        </w:rPr>
        <w:t>interests. What is in a person’s best interests will be decided by undertaking a best interest assessment. This requires professionals to review the options available and decide what is in the person’s best interests,</w:t>
      </w:r>
      <w:r>
        <w:rPr>
          <w:spacing w:val="-3"/>
          <w:w w:val="115"/>
        </w:rPr>
        <w:t> </w:t>
      </w:r>
      <w:r>
        <w:rPr>
          <w:w w:val="115"/>
        </w:rPr>
        <w:t>there</w:t>
      </w:r>
      <w:r>
        <w:rPr>
          <w:spacing w:val="-3"/>
          <w:w w:val="115"/>
        </w:rPr>
        <w:t> </w:t>
      </w:r>
      <w:r>
        <w:rPr>
          <w:w w:val="115"/>
        </w:rPr>
        <w:t>is</w:t>
      </w:r>
      <w:r>
        <w:rPr>
          <w:spacing w:val="-3"/>
          <w:w w:val="115"/>
        </w:rPr>
        <w:t> </w:t>
      </w:r>
      <w:r>
        <w:rPr>
          <w:w w:val="115"/>
        </w:rPr>
        <w:t>a</w:t>
      </w:r>
      <w:r>
        <w:rPr>
          <w:spacing w:val="-3"/>
          <w:w w:val="115"/>
        </w:rPr>
        <w:t> </w:t>
      </w:r>
      <w:r>
        <w:rPr>
          <w:w w:val="115"/>
        </w:rPr>
        <w:t>checklist</w:t>
      </w:r>
      <w:r>
        <w:rPr>
          <w:spacing w:val="-3"/>
          <w:w w:val="115"/>
        </w:rPr>
        <w:t> </w:t>
      </w:r>
      <w:r>
        <w:rPr>
          <w:w w:val="115"/>
        </w:rPr>
        <w:t>in the MCA that sets out what professionals need to consider and who they need to consult when doing this.</w:t>
      </w:r>
    </w:p>
    <w:p>
      <w:pPr>
        <w:pStyle w:val="BodyText"/>
        <w:spacing w:before="5"/>
        <w:rPr>
          <w:sz w:val="37"/>
        </w:rPr>
      </w:pPr>
    </w:p>
    <w:p>
      <w:pPr>
        <w:pStyle w:val="BodyText"/>
        <w:spacing w:line="266" w:lineRule="auto"/>
        <w:ind w:left="1190" w:right="5"/>
      </w:pPr>
      <w:r>
        <w:rPr>
          <w:w w:val="115"/>
        </w:rPr>
        <w:t>Unless urgency means it is not possible, this will include ascertaining the person’s past and present wishes, feelings, beliefs and values, and obtaining the opinions of people who know the person on what would be in their best interests. If a person has a </w:t>
      </w:r>
      <w:r>
        <w:rPr>
          <w:b/>
          <w:w w:val="115"/>
        </w:rPr>
        <w:t>lasting power of attorney </w:t>
      </w:r>
      <w:r>
        <w:rPr>
          <w:w w:val="115"/>
        </w:rPr>
        <w:t>with authority to make the decision in question, it will be them who decides what is in their best interests.</w:t>
      </w:r>
    </w:p>
    <w:p>
      <w:pPr>
        <w:pStyle w:val="BodyText"/>
        <w:spacing w:line="266" w:lineRule="auto" w:before="87"/>
        <w:ind w:left="293" w:right="385"/>
      </w:pPr>
      <w:r>
        <w:rPr/>
        <w:br w:type="column"/>
      </w:r>
      <w:r>
        <w:rPr>
          <w:w w:val="115"/>
        </w:rPr>
        <w:t>If</w:t>
      </w:r>
      <w:r>
        <w:rPr>
          <w:spacing w:val="-14"/>
          <w:w w:val="115"/>
        </w:rPr>
        <w:t> </w:t>
      </w:r>
      <w:r>
        <w:rPr>
          <w:w w:val="115"/>
        </w:rPr>
        <w:t>there</w:t>
      </w:r>
      <w:r>
        <w:rPr>
          <w:spacing w:val="-14"/>
          <w:w w:val="115"/>
        </w:rPr>
        <w:t> </w:t>
      </w:r>
      <w:r>
        <w:rPr>
          <w:w w:val="115"/>
        </w:rPr>
        <w:t>is</w:t>
      </w:r>
      <w:r>
        <w:rPr>
          <w:spacing w:val="-14"/>
          <w:w w:val="115"/>
        </w:rPr>
        <w:t> </w:t>
      </w:r>
      <w:r>
        <w:rPr>
          <w:w w:val="115"/>
        </w:rPr>
        <w:t>disagreement</w:t>
      </w:r>
      <w:r>
        <w:rPr>
          <w:spacing w:val="-14"/>
          <w:w w:val="115"/>
        </w:rPr>
        <w:t> </w:t>
      </w:r>
      <w:r>
        <w:rPr>
          <w:w w:val="115"/>
        </w:rPr>
        <w:t>between the assessors (including the person, or those who know the person) about what is in a person’s best interests, efforts will be made to resolve this.</w:t>
      </w:r>
    </w:p>
    <w:p>
      <w:pPr>
        <w:pStyle w:val="BodyText"/>
        <w:spacing w:line="266" w:lineRule="auto" w:before="9"/>
        <w:ind w:left="293" w:right="549"/>
      </w:pPr>
      <w:r>
        <w:rPr>
          <w:w w:val="115"/>
        </w:rPr>
        <w:t>Sometimes, where agreement cannot be reached, an application may need to be made</w:t>
      </w:r>
      <w:r>
        <w:rPr>
          <w:spacing w:val="-3"/>
          <w:w w:val="115"/>
        </w:rPr>
        <w:t> </w:t>
      </w:r>
      <w:r>
        <w:rPr>
          <w:w w:val="115"/>
        </w:rPr>
        <w:t>to</w:t>
      </w:r>
      <w:r>
        <w:rPr>
          <w:spacing w:val="-3"/>
          <w:w w:val="115"/>
        </w:rPr>
        <w:t> </w:t>
      </w:r>
      <w:r>
        <w:rPr>
          <w:w w:val="115"/>
        </w:rPr>
        <w:t>the</w:t>
      </w:r>
      <w:r>
        <w:rPr>
          <w:spacing w:val="-3"/>
          <w:w w:val="115"/>
        </w:rPr>
        <w:t> </w:t>
      </w:r>
      <w:r>
        <w:rPr>
          <w:w w:val="115"/>
        </w:rPr>
        <w:t>Court</w:t>
      </w:r>
      <w:r>
        <w:rPr>
          <w:spacing w:val="-3"/>
          <w:w w:val="115"/>
        </w:rPr>
        <w:t> </w:t>
      </w:r>
      <w:r>
        <w:rPr>
          <w:w w:val="115"/>
        </w:rPr>
        <w:t>of</w:t>
      </w:r>
      <w:r>
        <w:rPr>
          <w:spacing w:val="-3"/>
          <w:w w:val="115"/>
        </w:rPr>
        <w:t> </w:t>
      </w:r>
      <w:r>
        <w:rPr>
          <w:w w:val="115"/>
        </w:rPr>
        <w:t>Protection to</w:t>
      </w:r>
      <w:r>
        <w:rPr>
          <w:spacing w:val="-11"/>
          <w:w w:val="115"/>
        </w:rPr>
        <w:t> </w:t>
      </w:r>
      <w:r>
        <w:rPr>
          <w:w w:val="115"/>
        </w:rPr>
        <w:t>decide</w:t>
      </w:r>
      <w:r>
        <w:rPr>
          <w:spacing w:val="-11"/>
          <w:w w:val="115"/>
        </w:rPr>
        <w:t> </w:t>
      </w:r>
      <w:r>
        <w:rPr>
          <w:w w:val="115"/>
        </w:rPr>
        <w:t>what</w:t>
      </w:r>
      <w:r>
        <w:rPr>
          <w:spacing w:val="-11"/>
          <w:w w:val="115"/>
        </w:rPr>
        <w:t> </w:t>
      </w:r>
      <w:r>
        <w:rPr>
          <w:w w:val="115"/>
        </w:rPr>
        <w:t>is</w:t>
      </w:r>
      <w:r>
        <w:rPr>
          <w:spacing w:val="-11"/>
          <w:w w:val="115"/>
        </w:rPr>
        <w:t> </w:t>
      </w:r>
      <w:r>
        <w:rPr>
          <w:w w:val="115"/>
        </w:rPr>
        <w:t>in</w:t>
      </w:r>
      <w:r>
        <w:rPr>
          <w:spacing w:val="-11"/>
          <w:w w:val="115"/>
        </w:rPr>
        <w:t> </w:t>
      </w:r>
      <w:r>
        <w:rPr>
          <w:w w:val="115"/>
        </w:rPr>
        <w:t>the</w:t>
      </w:r>
      <w:r>
        <w:rPr>
          <w:spacing w:val="-11"/>
          <w:w w:val="115"/>
        </w:rPr>
        <w:t> </w:t>
      </w:r>
      <w:r>
        <w:rPr>
          <w:w w:val="115"/>
        </w:rPr>
        <w:t>person’s best interests.</w:t>
      </w:r>
    </w:p>
    <w:p>
      <w:pPr>
        <w:pStyle w:val="BodyText"/>
        <w:spacing w:before="3"/>
        <w:rPr>
          <w:sz w:val="38"/>
        </w:rPr>
      </w:pPr>
    </w:p>
    <w:p>
      <w:pPr>
        <w:pStyle w:val="Heading1"/>
        <w:ind w:left="293"/>
      </w:pPr>
      <w:r>
        <w:rPr>
          <w:w w:val="110"/>
        </w:rPr>
        <w:t>Why</w:t>
      </w:r>
      <w:r>
        <w:rPr>
          <w:spacing w:val="20"/>
          <w:w w:val="110"/>
        </w:rPr>
        <w:t> </w:t>
      </w:r>
      <w:r>
        <w:rPr>
          <w:w w:val="110"/>
        </w:rPr>
        <w:t>is</w:t>
      </w:r>
      <w:r>
        <w:rPr>
          <w:spacing w:val="21"/>
          <w:w w:val="110"/>
        </w:rPr>
        <w:t> </w:t>
      </w:r>
      <w:r>
        <w:rPr>
          <w:w w:val="110"/>
        </w:rPr>
        <w:t>it</w:t>
      </w:r>
      <w:r>
        <w:rPr>
          <w:spacing w:val="21"/>
          <w:w w:val="110"/>
        </w:rPr>
        <w:t> </w:t>
      </w:r>
      <w:r>
        <w:rPr>
          <w:spacing w:val="-2"/>
          <w:w w:val="110"/>
        </w:rPr>
        <w:t>important?</w:t>
      </w:r>
    </w:p>
    <w:p>
      <w:pPr>
        <w:pStyle w:val="BodyText"/>
        <w:spacing w:before="6"/>
        <w:rPr>
          <w:b/>
          <w:sz w:val="47"/>
        </w:rPr>
      </w:pPr>
    </w:p>
    <w:p>
      <w:pPr>
        <w:pStyle w:val="BodyText"/>
        <w:spacing w:line="266" w:lineRule="auto" w:before="1"/>
        <w:ind w:left="293" w:right="549"/>
      </w:pPr>
      <w:r>
        <w:rPr>
          <w:w w:val="115"/>
        </w:rPr>
        <w:t>The Mental Capacity Act is intended to empower people who lack the ability to make their</w:t>
      </w:r>
      <w:r>
        <w:rPr>
          <w:spacing w:val="-17"/>
          <w:w w:val="115"/>
        </w:rPr>
        <w:t> </w:t>
      </w:r>
      <w:r>
        <w:rPr>
          <w:w w:val="115"/>
        </w:rPr>
        <w:t>own</w:t>
      </w:r>
      <w:r>
        <w:rPr>
          <w:spacing w:val="-17"/>
          <w:w w:val="115"/>
        </w:rPr>
        <w:t> </w:t>
      </w:r>
      <w:r>
        <w:rPr>
          <w:w w:val="115"/>
        </w:rPr>
        <w:t>decisions</w:t>
      </w:r>
      <w:r>
        <w:rPr>
          <w:spacing w:val="-17"/>
          <w:w w:val="115"/>
        </w:rPr>
        <w:t> </w:t>
      </w:r>
      <w:r>
        <w:rPr>
          <w:w w:val="115"/>
        </w:rPr>
        <w:t>so</w:t>
      </w:r>
      <w:r>
        <w:rPr>
          <w:spacing w:val="-17"/>
          <w:w w:val="115"/>
        </w:rPr>
        <w:t> </w:t>
      </w:r>
      <w:r>
        <w:rPr>
          <w:w w:val="115"/>
        </w:rPr>
        <w:t>they</w:t>
      </w:r>
      <w:r>
        <w:rPr>
          <w:spacing w:val="-17"/>
          <w:w w:val="115"/>
        </w:rPr>
        <w:t> </w:t>
      </w:r>
      <w:r>
        <w:rPr>
          <w:w w:val="115"/>
        </w:rPr>
        <w:t>have the right people, at the right time, supporting them in their </w:t>
      </w:r>
      <w:r>
        <w:rPr>
          <w:spacing w:val="-4"/>
          <w:w w:val="115"/>
        </w:rPr>
        <w:t>care.</w:t>
      </w:r>
    </w:p>
    <w:p>
      <w:pPr>
        <w:spacing w:after="0" w:line="266" w:lineRule="auto"/>
        <w:sectPr>
          <w:pgSz w:w="11910" w:h="16850"/>
          <w:pgMar w:top="1080" w:bottom="0" w:left="0" w:right="0"/>
          <w:cols w:num="2" w:equalWidth="0">
            <w:col w:w="6134" w:space="40"/>
            <w:col w:w="5736"/>
          </w:cols>
        </w:sectPr>
      </w:pPr>
    </w:p>
    <w:p>
      <w:pPr>
        <w:rPr>
          <w:sz w:val="2"/>
          <w:szCs w:val="2"/>
        </w:rPr>
      </w:pPr>
      <w:r>
        <w:rPr/>
        <w:drawing>
          <wp:anchor distT="0" distB="0" distL="0" distR="0" allowOverlap="1" layoutInCell="1" locked="0" behindDoc="0" simplePos="0" relativeHeight="15732224">
            <wp:simplePos x="0" y="0"/>
            <wp:positionH relativeFrom="page">
              <wp:posOffset>0</wp:posOffset>
            </wp:positionH>
            <wp:positionV relativeFrom="page">
              <wp:posOffset>9259945</wp:posOffset>
            </wp:positionV>
            <wp:extent cx="7562849" cy="1436628"/>
            <wp:effectExtent l="0" t="0" r="0" b="0"/>
            <wp:wrapNone/>
            <wp:docPr id="11" name="image12.png"/>
            <wp:cNvGraphicFramePr>
              <a:graphicFrameLocks noChangeAspect="1"/>
            </wp:cNvGraphicFramePr>
            <a:graphic>
              <a:graphicData uri="http://schemas.openxmlformats.org/drawingml/2006/picture">
                <pic:pic>
                  <pic:nvPicPr>
                    <pic:cNvPr id="12" name="image12.png"/>
                    <pic:cNvPicPr/>
                  </pic:nvPicPr>
                  <pic:blipFill>
                    <a:blip r:embed="rId16" cstate="print"/>
                    <a:stretch>
                      <a:fillRect/>
                    </a:stretch>
                  </pic:blipFill>
                  <pic:spPr>
                    <a:xfrm>
                      <a:off x="0" y="0"/>
                      <a:ext cx="7562849" cy="1436628"/>
                    </a:xfrm>
                    <a:prstGeom prst="rect">
                      <a:avLst/>
                    </a:prstGeom>
                  </pic:spPr>
                </pic:pic>
              </a:graphicData>
            </a:graphic>
          </wp:anchor>
        </w:drawing>
      </w:r>
    </w:p>
    <w:p>
      <w:pPr>
        <w:spacing w:after="0"/>
        <w:rPr>
          <w:sz w:val="2"/>
          <w:szCs w:val="2"/>
        </w:rPr>
        <w:sectPr>
          <w:type w:val="continuous"/>
          <w:pgSz w:w="11910" w:h="16850"/>
          <w:pgMar w:top="580" w:bottom="0" w:left="0" w:right="0"/>
        </w:sectPr>
      </w:pPr>
    </w:p>
    <w:p>
      <w:pPr>
        <w:pStyle w:val="Heading1"/>
        <w:spacing w:line="271" w:lineRule="auto" w:before="84"/>
      </w:pPr>
      <w:r>
        <w:rPr>
          <w:w w:val="110"/>
        </w:rPr>
        <w:t>What happens if </w:t>
      </w:r>
      <w:r>
        <w:rPr>
          <w:w w:val="110"/>
        </w:rPr>
        <w:t>someone has no one to support </w:t>
      </w:r>
      <w:r>
        <w:rPr>
          <w:spacing w:val="-2"/>
          <w:w w:val="110"/>
        </w:rPr>
        <w:t>them?</w:t>
      </w:r>
    </w:p>
    <w:p>
      <w:pPr>
        <w:pStyle w:val="BodyText"/>
        <w:spacing w:before="10"/>
        <w:rPr>
          <w:b/>
          <w:sz w:val="42"/>
        </w:rPr>
      </w:pPr>
    </w:p>
    <w:p>
      <w:pPr>
        <w:pStyle w:val="BodyText"/>
        <w:spacing w:line="266" w:lineRule="auto"/>
        <w:ind w:left="1190"/>
      </w:pPr>
      <w:r>
        <w:rPr>
          <w:w w:val="115"/>
        </w:rPr>
        <w:t>Support is available from independent</w:t>
      </w:r>
      <w:r>
        <w:rPr>
          <w:spacing w:val="-15"/>
          <w:w w:val="115"/>
        </w:rPr>
        <w:t> </w:t>
      </w:r>
      <w:r>
        <w:rPr>
          <w:w w:val="115"/>
        </w:rPr>
        <w:t>professionals</w:t>
      </w:r>
      <w:r>
        <w:rPr>
          <w:spacing w:val="-15"/>
          <w:w w:val="115"/>
        </w:rPr>
        <w:t> </w:t>
      </w:r>
      <w:r>
        <w:rPr>
          <w:w w:val="115"/>
        </w:rPr>
        <w:t>called Independent Mental Capacity Advocates (or IMCAs), if the person does not have family members</w:t>
      </w:r>
      <w:r>
        <w:rPr>
          <w:spacing w:val="-14"/>
          <w:w w:val="115"/>
        </w:rPr>
        <w:t> </w:t>
      </w:r>
      <w:r>
        <w:rPr>
          <w:w w:val="115"/>
        </w:rPr>
        <w:t>or</w:t>
      </w:r>
      <w:r>
        <w:rPr>
          <w:spacing w:val="-14"/>
          <w:w w:val="115"/>
        </w:rPr>
        <w:t> </w:t>
      </w:r>
      <w:r>
        <w:rPr>
          <w:w w:val="115"/>
        </w:rPr>
        <w:t>friends</w:t>
      </w:r>
      <w:r>
        <w:rPr>
          <w:spacing w:val="-14"/>
          <w:w w:val="115"/>
        </w:rPr>
        <w:t> </w:t>
      </w:r>
      <w:r>
        <w:rPr>
          <w:w w:val="115"/>
        </w:rPr>
        <w:t>who</w:t>
      </w:r>
      <w:r>
        <w:rPr>
          <w:spacing w:val="-14"/>
          <w:w w:val="115"/>
        </w:rPr>
        <w:t> </w:t>
      </w:r>
      <w:r>
        <w:rPr>
          <w:w w:val="115"/>
        </w:rPr>
        <w:t>are</w:t>
      </w:r>
      <w:r>
        <w:rPr>
          <w:spacing w:val="-14"/>
          <w:w w:val="115"/>
        </w:rPr>
        <w:t> </w:t>
      </w:r>
      <w:r>
        <w:rPr>
          <w:w w:val="115"/>
        </w:rPr>
        <w:t>able to help them. MCA advocates ensure that these individuals' views and wishes are heard and considered during decision- making processes, particularly related to accommodation, serious medical treatment, or care reviews.</w:t>
      </w:r>
    </w:p>
    <w:p>
      <w:pPr>
        <w:pStyle w:val="BodyText"/>
        <w:spacing w:before="3"/>
        <w:rPr>
          <w:sz w:val="37"/>
        </w:rPr>
      </w:pPr>
    </w:p>
    <w:p>
      <w:pPr>
        <w:pStyle w:val="BodyText"/>
        <w:spacing w:line="266" w:lineRule="auto"/>
        <w:ind w:left="1190"/>
      </w:pPr>
      <w:r>
        <w:rPr>
          <w:w w:val="115"/>
        </w:rPr>
        <w:t>Local</w:t>
      </w:r>
      <w:r>
        <w:rPr>
          <w:spacing w:val="-8"/>
          <w:w w:val="115"/>
        </w:rPr>
        <w:t> </w:t>
      </w:r>
      <w:r>
        <w:rPr>
          <w:w w:val="115"/>
        </w:rPr>
        <w:t>councils</w:t>
      </w:r>
      <w:r>
        <w:rPr>
          <w:spacing w:val="-8"/>
          <w:w w:val="115"/>
        </w:rPr>
        <w:t> </w:t>
      </w:r>
      <w:r>
        <w:rPr>
          <w:w w:val="115"/>
        </w:rPr>
        <w:t>are</w:t>
      </w:r>
      <w:r>
        <w:rPr>
          <w:spacing w:val="-8"/>
          <w:w w:val="115"/>
        </w:rPr>
        <w:t> </w:t>
      </w:r>
      <w:r>
        <w:rPr>
          <w:w w:val="115"/>
        </w:rPr>
        <w:t>responsible</w:t>
      </w:r>
      <w:r>
        <w:rPr>
          <w:spacing w:val="-8"/>
          <w:w w:val="115"/>
        </w:rPr>
        <w:t> </w:t>
      </w:r>
      <w:r>
        <w:rPr>
          <w:w w:val="115"/>
        </w:rPr>
        <w:t>for commissioning IMCA services within their areas. You can contact your local council's adult social</w:t>
      </w:r>
      <w:r>
        <w:rPr>
          <w:spacing w:val="-16"/>
          <w:w w:val="115"/>
        </w:rPr>
        <w:t> </w:t>
      </w:r>
      <w:r>
        <w:rPr>
          <w:w w:val="115"/>
        </w:rPr>
        <w:t>care</w:t>
      </w:r>
      <w:r>
        <w:rPr>
          <w:spacing w:val="-16"/>
          <w:w w:val="115"/>
        </w:rPr>
        <w:t> </w:t>
      </w:r>
      <w:r>
        <w:rPr>
          <w:w w:val="115"/>
        </w:rPr>
        <w:t>department</w:t>
      </w:r>
      <w:r>
        <w:rPr>
          <w:spacing w:val="-16"/>
          <w:w w:val="115"/>
        </w:rPr>
        <w:t> </w:t>
      </w:r>
      <w:r>
        <w:rPr>
          <w:w w:val="115"/>
        </w:rPr>
        <w:t>to</w:t>
      </w:r>
      <w:r>
        <w:rPr>
          <w:spacing w:val="-16"/>
          <w:w w:val="115"/>
        </w:rPr>
        <w:t> </w:t>
      </w:r>
      <w:r>
        <w:rPr>
          <w:w w:val="115"/>
        </w:rPr>
        <w:t>inquire about IMCA support.</w:t>
      </w:r>
    </w:p>
    <w:p>
      <w:pPr>
        <w:pStyle w:val="Heading1"/>
        <w:spacing w:line="271" w:lineRule="auto" w:before="84"/>
        <w:ind w:left="276"/>
      </w:pPr>
      <w:r>
        <w:rPr>
          <w:b w:val="0"/>
        </w:rPr>
        <w:br w:type="column"/>
      </w:r>
      <w:r>
        <w:rPr>
          <w:w w:val="110"/>
        </w:rPr>
        <w:t>How would I challenge </w:t>
      </w:r>
      <w:r>
        <w:rPr>
          <w:w w:val="110"/>
        </w:rPr>
        <w:t>a </w:t>
      </w:r>
      <w:r>
        <w:rPr>
          <w:spacing w:val="-2"/>
          <w:w w:val="110"/>
        </w:rPr>
        <w:t>decision?</w:t>
      </w:r>
    </w:p>
    <w:p>
      <w:pPr>
        <w:pStyle w:val="BodyText"/>
        <w:spacing w:before="8"/>
        <w:rPr>
          <w:b/>
          <w:sz w:val="42"/>
        </w:rPr>
      </w:pPr>
    </w:p>
    <w:p>
      <w:pPr>
        <w:pStyle w:val="BodyText"/>
        <w:spacing w:line="266" w:lineRule="auto"/>
        <w:ind w:left="276" w:right="512"/>
      </w:pPr>
      <w:r>
        <w:rPr>
          <w:w w:val="115"/>
        </w:rPr>
        <w:t>If you would like to challenge a decision</w:t>
      </w:r>
      <w:r>
        <w:rPr>
          <w:spacing w:val="-5"/>
          <w:w w:val="115"/>
        </w:rPr>
        <w:t> </w:t>
      </w:r>
      <w:r>
        <w:rPr>
          <w:w w:val="115"/>
        </w:rPr>
        <w:t>taken</w:t>
      </w:r>
      <w:r>
        <w:rPr>
          <w:spacing w:val="-5"/>
          <w:w w:val="115"/>
        </w:rPr>
        <w:t> </w:t>
      </w:r>
      <w:r>
        <w:rPr>
          <w:w w:val="115"/>
        </w:rPr>
        <w:t>by</w:t>
      </w:r>
      <w:r>
        <w:rPr>
          <w:spacing w:val="-5"/>
          <w:w w:val="115"/>
        </w:rPr>
        <w:t> </w:t>
      </w:r>
      <w:r>
        <w:rPr>
          <w:w w:val="115"/>
        </w:rPr>
        <w:t>staff</w:t>
      </w:r>
      <w:r>
        <w:rPr>
          <w:spacing w:val="-5"/>
          <w:w w:val="115"/>
        </w:rPr>
        <w:t> </w:t>
      </w:r>
      <w:r>
        <w:rPr>
          <w:w w:val="115"/>
        </w:rPr>
        <w:t>under</w:t>
      </w:r>
      <w:r>
        <w:rPr>
          <w:spacing w:val="-5"/>
          <w:w w:val="115"/>
        </w:rPr>
        <w:t> </w:t>
      </w:r>
      <w:r>
        <w:rPr>
          <w:w w:val="115"/>
        </w:rPr>
        <w:t>the Mental Capacity Act, there are a number of steps you can take…</w:t>
      </w:r>
    </w:p>
    <w:p>
      <w:pPr>
        <w:pStyle w:val="BodyText"/>
        <w:spacing w:line="266" w:lineRule="auto" w:before="5"/>
        <w:ind w:left="820" w:right="512"/>
      </w:pPr>
      <w:r>
        <w:rPr/>
        <w:pict>
          <v:shape style="position:absolute;margin-left:336.109802pt;margin-top:8.734384pt;width:4.5pt;height:4.5pt;mso-position-horizontal-relative:page;mso-position-vertical-relative:paragraph;z-index:15733248" id="docshape11" coordorigin="6722,175" coordsize="90,90" path="m6773,265l6761,265,6755,264,6722,226,6722,214,6761,175,6773,175,6812,220,6812,226,6773,265xe" filled="true" fillcolor="#000000" stroked="false">
            <v:path arrowok="t"/>
            <v:fill type="solid"/>
            <w10:wrap type="none"/>
          </v:shape>
        </w:pict>
      </w:r>
      <w:r>
        <w:rPr>
          <w:w w:val="115"/>
        </w:rPr>
        <w:t>talk to the staff or manager of the service you are concerned about…</w:t>
      </w:r>
    </w:p>
    <w:p>
      <w:pPr>
        <w:pStyle w:val="BodyText"/>
        <w:spacing w:line="266" w:lineRule="auto" w:before="5"/>
        <w:ind w:left="820" w:right="512"/>
      </w:pPr>
      <w:r>
        <w:rPr/>
        <w:pict>
          <v:shape style="position:absolute;margin-left:336.109802pt;margin-top:8.734379pt;width:4.5pt;height:4.5pt;mso-position-horizontal-relative:page;mso-position-vertical-relative:paragraph;z-index:15733760" id="docshape12" coordorigin="6722,175" coordsize="90,90" path="m6773,265l6761,265,6755,264,6722,226,6722,214,6761,175,6773,175,6812,220,6812,226,6773,265xe" filled="true" fillcolor="#000000" stroked="false">
            <v:path arrowok="t"/>
            <v:fill type="solid"/>
            <w10:wrap type="none"/>
          </v:shape>
        </w:pict>
      </w:r>
      <w:r>
        <w:rPr>
          <w:w w:val="115"/>
        </w:rPr>
        <w:t>get</w:t>
      </w:r>
      <w:r>
        <w:rPr>
          <w:spacing w:val="-6"/>
          <w:w w:val="115"/>
        </w:rPr>
        <w:t> </w:t>
      </w:r>
      <w:r>
        <w:rPr>
          <w:w w:val="115"/>
        </w:rPr>
        <w:t>advice</w:t>
      </w:r>
      <w:r>
        <w:rPr>
          <w:spacing w:val="-6"/>
          <w:w w:val="115"/>
        </w:rPr>
        <w:t> </w:t>
      </w:r>
      <w:r>
        <w:rPr>
          <w:w w:val="115"/>
        </w:rPr>
        <w:t>from</w:t>
      </w:r>
      <w:r>
        <w:rPr>
          <w:spacing w:val="-6"/>
          <w:w w:val="115"/>
        </w:rPr>
        <w:t> </w:t>
      </w:r>
      <w:r>
        <w:rPr>
          <w:w w:val="115"/>
        </w:rPr>
        <w:t>the</w:t>
      </w:r>
      <w:r>
        <w:rPr>
          <w:spacing w:val="-6"/>
          <w:w w:val="115"/>
        </w:rPr>
        <w:t> </w:t>
      </w:r>
      <w:r>
        <w:rPr>
          <w:w w:val="115"/>
        </w:rPr>
        <w:t>Patient Advice and Liaison Service (PALS)</w:t>
      </w:r>
      <w:r>
        <w:rPr>
          <w:spacing w:val="-16"/>
          <w:w w:val="115"/>
        </w:rPr>
        <w:t> </w:t>
      </w:r>
      <w:r>
        <w:rPr>
          <w:w w:val="115"/>
        </w:rPr>
        <w:t>on</w:t>
      </w:r>
      <w:r>
        <w:rPr>
          <w:spacing w:val="-16"/>
          <w:w w:val="115"/>
        </w:rPr>
        <w:t> </w:t>
      </w:r>
      <w:r>
        <w:rPr>
          <w:w w:val="115"/>
        </w:rPr>
        <w:t>0800</w:t>
      </w:r>
      <w:r>
        <w:rPr>
          <w:spacing w:val="-16"/>
          <w:w w:val="115"/>
        </w:rPr>
        <w:t> </w:t>
      </w:r>
      <w:r>
        <w:rPr>
          <w:w w:val="115"/>
        </w:rPr>
        <w:t>783</w:t>
      </w:r>
      <w:r>
        <w:rPr>
          <w:spacing w:val="-16"/>
          <w:w w:val="115"/>
        </w:rPr>
        <w:t> </w:t>
      </w:r>
      <w:r>
        <w:rPr>
          <w:w w:val="115"/>
        </w:rPr>
        <w:t>4839</w:t>
      </w:r>
      <w:r>
        <w:rPr>
          <w:spacing w:val="-16"/>
          <w:w w:val="115"/>
        </w:rPr>
        <w:t> </w:t>
      </w:r>
      <w:r>
        <w:rPr>
          <w:w w:val="115"/>
        </w:rPr>
        <w:t>or</w:t>
      </w:r>
    </w:p>
    <w:p>
      <w:pPr>
        <w:pStyle w:val="BodyText"/>
        <w:spacing w:line="266" w:lineRule="auto" w:before="4"/>
        <w:ind w:left="820" w:right="1192"/>
      </w:pPr>
      <w:r>
        <w:rPr/>
        <w:pict>
          <v:rect style="position:absolute;margin-left:430.988892pt;margin-top:16.934385pt;width:94.156061pt;height:1.5pt;mso-position-horizontal-relative:page;mso-position-vertical-relative:paragraph;z-index:-15832064" id="docshape13" filled="true" fillcolor="#000000" stroked="false">
            <v:fill type="solid"/>
            <w10:wrap type="none"/>
          </v:rect>
        </w:pict>
      </w:r>
      <w:r>
        <w:rPr/>
        <w:pict>
          <v:shape style="position:absolute;margin-left:336.109802pt;margin-top:30.434372pt;width:4.5pt;height:4.5pt;mso-position-horizontal-relative:page;mso-position-vertical-relative:paragraph;z-index:15734784" id="docshape14" coordorigin="6722,609" coordsize="90,90" path="m6773,699l6761,699,6755,698,6722,660,6722,648,6761,609,6773,609,6812,654,6812,660,6773,699xe" filled="true" fillcolor="#000000" stroked="false">
            <v:path arrowok="t"/>
            <v:fill type="solid"/>
            <w10:wrap type="none"/>
          </v:shape>
        </w:pict>
      </w:r>
      <w:r>
        <w:rPr>
          <w:w w:val="115"/>
        </w:rPr>
        <w:t>email </w:t>
      </w:r>
      <w:hyperlink r:id="rId17">
        <w:r>
          <w:rPr>
            <w:b/>
            <w:w w:val="115"/>
            <w:u w:val="thick"/>
          </w:rPr>
          <w:t>elft.</w:t>
        </w:r>
        <w:r>
          <w:rPr>
            <w:b/>
            <w:w w:val="115"/>
          </w:rPr>
          <w:t>pals@nhs.net</w:t>
        </w:r>
      </w:hyperlink>
      <w:r>
        <w:rPr>
          <w:b/>
          <w:w w:val="115"/>
        </w:rPr>
        <w:t> </w:t>
      </w:r>
      <w:r>
        <w:rPr>
          <w:w w:val="115"/>
        </w:rPr>
        <w:t>talk to the specialist government</w:t>
      </w:r>
      <w:r>
        <w:rPr>
          <w:spacing w:val="-21"/>
          <w:w w:val="115"/>
        </w:rPr>
        <w:t> </w:t>
      </w:r>
      <w:r>
        <w:rPr>
          <w:w w:val="115"/>
        </w:rPr>
        <w:t>department called the Office of the</w:t>
      </w:r>
    </w:p>
    <w:p>
      <w:pPr>
        <w:pStyle w:val="BodyText"/>
        <w:spacing w:line="266" w:lineRule="auto" w:before="5"/>
        <w:ind w:left="820" w:right="542"/>
      </w:pPr>
      <w:r>
        <w:rPr/>
        <w:pict>
          <v:shape style="position:absolute;margin-left:377.162018pt;margin-top:60.48534pt;width:191.15pt;height:1.5pt;mso-position-horizontal-relative:page;mso-position-vertical-relative:paragraph;z-index:-15831040" id="docshape15" coordorigin="7543,1210" coordsize="3823,30" path="m11366,1210l10225,1210,9122,1210,7543,1210,7543,1240,9122,1240,10225,1240,11366,1240,11366,1210xe" filled="true" fillcolor="#000000" stroked="false">
            <v:path arrowok="t"/>
            <v:fill type="solid"/>
            <w10:wrap type="none"/>
          </v:shape>
        </w:pict>
      </w:r>
      <w:r>
        <w:rPr/>
        <w:pict>
          <v:shape style="position:absolute;margin-left:385.160004pt;margin-top:103.985344pt;width:118.3pt;height:1.5pt;mso-position-horizontal-relative:page;mso-position-vertical-relative:paragraph;z-index:-15830528" id="docshape16" coordorigin="7703,2080" coordsize="2366,30" path="m10069,2080l9980,2080,8820,2080,7703,2080,7703,2110,8820,2110,9980,2110,10069,2110,10069,2080xe" filled="true" fillcolor="#000000" stroked="false">
            <v:path arrowok="t"/>
            <v:fill type="solid"/>
            <w10:wrap type="none"/>
          </v:shape>
        </w:pict>
      </w:r>
      <w:r>
        <w:rPr>
          <w:w w:val="110"/>
        </w:rPr>
        <w:t>Public Guardian on 0300 456 0300 which has a website at </w:t>
      </w:r>
      <w:r>
        <w:rPr>
          <w:spacing w:val="-2"/>
          <w:w w:val="110"/>
          <w:u w:val="thick"/>
        </w:rPr>
        <w:t>htt</w:t>
      </w:r>
      <w:r>
        <w:rPr>
          <w:spacing w:val="-2"/>
          <w:w w:val="110"/>
        </w:rPr>
        <w:t>ps://</w:t>
      </w:r>
      <w:hyperlink r:id="rId18">
        <w:r>
          <w:rPr>
            <w:spacing w:val="-2"/>
            <w:w w:val="110"/>
          </w:rPr>
          <w:t>www.gov.uk/governm</w:t>
        </w:r>
      </w:hyperlink>
      <w:r>
        <w:rPr>
          <w:spacing w:val="-2"/>
          <w:w w:val="110"/>
        </w:rPr>
        <w:t> </w:t>
      </w:r>
      <w:r>
        <w:rPr>
          <w:spacing w:val="-2"/>
          <w:w w:val="110"/>
          <w:u w:val="thick"/>
        </w:rPr>
        <w:t>ent/or</w:t>
      </w:r>
      <w:r>
        <w:rPr>
          <w:spacing w:val="-2"/>
          <w:w w:val="110"/>
        </w:rPr>
        <w:t>g</w:t>
      </w:r>
      <w:r>
        <w:rPr>
          <w:spacing w:val="-2"/>
          <w:w w:val="110"/>
          <w:u w:val="thick"/>
        </w:rPr>
        <w:t>anisations/office-of-</w:t>
      </w:r>
      <w:r>
        <w:rPr>
          <w:spacing w:val="-2"/>
          <w:w w:val="110"/>
        </w:rPr>
        <w:t> </w:t>
      </w:r>
      <w:r>
        <w:rPr>
          <w:spacing w:val="-2"/>
          <w:w w:val="110"/>
          <w:u w:val="thick"/>
        </w:rPr>
        <w:t>the-</w:t>
      </w:r>
      <w:r>
        <w:rPr>
          <w:spacing w:val="-2"/>
          <w:w w:val="110"/>
        </w:rPr>
        <w:t>public-guardian</w:t>
      </w:r>
    </w:p>
    <w:p>
      <w:pPr>
        <w:pStyle w:val="BodyText"/>
        <w:spacing w:line="266" w:lineRule="auto" w:before="8"/>
        <w:ind w:left="820" w:right="505"/>
      </w:pPr>
      <w:r>
        <w:rPr/>
        <w:pict>
          <v:shape style="position:absolute;margin-left:336.109802pt;margin-top:8.884357pt;width:4.5pt;height:4.5pt;mso-position-horizontal-relative:page;mso-position-vertical-relative:paragraph;z-index:15736320" id="docshape17" coordorigin="6722,178" coordsize="90,90" path="m6773,268l6761,268,6755,267,6722,229,6722,217,6761,178,6773,178,6812,223,6812,229,6773,268xe" filled="true" fillcolor="#000000" stroked="false">
            <v:path arrowok="t"/>
            <v:fill type="solid"/>
            <w10:wrap type="none"/>
          </v:shape>
        </w:pict>
      </w:r>
      <w:r>
        <w:rPr/>
        <w:pict>
          <v:rect style="position:absolute;margin-left:377.162384pt;margin-top:82.384377pt;width:192.033345pt;height:1.5pt;mso-position-horizontal-relative:page;mso-position-vertical-relative:paragraph;z-index:-15829504" id="docshape18" filled="true" fillcolor="#000000" stroked="false">
            <v:fill type="solid"/>
            <w10:wrap type="none"/>
          </v:rect>
        </w:pict>
      </w:r>
      <w:r>
        <w:rPr>
          <w:w w:val="115"/>
        </w:rPr>
        <w:t>or get help from a solicitor</w:t>
      </w:r>
      <w:r>
        <w:rPr>
          <w:spacing w:val="80"/>
          <w:w w:val="115"/>
        </w:rPr>
        <w:t> </w:t>
      </w:r>
      <w:r>
        <w:rPr>
          <w:w w:val="115"/>
        </w:rPr>
        <w:t>or</w:t>
      </w:r>
      <w:r>
        <w:rPr>
          <w:spacing w:val="-7"/>
          <w:w w:val="115"/>
        </w:rPr>
        <w:t> </w:t>
      </w:r>
      <w:r>
        <w:rPr>
          <w:w w:val="115"/>
        </w:rPr>
        <w:t>the</w:t>
      </w:r>
      <w:r>
        <w:rPr>
          <w:spacing w:val="-7"/>
          <w:w w:val="115"/>
        </w:rPr>
        <w:t> </w:t>
      </w:r>
      <w:r>
        <w:rPr>
          <w:w w:val="115"/>
        </w:rPr>
        <w:t>Citizens</w:t>
      </w:r>
      <w:r>
        <w:rPr>
          <w:spacing w:val="-7"/>
          <w:w w:val="115"/>
        </w:rPr>
        <w:t> </w:t>
      </w:r>
      <w:r>
        <w:rPr>
          <w:w w:val="115"/>
        </w:rPr>
        <w:t>Advice</w:t>
      </w:r>
      <w:r>
        <w:rPr>
          <w:spacing w:val="-7"/>
          <w:w w:val="115"/>
        </w:rPr>
        <w:t> </w:t>
      </w:r>
      <w:r>
        <w:rPr>
          <w:w w:val="115"/>
        </w:rPr>
        <w:t>Bureau which has a website at </w:t>
      </w:r>
      <w:hyperlink r:id="rId19">
        <w:r>
          <w:rPr>
            <w:spacing w:val="-2"/>
            <w:w w:val="110"/>
            <w:u w:val="thick"/>
          </w:rPr>
          <w:t>htt</w:t>
        </w:r>
        <w:r>
          <w:rPr>
            <w:spacing w:val="-2"/>
            <w:w w:val="110"/>
          </w:rPr>
          <w:t>ps://www.citizensadvice.or</w:t>
        </w:r>
      </w:hyperlink>
      <w:r>
        <w:rPr>
          <w:spacing w:val="-2"/>
          <w:w w:val="110"/>
        </w:rPr>
        <w:t> </w:t>
      </w:r>
      <w:hyperlink r:id="rId19">
        <w:r>
          <w:rPr>
            <w:spacing w:val="-4"/>
            <w:w w:val="115"/>
          </w:rPr>
          <w:t>g</w:t>
        </w:r>
        <w:r>
          <w:rPr>
            <w:spacing w:val="-4"/>
            <w:w w:val="115"/>
            <w:u w:val="thick"/>
          </w:rPr>
          <w:t>.uk/</w:t>
        </w:r>
      </w:hyperlink>
    </w:p>
    <w:p>
      <w:pPr>
        <w:spacing w:after="0" w:line="266" w:lineRule="auto"/>
        <w:sectPr>
          <w:pgSz w:w="11910" w:h="16850"/>
          <w:pgMar w:top="1100" w:bottom="0" w:left="0" w:right="0"/>
          <w:cols w:num="2" w:equalWidth="0">
            <w:col w:w="6152" w:space="40"/>
            <w:col w:w="5718"/>
          </w:cols>
        </w:sectPr>
      </w:pPr>
    </w:p>
    <w:p>
      <w:pPr>
        <w:rPr>
          <w:sz w:val="2"/>
          <w:szCs w:val="2"/>
        </w:rPr>
      </w:pPr>
      <w:r>
        <w:rPr/>
        <w:drawing>
          <wp:anchor distT="0" distB="0" distL="0" distR="0" allowOverlap="1" layoutInCell="1" locked="0" behindDoc="0" simplePos="0" relativeHeight="15732736">
            <wp:simplePos x="0" y="0"/>
            <wp:positionH relativeFrom="page">
              <wp:posOffset>0</wp:posOffset>
            </wp:positionH>
            <wp:positionV relativeFrom="page">
              <wp:posOffset>8882971</wp:posOffset>
            </wp:positionV>
            <wp:extent cx="7562849" cy="1813603"/>
            <wp:effectExtent l="0" t="0" r="0" b="0"/>
            <wp:wrapNone/>
            <wp:docPr id="13" name="image13.png"/>
            <wp:cNvGraphicFramePr>
              <a:graphicFrameLocks noChangeAspect="1"/>
            </wp:cNvGraphicFramePr>
            <a:graphic>
              <a:graphicData uri="http://schemas.openxmlformats.org/drawingml/2006/picture">
                <pic:pic>
                  <pic:nvPicPr>
                    <pic:cNvPr id="14" name="image13.png"/>
                    <pic:cNvPicPr/>
                  </pic:nvPicPr>
                  <pic:blipFill>
                    <a:blip r:embed="rId20" cstate="print"/>
                    <a:stretch>
                      <a:fillRect/>
                    </a:stretch>
                  </pic:blipFill>
                  <pic:spPr>
                    <a:xfrm>
                      <a:off x="0" y="0"/>
                      <a:ext cx="7562849" cy="1813603"/>
                    </a:xfrm>
                    <a:prstGeom prst="rect">
                      <a:avLst/>
                    </a:prstGeom>
                  </pic:spPr>
                </pic:pic>
              </a:graphicData>
            </a:graphic>
          </wp:anchor>
        </w:drawing>
      </w:r>
    </w:p>
    <w:p>
      <w:pPr>
        <w:spacing w:after="0"/>
        <w:rPr>
          <w:sz w:val="2"/>
          <w:szCs w:val="2"/>
        </w:rPr>
        <w:sectPr>
          <w:type w:val="continuous"/>
          <w:pgSz w:w="11910" w:h="16850"/>
          <w:pgMar w:top="580" w:bottom="0" w:left="0" w:right="0"/>
        </w:sectPr>
      </w:pPr>
    </w:p>
    <w:p>
      <w:pPr>
        <w:spacing w:before="76"/>
        <w:ind w:left="1190" w:right="0" w:firstLine="0"/>
        <w:jc w:val="left"/>
        <w:rPr>
          <w:b/>
          <w:sz w:val="64"/>
        </w:rPr>
      </w:pPr>
      <w:r>
        <w:rPr/>
        <w:pict>
          <v:group style="position:absolute;margin-left:0pt;margin-top:456.340179pt;width:595.5pt;height:385.95pt;mso-position-horizontal-relative:page;mso-position-vertical-relative:page;z-index:15737344" id="docshapegroup19" coordorigin="0,9127" coordsize="11910,7719">
            <v:shape style="position:absolute;left:5189;top:9126;width:6720;height:7719" type="#_x0000_t75" id="docshape20" stroked="false">
              <v:imagedata r:id="rId21" o:title=""/>
            </v:shape>
            <v:shape style="position:absolute;left:0;top:10324;width:11909;height:5865" type="#_x0000_t75" id="docshape21" stroked="false">
              <v:imagedata r:id="rId22" o:title=""/>
            </v:shape>
            <w10:wrap type="none"/>
          </v:group>
        </w:pict>
      </w:r>
      <w:r>
        <w:rPr>
          <w:b/>
          <w:color w:val="0072BC"/>
          <w:w w:val="110"/>
          <w:sz w:val="64"/>
        </w:rPr>
        <w:t>Further</w:t>
      </w:r>
      <w:r>
        <w:rPr>
          <w:b/>
          <w:color w:val="0072BC"/>
          <w:spacing w:val="27"/>
          <w:w w:val="110"/>
          <w:sz w:val="64"/>
        </w:rPr>
        <w:t> </w:t>
      </w:r>
      <w:r>
        <w:rPr>
          <w:b/>
          <w:color w:val="0072BC"/>
          <w:spacing w:val="-2"/>
          <w:w w:val="110"/>
          <w:sz w:val="64"/>
        </w:rPr>
        <w:t>information</w:t>
      </w:r>
    </w:p>
    <w:p>
      <w:pPr>
        <w:spacing w:line="271" w:lineRule="auto" w:before="537"/>
        <w:ind w:left="1190" w:right="704" w:firstLine="0"/>
        <w:jc w:val="left"/>
        <w:rPr>
          <w:sz w:val="37"/>
        </w:rPr>
      </w:pPr>
      <w:r>
        <w:rPr>
          <w:w w:val="115"/>
          <w:sz w:val="37"/>
        </w:rPr>
        <w:t>Further</w:t>
      </w:r>
      <w:r>
        <w:rPr>
          <w:spacing w:val="-2"/>
          <w:w w:val="115"/>
          <w:sz w:val="37"/>
        </w:rPr>
        <w:t> </w:t>
      </w:r>
      <w:r>
        <w:rPr>
          <w:w w:val="115"/>
          <w:sz w:val="37"/>
        </w:rPr>
        <w:t>support</w:t>
      </w:r>
      <w:r>
        <w:rPr>
          <w:spacing w:val="-2"/>
          <w:w w:val="115"/>
          <w:sz w:val="37"/>
        </w:rPr>
        <w:t> </w:t>
      </w:r>
      <w:r>
        <w:rPr>
          <w:w w:val="115"/>
          <w:sz w:val="37"/>
        </w:rPr>
        <w:t>is</w:t>
      </w:r>
      <w:r>
        <w:rPr>
          <w:spacing w:val="-2"/>
          <w:w w:val="115"/>
          <w:sz w:val="37"/>
        </w:rPr>
        <w:t> </w:t>
      </w:r>
      <w:r>
        <w:rPr>
          <w:w w:val="115"/>
          <w:sz w:val="37"/>
        </w:rPr>
        <w:t>available</w:t>
      </w:r>
      <w:r>
        <w:rPr>
          <w:spacing w:val="-2"/>
          <w:w w:val="115"/>
          <w:sz w:val="37"/>
        </w:rPr>
        <w:t> </w:t>
      </w:r>
      <w:r>
        <w:rPr>
          <w:w w:val="115"/>
          <w:sz w:val="37"/>
        </w:rPr>
        <w:t>on</w:t>
      </w:r>
      <w:r>
        <w:rPr>
          <w:spacing w:val="-2"/>
          <w:w w:val="115"/>
          <w:sz w:val="37"/>
        </w:rPr>
        <w:t> </w:t>
      </w:r>
      <w:r>
        <w:rPr>
          <w:w w:val="115"/>
          <w:sz w:val="37"/>
        </w:rPr>
        <w:t>each</w:t>
      </w:r>
      <w:r>
        <w:rPr>
          <w:spacing w:val="-2"/>
          <w:w w:val="115"/>
          <w:sz w:val="37"/>
        </w:rPr>
        <w:t> </w:t>
      </w:r>
      <w:r>
        <w:rPr>
          <w:w w:val="115"/>
          <w:sz w:val="37"/>
        </w:rPr>
        <w:t>inpatient</w:t>
      </w:r>
      <w:r>
        <w:rPr>
          <w:spacing w:val="-2"/>
          <w:w w:val="115"/>
          <w:sz w:val="37"/>
        </w:rPr>
        <w:t> </w:t>
      </w:r>
      <w:r>
        <w:rPr>
          <w:w w:val="115"/>
          <w:sz w:val="37"/>
        </w:rPr>
        <w:t>ward, please speak to the nurse in charge to discuss.</w:t>
      </w:r>
    </w:p>
    <w:p>
      <w:pPr>
        <w:pStyle w:val="BodyText"/>
        <w:spacing w:before="9"/>
        <w:rPr>
          <w:sz w:val="41"/>
        </w:rPr>
      </w:pPr>
    </w:p>
    <w:p>
      <w:pPr>
        <w:spacing w:line="271" w:lineRule="auto" w:before="0"/>
        <w:ind w:left="1190" w:right="984" w:firstLine="0"/>
        <w:jc w:val="left"/>
        <w:rPr>
          <w:b/>
          <w:sz w:val="37"/>
        </w:rPr>
      </w:pPr>
      <w:r>
        <w:rPr/>
        <w:pict>
          <v:shape style="position:absolute;margin-left:179.532013pt;margin-top:70.115463pt;width:126.65pt;height:1.5pt;mso-position-horizontal-relative:page;mso-position-vertical-relative:paragraph;z-index:-15828480" id="docshape22" coordorigin="3591,1402" coordsize="2533,30" path="m6124,1402l4475,1402,3591,1402,3591,1432,4475,1432,6124,1432,6124,1402xe" filled="true" fillcolor="#000000" stroked="false">
            <v:path arrowok="t"/>
            <v:fill type="solid"/>
            <w10:wrap type="none"/>
          </v:shape>
        </w:pict>
      </w:r>
      <w:r>
        <w:rPr>
          <w:w w:val="115"/>
          <w:sz w:val="37"/>
        </w:rPr>
        <w:t>Alternatively feel free to contact the ELFT Mental Capacity Act team via email- </w:t>
      </w:r>
      <w:hyperlink r:id="rId23">
        <w:r>
          <w:rPr>
            <w:b/>
            <w:spacing w:val="-2"/>
            <w:w w:val="110"/>
            <w:sz w:val="37"/>
            <w:u w:val="thick"/>
          </w:rPr>
          <w:t>elft.mentalca</w:t>
        </w:r>
        <w:r>
          <w:rPr>
            <w:b/>
            <w:spacing w:val="-2"/>
            <w:w w:val="110"/>
            <w:sz w:val="37"/>
          </w:rPr>
          <w:t>pacity@nhs.net</w:t>
        </w:r>
      </w:hyperlink>
    </w:p>
    <w:p>
      <w:pPr>
        <w:spacing w:after="0" w:line="271" w:lineRule="auto"/>
        <w:jc w:val="left"/>
        <w:rPr>
          <w:sz w:val="37"/>
        </w:rPr>
        <w:sectPr>
          <w:pgSz w:w="11910" w:h="16850"/>
          <w:pgMar w:top="1100" w:bottom="0" w:left="0" w:right="0"/>
        </w:sectPr>
      </w:pPr>
    </w:p>
    <w:p>
      <w:pPr>
        <w:pStyle w:val="BodyText"/>
        <w:rPr>
          <w:b/>
          <w:sz w:val="20"/>
        </w:rPr>
      </w:pPr>
      <w:r>
        <w:rPr/>
        <w:pict>
          <v:rect style="position:absolute;margin-left:0pt;margin-top:-.000004pt;width:595.499953pt;height:705.993279pt;mso-position-horizontal-relative:page;mso-position-vertical-relative:page;z-index:-15827968" id="docshape23" filled="true" fillcolor="#0072bc" stroked="false">
            <v:fill type="solid"/>
            <w10:wrap type="none"/>
          </v:rect>
        </w:pict>
      </w:r>
      <w:r>
        <w:rPr/>
        <w:pict>
          <v:group style="position:absolute;margin-left:.0pt;margin-top:705.993286pt;width:595.5pt;height:136.3pt;mso-position-horizontal-relative:page;mso-position-vertical-relative:page;z-index:15738880" id="docshapegroup24" coordorigin="0,14120" coordsize="11910,2726">
            <v:rect style="position:absolute;left:0;top:14119;width:11910;height:2726" id="docshape25" filled="true" fillcolor="#ffffff" stroked="false">
              <v:fill type="solid"/>
            </v:rect>
            <v:shape style="position:absolute;left:658;top:14592;width:8820;height:1605" type="#_x0000_t75" id="docshape26" stroked="false">
              <v:imagedata r:id="rId24"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7"/>
        </w:rPr>
      </w:pPr>
    </w:p>
    <w:p>
      <w:pPr>
        <w:spacing w:before="104"/>
        <w:ind w:left="658" w:right="0" w:firstLine="0"/>
        <w:jc w:val="left"/>
        <w:rPr>
          <w:b/>
          <w:sz w:val="32"/>
        </w:rPr>
      </w:pPr>
      <w:r>
        <w:rPr>
          <w:b/>
          <w:color w:val="FFFFFF"/>
          <w:w w:val="110"/>
          <w:sz w:val="32"/>
        </w:rPr>
        <w:t>Contact</w:t>
      </w:r>
      <w:r>
        <w:rPr>
          <w:b/>
          <w:color w:val="FFFFFF"/>
          <w:spacing w:val="28"/>
          <w:w w:val="110"/>
          <w:sz w:val="32"/>
        </w:rPr>
        <w:t> </w:t>
      </w:r>
      <w:r>
        <w:rPr>
          <w:b/>
          <w:color w:val="FFFFFF"/>
          <w:spacing w:val="-5"/>
          <w:w w:val="110"/>
          <w:sz w:val="32"/>
        </w:rPr>
        <w:t>us</w:t>
      </w:r>
    </w:p>
    <w:p>
      <w:pPr>
        <w:pStyle w:val="BodyText"/>
        <w:spacing w:before="44"/>
        <w:ind w:left="658"/>
      </w:pPr>
      <w:r>
        <w:rPr>
          <w:color w:val="FFFFFF"/>
          <w:spacing w:val="-2"/>
          <w:w w:val="115"/>
        </w:rPr>
        <w:t>Trust</w:t>
      </w:r>
      <w:r>
        <w:rPr>
          <w:color w:val="FFFFFF"/>
          <w:spacing w:val="-12"/>
          <w:w w:val="115"/>
        </w:rPr>
        <w:t> </w:t>
      </w:r>
      <w:r>
        <w:rPr>
          <w:color w:val="FFFFFF"/>
          <w:spacing w:val="-5"/>
          <w:w w:val="115"/>
        </w:rPr>
        <w:t>HQ</w:t>
      </w:r>
    </w:p>
    <w:p>
      <w:pPr>
        <w:pStyle w:val="BodyText"/>
        <w:spacing w:line="266" w:lineRule="auto" w:before="45"/>
        <w:ind w:left="658" w:right="8361"/>
      </w:pPr>
      <w:r>
        <w:rPr>
          <w:color w:val="FFFFFF"/>
          <w:w w:val="115"/>
        </w:rPr>
        <w:t>9</w:t>
      </w:r>
      <w:r>
        <w:rPr>
          <w:color w:val="FFFFFF"/>
          <w:spacing w:val="-14"/>
          <w:w w:val="115"/>
        </w:rPr>
        <w:t> </w:t>
      </w:r>
      <w:r>
        <w:rPr>
          <w:color w:val="FFFFFF"/>
          <w:w w:val="115"/>
        </w:rPr>
        <w:t>Alie</w:t>
      </w:r>
      <w:r>
        <w:rPr>
          <w:color w:val="FFFFFF"/>
          <w:spacing w:val="-14"/>
          <w:w w:val="115"/>
        </w:rPr>
        <w:t> </w:t>
      </w:r>
      <w:r>
        <w:rPr>
          <w:color w:val="FFFFFF"/>
          <w:w w:val="115"/>
        </w:rPr>
        <w:t>Street </w:t>
      </w:r>
      <w:r>
        <w:rPr>
          <w:color w:val="FFFFFF"/>
          <w:spacing w:val="-2"/>
          <w:w w:val="115"/>
        </w:rPr>
        <w:t>London</w:t>
      </w:r>
    </w:p>
    <w:p>
      <w:pPr>
        <w:pStyle w:val="BodyText"/>
        <w:spacing w:before="2"/>
        <w:ind w:left="658"/>
      </w:pPr>
      <w:r>
        <w:rPr>
          <w:color w:val="FFFFFF"/>
          <w:w w:val="115"/>
        </w:rPr>
        <w:t>E1</w:t>
      </w:r>
      <w:r>
        <w:rPr>
          <w:color w:val="FFFFFF"/>
          <w:spacing w:val="-6"/>
          <w:w w:val="115"/>
        </w:rPr>
        <w:t> </w:t>
      </w:r>
      <w:r>
        <w:rPr>
          <w:color w:val="FFFFFF"/>
          <w:spacing w:val="-5"/>
          <w:w w:val="115"/>
        </w:rPr>
        <w:t>8DE</w:t>
      </w:r>
    </w:p>
    <w:p>
      <w:pPr>
        <w:pStyle w:val="BodyText"/>
        <w:spacing w:before="4"/>
        <w:rPr>
          <w:sz w:val="39"/>
        </w:rPr>
      </w:pPr>
    </w:p>
    <w:p>
      <w:pPr>
        <w:pStyle w:val="BodyText"/>
        <w:spacing w:line="266" w:lineRule="auto"/>
        <w:ind w:left="658" w:right="5367"/>
      </w:pPr>
      <w:r>
        <w:rPr>
          <w:color w:val="FFFFFF"/>
          <w:w w:val="110"/>
        </w:rPr>
        <w:t>Email: </w:t>
      </w:r>
      <w:hyperlink r:id="rId23">
        <w:r>
          <w:rPr>
            <w:color w:val="FFFFFF"/>
            <w:w w:val="110"/>
          </w:rPr>
          <w:t>elft.mentalcapacity@nhs.net</w:t>
        </w:r>
      </w:hyperlink>
      <w:r>
        <w:rPr>
          <w:color w:val="FFFFFF"/>
          <w:w w:val="110"/>
        </w:rPr>
        <w:t> </w:t>
      </w:r>
      <w:r>
        <w:rPr>
          <w:color w:val="FFFFFF"/>
          <w:w w:val="115"/>
        </w:rPr>
        <w:t>Web: elft.nhs.uk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107"/>
        <w:ind w:left="1223" w:right="0" w:firstLine="0"/>
        <w:jc w:val="left"/>
        <w:rPr>
          <w:sz w:val="16"/>
        </w:rPr>
      </w:pPr>
      <w:r>
        <w:rPr/>
        <w:pict>
          <v:shape style="position:absolute;margin-left:32.94899pt;margin-top:-8.45843pt;width:21pt;height:21pt;mso-position-horizontal-relative:page;mso-position-vertical-relative:paragraph;z-index:15739392" id="docshape27" coordorigin="659,-169" coordsize="420,420" path="m974,251l764,251,723,243,690,220,667,187,659,146,659,-64,667,-105,690,-138,723,-161,764,-169,974,-169,1015,-161,1048,-138,1071,-105,1074,-90,888,-90,860,-85,843,-71,835,-53,832,-35,832,-13,809,-13,809,41,836,41,836,171,1074,171,1071,186,1048,220,1015,243,974,251xm1074,171l886,171,886,41,925,41,930,-13,889,-13,889,-43,895,-46,929,-46,929,-90,1074,-90,1079,-64,1079,146,1074,171xe" filled="true" fillcolor="#ffffff" stroked="false">
            <v:path arrowok="t"/>
            <v:fill type="solid"/>
            <w10:wrap type="none"/>
          </v:shape>
        </w:pict>
      </w:r>
      <w:r>
        <w:rPr>
          <w:color w:val="FFFFFF"/>
          <w:spacing w:val="-2"/>
          <w:w w:val="120"/>
          <w:sz w:val="16"/>
        </w:rPr>
        <w:t>EastLondonNHSFoundationTrust</w:t>
      </w:r>
    </w:p>
    <w:p>
      <w:pPr>
        <w:pStyle w:val="BodyText"/>
        <w:spacing w:before="9"/>
        <w:rPr>
          <w:sz w:val="19"/>
        </w:rPr>
      </w:pPr>
    </w:p>
    <w:p>
      <w:pPr>
        <w:spacing w:before="107"/>
        <w:ind w:left="1231" w:right="0" w:firstLine="0"/>
        <w:jc w:val="left"/>
        <w:rPr>
          <w:sz w:val="16"/>
        </w:rPr>
      </w:pPr>
      <w:r>
        <w:rPr/>
        <w:pict>
          <v:group style="position:absolute;margin-left:31.615131pt;margin-top:-7.022718pt;width:24pt;height:24pt;mso-position-horizontal-relative:page;mso-position-vertical-relative:paragraph;z-index:15740928" id="docshapegroup28" coordorigin="632,-140" coordsize="480,480">
            <v:shape style="position:absolute;left:632;top:-141;width:480;height:480" id="docshape29" coordorigin="632,-140" coordsize="480,480" path="m1004,340l740,340,719,337,698,331,680,321,664,308,651,292,641,273,634,253,632,231,632,-32,634,-54,641,-74,651,-93,664,-109,680,-122,698,-132,719,-138,740,-140,1004,-140,1026,-138,1046,-132,1064,-122,1081,-109,1090,-98,740,-98,727,-96,715,-93,704,-87,694,-79,686,-69,680,-58,676,-46,675,-32,675,231,676,244,680,257,686,268,694,277,704,286,715,292,727,295,740,297,1090,297,1081,308,1064,321,1046,331,1026,337,1004,340xm1090,297l1004,297,1017,295,1029,292,1041,286,1050,277,1058,268,1064,257,1068,244,1070,231,1070,-32,1068,-46,1064,-58,1058,-69,1050,-79,1041,-87,1029,-93,1017,-96,1004,-98,1090,-98,1094,-93,1104,-74,1110,-54,1112,-32,1112,231,1110,253,1104,273,1094,292,1090,297xe" filled="true" fillcolor="#ffffff" stroked="false">
              <v:path arrowok="t"/>
              <v:fill type="solid"/>
            </v:shape>
            <v:shape style="position:absolute;left:755;top:-57;width:273;height:273" type="#_x0000_t75" id="docshape30" stroked="false">
              <v:imagedata r:id="rId25" o:title=""/>
            </v:shape>
            <w10:wrap type="none"/>
          </v:group>
        </w:pict>
      </w:r>
      <w:r>
        <w:rPr>
          <w:color w:val="FFFFFF"/>
          <w:spacing w:val="-2"/>
          <w:w w:val="110"/>
          <w:sz w:val="16"/>
        </w:rPr>
        <w:t>@NHS_ELFT</w:t>
      </w:r>
    </w:p>
    <w:p>
      <w:pPr>
        <w:pStyle w:val="BodyText"/>
        <w:spacing w:before="9"/>
        <w:rPr>
          <w:sz w:val="19"/>
        </w:rPr>
      </w:pPr>
    </w:p>
    <w:p>
      <w:pPr>
        <w:spacing w:before="107"/>
        <w:ind w:left="1191" w:right="0" w:firstLine="0"/>
        <w:jc w:val="left"/>
        <w:rPr>
          <w:sz w:val="16"/>
        </w:rPr>
      </w:pPr>
      <w:r>
        <w:rPr/>
        <w:pict>
          <v:shape style="position:absolute;margin-left:32.969997pt;margin-top:-2.919184pt;width:21pt;height:21pt;mso-position-horizontal-relative:page;mso-position-vertical-relative:paragraph;z-index:15739904" id="docshape31" coordorigin="659,-58" coordsize="420,420" path="m1044,362l694,362,681,359,670,351,662,340,659,327,659,-24,662,-37,670,-48,681,-56,694,-58,1044,-58,1057,-56,1069,-48,1076,-37,1079,-24,1079,9,752,9,739,12,728,19,720,30,717,44,720,58,728,69,739,77,752,79,1079,79,1079,98,946,98,937,98,925,100,916,102,722,102,722,288,1079,288,1079,327,1076,340,1068,351,1057,359,1044,362xm1079,79l752,79,766,77,777,69,785,58,788,44,785,30,777,19,766,12,752,9,1079,9,1079,79xm1079,288l1017,288,1017,172,1017,165,1014,148,1006,128,992,112,977,103,965,99,955,98,946,98,1079,98,1079,288xm823,288l784,288,784,102,823,102,823,288xm883,128l883,102,916,102,911,103,900,109,886,119,883,128xm955,288l886,288,886,178,887,173,892,163,903,153,922,148,941,153,950,163,953,173,953,178,955,288xe" filled="true" fillcolor="#ffffff" stroked="false">
            <v:path arrowok="t"/>
            <v:fill type="solid"/>
            <w10:wrap type="none"/>
          </v:shape>
        </w:pict>
      </w:r>
      <w:r>
        <w:rPr>
          <w:color w:val="FFFFFF"/>
          <w:w w:val="115"/>
          <w:sz w:val="16"/>
        </w:rPr>
        <w:t>east-london-nhs-foundation-</w:t>
      </w:r>
      <w:r>
        <w:rPr>
          <w:color w:val="FFFFFF"/>
          <w:spacing w:val="-2"/>
          <w:w w:val="115"/>
          <w:sz w:val="16"/>
        </w:rPr>
        <w:t>trust</w:t>
      </w:r>
    </w:p>
    <w:p>
      <w:pPr>
        <w:pStyle w:val="BodyText"/>
        <w:spacing w:before="10"/>
        <w:rPr>
          <w:sz w:val="21"/>
        </w:rPr>
      </w:pPr>
    </w:p>
    <w:p>
      <w:pPr>
        <w:spacing w:before="107"/>
        <w:ind w:left="1190" w:right="0" w:firstLine="0"/>
        <w:jc w:val="left"/>
        <w:rPr>
          <w:sz w:val="16"/>
        </w:rPr>
      </w:pPr>
      <w:r>
        <w:rPr/>
        <w:pict>
          <v:group style="position:absolute;margin-left:32.94899pt;margin-top:.289069pt;width:21pt;height:14.75pt;mso-position-horizontal-relative:page;mso-position-vertical-relative:paragraph;z-index:15740416" id="docshapegroup32" coordorigin="659,6" coordsize="420,295">
            <v:shape style="position:absolute;left:658;top:5;width:420;height:295" id="docshape33" coordorigin="659,6" coordsize="420,295" path="m869,300l799,299,705,291,663,224,659,164,659,153,659,142,663,82,688,22,799,7,869,6,890,6,993,10,1063,35,1078,115,1079,153,1079,164,1075,225,1050,284,939,299,869,300xe" filled="true" fillcolor="#ffffff" stroked="false">
              <v:path arrowok="t"/>
              <v:fill type="solid"/>
            </v:shape>
            <v:shape style="position:absolute;left:826;top:89;width:109;height:127" id="docshape34" coordorigin="827,90" coordsize="109,127" path="m827,216l827,90,936,153,827,216xe" filled="true" fillcolor="#005db8" stroked="false">
              <v:path arrowok="t"/>
              <v:fill type="solid"/>
            </v:shape>
            <w10:wrap type="none"/>
          </v:group>
        </w:pict>
      </w:r>
      <w:r>
        <w:rPr>
          <w:color w:val="FFFFFF"/>
          <w:spacing w:val="-2"/>
          <w:w w:val="115"/>
          <w:sz w:val="16"/>
        </w:rPr>
        <w:t>NHSELFT</w:t>
      </w:r>
    </w:p>
    <w:sectPr>
      <w:pgSz w:w="11910" w:h="16850"/>
      <w:pgMar w:top="19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734" w:hanging="388"/>
        <w:jc w:val="right"/>
      </w:pPr>
      <w:rPr>
        <w:rFonts w:hint="default" w:ascii="Calibri" w:hAnsi="Calibri" w:eastAsia="Calibri" w:cs="Calibri"/>
        <w:b w:val="0"/>
        <w:bCs w:val="0"/>
        <w:i w:val="0"/>
        <w:iCs w:val="0"/>
        <w:w w:val="109"/>
        <w:sz w:val="32"/>
        <w:szCs w:val="32"/>
        <w:lang w:val="en-US" w:eastAsia="en-US" w:bidi="ar-SA"/>
      </w:rPr>
    </w:lvl>
    <w:lvl w:ilvl="1">
      <w:start w:val="0"/>
      <w:numFmt w:val="bullet"/>
      <w:lvlText w:val="•"/>
      <w:lvlJc w:val="left"/>
      <w:pPr>
        <w:ind w:left="2182" w:hanging="388"/>
      </w:pPr>
      <w:rPr>
        <w:rFonts w:hint="default"/>
        <w:lang w:val="en-US" w:eastAsia="en-US" w:bidi="ar-SA"/>
      </w:rPr>
    </w:lvl>
    <w:lvl w:ilvl="2">
      <w:start w:val="0"/>
      <w:numFmt w:val="bullet"/>
      <w:lvlText w:val="•"/>
      <w:lvlJc w:val="left"/>
      <w:pPr>
        <w:ind w:left="2625" w:hanging="388"/>
      </w:pPr>
      <w:rPr>
        <w:rFonts w:hint="default"/>
        <w:lang w:val="en-US" w:eastAsia="en-US" w:bidi="ar-SA"/>
      </w:rPr>
    </w:lvl>
    <w:lvl w:ilvl="3">
      <w:start w:val="0"/>
      <w:numFmt w:val="bullet"/>
      <w:lvlText w:val="•"/>
      <w:lvlJc w:val="left"/>
      <w:pPr>
        <w:ind w:left="3068" w:hanging="388"/>
      </w:pPr>
      <w:rPr>
        <w:rFonts w:hint="default"/>
        <w:lang w:val="en-US" w:eastAsia="en-US" w:bidi="ar-SA"/>
      </w:rPr>
    </w:lvl>
    <w:lvl w:ilvl="4">
      <w:start w:val="0"/>
      <w:numFmt w:val="bullet"/>
      <w:lvlText w:val="•"/>
      <w:lvlJc w:val="left"/>
      <w:pPr>
        <w:ind w:left="3511" w:hanging="388"/>
      </w:pPr>
      <w:rPr>
        <w:rFonts w:hint="default"/>
        <w:lang w:val="en-US" w:eastAsia="en-US" w:bidi="ar-SA"/>
      </w:rPr>
    </w:lvl>
    <w:lvl w:ilvl="5">
      <w:start w:val="0"/>
      <w:numFmt w:val="bullet"/>
      <w:lvlText w:val="•"/>
      <w:lvlJc w:val="left"/>
      <w:pPr>
        <w:ind w:left="3954" w:hanging="388"/>
      </w:pPr>
      <w:rPr>
        <w:rFonts w:hint="default"/>
        <w:lang w:val="en-US" w:eastAsia="en-US" w:bidi="ar-SA"/>
      </w:rPr>
    </w:lvl>
    <w:lvl w:ilvl="6">
      <w:start w:val="0"/>
      <w:numFmt w:val="bullet"/>
      <w:lvlText w:val="•"/>
      <w:lvlJc w:val="left"/>
      <w:pPr>
        <w:ind w:left="4397" w:hanging="388"/>
      </w:pPr>
      <w:rPr>
        <w:rFonts w:hint="default"/>
        <w:lang w:val="en-US" w:eastAsia="en-US" w:bidi="ar-SA"/>
      </w:rPr>
    </w:lvl>
    <w:lvl w:ilvl="7">
      <w:start w:val="0"/>
      <w:numFmt w:val="bullet"/>
      <w:lvlText w:val="•"/>
      <w:lvlJc w:val="left"/>
      <w:pPr>
        <w:ind w:left="4840" w:hanging="388"/>
      </w:pPr>
      <w:rPr>
        <w:rFonts w:hint="default"/>
        <w:lang w:val="en-US" w:eastAsia="en-US" w:bidi="ar-SA"/>
      </w:rPr>
    </w:lvl>
    <w:lvl w:ilvl="8">
      <w:start w:val="0"/>
      <w:numFmt w:val="bullet"/>
      <w:lvlText w:val="•"/>
      <w:lvlJc w:val="left"/>
      <w:pPr>
        <w:ind w:left="5283" w:hanging="388"/>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32"/>
      <w:szCs w:val="32"/>
      <w:lang w:val="en-US" w:eastAsia="en-US" w:bidi="ar-SA"/>
    </w:rPr>
  </w:style>
  <w:style w:styleId="Heading1" w:type="paragraph">
    <w:name w:val="Heading 1"/>
    <w:basedOn w:val="Normal"/>
    <w:uiPriority w:val="1"/>
    <w:qFormat/>
    <w:pPr>
      <w:ind w:left="1190"/>
      <w:outlineLvl w:val="1"/>
    </w:pPr>
    <w:rPr>
      <w:rFonts w:ascii="Calibri" w:hAnsi="Calibri" w:eastAsia="Calibri" w:cs="Calibri"/>
      <w:b/>
      <w:bCs/>
      <w:sz w:val="39"/>
      <w:szCs w:val="39"/>
      <w:lang w:val="en-US" w:eastAsia="en-US" w:bidi="ar-SA"/>
    </w:rPr>
  </w:style>
  <w:style w:styleId="Title" w:type="paragraph">
    <w:name w:val="Title"/>
    <w:basedOn w:val="Normal"/>
    <w:uiPriority w:val="1"/>
    <w:qFormat/>
    <w:pPr>
      <w:spacing w:before="225"/>
      <w:ind w:left="1190" w:right="704"/>
    </w:pPr>
    <w:rPr>
      <w:rFonts w:ascii="Tahoma" w:hAnsi="Tahoma" w:eastAsia="Tahoma" w:cs="Tahoma"/>
      <w:b/>
      <w:bCs/>
      <w:sz w:val="85"/>
      <w:szCs w:val="85"/>
      <w:lang w:val="en-US" w:eastAsia="en-US" w:bidi="ar-SA"/>
    </w:rPr>
  </w:style>
  <w:style w:styleId="ListParagraph" w:type="paragraph">
    <w:name w:val="List Paragraph"/>
    <w:basedOn w:val="Normal"/>
    <w:uiPriority w:val="1"/>
    <w:qFormat/>
    <w:pPr>
      <w:spacing w:before="3"/>
      <w:ind w:left="1734" w:right="4" w:hanging="299"/>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mailto:elft.pals@nhs.net" TargetMode="External"/><Relationship Id="rId18" Type="http://schemas.openxmlformats.org/officeDocument/2006/relationships/hyperlink" Target="http://www.gov.uk/governm" TargetMode="External"/><Relationship Id="rId19" Type="http://schemas.openxmlformats.org/officeDocument/2006/relationships/hyperlink" Target="https://www.citizensadvice.org.uk/" TargetMode="Externa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mailto:elft.mentalcapacity@nhs.net" TargetMode="External"/><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East London NHS Foundation Trust</dc:creator>
  <cp:keywords>DAGnWY7pzgY,BADI9bLpXdo,0</cp:keywords>
  <dc:title>The Mental Capacity Act for Patients, Families and Carers</dc:title>
  <dcterms:created xsi:type="dcterms:W3CDTF">2026-04-08T23:02:00Z</dcterms:created>
  <dcterms:modified xsi:type="dcterms:W3CDTF">2026-04-08T23:02:00Z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2025-05-27T00:00:00Z</vt:filetime>
  </property>
  <property fmtid="{D5CDD505-2E9C-101B-9397-08002B2CF9AE}" pid="3" name="Creator">
    <vt:lpwstr>Canva</vt:lpwstr>
  </property>
  <property fmtid="{D5CDD505-2E9C-101B-9397-08002B2CF9AE}" pid="4" name="LastSaved">
    <vt:filetime>2026-04-08T00:00:00Z</vt:filetime>
  </property>
  <property fmtid="{D5CDD505-2E9C-101B-9397-08002B2CF9AE}" pid="5" name="Producer">
    <vt:lpwstr>Canva</vt:lpwstr>
  </property>
</Properties>
</file>