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52C3F" w14:textId="2A984C58" w:rsidR="002932AE" w:rsidRPr="00373A85" w:rsidRDefault="002932AE" w:rsidP="004E39BE">
      <w:pPr>
        <w:jc w:val="center"/>
        <w:rPr>
          <w:rFonts w:ascii="Arial" w:hAnsi="Arial" w:cs="Arial"/>
          <w:b/>
          <w:bCs/>
          <w:sz w:val="24"/>
          <w:szCs w:val="24"/>
        </w:rPr>
      </w:pPr>
      <w:r w:rsidRPr="00373A85">
        <w:rPr>
          <w:rFonts w:ascii="Arial" w:hAnsi="Arial" w:cs="Arial"/>
          <w:b/>
          <w:bCs/>
          <w:sz w:val="24"/>
          <w:szCs w:val="24"/>
        </w:rPr>
        <w:t>Policy in a Nutshell (</w:t>
      </w:r>
      <w:r w:rsidR="007F5672">
        <w:rPr>
          <w:rFonts w:ascii="Arial" w:hAnsi="Arial" w:cs="Arial"/>
          <w:b/>
          <w:bCs/>
          <w:sz w:val="24"/>
          <w:szCs w:val="24"/>
        </w:rPr>
        <w:t>March</w:t>
      </w:r>
      <w:r w:rsidRPr="00373A85">
        <w:rPr>
          <w:rFonts w:ascii="Arial" w:hAnsi="Arial" w:cs="Arial"/>
          <w:b/>
          <w:bCs/>
          <w:sz w:val="24"/>
          <w:szCs w:val="24"/>
        </w:rPr>
        <w:t xml:space="preserve"> 202</w:t>
      </w:r>
      <w:r w:rsidR="00B81426">
        <w:rPr>
          <w:rFonts w:ascii="Arial" w:hAnsi="Arial" w:cs="Arial"/>
          <w:b/>
          <w:bCs/>
          <w:sz w:val="24"/>
          <w:szCs w:val="24"/>
        </w:rPr>
        <w:t>6</w:t>
      </w:r>
      <w:r w:rsidRPr="00373A85">
        <w:rPr>
          <w:rFonts w:ascii="Arial" w:hAnsi="Arial" w:cs="Arial"/>
          <w:b/>
          <w:bCs/>
          <w:sz w:val="24"/>
          <w:szCs w:val="24"/>
        </w:rPr>
        <w:t>)</w:t>
      </w:r>
    </w:p>
    <w:p w14:paraId="103C5358" w14:textId="77777777" w:rsidR="004E39BE" w:rsidRDefault="004E39BE" w:rsidP="004E39BE">
      <w:pPr>
        <w:jc w:val="center"/>
        <w:rPr>
          <w:rFonts w:ascii="Arial" w:hAnsi="Arial" w:cs="Arial"/>
          <w:b/>
          <w:bCs/>
        </w:rPr>
      </w:pPr>
    </w:p>
    <w:p w14:paraId="6E05D309" w14:textId="77777777" w:rsidR="004E39BE" w:rsidRDefault="004E39BE" w:rsidP="004E39BE">
      <w:pPr>
        <w:rPr>
          <w:rFonts w:ascii="Arial" w:hAnsi="Arial" w:cs="Arial"/>
        </w:rPr>
      </w:pPr>
      <w:r w:rsidRPr="004E39BE">
        <w:rPr>
          <w:rFonts w:ascii="Arial" w:hAnsi="Arial" w:cs="Arial"/>
        </w:rPr>
        <w:t xml:space="preserve">All Trust wide policies are available on the ELFT intranet, </w:t>
      </w:r>
    </w:p>
    <w:p w14:paraId="17061249" w14:textId="15492BB2" w:rsidR="004E39BE" w:rsidRPr="004E39BE" w:rsidRDefault="004E39BE" w:rsidP="004E39BE">
      <w:pPr>
        <w:rPr>
          <w:rFonts w:ascii="Arial" w:hAnsi="Arial" w:cs="Arial"/>
        </w:rPr>
      </w:pPr>
      <w:hyperlink r:id="rId5" w:history="1">
        <w:r w:rsidRPr="004E39BE">
          <w:rPr>
            <w:rStyle w:val="Hyperlink"/>
            <w:rFonts w:ascii="Arial" w:hAnsi="Arial" w:cs="Arial"/>
          </w:rPr>
          <w:t>https://www.elft.nhs.uk/intranet/teams-support-me/governance-and-risk-management/policy-management/trust-policies</w:t>
        </w:r>
      </w:hyperlink>
    </w:p>
    <w:p w14:paraId="29CB249F" w14:textId="3B2334A2" w:rsidR="004E39BE" w:rsidRDefault="004E39BE" w:rsidP="004E39BE">
      <w:pPr>
        <w:rPr>
          <w:rFonts w:ascii="Arial" w:hAnsi="Arial" w:cs="Arial"/>
        </w:rPr>
      </w:pPr>
      <w:r w:rsidRPr="004E39BE">
        <w:rPr>
          <w:rFonts w:ascii="Arial" w:hAnsi="Arial" w:cs="Arial"/>
        </w:rPr>
        <w:t xml:space="preserve">As a polite reminder please do not search for policies on the internet as not all policies are published externally, and you may not find what you are looking for! </w:t>
      </w:r>
    </w:p>
    <w:p w14:paraId="31749719" w14:textId="77777777" w:rsidR="00373A85" w:rsidRPr="00373A85" w:rsidRDefault="00373A85" w:rsidP="004E39BE">
      <w:pPr>
        <w:rPr>
          <w:rFonts w:ascii="Arial" w:hAnsi="Arial" w:cs="Arial"/>
        </w:rPr>
      </w:pPr>
    </w:p>
    <w:p w14:paraId="735AA99E" w14:textId="1F655AA8" w:rsidR="00373A85" w:rsidRDefault="002932AE" w:rsidP="002932AE">
      <w:pPr>
        <w:rPr>
          <w:rFonts w:ascii="Arial" w:hAnsi="Arial" w:cs="Arial"/>
          <w:b/>
          <w:bCs/>
        </w:rPr>
      </w:pPr>
      <w:r w:rsidRPr="004E39BE">
        <w:rPr>
          <w:rFonts w:ascii="Arial" w:hAnsi="Arial" w:cs="Arial"/>
          <w:b/>
          <w:bCs/>
        </w:rPr>
        <w:t>The following policies were ratified or extended recently by the Quality Committee.</w:t>
      </w:r>
    </w:p>
    <w:p w14:paraId="67CE2B7A" w14:textId="77777777" w:rsidR="007F5672" w:rsidRPr="007F5672" w:rsidRDefault="007F5672" w:rsidP="007F5672">
      <w:pPr>
        <w:rPr>
          <w:rFonts w:ascii="Arial" w:hAnsi="Arial" w:cs="Arial"/>
        </w:rPr>
      </w:pPr>
    </w:p>
    <w:p w14:paraId="659633CF" w14:textId="47734A58" w:rsidR="007F5672" w:rsidRPr="007F5672" w:rsidRDefault="007F5672" w:rsidP="007F5672">
      <w:pPr>
        <w:rPr>
          <w:rFonts w:ascii="Arial" w:hAnsi="Arial" w:cs="Arial"/>
        </w:rPr>
      </w:pPr>
      <w:r>
        <w:rPr>
          <w:rFonts w:ascii="Arial" w:hAnsi="Arial" w:cs="Arial"/>
        </w:rPr>
        <w:t xml:space="preserve">The </w:t>
      </w:r>
      <w:r w:rsidRPr="007F5672">
        <w:rPr>
          <w:rFonts w:ascii="Arial" w:hAnsi="Arial" w:cs="Arial"/>
          <w:b/>
          <w:bCs/>
        </w:rPr>
        <w:t>Guideline for Managing Intoxication on In-Patient Wards</w:t>
      </w:r>
      <w:r>
        <w:rPr>
          <w:rFonts w:ascii="Arial" w:hAnsi="Arial" w:cs="Arial"/>
        </w:rPr>
        <w:t xml:space="preserve"> </w:t>
      </w:r>
      <w:r w:rsidRPr="007F5672">
        <w:rPr>
          <w:rFonts w:ascii="Arial" w:hAnsi="Arial" w:cs="Arial"/>
        </w:rPr>
        <w:t>has been developed to support inpatient clinical staff in the recognition, assessment, and immediate management of individuals presenting with acute intoxication from alcohol and illicit substances. This includes New Psychoactive Substances (NPS), previously referred to as “legal highs,” as well as cannabinoids, including cannabidiol (CBD).</w:t>
      </w:r>
    </w:p>
    <w:p w14:paraId="30DB5D3D" w14:textId="2CF7DAD7" w:rsidR="007F5672" w:rsidRPr="007F5672" w:rsidRDefault="007F5672" w:rsidP="007F5672">
      <w:pPr>
        <w:rPr>
          <w:rFonts w:ascii="Arial" w:hAnsi="Arial" w:cs="Arial"/>
        </w:rPr>
      </w:pPr>
      <w:r w:rsidRPr="007F5672">
        <w:rPr>
          <w:rFonts w:ascii="Arial" w:hAnsi="Arial" w:cs="Arial"/>
        </w:rPr>
        <w:t>The purpose of this policy is to provide clinicians and ward-based staff with practical, evidence-informed guidance to ensure the safe assessment, monitoring, stabilisation, and timely escalation of care for patients with suspected or confirmed substance intoxication within inpatient mental health settings. The guideline is intended to enhance patient safety and promote a consistent clinical response. It does not replace established withdrawal management pathways.</w:t>
      </w:r>
    </w:p>
    <w:p w14:paraId="16BA451B" w14:textId="77777777" w:rsidR="007F5672" w:rsidRDefault="007F5672" w:rsidP="007F5672">
      <w:pPr>
        <w:rPr>
          <w:rFonts w:ascii="Arial" w:hAnsi="Arial" w:cs="Arial"/>
        </w:rPr>
      </w:pPr>
      <w:r w:rsidRPr="007F5672">
        <w:rPr>
          <w:rFonts w:ascii="Arial" w:hAnsi="Arial" w:cs="Arial"/>
        </w:rPr>
        <w:t>The guideline has been updated to reflect current best practice. Key changes include the incorporation of updated national guidance (NEWS2), the inclusion and clarification of the ABCDE assessment approach for clinical evaluation, and the addition of naloxone within the recommended medication guidance.</w:t>
      </w:r>
    </w:p>
    <w:p w14:paraId="6DD975F4" w14:textId="766C598B" w:rsidR="004E39BE" w:rsidRDefault="004E7974" w:rsidP="002932AE">
      <w:pPr>
        <w:rPr>
          <w:rFonts w:ascii="Arial" w:hAnsi="Arial" w:cs="Arial"/>
        </w:rPr>
      </w:pPr>
      <w:hyperlink r:id="rId6" w:history="1">
        <w:r w:rsidRPr="00E3452E">
          <w:rPr>
            <w:rStyle w:val="Hyperlink"/>
            <w:rFonts w:ascii="Arial" w:hAnsi="Arial" w:cs="Arial"/>
          </w:rPr>
          <w:t>https://www.elft.nhs.uk/sites/default/files/202603/Guidelines%20for%20Managing%20Intoxication%20on%20Inpatient%20Wards%203.0.docx</w:t>
        </w:r>
      </w:hyperlink>
      <w:r>
        <w:rPr>
          <w:rFonts w:ascii="Arial" w:hAnsi="Arial" w:cs="Arial"/>
        </w:rPr>
        <w:t xml:space="preserve"> </w:t>
      </w:r>
    </w:p>
    <w:p w14:paraId="2DECCC29" w14:textId="77777777" w:rsidR="00844FBF" w:rsidRPr="004E39BE" w:rsidRDefault="00844FBF" w:rsidP="002932AE">
      <w:pPr>
        <w:rPr>
          <w:rFonts w:ascii="Arial" w:hAnsi="Arial" w:cs="Arial"/>
        </w:rPr>
      </w:pPr>
    </w:p>
    <w:p w14:paraId="55B4637D" w14:textId="77777777" w:rsidR="007F5672" w:rsidRPr="007F5672" w:rsidRDefault="007F5672" w:rsidP="007F5672">
      <w:pPr>
        <w:shd w:val="clear" w:color="auto" w:fill="FFFFFF"/>
        <w:jc w:val="both"/>
        <w:rPr>
          <w:rFonts w:ascii="Arial" w:hAnsi="Arial" w:cs="Arial"/>
        </w:rPr>
      </w:pPr>
    </w:p>
    <w:p w14:paraId="7C29909D" w14:textId="63243A12" w:rsidR="007F5672" w:rsidRPr="007F5672" w:rsidRDefault="007F5672" w:rsidP="007F5672">
      <w:pPr>
        <w:shd w:val="clear" w:color="auto" w:fill="FFFFFF"/>
        <w:jc w:val="both"/>
        <w:rPr>
          <w:rFonts w:ascii="Arial" w:hAnsi="Arial" w:cs="Arial"/>
        </w:rPr>
      </w:pPr>
      <w:r w:rsidRPr="007F5672">
        <w:rPr>
          <w:rFonts w:ascii="Arial" w:hAnsi="Arial" w:cs="Arial"/>
        </w:rPr>
        <w:t>Th</w:t>
      </w:r>
      <w:r>
        <w:rPr>
          <w:rFonts w:ascii="Arial" w:hAnsi="Arial" w:cs="Arial"/>
        </w:rPr>
        <w:t xml:space="preserve">e </w:t>
      </w:r>
      <w:r w:rsidRPr="007F5672">
        <w:rPr>
          <w:rFonts w:ascii="Arial" w:hAnsi="Arial" w:cs="Arial"/>
          <w:b/>
          <w:bCs/>
        </w:rPr>
        <w:t>Sections 135 and 136 Place of Safety Policy</w:t>
      </w:r>
      <w:r>
        <w:rPr>
          <w:rFonts w:ascii="Arial" w:hAnsi="Arial" w:cs="Arial"/>
        </w:rPr>
        <w:t xml:space="preserve"> </w:t>
      </w:r>
      <w:r w:rsidRPr="007F5672">
        <w:rPr>
          <w:rFonts w:ascii="Arial" w:hAnsi="Arial" w:cs="Arial"/>
        </w:rPr>
        <w:t>is an overarching policy that sets out the legal requirements, statutory guidance and policy of the Trust in respect of required standards for local procedures in managing people who are brought to a place of safety by the police, under sections 135 and 136 of the Mental Health Act 1983.</w:t>
      </w:r>
    </w:p>
    <w:p w14:paraId="619DDBF5" w14:textId="77777777" w:rsidR="007F5672" w:rsidRPr="007F5672" w:rsidRDefault="007F5672" w:rsidP="007F5672">
      <w:pPr>
        <w:shd w:val="clear" w:color="auto" w:fill="FFFFFF"/>
        <w:jc w:val="both"/>
        <w:rPr>
          <w:rFonts w:ascii="Arial" w:hAnsi="Arial" w:cs="Arial"/>
        </w:rPr>
      </w:pPr>
      <w:r w:rsidRPr="007F5672">
        <w:rPr>
          <w:rFonts w:ascii="Arial" w:hAnsi="Arial" w:cs="Arial"/>
        </w:rPr>
        <w:t xml:space="preserve">The policy, guided by the Mental Health Act Code of Practice (section 16.31), requires jointly agreed local policies governing the use of Sections 135(1) and 136 and the operation of places of safety. In London, the Mental Health Partnership Board established shared standards between NHS Trusts, Police, and Ambulance services to support consistent procedures. The policy clarifies the legal status of individuals brought to a place of safety, defines the roles, responsibilities, and powers of Trust staff caring for them, and sets systems for monitoring the use of compulsory powers. It also requires local policies to identify suitable places of safety and guide police in selecting the most appropriate location, considering the individual’s wellbeing and the impact of the journey. Importantly, individuals should not be refused entry </w:t>
      </w:r>
      <w:r w:rsidRPr="007F5672">
        <w:rPr>
          <w:rFonts w:ascii="Arial" w:hAnsi="Arial" w:cs="Arial"/>
        </w:rPr>
        <w:lastRenderedPageBreak/>
        <w:t>because they live outside the Trust’s area, and decisions about the most suitable place of safety should consider factors such as current mental health services, GP registration, residence, and the location where the person was found, in line with Chapter 16 of the Code of Practice.</w:t>
      </w:r>
    </w:p>
    <w:p w14:paraId="1C2B7123" w14:textId="77777777" w:rsidR="007F5672" w:rsidRDefault="007F5672" w:rsidP="007F5672">
      <w:pPr>
        <w:shd w:val="clear" w:color="auto" w:fill="FFFFFF"/>
        <w:jc w:val="both"/>
        <w:rPr>
          <w:rFonts w:ascii="Arial" w:hAnsi="Arial" w:cs="Arial"/>
        </w:rPr>
      </w:pPr>
      <w:r w:rsidRPr="007F5672">
        <w:rPr>
          <w:rFonts w:ascii="Arial" w:hAnsi="Arial" w:cs="Arial"/>
        </w:rPr>
        <w:t>The policy was reviewed as part of the scheduled review process, and no changes were required at this time.</w:t>
      </w:r>
    </w:p>
    <w:p w14:paraId="5D2BF8B4" w14:textId="08CC924C" w:rsidR="004E7974" w:rsidRDefault="004E7974" w:rsidP="007F5672">
      <w:pPr>
        <w:shd w:val="clear" w:color="auto" w:fill="FFFFFF"/>
        <w:jc w:val="both"/>
        <w:rPr>
          <w:rFonts w:ascii="Arial" w:hAnsi="Arial" w:cs="Arial"/>
        </w:rPr>
      </w:pPr>
      <w:hyperlink r:id="rId7" w:history="1">
        <w:r w:rsidRPr="00E3452E">
          <w:rPr>
            <w:rStyle w:val="Hyperlink"/>
            <w:rFonts w:ascii="Arial" w:hAnsi="Arial" w:cs="Arial"/>
          </w:rPr>
          <w:t>https://www.elft.nhs.uk/intranet/documents/place-safety-policy</w:t>
        </w:r>
      </w:hyperlink>
      <w:r>
        <w:rPr>
          <w:rFonts w:ascii="Arial" w:hAnsi="Arial" w:cs="Arial"/>
        </w:rPr>
        <w:t xml:space="preserve"> </w:t>
      </w:r>
    </w:p>
    <w:p w14:paraId="1961543C" w14:textId="77777777" w:rsidR="007F5672" w:rsidRDefault="007F5672" w:rsidP="007F5672">
      <w:pPr>
        <w:shd w:val="clear" w:color="auto" w:fill="FFFFFF"/>
        <w:jc w:val="both"/>
        <w:rPr>
          <w:rFonts w:ascii="Arial" w:hAnsi="Arial" w:cs="Arial"/>
        </w:rPr>
      </w:pPr>
    </w:p>
    <w:p w14:paraId="0FB7B54F" w14:textId="77777777" w:rsidR="007F5672" w:rsidRPr="007F5672" w:rsidRDefault="007F5672" w:rsidP="007F5672">
      <w:pPr>
        <w:shd w:val="clear" w:color="auto" w:fill="FFFFFF"/>
        <w:jc w:val="both"/>
        <w:rPr>
          <w:rFonts w:ascii="Arial" w:hAnsi="Arial" w:cs="Arial"/>
        </w:rPr>
      </w:pPr>
    </w:p>
    <w:p w14:paraId="18FEDE8B" w14:textId="3707A349" w:rsidR="007F5672" w:rsidRPr="007F5672" w:rsidRDefault="007F5672" w:rsidP="007F5672">
      <w:pPr>
        <w:shd w:val="clear" w:color="auto" w:fill="FFFFFF"/>
        <w:jc w:val="both"/>
        <w:rPr>
          <w:rFonts w:ascii="Arial" w:hAnsi="Arial" w:cs="Arial"/>
        </w:rPr>
      </w:pPr>
      <w:r w:rsidRPr="007F5672">
        <w:rPr>
          <w:rFonts w:ascii="Arial" w:hAnsi="Arial" w:cs="Arial"/>
        </w:rPr>
        <w:t>Th</w:t>
      </w:r>
      <w:r>
        <w:rPr>
          <w:rFonts w:ascii="Arial" w:hAnsi="Arial" w:cs="Arial"/>
        </w:rPr>
        <w:t xml:space="preserve">e </w:t>
      </w:r>
      <w:r w:rsidRPr="007F5672">
        <w:rPr>
          <w:rFonts w:ascii="Arial" w:hAnsi="Arial" w:cs="Arial"/>
          <w:b/>
          <w:bCs/>
        </w:rPr>
        <w:t>Ventilation Safety Policy</w:t>
      </w:r>
      <w:r>
        <w:rPr>
          <w:rFonts w:ascii="Arial" w:hAnsi="Arial" w:cs="Arial"/>
        </w:rPr>
        <w:t xml:space="preserve"> is a new policy that </w:t>
      </w:r>
      <w:r w:rsidRPr="007F5672">
        <w:rPr>
          <w:rFonts w:ascii="Arial" w:hAnsi="Arial" w:cs="Arial"/>
        </w:rPr>
        <w:t>sets out how the Trust manages its ventilation systems to ensure safe and healthy conditions for staff, patients, service users, and visitors. Its purpose is to make sure ventilation systems, infrastructure, and related equipment are operated, maintained, and monitored in line with legal requirements and Department of Health guidance (HTM 03</w:t>
      </w:r>
      <w:r w:rsidRPr="007F5672">
        <w:rPr>
          <w:rFonts w:ascii="Cambria Math" w:hAnsi="Cambria Math" w:cs="Cambria Math"/>
        </w:rPr>
        <w:t>‑</w:t>
      </w:r>
      <w:r w:rsidRPr="007F5672">
        <w:rPr>
          <w:rFonts w:ascii="Arial" w:hAnsi="Arial" w:cs="Arial"/>
        </w:rPr>
        <w:t>01 Parts A and B).</w:t>
      </w:r>
    </w:p>
    <w:p w14:paraId="2C419E3E" w14:textId="04AC2955" w:rsidR="007F5672" w:rsidRDefault="007F5672" w:rsidP="007F5672">
      <w:pPr>
        <w:shd w:val="clear" w:color="auto" w:fill="FFFFFF"/>
        <w:jc w:val="both"/>
        <w:rPr>
          <w:rFonts w:ascii="Arial" w:hAnsi="Arial" w:cs="Arial"/>
        </w:rPr>
      </w:pPr>
      <w:r w:rsidRPr="007F5672">
        <w:rPr>
          <w:rFonts w:ascii="Arial" w:hAnsi="Arial" w:cs="Arial"/>
        </w:rPr>
        <w:t>The policy defines the responsibilities of the Trust, employees, and contractors under the Health and Safety at Work Act 1974, ensuring everyone involved understands their role in maintaining safe, compliant, and effective ventilation across all Trust sites.</w:t>
      </w:r>
    </w:p>
    <w:p w14:paraId="5A963E68" w14:textId="1BFADCCA" w:rsidR="007F5672" w:rsidRPr="004E7974" w:rsidRDefault="004E7974" w:rsidP="007F5672">
      <w:pPr>
        <w:rPr>
          <w:rFonts w:ascii="Arial" w:hAnsi="Arial" w:cs="Arial"/>
        </w:rPr>
      </w:pPr>
      <w:hyperlink r:id="rId8" w:history="1">
        <w:r w:rsidRPr="004E7974">
          <w:rPr>
            <w:rStyle w:val="Hyperlink"/>
            <w:rFonts w:ascii="Arial" w:hAnsi="Arial" w:cs="Arial"/>
          </w:rPr>
          <w:t>https://www.elft.nhs.uk/sites/default/files/2026-03/ventilation_safety_policy_1.1.docx</w:t>
        </w:r>
      </w:hyperlink>
      <w:r w:rsidRPr="004E7974">
        <w:rPr>
          <w:rFonts w:ascii="Arial" w:hAnsi="Arial" w:cs="Arial"/>
        </w:rPr>
        <w:t xml:space="preserve"> </w:t>
      </w:r>
    </w:p>
    <w:p w14:paraId="50E50415" w14:textId="77777777" w:rsidR="007F5672" w:rsidRDefault="007F5672" w:rsidP="007F5672">
      <w:pPr>
        <w:rPr>
          <w:rFonts w:ascii="Arial" w:hAnsi="Arial" w:cs="Arial"/>
          <w:b/>
          <w:bCs/>
        </w:rPr>
      </w:pPr>
    </w:p>
    <w:p w14:paraId="2EE210B8" w14:textId="77777777" w:rsidR="004E7974" w:rsidRPr="007F5672" w:rsidRDefault="004E7974" w:rsidP="007F5672">
      <w:pPr>
        <w:rPr>
          <w:rFonts w:ascii="Arial" w:hAnsi="Arial" w:cs="Arial"/>
          <w:b/>
          <w:bCs/>
        </w:rPr>
      </w:pPr>
    </w:p>
    <w:p w14:paraId="62A69E9C" w14:textId="59FADE59" w:rsidR="007F5672" w:rsidRPr="007F5672" w:rsidRDefault="007F5672" w:rsidP="007F5672">
      <w:pPr>
        <w:rPr>
          <w:rFonts w:ascii="Arial" w:hAnsi="Arial" w:cs="Arial"/>
        </w:rPr>
      </w:pPr>
      <w:r w:rsidRPr="007F5672">
        <w:rPr>
          <w:rFonts w:ascii="Arial" w:hAnsi="Arial" w:cs="Arial"/>
        </w:rPr>
        <w:t xml:space="preserve">The </w:t>
      </w:r>
      <w:r w:rsidRPr="007F5672">
        <w:rPr>
          <w:rFonts w:ascii="Arial" w:hAnsi="Arial" w:cs="Arial"/>
          <w:b/>
          <w:bCs/>
        </w:rPr>
        <w:t>Nutrition Policy</w:t>
      </w:r>
      <w:r w:rsidRPr="007F5672">
        <w:rPr>
          <w:rFonts w:ascii="Arial" w:hAnsi="Arial" w:cs="Arial"/>
        </w:rPr>
        <w:t xml:space="preserve"> sets consistent standards for identifying, assessing, and managing service users’ nutrition and hydration needs across ELFT. It ensures compliance with national regulations and guidance, supports routine screening and individualised care planning, and outlines processes for monitoring risk and accessing specialist input. </w:t>
      </w:r>
    </w:p>
    <w:p w14:paraId="2D1FB6FE" w14:textId="77777777" w:rsidR="007F5672" w:rsidRPr="007F5672" w:rsidRDefault="007F5672" w:rsidP="007F5672">
      <w:pPr>
        <w:rPr>
          <w:rFonts w:ascii="Arial" w:hAnsi="Arial" w:cs="Arial"/>
        </w:rPr>
      </w:pPr>
      <w:r w:rsidRPr="007F5672">
        <w:rPr>
          <w:rFonts w:ascii="Arial" w:hAnsi="Arial" w:cs="Arial"/>
        </w:rPr>
        <w:t>The policy also covers safe food provision, appropriate use of supplements, and the management of conditions such as malnutrition, obesity, diabetes, and eating disorders.</w:t>
      </w:r>
    </w:p>
    <w:p w14:paraId="1CD90B7A" w14:textId="4AEB2221" w:rsidR="008E5AB1" w:rsidRDefault="007F5672" w:rsidP="008E5AB1">
      <w:pPr>
        <w:rPr>
          <w:rFonts w:ascii="Arial" w:hAnsi="Arial" w:cs="Arial"/>
        </w:rPr>
      </w:pPr>
      <w:r w:rsidRPr="007F5672">
        <w:rPr>
          <w:rFonts w:ascii="Arial" w:hAnsi="Arial" w:cs="Arial"/>
        </w:rPr>
        <w:t>The policy has been updated to include hydration standards and align with current NICE and NHS England food and drink guidance. Screening, assessment, care planning, monitoring, and escalation processes have been strengthened, with new sections on medication</w:t>
      </w:r>
      <w:r w:rsidRPr="007F5672">
        <w:rPr>
          <w:rFonts w:ascii="Cambria Math" w:hAnsi="Cambria Math" w:cs="Cambria Math"/>
        </w:rPr>
        <w:t>‑</w:t>
      </w:r>
      <w:r w:rsidRPr="007F5672">
        <w:rPr>
          <w:rFonts w:ascii="Arial" w:hAnsi="Arial" w:cs="Arial"/>
        </w:rPr>
        <w:t>related nutrition risks, obesity, diabetes, hydration monitoring, and artificial nutrition. Governance, training, incident reporting, and discharge documentation have been clarified, and updates reflect feedback from senior nursing leaders and learning from a PSII on obesity recognition and access to specialist support.</w:t>
      </w:r>
    </w:p>
    <w:p w14:paraId="1C866143" w14:textId="4067A658" w:rsidR="004E7974" w:rsidRDefault="004E7974" w:rsidP="008E5AB1">
      <w:pPr>
        <w:rPr>
          <w:rFonts w:ascii="Arial" w:hAnsi="Arial" w:cs="Arial"/>
        </w:rPr>
      </w:pPr>
      <w:hyperlink r:id="rId9" w:history="1">
        <w:r w:rsidRPr="00E3452E">
          <w:rPr>
            <w:rStyle w:val="Hyperlink"/>
            <w:rFonts w:ascii="Arial" w:hAnsi="Arial" w:cs="Arial"/>
          </w:rPr>
          <w:t>https://www.elft.nhs.uk/sites/default/files/202311/Nutrition%20Policy%201.0%20%281%29.docx</w:t>
        </w:r>
      </w:hyperlink>
      <w:r>
        <w:rPr>
          <w:rFonts w:ascii="Arial" w:hAnsi="Arial" w:cs="Arial"/>
        </w:rPr>
        <w:t xml:space="preserve"> </w:t>
      </w:r>
    </w:p>
    <w:p w14:paraId="4FBB11A5" w14:textId="77777777" w:rsidR="004E7974" w:rsidRPr="007F5672" w:rsidRDefault="004E7974" w:rsidP="008E5AB1">
      <w:pPr>
        <w:rPr>
          <w:rFonts w:ascii="Arial" w:hAnsi="Arial" w:cs="Arial"/>
        </w:rPr>
      </w:pPr>
    </w:p>
    <w:p w14:paraId="09CC6DBA" w14:textId="77777777" w:rsidR="00844FBF" w:rsidRDefault="00844FBF" w:rsidP="002932AE">
      <w:pPr>
        <w:rPr>
          <w:rFonts w:ascii="Arial" w:hAnsi="Arial" w:cs="Arial"/>
          <w:b/>
          <w:bCs/>
        </w:rPr>
      </w:pPr>
    </w:p>
    <w:p w14:paraId="433C827B" w14:textId="77777777" w:rsidR="004E7974" w:rsidRDefault="004E7974" w:rsidP="002932AE">
      <w:pPr>
        <w:rPr>
          <w:rFonts w:ascii="Arial" w:hAnsi="Arial" w:cs="Arial"/>
          <w:b/>
          <w:bCs/>
        </w:rPr>
      </w:pPr>
    </w:p>
    <w:p w14:paraId="0FD7F2C7" w14:textId="77777777" w:rsidR="004E7974" w:rsidRDefault="004E7974" w:rsidP="002932AE">
      <w:pPr>
        <w:rPr>
          <w:rFonts w:ascii="Arial" w:hAnsi="Arial" w:cs="Arial"/>
          <w:b/>
          <w:bCs/>
        </w:rPr>
      </w:pPr>
    </w:p>
    <w:p w14:paraId="33E55D82" w14:textId="77777777" w:rsidR="004E7974" w:rsidRDefault="004E7974" w:rsidP="002932AE">
      <w:pPr>
        <w:rPr>
          <w:rFonts w:ascii="Arial" w:hAnsi="Arial" w:cs="Arial"/>
          <w:b/>
          <w:bCs/>
        </w:rPr>
      </w:pPr>
    </w:p>
    <w:p w14:paraId="0A8F444A" w14:textId="77777777" w:rsidR="007F5672" w:rsidRPr="00AB391B" w:rsidRDefault="007F5672" w:rsidP="007F5672">
      <w:pPr>
        <w:shd w:val="clear" w:color="auto" w:fill="FFFFFF"/>
        <w:jc w:val="both"/>
        <w:rPr>
          <w:rFonts w:ascii="Arial" w:hAnsi="Arial" w:cs="Arial"/>
          <w:b/>
          <w:u w:val="single"/>
        </w:rPr>
      </w:pPr>
      <w:r w:rsidRPr="00AB391B">
        <w:rPr>
          <w:rFonts w:ascii="Arial" w:hAnsi="Arial" w:cs="Arial"/>
          <w:b/>
          <w:u w:val="single"/>
        </w:rPr>
        <w:lastRenderedPageBreak/>
        <w:t>Additional Updates</w:t>
      </w:r>
    </w:p>
    <w:p w14:paraId="353B6F86" w14:textId="77777777" w:rsidR="007F5672" w:rsidRDefault="007F5672" w:rsidP="007F5672">
      <w:pPr>
        <w:shd w:val="clear" w:color="auto" w:fill="FFFFFF"/>
        <w:jc w:val="both"/>
        <w:rPr>
          <w:rFonts w:ascii="Arial" w:hAnsi="Arial" w:cs="Arial"/>
          <w:bCs/>
        </w:rPr>
      </w:pPr>
    </w:p>
    <w:p w14:paraId="43DC8B40" w14:textId="231DB6EA" w:rsidR="007F5672" w:rsidRDefault="007F5672" w:rsidP="007F5672">
      <w:pPr>
        <w:shd w:val="clear" w:color="auto" w:fill="FFFFFF"/>
        <w:jc w:val="both"/>
        <w:rPr>
          <w:rFonts w:ascii="Arial" w:hAnsi="Arial" w:cs="Arial"/>
          <w:bCs/>
        </w:rPr>
      </w:pPr>
      <w:r>
        <w:rPr>
          <w:rFonts w:ascii="Arial" w:hAnsi="Arial" w:cs="Arial"/>
          <w:bCs/>
        </w:rPr>
        <w:t xml:space="preserve">The </w:t>
      </w:r>
      <w:r w:rsidRPr="00AB391B">
        <w:rPr>
          <w:rFonts w:ascii="Arial" w:hAnsi="Arial" w:cs="Arial"/>
          <w:b/>
        </w:rPr>
        <w:t>Infection Prevention and Control Policy Manual</w:t>
      </w:r>
      <w:r w:rsidRPr="00AB391B">
        <w:rPr>
          <w:rFonts w:ascii="Arial" w:hAnsi="Arial" w:cs="Arial"/>
          <w:bCs/>
        </w:rPr>
        <w:t xml:space="preserve"> ratified via Chairs action on 5</w:t>
      </w:r>
      <w:r w:rsidRPr="00AB391B">
        <w:rPr>
          <w:rFonts w:ascii="Arial" w:hAnsi="Arial" w:cs="Arial"/>
          <w:bCs/>
          <w:vertAlign w:val="superscript"/>
        </w:rPr>
        <w:t>th</w:t>
      </w:r>
      <w:r w:rsidRPr="00AB391B">
        <w:rPr>
          <w:rFonts w:ascii="Arial" w:hAnsi="Arial" w:cs="Arial"/>
          <w:bCs/>
        </w:rPr>
        <w:t xml:space="preserve"> March 2026 by the Chief Nurse. </w:t>
      </w:r>
      <w:r w:rsidR="00423C4B" w:rsidRPr="00423C4B">
        <w:rPr>
          <w:rFonts w:ascii="Arial" w:hAnsi="Arial" w:cs="Arial"/>
          <w:bCs/>
        </w:rPr>
        <w:t>The policy has been revised to align with current national guidance (including updates on CPE, MPOX, and scabies treatment), alongside changes to the Occupational Health provider and clinical waste management procedures.</w:t>
      </w:r>
      <w:r w:rsidR="00423C4B" w:rsidRPr="00423C4B">
        <w:rPr>
          <w:rFonts w:ascii="Arial" w:hAnsi="Arial" w:cs="Arial"/>
          <w:bCs/>
        </w:rPr>
        <w:t xml:space="preserve"> </w:t>
      </w:r>
      <w:r w:rsidRPr="00AB391B">
        <w:rPr>
          <w:rFonts w:ascii="Arial" w:hAnsi="Arial" w:cs="Arial"/>
          <w:bCs/>
        </w:rPr>
        <w:t>This has been updated on the internet and intranet.</w:t>
      </w:r>
    </w:p>
    <w:p w14:paraId="3D11A80D" w14:textId="77777777" w:rsidR="004F4B52" w:rsidRPr="005B0414" w:rsidRDefault="004F4B52" w:rsidP="007F5672">
      <w:pPr>
        <w:shd w:val="clear" w:color="auto" w:fill="FFFFFF"/>
        <w:jc w:val="both"/>
        <w:rPr>
          <w:rFonts w:ascii="Arial" w:hAnsi="Arial" w:cs="Arial"/>
          <w:bCs/>
        </w:rPr>
      </w:pPr>
    </w:p>
    <w:p w14:paraId="15ABC0B4" w14:textId="489CD74B" w:rsidR="007F5672" w:rsidRPr="005B0414" w:rsidRDefault="007F5672" w:rsidP="007F5672">
      <w:pPr>
        <w:shd w:val="clear" w:color="auto" w:fill="FFFFFF"/>
        <w:jc w:val="both"/>
        <w:rPr>
          <w:rFonts w:ascii="Arial" w:hAnsi="Arial" w:cs="Arial"/>
          <w:bCs/>
        </w:rPr>
      </w:pPr>
      <w:r w:rsidRPr="005B0414">
        <w:rPr>
          <w:rFonts w:ascii="Arial" w:hAnsi="Arial" w:cs="Arial"/>
          <w:bCs/>
        </w:rPr>
        <w:t>The following are policies that were made redundant this month:</w:t>
      </w:r>
    </w:p>
    <w:tbl>
      <w:tblPr>
        <w:tblStyle w:val="TableGrid"/>
        <w:tblW w:w="0" w:type="auto"/>
        <w:tblLook w:val="04A0" w:firstRow="1" w:lastRow="0" w:firstColumn="1" w:lastColumn="0" w:noHBand="0" w:noVBand="1"/>
      </w:tblPr>
      <w:tblGrid>
        <w:gridCol w:w="4508"/>
        <w:gridCol w:w="4508"/>
      </w:tblGrid>
      <w:tr w:rsidR="007F5672" w:rsidRPr="005B0414" w14:paraId="55352076" w14:textId="77777777" w:rsidTr="00FB53FA">
        <w:tc>
          <w:tcPr>
            <w:tcW w:w="4848" w:type="dxa"/>
          </w:tcPr>
          <w:p w14:paraId="790C80A5" w14:textId="77777777" w:rsidR="007F5672" w:rsidRPr="005B0414" w:rsidRDefault="007F5672" w:rsidP="00FB53FA">
            <w:pPr>
              <w:shd w:val="clear" w:color="auto" w:fill="FFFFFF"/>
              <w:jc w:val="both"/>
              <w:rPr>
                <w:rFonts w:ascii="Arial" w:hAnsi="Arial" w:cs="Arial"/>
                <w:b/>
                <w:bCs/>
                <w:sz w:val="22"/>
                <w:szCs w:val="22"/>
              </w:rPr>
            </w:pPr>
            <w:r w:rsidRPr="005B0414">
              <w:rPr>
                <w:rFonts w:ascii="Arial" w:hAnsi="Arial" w:cs="Arial"/>
                <w:b/>
                <w:bCs/>
                <w:sz w:val="22"/>
                <w:szCs w:val="22"/>
              </w:rPr>
              <w:t>Name of Policy</w:t>
            </w:r>
          </w:p>
        </w:tc>
        <w:tc>
          <w:tcPr>
            <w:tcW w:w="4849" w:type="dxa"/>
          </w:tcPr>
          <w:p w14:paraId="6FB0302D" w14:textId="77777777" w:rsidR="007F5672" w:rsidRPr="005B0414" w:rsidRDefault="007F5672" w:rsidP="00FB53FA">
            <w:pPr>
              <w:shd w:val="clear" w:color="auto" w:fill="FFFFFF"/>
              <w:jc w:val="both"/>
              <w:rPr>
                <w:rFonts w:ascii="Arial" w:hAnsi="Arial" w:cs="Arial"/>
                <w:b/>
                <w:bCs/>
                <w:sz w:val="22"/>
                <w:szCs w:val="22"/>
              </w:rPr>
            </w:pPr>
            <w:r w:rsidRPr="005B0414">
              <w:rPr>
                <w:rFonts w:ascii="Arial" w:hAnsi="Arial" w:cs="Arial"/>
                <w:b/>
                <w:bCs/>
                <w:sz w:val="22"/>
                <w:szCs w:val="22"/>
              </w:rPr>
              <w:t>Rationale for being made redundant</w:t>
            </w:r>
          </w:p>
        </w:tc>
      </w:tr>
      <w:tr w:rsidR="007F5672" w:rsidRPr="005B0414" w14:paraId="0BCDF164" w14:textId="77777777" w:rsidTr="00FB53FA">
        <w:tc>
          <w:tcPr>
            <w:tcW w:w="4848" w:type="dxa"/>
          </w:tcPr>
          <w:p w14:paraId="722B4148" w14:textId="77777777" w:rsidR="007F5672" w:rsidRPr="005B0414" w:rsidRDefault="007F5672" w:rsidP="00FB53FA">
            <w:pPr>
              <w:shd w:val="clear" w:color="auto" w:fill="FFFFFF"/>
              <w:jc w:val="both"/>
              <w:rPr>
                <w:rFonts w:ascii="Arial" w:hAnsi="Arial" w:cs="Arial"/>
                <w:bCs/>
                <w:sz w:val="22"/>
                <w:szCs w:val="22"/>
              </w:rPr>
            </w:pPr>
            <w:r w:rsidRPr="005B0414">
              <w:rPr>
                <w:rFonts w:ascii="Arial" w:hAnsi="Arial" w:cs="Arial"/>
                <w:bCs/>
                <w:sz w:val="22"/>
                <w:szCs w:val="22"/>
              </w:rPr>
              <w:t>Antenatal Sickle Cell and Thalassaemia Screening Operational Policy</w:t>
            </w:r>
          </w:p>
        </w:tc>
        <w:tc>
          <w:tcPr>
            <w:tcW w:w="4849" w:type="dxa"/>
          </w:tcPr>
          <w:p w14:paraId="00744F03" w14:textId="77777777" w:rsidR="007F5672" w:rsidRPr="005B0414" w:rsidRDefault="007F5672" w:rsidP="00FB53FA">
            <w:pPr>
              <w:rPr>
                <w:rFonts w:ascii="Arial" w:hAnsi="Arial" w:cs="Arial"/>
                <w:bCs/>
                <w:sz w:val="22"/>
                <w:szCs w:val="22"/>
              </w:rPr>
            </w:pPr>
            <w:r w:rsidRPr="005B0414">
              <w:rPr>
                <w:rFonts w:ascii="Arial" w:hAnsi="Arial" w:cs="Arial"/>
                <w:bCs/>
                <w:sz w:val="22"/>
                <w:szCs w:val="22"/>
              </w:rPr>
              <w:t xml:space="preserve">This has been retired as the Antenatal Sickle Cell and Thalassaemia Screening pathway has now transferred back to the Royal London Hospital in-house team. This pathway is therefore no longer managed by ELFT. </w:t>
            </w:r>
          </w:p>
          <w:p w14:paraId="0907D047" w14:textId="77777777" w:rsidR="007F5672" w:rsidRPr="005B0414" w:rsidRDefault="007F5672" w:rsidP="00FB53FA">
            <w:pPr>
              <w:shd w:val="clear" w:color="auto" w:fill="FFFFFF"/>
              <w:jc w:val="both"/>
              <w:rPr>
                <w:rFonts w:ascii="Arial" w:hAnsi="Arial" w:cs="Arial"/>
                <w:bCs/>
                <w:sz w:val="22"/>
                <w:szCs w:val="22"/>
              </w:rPr>
            </w:pPr>
          </w:p>
        </w:tc>
      </w:tr>
      <w:tr w:rsidR="007F5672" w:rsidRPr="005B0414" w14:paraId="15395C58" w14:textId="77777777" w:rsidTr="00FB53FA">
        <w:tc>
          <w:tcPr>
            <w:tcW w:w="4848" w:type="dxa"/>
          </w:tcPr>
          <w:p w14:paraId="76B22DC7" w14:textId="77777777" w:rsidR="007F5672" w:rsidRDefault="007F5672" w:rsidP="00FB53FA">
            <w:pPr>
              <w:shd w:val="clear" w:color="auto" w:fill="FFFFFF"/>
              <w:jc w:val="both"/>
              <w:rPr>
                <w:rFonts w:ascii="Arial" w:hAnsi="Arial" w:cs="Arial"/>
                <w:bCs/>
                <w:sz w:val="22"/>
                <w:szCs w:val="22"/>
              </w:rPr>
            </w:pPr>
            <w:r w:rsidRPr="0097513A">
              <w:rPr>
                <w:rFonts w:ascii="Arial" w:hAnsi="Arial" w:cs="Arial"/>
                <w:bCs/>
                <w:sz w:val="22"/>
                <w:szCs w:val="22"/>
              </w:rPr>
              <w:t>Dignity at Work Policy and Procedure</w:t>
            </w:r>
          </w:p>
          <w:p w14:paraId="2C932670" w14:textId="77777777" w:rsidR="007F5672" w:rsidRPr="0097513A" w:rsidRDefault="007F5672" w:rsidP="00FB53FA">
            <w:pPr>
              <w:shd w:val="clear" w:color="auto" w:fill="FFFFFF"/>
              <w:jc w:val="both"/>
              <w:rPr>
                <w:rFonts w:ascii="Arial" w:hAnsi="Arial" w:cs="Arial"/>
                <w:bCs/>
                <w:sz w:val="22"/>
                <w:szCs w:val="22"/>
              </w:rPr>
            </w:pPr>
          </w:p>
        </w:tc>
        <w:tc>
          <w:tcPr>
            <w:tcW w:w="4849" w:type="dxa"/>
            <w:vMerge w:val="restart"/>
          </w:tcPr>
          <w:p w14:paraId="24367194" w14:textId="77777777" w:rsidR="007F5672" w:rsidRDefault="007F5672" w:rsidP="00FB53FA">
            <w:pPr>
              <w:rPr>
                <w:rFonts w:ascii="Arial" w:hAnsi="Arial" w:cs="Arial"/>
                <w:bCs/>
                <w:sz w:val="22"/>
                <w:szCs w:val="22"/>
              </w:rPr>
            </w:pPr>
          </w:p>
          <w:p w14:paraId="57AFFAE7" w14:textId="77777777" w:rsidR="007F5672" w:rsidRPr="005B0414" w:rsidRDefault="007F5672" w:rsidP="00FB53FA">
            <w:pPr>
              <w:rPr>
                <w:rFonts w:ascii="Arial" w:hAnsi="Arial" w:cs="Arial"/>
                <w:bCs/>
              </w:rPr>
            </w:pPr>
            <w:r w:rsidRPr="0097513A">
              <w:rPr>
                <w:rFonts w:ascii="Arial" w:hAnsi="Arial" w:cs="Arial"/>
                <w:bCs/>
                <w:sz w:val="22"/>
                <w:szCs w:val="22"/>
              </w:rPr>
              <w:t>Replaced by the Resolution policy</w:t>
            </w:r>
          </w:p>
        </w:tc>
      </w:tr>
      <w:tr w:rsidR="007F5672" w:rsidRPr="005B0414" w14:paraId="35D73798" w14:textId="77777777" w:rsidTr="00FB53FA">
        <w:tc>
          <w:tcPr>
            <w:tcW w:w="4848" w:type="dxa"/>
          </w:tcPr>
          <w:p w14:paraId="54984913" w14:textId="77777777" w:rsidR="007F5672" w:rsidRDefault="007F5672" w:rsidP="00FB53FA">
            <w:pPr>
              <w:shd w:val="clear" w:color="auto" w:fill="FFFFFF"/>
              <w:jc w:val="both"/>
              <w:rPr>
                <w:rFonts w:ascii="Arial" w:hAnsi="Arial" w:cs="Arial"/>
                <w:bCs/>
                <w:sz w:val="22"/>
                <w:szCs w:val="22"/>
              </w:rPr>
            </w:pPr>
            <w:r w:rsidRPr="0097513A">
              <w:rPr>
                <w:rFonts w:ascii="Arial" w:hAnsi="Arial" w:cs="Arial"/>
                <w:bCs/>
                <w:sz w:val="22"/>
                <w:szCs w:val="22"/>
              </w:rPr>
              <w:t>Grievance Policy &amp; Procedure</w:t>
            </w:r>
          </w:p>
          <w:p w14:paraId="71384513" w14:textId="77777777" w:rsidR="007F5672" w:rsidRPr="0097513A" w:rsidRDefault="007F5672" w:rsidP="00FB53FA">
            <w:pPr>
              <w:shd w:val="clear" w:color="auto" w:fill="FFFFFF"/>
              <w:jc w:val="both"/>
              <w:rPr>
                <w:rFonts w:ascii="Arial" w:hAnsi="Arial" w:cs="Arial"/>
                <w:bCs/>
                <w:sz w:val="22"/>
                <w:szCs w:val="22"/>
              </w:rPr>
            </w:pPr>
          </w:p>
        </w:tc>
        <w:tc>
          <w:tcPr>
            <w:tcW w:w="4849" w:type="dxa"/>
            <w:vMerge/>
          </w:tcPr>
          <w:p w14:paraId="16BEEEAE" w14:textId="77777777" w:rsidR="007F5672" w:rsidRPr="005B0414" w:rsidRDefault="007F5672" w:rsidP="00FB53FA">
            <w:pPr>
              <w:rPr>
                <w:rFonts w:ascii="Arial" w:hAnsi="Arial" w:cs="Arial"/>
                <w:bCs/>
              </w:rPr>
            </w:pPr>
          </w:p>
        </w:tc>
      </w:tr>
    </w:tbl>
    <w:p w14:paraId="1C7C8668" w14:textId="77777777" w:rsidR="007F5672" w:rsidRPr="00AB391B" w:rsidRDefault="007F5672" w:rsidP="007F5672">
      <w:pPr>
        <w:shd w:val="clear" w:color="auto" w:fill="FFFFFF"/>
        <w:jc w:val="both"/>
        <w:rPr>
          <w:rFonts w:ascii="Arial" w:hAnsi="Arial" w:cs="Arial"/>
          <w:bCs/>
        </w:rPr>
      </w:pPr>
    </w:p>
    <w:p w14:paraId="549F2B11" w14:textId="2C4F7763" w:rsidR="00FC0868" w:rsidRPr="004E39BE" w:rsidRDefault="00FC0868">
      <w:pPr>
        <w:rPr>
          <w:rFonts w:ascii="Arial" w:hAnsi="Arial" w:cs="Arial"/>
        </w:rPr>
      </w:pPr>
    </w:p>
    <w:sectPr w:rsidR="00FC0868" w:rsidRPr="004E39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9399F"/>
    <w:multiLevelType w:val="hybridMultilevel"/>
    <w:tmpl w:val="9F725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9B5494"/>
    <w:multiLevelType w:val="hybridMultilevel"/>
    <w:tmpl w:val="D662E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BF1FC5"/>
    <w:multiLevelType w:val="hybridMultilevel"/>
    <w:tmpl w:val="AD5E5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5985459">
    <w:abstractNumId w:val="1"/>
  </w:num>
  <w:num w:numId="2" w16cid:durableId="1391226197">
    <w:abstractNumId w:val="0"/>
  </w:num>
  <w:num w:numId="3" w16cid:durableId="40639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2AE"/>
    <w:rsid w:val="0009384A"/>
    <w:rsid w:val="001235DB"/>
    <w:rsid w:val="00142AE3"/>
    <w:rsid w:val="0014552A"/>
    <w:rsid w:val="001E1BFE"/>
    <w:rsid w:val="002010EB"/>
    <w:rsid w:val="002749EA"/>
    <w:rsid w:val="002932AE"/>
    <w:rsid w:val="00305F8F"/>
    <w:rsid w:val="003278C1"/>
    <w:rsid w:val="00373A85"/>
    <w:rsid w:val="003A4243"/>
    <w:rsid w:val="003F0D90"/>
    <w:rsid w:val="004206F9"/>
    <w:rsid w:val="00423C4B"/>
    <w:rsid w:val="004E39BE"/>
    <w:rsid w:val="004E7974"/>
    <w:rsid w:val="004F4B52"/>
    <w:rsid w:val="005F5B99"/>
    <w:rsid w:val="006B65C9"/>
    <w:rsid w:val="007F5672"/>
    <w:rsid w:val="00844FBF"/>
    <w:rsid w:val="00855B11"/>
    <w:rsid w:val="008A5F92"/>
    <w:rsid w:val="008E5AB1"/>
    <w:rsid w:val="009D5F7E"/>
    <w:rsid w:val="00A27EF5"/>
    <w:rsid w:val="00B81426"/>
    <w:rsid w:val="00BE3A04"/>
    <w:rsid w:val="00C91F87"/>
    <w:rsid w:val="00CE6A69"/>
    <w:rsid w:val="00DD4016"/>
    <w:rsid w:val="00DE25EC"/>
    <w:rsid w:val="00E27EB7"/>
    <w:rsid w:val="00E6405C"/>
    <w:rsid w:val="00F12FCE"/>
    <w:rsid w:val="00F404B4"/>
    <w:rsid w:val="00FC0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B50B9"/>
  <w15:chartTrackingRefBased/>
  <w15:docId w15:val="{E138F8A5-5A21-463A-A925-997DE4517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2A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932A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932A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932A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932A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932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2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2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2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2A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932A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932A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932A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932A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932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2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2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2AE"/>
    <w:rPr>
      <w:rFonts w:eastAsiaTheme="majorEastAsia" w:cstheme="majorBidi"/>
      <w:color w:val="272727" w:themeColor="text1" w:themeTint="D8"/>
    </w:rPr>
  </w:style>
  <w:style w:type="paragraph" w:styleId="Title">
    <w:name w:val="Title"/>
    <w:basedOn w:val="Normal"/>
    <w:next w:val="Normal"/>
    <w:link w:val="TitleChar"/>
    <w:uiPriority w:val="10"/>
    <w:qFormat/>
    <w:rsid w:val="00293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2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2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2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2AE"/>
    <w:pPr>
      <w:spacing w:before="160"/>
      <w:jc w:val="center"/>
    </w:pPr>
    <w:rPr>
      <w:i/>
      <w:iCs/>
      <w:color w:val="404040" w:themeColor="text1" w:themeTint="BF"/>
    </w:rPr>
  </w:style>
  <w:style w:type="character" w:customStyle="1" w:styleId="QuoteChar">
    <w:name w:val="Quote Char"/>
    <w:basedOn w:val="DefaultParagraphFont"/>
    <w:link w:val="Quote"/>
    <w:uiPriority w:val="29"/>
    <w:rsid w:val="002932AE"/>
    <w:rPr>
      <w:i/>
      <w:iCs/>
      <w:color w:val="404040" w:themeColor="text1" w:themeTint="BF"/>
    </w:rPr>
  </w:style>
  <w:style w:type="paragraph" w:styleId="ListParagraph">
    <w:name w:val="List Paragraph"/>
    <w:basedOn w:val="Normal"/>
    <w:uiPriority w:val="34"/>
    <w:qFormat/>
    <w:rsid w:val="002932AE"/>
    <w:pPr>
      <w:ind w:left="720"/>
      <w:contextualSpacing/>
    </w:pPr>
  </w:style>
  <w:style w:type="character" w:styleId="IntenseEmphasis">
    <w:name w:val="Intense Emphasis"/>
    <w:basedOn w:val="DefaultParagraphFont"/>
    <w:uiPriority w:val="21"/>
    <w:qFormat/>
    <w:rsid w:val="002932AE"/>
    <w:rPr>
      <w:i/>
      <w:iCs/>
      <w:color w:val="2E74B5" w:themeColor="accent1" w:themeShade="BF"/>
    </w:rPr>
  </w:style>
  <w:style w:type="paragraph" w:styleId="IntenseQuote">
    <w:name w:val="Intense Quote"/>
    <w:basedOn w:val="Normal"/>
    <w:next w:val="Normal"/>
    <w:link w:val="IntenseQuoteChar"/>
    <w:uiPriority w:val="30"/>
    <w:qFormat/>
    <w:rsid w:val="002932A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932AE"/>
    <w:rPr>
      <w:i/>
      <w:iCs/>
      <w:color w:val="2E74B5" w:themeColor="accent1" w:themeShade="BF"/>
    </w:rPr>
  </w:style>
  <w:style w:type="character" w:styleId="IntenseReference">
    <w:name w:val="Intense Reference"/>
    <w:basedOn w:val="DefaultParagraphFont"/>
    <w:uiPriority w:val="32"/>
    <w:qFormat/>
    <w:rsid w:val="002932AE"/>
    <w:rPr>
      <w:b/>
      <w:bCs/>
      <w:smallCaps/>
      <w:color w:val="2E74B5" w:themeColor="accent1" w:themeShade="BF"/>
      <w:spacing w:val="5"/>
    </w:rPr>
  </w:style>
  <w:style w:type="table" w:styleId="TableGrid">
    <w:name w:val="Table Grid"/>
    <w:basedOn w:val="TableNormal"/>
    <w:rsid w:val="004E39B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39BE"/>
    <w:rPr>
      <w:color w:val="0563C1" w:themeColor="hyperlink"/>
      <w:u w:val="single"/>
    </w:rPr>
  </w:style>
  <w:style w:type="character" w:styleId="UnresolvedMention">
    <w:name w:val="Unresolved Mention"/>
    <w:basedOn w:val="DefaultParagraphFont"/>
    <w:uiPriority w:val="99"/>
    <w:semiHidden/>
    <w:unhideWhenUsed/>
    <w:rsid w:val="004E3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ft.nhs.uk/sites/default/files/2026-03/ventilation_safety_policy_1.1.docx" TargetMode="External"/><Relationship Id="rId3" Type="http://schemas.openxmlformats.org/officeDocument/2006/relationships/settings" Target="settings.xml"/><Relationship Id="rId7" Type="http://schemas.openxmlformats.org/officeDocument/2006/relationships/hyperlink" Target="https://www.elft.nhs.uk/intranet/documents/place-safet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ft.nhs.uk/sites/default/files/202603/Guidelines%20for%20Managing%20Intoxication%20on%20Inpatient%20Wards%203.0.docx" TargetMode="External"/><Relationship Id="rId11" Type="http://schemas.openxmlformats.org/officeDocument/2006/relationships/theme" Target="theme/theme1.xml"/><Relationship Id="rId5" Type="http://schemas.openxmlformats.org/officeDocument/2006/relationships/hyperlink" Target="https://www.elft.nhs.uk/intranet/teams-support-me/governance-and-risk-management/policy-management/trust-polici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lft.nhs.uk/sites/default/files/202311/Nutrition%20Policy%201.0%20%281%2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KHATUN, Rashida (EAST LONDON NHS FOUNDATION TRUST)</dc:creator>
  <cp:keywords/>
  <dc:description/>
  <cp:lastModifiedBy>KHATUN, Rashida (EAST LONDON NHS FOUNDATION TRUST)</cp:lastModifiedBy>
  <cp:revision>6</cp:revision>
  <dcterms:created xsi:type="dcterms:W3CDTF">2026-04-16T14:21:00Z</dcterms:created>
  <dcterms:modified xsi:type="dcterms:W3CDTF">2026-04-20T08:27:00Z</dcterms:modified>
</cp:coreProperties>
</file>