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6846" w14:textId="66542D5C" w:rsidR="00E66FA4" w:rsidRDefault="001E084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92CE528" wp14:editId="40FAF197">
            <wp:simplePos x="0" y="0"/>
            <wp:positionH relativeFrom="margin">
              <wp:posOffset>7873678</wp:posOffset>
            </wp:positionH>
            <wp:positionV relativeFrom="paragraph">
              <wp:posOffset>238125</wp:posOffset>
            </wp:positionV>
            <wp:extent cx="1931035" cy="1032510"/>
            <wp:effectExtent l="0" t="0" r="0" b="0"/>
            <wp:wrapSquare wrapText="bothSides"/>
            <wp:docPr id="7" name="Picture 7" descr="East London NHS Foundation Trust - N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London NHS Foundation Trust - NS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1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DA4D59F" wp14:editId="45A8B523">
            <wp:simplePos x="0" y="0"/>
            <wp:positionH relativeFrom="column">
              <wp:posOffset>2238375</wp:posOffset>
            </wp:positionH>
            <wp:positionV relativeFrom="paragraph">
              <wp:posOffset>161925</wp:posOffset>
            </wp:positionV>
            <wp:extent cx="1931035" cy="1032510"/>
            <wp:effectExtent l="0" t="0" r="0" b="0"/>
            <wp:wrapSquare wrapText="bothSides"/>
            <wp:docPr id="1804638221" name="Picture 1804638221" descr="East London NHS Foundation Trust - N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London NHS Foundation Trust - NS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871" b="89113" l="5819" r="93750">
                                  <a14:foregroundMark x1="52802" y1="25000" x2="52802" y2="25000"/>
                                  <a14:foregroundMark x1="57112" y1="23790" x2="57112" y2="23790"/>
                                  <a14:foregroundMark x1="61638" y1="25806" x2="61638" y2="25806"/>
                                  <a14:foregroundMark x1="93319" y1="23790" x2="93319" y2="23790"/>
                                  <a14:foregroundMark x1="89224" y1="25000" x2="89224" y2="25000"/>
                                  <a14:foregroundMark x1="87284" y1="22177" x2="87284" y2="22177"/>
                                  <a14:foregroundMark x1="84914" y1="12903" x2="84914" y2="12903"/>
                                  <a14:foregroundMark x1="84914" y1="12903" x2="84914" y2="12903"/>
                                  <a14:foregroundMark x1="83405" y1="55242" x2="83405" y2="55242"/>
                                  <a14:foregroundMark x1="82974" y1="58065" x2="82974" y2="58065"/>
                                  <a14:foregroundMark x1="83836" y1="57258" x2="83836" y2="57258"/>
                                  <a14:foregroundMark x1="83836" y1="57258" x2="85345" y2="60081"/>
                                  <a14:foregroundMark x1="89224" y1="62903" x2="89224" y2="62903"/>
                                  <a14:foregroundMark x1="89224" y1="62903" x2="89224" y2="62903"/>
                                  <a14:foregroundMark x1="92241" y1="58871" x2="92241" y2="58871"/>
                                  <a14:foregroundMark x1="75862" y1="58871" x2="75862" y2="58871"/>
                                  <a14:foregroundMark x1="73922" y1="58065" x2="73922" y2="58065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5517" y1="58871" x2="65517" y2="58871"/>
                                  <a14:foregroundMark x1="56681" y1="62903" x2="56681" y2="62903"/>
                                  <a14:foregroundMark x1="56681" y1="62903" x2="56681" y2="62903"/>
                                  <a14:foregroundMark x1="48922" y1="58065" x2="48922" y2="58065"/>
                                  <a14:foregroundMark x1="48922" y1="58065" x2="48922" y2="58065"/>
                                  <a14:foregroundMark x1="48922" y1="58065" x2="48922" y2="58065"/>
                                  <a14:foregroundMark x1="52802" y1="65323" x2="52802" y2="65323"/>
                                  <a14:foregroundMark x1="53233" y1="66532" x2="53233" y2="66532"/>
                                  <a14:foregroundMark x1="53233" y1="66532" x2="53233" y2="66532"/>
                                  <a14:foregroundMark x1="34483" y1="61694" x2="34483" y2="61694"/>
                                  <a14:foregroundMark x1="40948" y1="57258" x2="40948" y2="57258"/>
                                  <a14:foregroundMark x1="28664" y1="61694" x2="28664" y2="61694"/>
                                  <a14:foregroundMark x1="30172" y1="60887" x2="30172" y2="60887"/>
                                  <a14:foregroundMark x1="22198" y1="53629" x2="22198" y2="53629"/>
                                  <a14:foregroundMark x1="18319" y1="81048" x2="18319" y2="81048"/>
                                  <a14:foregroundMark x1="14871" y1="80242" x2="14871" y2="80242"/>
                                  <a14:foregroundMark x1="8836" y1="79435" x2="8836" y2="79435"/>
                                  <a14:foregroundMark x1="5819" y1="82258" x2="5819" y2="82258"/>
                                  <a14:foregroundMark x1="26078" y1="88710" x2="26078" y2="88710"/>
                                  <a14:foregroundMark x1="26078" y1="89516" x2="26078" y2="89516"/>
                                  <a14:foregroundMark x1="29095" y1="84677" x2="29095" y2="84677"/>
                                  <a14:foregroundMark x1="37931" y1="84677" x2="37931" y2="84677"/>
                                  <a14:foregroundMark x1="41379" y1="85887" x2="41379" y2="85887"/>
                                  <a14:foregroundMark x1="46767" y1="83871" x2="46767" y2="83871"/>
                                  <a14:foregroundMark x1="53664" y1="83871" x2="53664" y2="83871"/>
                                  <a14:foregroundMark x1="58190" y1="86694" x2="58190" y2="86694"/>
                                  <a14:foregroundMark x1="60776" y1="89516" x2="60776" y2="89516"/>
                                  <a14:foregroundMark x1="60776" y1="78226" x2="60776" y2="78226"/>
                                  <a14:foregroundMark x1="66164" y1="85887" x2="66164" y2="85887"/>
                                  <a14:foregroundMark x1="71121" y1="86694" x2="71121" y2="86694"/>
                                  <a14:foregroundMark x1="78017" y1="81048" x2="78017" y2="81048"/>
                                  <a14:foregroundMark x1="75862" y1="57258" x2="75862" y2="57258"/>
                                  <a14:foregroundMark x1="76940" y1="58871" x2="76940" y2="58871"/>
                                  <a14:foregroundMark x1="60776" y1="60887" x2="60776" y2="60887"/>
                                  <a14:foregroundMark x1="29095" y1="61694" x2="29095" y2="61694"/>
                                  <a14:foregroundMark x1="85776" y1="86694" x2="85776" y2="86694"/>
                                  <a14:foregroundMark x1="89871" y1="85887" x2="89871" y2="85887"/>
                                  <a14:foregroundMark x1="93750" y1="85887" x2="93750" y2="85887"/>
                                  <a14:foregroundMark x1="81466" y1="86694" x2="81466" y2="86694"/>
                                  <a14:foregroundMark x1="58190" y1="87500" x2="58190" y2="87500"/>
                                  <a14:foregroundMark x1="57112" y1="86694" x2="57112" y2="86694"/>
                                  <a14:foregroundMark x1="42026" y1="68145" x2="42026" y2="68145"/>
                                  <a14:foregroundMark x1="37931" y1="66532" x2="37931" y2="66532"/>
                                  <a14:foregroundMark x1="30603" y1="61694" x2="30603" y2="61694"/>
                                  <a14:foregroundMark x1="30172" y1="62903" x2="30172" y2="62903"/>
                                  <a14:foregroundMark x1="30172" y1="62903" x2="30172" y2="62903"/>
                                  <a14:foregroundMark x1="30172" y1="66532" x2="30172" y2="66532"/>
                                  <a14:foregroundMark x1="65086" y1="61694" x2="65086" y2="61694"/>
                                  <a14:foregroundMark x1="79957" y1="86694" x2="79957" y2="86694"/>
                                  <a14:backgroundMark x1="47845" y1="84677" x2="47845" y2="84677"/>
                                  <a14:backgroundMark x1="52371" y1="86694" x2="52371" y2="86694"/>
                                  <a14:backgroundMark x1="58190" y1="86694" x2="58190" y2="86694"/>
                                  <a14:backgroundMark x1="81897" y1="88710" x2="81897" y2="88710"/>
                                  <a14:backgroundMark x1="80819" y1="87500" x2="80819" y2="87500"/>
                                  <a14:backgroundMark x1="81897" y1="86694" x2="81897" y2="86694"/>
                                  <a14:backgroundMark x1="81466" y1="87500" x2="81466" y2="87500"/>
                                  <a14:backgroundMark x1="81466" y1="87500" x2="81466" y2="87500"/>
                                  <a14:backgroundMark x1="29095" y1="66532" x2="29095" y2="66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C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A564D" wp14:editId="5DDFAC3F">
                <wp:simplePos x="0" y="0"/>
                <wp:positionH relativeFrom="margin">
                  <wp:posOffset>-171450</wp:posOffset>
                </wp:positionH>
                <wp:positionV relativeFrom="paragraph">
                  <wp:posOffset>1276350</wp:posOffset>
                </wp:positionV>
                <wp:extent cx="4533900" cy="4972050"/>
                <wp:effectExtent l="0" t="0" r="19050" b="19050"/>
                <wp:wrapNone/>
                <wp:docPr id="2208177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972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4FBA8" w14:textId="77777777" w:rsidR="00477F2E" w:rsidRDefault="00477F2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897E0D" w14:textId="77777777" w:rsidR="00A65587" w:rsidRDefault="00A65587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4CF5B4" w14:textId="6ACD497F" w:rsidR="00CB213E" w:rsidRPr="00C41D3B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9. Documentation Requirements: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67ACAA5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Record disclosure details, decisions, safeguarding advice, police report numbers, and rationale for actions.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FBCBDA9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Submit InPhase report.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6C4CC31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6DA5ECC" w14:textId="77777777" w:rsidR="00CB213E" w:rsidRPr="00C41D3B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10. Support Services: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273A0A3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NSPCC, NAPAC, MOSAC, The Survivors Trust, Stop It Now!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8E64FAE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Encourage GP involvement.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68B7E1B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071BEFB" w14:textId="77777777" w:rsidR="00CB213E" w:rsidRPr="00C41D3B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Contacts: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6B86F9C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Central Bedfordshire Access and Referral Team – 0300 300 8585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C9E9800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Bedford Borough Integrated Front Door – 01234 718700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B3A1A27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Luton MASH – 01582 547 653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F0A486B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Newham MASH – 020 3373 4600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889339F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Tower Hamlets MASH – 020 7364 5006 opt 3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28E3340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Hackney MASH – 020 8356 5500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4510BF2" w14:textId="77777777" w:rsidR="00CB213E" w:rsidRPr="00CB213E" w:rsidRDefault="00CB213E" w:rsidP="00477F2E">
                            <w:pPr>
                              <w:spacing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City of London MASH – 020 7332 3621</w:t>
                            </w:r>
                            <w:r w:rsidRPr="00CB213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B64997F" w14:textId="77777777" w:rsidR="00012185" w:rsidRDefault="00012185" w:rsidP="00477F2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A564D" id="Text Box 9" o:spid="_x0000_s1026" style="position:absolute;margin-left:-13.5pt;margin-top:100.5pt;width:357pt;height:39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" fillcolor="#dceaf7 [351]" strokecolor="#dceaf7 [351]" strokeweight="1.5pt">
                <v:stroke joinstyle="miter"/>
                <v:textbox>
                  <w:txbxContent>
                    <w:p w14:paraId="5164FBA8" w14:textId="77777777" w:rsidR="00477F2E" w:rsidRDefault="00477F2E" w:rsidP="00477F2E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0897E0D" w14:textId="77777777" w:rsidR="00A65587" w:rsidRDefault="00A65587" w:rsidP="00477F2E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</w:pPr>
                    </w:p>
                    <w:p w14:paraId="3F4CF5B4" w14:textId="6ACD497F" w:rsidR="00CB213E" w:rsidRPr="00C41D3B" w:rsidRDefault="00CB213E" w:rsidP="00477F2E">
                      <w:pPr>
                        <w:spacing w:after="0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9. Documentation Requirements: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067ACAA5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Record disclosure details, decisions, safeguarding advice, police report numbers, and rationale for actions.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FBCBDA9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Submit InPhase report.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6C4CC31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6DA5ECC" w14:textId="77777777" w:rsidR="00CB213E" w:rsidRPr="00C41D3B" w:rsidRDefault="00CB213E" w:rsidP="00477F2E">
                      <w:pPr>
                        <w:spacing w:after="0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10. Support Services: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3273A0A3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NSPCC, NAPAC, MOSAC, The Survivors Trust, Stop It Now!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8E64FAE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Encourage GP involvement.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68B7E1B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071BEFB" w14:textId="77777777" w:rsidR="00CB213E" w:rsidRPr="00C41D3B" w:rsidRDefault="00CB213E" w:rsidP="00477F2E">
                      <w:pPr>
                        <w:spacing w:after="0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Contacts: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66B86F9C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Central Bedfordshire Access and Referral Team – 0300 300 8585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C9E9800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Bedford Borough Integrated Front Door – 01234 718700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B3A1A27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Luton MASH – 01582 547 653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F0A486B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Newham MASH – 020 3373 4600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889339F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Tower Hamlets MASH – 020 7364 5006 opt 3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28E3340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Hackney MASH – 020 8356 5500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4510BF2" w14:textId="77777777" w:rsidR="00CB213E" w:rsidRPr="00CB213E" w:rsidRDefault="00CB213E" w:rsidP="00477F2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City of London MASH – 020 7332 3621</w:t>
                      </w:r>
                      <w:r w:rsidRPr="00CB213E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B64997F" w14:textId="77777777" w:rsidR="00012185" w:rsidRDefault="00012185" w:rsidP="00477F2E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7F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7122" wp14:editId="465D215A">
                <wp:simplePos x="0" y="0"/>
                <wp:positionH relativeFrom="margin">
                  <wp:posOffset>5210175</wp:posOffset>
                </wp:positionH>
                <wp:positionV relativeFrom="paragraph">
                  <wp:posOffset>1304925</wp:posOffset>
                </wp:positionV>
                <wp:extent cx="4657725" cy="4933950"/>
                <wp:effectExtent l="0" t="0" r="28575" b="19050"/>
                <wp:wrapNone/>
                <wp:docPr id="9046910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9339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A8FB5" w14:textId="6D7A664F" w:rsidR="00012185" w:rsidRPr="00CC5535" w:rsidRDefault="00012185" w:rsidP="00012185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CC5535">
                              <w:rPr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NON</w:t>
                            </w:r>
                            <w:r w:rsidRPr="00CC5535">
                              <w:rPr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noBreakHyphen/>
                              <w:t>RECENT CHILD ABUSE – Full Guidance for Clinicians</w:t>
                            </w:r>
                          </w:p>
                          <w:p w14:paraId="6B858B8B" w14:textId="77777777" w:rsidR="00FD3ED7" w:rsidRPr="00C41D3B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>NON</w:t>
                            </w: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noBreakHyphen/>
                              <w:t>RECENT CHILD ABUSE – Guidance for Clinicians</w:t>
                            </w:r>
                          </w:p>
                          <w:p w14:paraId="54C3C2B5" w14:textId="7511814D" w:rsidR="00FD3ED7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Each of our local authority areas provides specific guidance as to how non-recent abuse should be managed. These procedures vary in their expected response; therefore, ELFT have produced this guidance document (aligned with borough specific guidance) that is expected to be followed following all disclosures of Non-Recent Abuse. This guidance explains the process to be followed and outlines clinician responsibilities.</w:t>
                            </w:r>
                          </w:p>
                          <w:p w14:paraId="5B58A37A" w14:textId="77777777" w:rsidR="002E109F" w:rsidRPr="00C41D3B" w:rsidRDefault="002E109F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2D601944" w14:textId="660B5214" w:rsidR="00664430" w:rsidRPr="00C41D3B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1. When a Service User Discloses Abuse </w:t>
                            </w:r>
                          </w:p>
                          <w:p w14:paraId="16E234CF" w14:textId="77777777" w:rsidR="00664430" w:rsidRPr="00664430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443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Listen with empathy and validate the disclosure. </w:t>
                            </w:r>
                          </w:p>
                          <w:p w14:paraId="3F1D3F11" w14:textId="77777777" w:rsidR="00664430" w:rsidRPr="00664430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443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• Re</w:t>
                            </w:r>
                            <w:r w:rsidRPr="00664430">
                              <w:rPr>
                                <w:rFonts w:ascii="Cambria Math" w:hAnsi="Cambria Math" w:cs="Cambria Math"/>
                                <w:color w:val="000000" w:themeColor="text1"/>
                                <w:sz w:val="22"/>
                                <w:szCs w:val="22"/>
                              </w:rPr>
                              <w:t>‑</w:t>
                            </w:r>
                            <w:r w:rsidRPr="0066443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explain confidentiality limits. </w:t>
                            </w:r>
                          </w:p>
                          <w:p w14:paraId="5EAD76D9" w14:textId="77777777" w:rsidR="00664430" w:rsidRPr="00664430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443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Clarify what may need to be shared. </w:t>
                            </w:r>
                          </w:p>
                          <w:p w14:paraId="4A019D54" w14:textId="2A327E23" w:rsidR="00664430" w:rsidRDefault="006644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• Reassure that reporting does not always lead to further Police or court action.</w:t>
                            </w:r>
                          </w:p>
                          <w:p w14:paraId="75BA8657" w14:textId="77777777" w:rsidR="00883530" w:rsidRDefault="008835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823FDB4" w14:textId="390AFDE2" w:rsidR="00FD3ED7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2. Ascertain whether others are at risk from the alleged perpetrator.</w:t>
                            </w: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DB377E3" w14:textId="77777777" w:rsidR="00883530" w:rsidRPr="00C41D3B" w:rsidRDefault="00883530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D301DA" w14:textId="6C2CCCA3" w:rsidR="00FD3ED7" w:rsidRPr="00C41D3B" w:rsidRDefault="00FD3ED7" w:rsidP="00CC553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3. Is there a need for a referral to the Local Authority Designated Officer (LADO)?</w:t>
                            </w: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17122" id="_x0000_s1027" style="position:absolute;margin-left:410.25pt;margin-top:102.75pt;width:366.75pt;height:3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" fillcolor="#dceaf7 [351]" strokecolor="#dceaf7 [351]" strokeweight="1.5pt">
                <v:stroke joinstyle="miter"/>
                <v:textbox>
                  <w:txbxContent>
                    <w:p w14:paraId="03FA8FB5" w14:textId="6D7A664F" w:rsidR="00012185" w:rsidRPr="00CC5535" w:rsidRDefault="00012185" w:rsidP="00012185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</w:pPr>
                      <w:r w:rsidRPr="00CC5535">
                        <w:rPr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  <w:t>NON</w:t>
                      </w:r>
                      <w:r w:rsidRPr="00CC5535">
                        <w:rPr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  <w:noBreakHyphen/>
                        <w:t>RECENT CHILD ABUSE – Full Guidance for Clinicians</w:t>
                      </w:r>
                    </w:p>
                    <w:p w14:paraId="6B858B8B" w14:textId="77777777" w:rsidR="00FD3ED7" w:rsidRPr="00C41D3B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>NON</w:t>
                      </w: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noBreakHyphen/>
                        <w:t>RECENT CHILD ABUSE – Guidance for Clinicians</w:t>
                      </w:r>
                    </w:p>
                    <w:p w14:paraId="54C3C2B5" w14:textId="7511814D" w:rsidR="00FD3ED7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Each of our local authority areas provides specific guidance as to how non-recent abuse should be managed. These procedures vary in their expected response; therefore, ELFT have produced this guidance document (aligned with borough specific guidance) that is expected to be followed following all disclosures of Non-Recent Abuse. This guidance explains the process to be followed and outlines clinician responsibilities.</w:t>
                      </w:r>
                    </w:p>
                    <w:p w14:paraId="5B58A37A" w14:textId="77777777" w:rsidR="002E109F" w:rsidRPr="00C41D3B" w:rsidRDefault="002E109F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</w:p>
                    <w:p w14:paraId="2D601944" w14:textId="660B5214" w:rsidR="00664430" w:rsidRPr="00C41D3B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 xml:space="preserve">1. When a Service User Discloses Abuse </w:t>
                      </w:r>
                    </w:p>
                    <w:p w14:paraId="16E234CF" w14:textId="77777777" w:rsidR="00664430" w:rsidRPr="00664430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6443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• Listen with empathy and validate the disclosure. </w:t>
                      </w:r>
                    </w:p>
                    <w:p w14:paraId="3F1D3F11" w14:textId="77777777" w:rsidR="00664430" w:rsidRPr="00664430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6443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• Re</w:t>
                      </w:r>
                      <w:r w:rsidRPr="00664430">
                        <w:rPr>
                          <w:rFonts w:ascii="Cambria Math" w:hAnsi="Cambria Math" w:cs="Cambria Math"/>
                          <w:color w:val="000000" w:themeColor="text1"/>
                          <w:sz w:val="22"/>
                          <w:szCs w:val="22"/>
                        </w:rPr>
                        <w:t>‑</w:t>
                      </w:r>
                      <w:r w:rsidRPr="0066443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explain confidentiality limits. </w:t>
                      </w:r>
                    </w:p>
                    <w:p w14:paraId="5EAD76D9" w14:textId="77777777" w:rsidR="00664430" w:rsidRPr="00664430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6443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• Clarify what may need to be shared. </w:t>
                      </w:r>
                    </w:p>
                    <w:p w14:paraId="4A019D54" w14:textId="2A327E23" w:rsidR="00664430" w:rsidRDefault="006644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• Reassure that reporting does not always lead to further Police or court action.</w:t>
                      </w:r>
                    </w:p>
                    <w:p w14:paraId="75BA8657" w14:textId="77777777" w:rsidR="00883530" w:rsidRDefault="008835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823FDB4" w14:textId="390AFDE2" w:rsidR="00FD3ED7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2. Ascertain whether others are at risk from the alleged perpetrator.</w:t>
                      </w: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0DB377E3" w14:textId="77777777" w:rsidR="00883530" w:rsidRPr="00C41D3B" w:rsidRDefault="00883530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</w:pPr>
                    </w:p>
                    <w:p w14:paraId="73D301DA" w14:textId="6C2CCCA3" w:rsidR="00FD3ED7" w:rsidRPr="00C41D3B" w:rsidRDefault="00FD3ED7" w:rsidP="00CC5535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3. Is there a need for a referral to the Local Authority Designated Officer (LADO)?</w:t>
                      </w: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6081">
        <w:rPr>
          <w:noProof/>
        </w:rPr>
        <w:drawing>
          <wp:anchor distT="0" distB="0" distL="114300" distR="114300" simplePos="0" relativeHeight="251658240" behindDoc="0" locked="0" layoutInCell="1" allowOverlap="1" wp14:anchorId="232D2FBC" wp14:editId="5D87E31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68635" cy="7077075"/>
            <wp:effectExtent l="0" t="0" r="0" b="9525"/>
            <wp:wrapSquare wrapText="bothSides"/>
            <wp:docPr id="154898409" name="Picture 8" descr="A blue and white drawing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8409" name="Picture 8" descr="A blue and white drawing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35" cy="707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97A58" w14:textId="7475700F" w:rsidR="00E66FA4" w:rsidRDefault="001E084E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7946ED24" wp14:editId="0CF48332">
            <wp:simplePos x="0" y="0"/>
            <wp:positionH relativeFrom="column">
              <wp:posOffset>7861935</wp:posOffset>
            </wp:positionH>
            <wp:positionV relativeFrom="paragraph">
              <wp:posOffset>190500</wp:posOffset>
            </wp:positionV>
            <wp:extent cx="1931035" cy="1032510"/>
            <wp:effectExtent l="0" t="0" r="0" b="0"/>
            <wp:wrapSquare wrapText="bothSides"/>
            <wp:docPr id="2080913304" name="Picture 2080913304" descr="East London NHS Foundation Trust - N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London NHS Foundation Trust - NS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59700" wp14:editId="6857D7BE">
                <wp:simplePos x="0" y="0"/>
                <wp:positionH relativeFrom="margin">
                  <wp:posOffset>5302155</wp:posOffset>
                </wp:positionH>
                <wp:positionV relativeFrom="paragraph">
                  <wp:posOffset>1235122</wp:posOffset>
                </wp:positionV>
                <wp:extent cx="4585648" cy="5010150"/>
                <wp:effectExtent l="0" t="0" r="24765" b="19050"/>
                <wp:wrapNone/>
                <wp:docPr id="15515652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648" cy="5010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249E5" w14:textId="77777777" w:rsidR="00477F2E" w:rsidRDefault="00477F2E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29EB6C4" w14:textId="2A174156" w:rsidR="00477F2E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If it is not known whether the alleged perpetrator has contact with children, please include this information.</w:t>
                            </w:r>
                          </w:p>
                          <w:p w14:paraId="342FE9DB" w14:textId="75B5379E" w:rsidR="00FD3ED7" w:rsidRPr="00FD3ED7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Record all actions and decisions including clinical risk, and whether Police should speak with the clinician first before contacting the service user.</w:t>
                            </w:r>
                          </w:p>
                          <w:p w14:paraId="2D2B3786" w14:textId="437D772C" w:rsidR="00FD3ED7" w:rsidRPr="0023299B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Complete safety planning and consult line manager/Named Professional for Safeguarding Children if neede</w:t>
                            </w:r>
                            <w:r w:rsidRPr="0023299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d.</w:t>
                            </w:r>
                          </w:p>
                          <w:p w14:paraId="5F40A361" w14:textId="77777777" w:rsidR="00CB213E" w:rsidRPr="0023299B" w:rsidRDefault="00CB213E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9C151C1" w14:textId="44238C0E" w:rsidR="00FD3ED7" w:rsidRPr="00C41D3B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7. What Happens After Information Is Shared:</w:t>
                            </w:r>
                          </w:p>
                          <w:p w14:paraId="486A1D86" w14:textId="22C0BF0B" w:rsidR="00FD3ED7" w:rsidRPr="00FD3ED7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Police assess safeguarding concerns and may contact the service user.</w:t>
                            </w:r>
                          </w:p>
                          <w:p w14:paraId="29FB714D" w14:textId="576DC72F" w:rsidR="00FD3ED7" w:rsidRPr="00FD3ED7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Strategy meeting regarding children or adults safeguarding may occur.</w:t>
                            </w:r>
                          </w:p>
                          <w:p w14:paraId="2E3665B9" w14:textId="297F4D23" w:rsidR="00FD3ED7" w:rsidRPr="00FD3ED7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Police may contact the service user to explain the next steps.</w:t>
                            </w:r>
                          </w:p>
                          <w:p w14:paraId="51437BE5" w14:textId="13BF033F" w:rsidR="00CB213E" w:rsidRPr="0023299B" w:rsidRDefault="00CB213E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</w:p>
                          <w:p w14:paraId="4A57785E" w14:textId="21EC3EF6" w:rsidR="00FD3ED7" w:rsidRPr="00C41D3B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8. Balancing Needs and Public Protection:</w:t>
                            </w:r>
                          </w:p>
                          <w:p w14:paraId="18B191BB" w14:textId="7F382A3F" w:rsidR="00FD3ED7" w:rsidRPr="00FD3ED7" w:rsidRDefault="00FD3ED7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Risk may be higher when the perpetrator still has access to children or works with them.</w:t>
                            </w:r>
                          </w:p>
                          <w:p w14:paraId="1FDE54D8" w14:textId="77777777" w:rsidR="00CB213E" w:rsidRPr="0023299B" w:rsidRDefault="00CB213E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4E8B3CC" w14:textId="28B9ACA6" w:rsidR="001D1DA3" w:rsidRPr="0023299B" w:rsidRDefault="001D1DA3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D1DA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Sometimes information must be shared without consent.</w:t>
                            </w:r>
                          </w:p>
                          <w:p w14:paraId="5A9AE4BA" w14:textId="77777777" w:rsidR="00CB213E" w:rsidRPr="001D1DA3" w:rsidRDefault="00CB213E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E4681EF" w14:textId="7AEA02B2" w:rsidR="001D1DA3" w:rsidRPr="001D1DA3" w:rsidRDefault="001D1DA3" w:rsidP="0096771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D1DA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Consider the adult service user’s clinical risk and balance decision making recording all rational in clinical record</w:t>
                            </w:r>
                            <w:r w:rsidRPr="0023299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s.</w:t>
                            </w:r>
                          </w:p>
                          <w:p w14:paraId="209D424E" w14:textId="77777777" w:rsidR="00FD3ED7" w:rsidRPr="00FD3ED7" w:rsidRDefault="00FD3ED7" w:rsidP="00FD3ED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32800E7" w14:textId="76F3DDC3" w:rsidR="00664430" w:rsidRPr="00664430" w:rsidRDefault="00664430" w:rsidP="0066443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59700" id="_x0000_s1028" style="position:absolute;margin-left:417.5pt;margin-top:97.25pt;width:361.05pt;height:39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" fillcolor="#dceaf7 [351]" strokecolor="#dceaf7 [351]" strokeweight="1.5pt">
                <v:stroke joinstyle="miter"/>
                <v:textbox>
                  <w:txbxContent>
                    <w:p w14:paraId="593249E5" w14:textId="77777777" w:rsidR="00477F2E" w:rsidRDefault="00477F2E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429EB6C4" w14:textId="2A174156" w:rsidR="00477F2E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If it is not known whether the alleged perpetrator has contact with children, please include this information.</w:t>
                      </w:r>
                    </w:p>
                    <w:p w14:paraId="342FE9DB" w14:textId="75B5379E" w:rsidR="00FD3ED7" w:rsidRPr="00FD3ED7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Record all actions and decisions including clinical risk, and whether Police should speak with the clinician first before contacting the service user.</w:t>
                      </w:r>
                    </w:p>
                    <w:p w14:paraId="2D2B3786" w14:textId="437D772C" w:rsidR="00FD3ED7" w:rsidRPr="0023299B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Complete safety planning and consult line manager/Named Professional for Safeguarding Children if neede</w:t>
                      </w:r>
                      <w:r w:rsidRPr="0023299B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d.</w:t>
                      </w:r>
                    </w:p>
                    <w:p w14:paraId="5F40A361" w14:textId="77777777" w:rsidR="00CB213E" w:rsidRPr="0023299B" w:rsidRDefault="00CB213E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9C151C1" w14:textId="44238C0E" w:rsidR="00FD3ED7" w:rsidRPr="00C41D3B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7. What Happens After Information Is Shared:</w:t>
                      </w:r>
                    </w:p>
                    <w:p w14:paraId="486A1D86" w14:textId="22C0BF0B" w:rsidR="00FD3ED7" w:rsidRPr="00FD3ED7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Police assess safeguarding concerns and may contact the service user.</w:t>
                      </w:r>
                    </w:p>
                    <w:p w14:paraId="29FB714D" w14:textId="576DC72F" w:rsidR="00FD3ED7" w:rsidRPr="00FD3ED7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Strategy meeting regarding children or adults safeguarding may occur.</w:t>
                      </w:r>
                    </w:p>
                    <w:p w14:paraId="2E3665B9" w14:textId="297F4D23" w:rsidR="00FD3ED7" w:rsidRPr="00FD3ED7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Police may contact the service user to explain the next steps.</w:t>
                      </w:r>
                    </w:p>
                    <w:p w14:paraId="51437BE5" w14:textId="13BF033F" w:rsidR="00CB213E" w:rsidRPr="0023299B" w:rsidRDefault="00CB213E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</w:p>
                    <w:p w14:paraId="4A57785E" w14:textId="21EC3EF6" w:rsidR="00FD3ED7" w:rsidRPr="00C41D3B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8. Balancing Needs and Public Protection:</w:t>
                      </w:r>
                    </w:p>
                    <w:p w14:paraId="18B191BB" w14:textId="7F382A3F" w:rsidR="00FD3ED7" w:rsidRPr="00FD3ED7" w:rsidRDefault="00FD3ED7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Risk may be higher when the perpetrator still has access to children or works with them.</w:t>
                      </w:r>
                    </w:p>
                    <w:p w14:paraId="1FDE54D8" w14:textId="77777777" w:rsidR="00CB213E" w:rsidRPr="0023299B" w:rsidRDefault="00CB213E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44E8B3CC" w14:textId="28B9ACA6" w:rsidR="001D1DA3" w:rsidRPr="0023299B" w:rsidRDefault="001D1DA3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D1DA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Sometimes information must be shared without consent.</w:t>
                      </w:r>
                    </w:p>
                    <w:p w14:paraId="5A9AE4BA" w14:textId="77777777" w:rsidR="00CB213E" w:rsidRPr="001D1DA3" w:rsidRDefault="00CB213E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E4681EF" w14:textId="7AEA02B2" w:rsidR="001D1DA3" w:rsidRPr="001D1DA3" w:rsidRDefault="001D1DA3" w:rsidP="0096771A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D1DA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Consider the adult service user’s clinical risk and balance decision making recording all rational in clinical record</w:t>
                      </w:r>
                      <w:r w:rsidRPr="0023299B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s.</w:t>
                      </w:r>
                    </w:p>
                    <w:p w14:paraId="209D424E" w14:textId="77777777" w:rsidR="00FD3ED7" w:rsidRPr="00FD3ED7" w:rsidRDefault="00FD3ED7" w:rsidP="00FD3ED7">
                      <w:pPr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32800E7" w14:textId="76F3DDC3" w:rsidR="00664430" w:rsidRPr="00664430" w:rsidRDefault="00664430" w:rsidP="00664430">
                      <w:pPr>
                        <w:rPr>
                          <w:rFonts w:ascii="Calibri" w:hAnsi="Calibri" w:cs="Calibri"/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435BD" wp14:editId="5858E53C">
                <wp:simplePos x="0" y="0"/>
                <wp:positionH relativeFrom="margin">
                  <wp:posOffset>-170597</wp:posOffset>
                </wp:positionH>
                <wp:positionV relativeFrom="paragraph">
                  <wp:posOffset>1235122</wp:posOffset>
                </wp:positionV>
                <wp:extent cx="4694830" cy="5022234"/>
                <wp:effectExtent l="0" t="0" r="10795" b="26035"/>
                <wp:wrapNone/>
                <wp:docPr id="21111702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830" cy="502223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06FFB" w14:textId="77777777" w:rsidR="00477F2E" w:rsidRPr="00C41D3B" w:rsidRDefault="00477F2E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1A631A" w14:textId="7949C53B" w:rsidR="00FD3ED7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4. If it is identified that children are at risk: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758C738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If in immediate danger → call 999.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3DF830B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Refer to Children’s Social Care in the borough that the child resides.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0B2EC5B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Contact police quickly if forensic evidence may be relevant.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B220ABD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Clearly document actions in clinical records.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D0D238" w14:textId="77777777" w:rsidR="001D1DA3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FE04659" w14:textId="64C0BAF2" w:rsidR="00FD3ED7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5. If the Service User Wants to Report Themselves: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9F7B745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 users may report via police, Crimestoppers or NSPCC. Encourage giving their name when safe and offer support to do this.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3EC455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Should they be willing to self-report, it is important for staff to also make a Police report on 101 online/phone.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7F54E1D" w14:textId="77777777" w:rsidR="001D1DA3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E578470" w14:textId="761D954B" w:rsidR="00FD3ED7" w:rsidRPr="00C41D3B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C41D3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  <w:lang w:val="en-US"/>
                              </w:rPr>
                              <w:t>6. When There Is No Immediate Risk:</w:t>
                            </w:r>
                            <w:r w:rsidRPr="00C41D3B">
                              <w:rPr>
                                <w:rFonts w:ascii="Calibri" w:hAnsi="Calibri" w:cs="Calibri"/>
                                <w:color w:val="0E2841" w:themeColor="text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E807842" w14:textId="5548FB9E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5428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If demographic (identifiable) details of the alleged perpetrator are shared, we are required to file a report to the Police irrespective of the wishes of the service user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1923EF6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Ways you can file a report to the Police: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2864C0B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Telephone 101 – obtain a CAD/URN and document in clinical records.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201252" w14:textId="77777777" w:rsidR="00FD3ED7" w:rsidRPr="00FD3ED7" w:rsidRDefault="00FD3ED7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• Or 101 online reporting.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DF6427D" w14:textId="77777777" w:rsidR="0023299B" w:rsidRPr="00FD3ED7" w:rsidRDefault="0023299B" w:rsidP="00477F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Please specifically state whether the service user has agreed to the report or stated they do not wish to report or support a prosecution.</w:t>
                            </w:r>
                            <w:r w:rsidRPr="00FD3E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67F9C56" w14:textId="0A6BA2D8" w:rsidR="00FD3ED7" w:rsidRPr="00FD3ED7" w:rsidRDefault="00FD3ED7" w:rsidP="00FD3ED7"/>
                          <w:p w14:paraId="289D5FB8" w14:textId="77777777" w:rsidR="00FD3ED7" w:rsidRPr="00FD3ED7" w:rsidRDefault="00FD3ED7" w:rsidP="00FD3ED7">
                            <w:r w:rsidRPr="00FD3ED7">
                              <w:t> </w:t>
                            </w:r>
                          </w:p>
                          <w:p w14:paraId="36D3BDAC" w14:textId="77777777" w:rsidR="00664430" w:rsidRDefault="00664430" w:rsidP="00664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435BD" id="_x0000_s1029" style="position:absolute;margin-left:-13.45pt;margin-top:97.25pt;width:369.65pt;height:395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" fillcolor="#dceaf7 [351]" strokecolor="#dceaf7 [351]" strokeweight="1.5pt">
                <v:stroke joinstyle="miter"/>
                <v:textbox>
                  <w:txbxContent>
                    <w:p w14:paraId="1E206FFB" w14:textId="77777777" w:rsidR="00477F2E" w:rsidRPr="00C41D3B" w:rsidRDefault="00477F2E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</w:pPr>
                    </w:p>
                    <w:p w14:paraId="781A631A" w14:textId="7949C53B" w:rsidR="00FD3ED7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4. If it is identified that children are at risk: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2758C738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If in immediate danger → call 999.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3DF830B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Refer to Children’s Social Care in the borough that the child resides.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0B2EC5B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Contact police quickly if forensic evidence may be relevant.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B220ABD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Clearly document actions in clinical records.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0D0D238" w14:textId="77777777" w:rsidR="001D1DA3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FE04659" w14:textId="64C0BAF2" w:rsidR="00FD3ED7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5. If the Service User Wants to Report Themselves: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69F7B745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Service users may report via police, Crimestoppers or NSPCC. Encourage giving their name when safe and offer support to do this.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F3EC455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Should they be willing to self-report, it is important for staff to also make a Police report on 101 online/phone.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7F54E1D" w14:textId="77777777" w:rsidR="001D1DA3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1E578470" w14:textId="761D954B" w:rsidR="00FD3ED7" w:rsidRPr="00C41D3B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</w:pPr>
                      <w:r w:rsidRPr="00C41D3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2"/>
                          <w:szCs w:val="22"/>
                          <w:lang w:val="en-US"/>
                        </w:rPr>
                        <w:t>6. When There Is No Immediate Risk:</w:t>
                      </w:r>
                      <w:r w:rsidRPr="00C41D3B">
                        <w:rPr>
                          <w:rFonts w:ascii="Calibri" w:hAnsi="Calibri" w:cs="Calibri"/>
                          <w:color w:val="0E2841" w:themeColor="text2"/>
                          <w:sz w:val="22"/>
                          <w:szCs w:val="22"/>
                        </w:rPr>
                        <w:t> </w:t>
                      </w:r>
                    </w:p>
                    <w:p w14:paraId="1E807842" w14:textId="5548FB9E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5428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If demographic (identifiable) details of the alleged perpetrator are shared, we are required to file a report to the Police irrespective of the wishes of the service user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1923EF6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Ways you can file a report to the Police: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2864C0B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Telephone 101 – obtain a CAD/URN and document in clinical records.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5201252" w14:textId="77777777" w:rsidR="00FD3ED7" w:rsidRPr="00FD3ED7" w:rsidRDefault="00FD3ED7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• Or 101 online reporting.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DF6427D" w14:textId="77777777" w:rsidR="0023299B" w:rsidRPr="00FD3ED7" w:rsidRDefault="0023299B" w:rsidP="00477F2E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Please specifically state whether the service user has agreed to the report or stated they do not wish to report or support a prosecution.</w:t>
                      </w:r>
                      <w:r w:rsidRPr="00FD3E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67F9C56" w14:textId="0A6BA2D8" w:rsidR="00FD3ED7" w:rsidRPr="00FD3ED7" w:rsidRDefault="00FD3ED7" w:rsidP="00FD3ED7"/>
                    <w:p w14:paraId="289D5FB8" w14:textId="77777777" w:rsidR="00FD3ED7" w:rsidRPr="00FD3ED7" w:rsidRDefault="00FD3ED7" w:rsidP="00FD3ED7">
                      <w:r w:rsidRPr="00FD3ED7">
                        <w:t> </w:t>
                      </w:r>
                    </w:p>
                    <w:p w14:paraId="36D3BDAC" w14:textId="77777777" w:rsidR="00664430" w:rsidRDefault="00664430" w:rsidP="00664430"/>
                  </w:txbxContent>
                </v:textbox>
                <w10:wrap anchorx="margin"/>
              </v:roundrect>
            </w:pict>
          </mc:Fallback>
        </mc:AlternateContent>
      </w:r>
      <w:r w:rsidR="007B6081">
        <w:rPr>
          <w:noProof/>
        </w:rPr>
        <w:drawing>
          <wp:anchor distT="0" distB="0" distL="114300" distR="114300" simplePos="0" relativeHeight="251665408" behindDoc="0" locked="0" layoutInCell="1" allowOverlap="1" wp14:anchorId="146A821C" wp14:editId="5F99DDA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68635" cy="7077075"/>
            <wp:effectExtent l="0" t="0" r="0" b="9525"/>
            <wp:wrapSquare wrapText="bothSides"/>
            <wp:docPr id="270883745" name="Picture 8" descr="A blue and white drawing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8409" name="Picture 8" descr="A blue and white drawing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35" cy="707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13E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B1FF5EE" wp14:editId="42BC8985">
            <wp:simplePos x="0" y="0"/>
            <wp:positionH relativeFrom="column">
              <wp:posOffset>2143125</wp:posOffset>
            </wp:positionH>
            <wp:positionV relativeFrom="paragraph">
              <wp:posOffset>148590</wp:posOffset>
            </wp:positionV>
            <wp:extent cx="1931035" cy="1032510"/>
            <wp:effectExtent l="0" t="0" r="0" b="0"/>
            <wp:wrapSquare wrapText="bothSides"/>
            <wp:docPr id="1964374834" name="Picture 1964374834" descr="East London NHS Foundation Trust - N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London NHS Foundation Trust - NS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871" b="89113" l="5819" r="93750">
                                  <a14:foregroundMark x1="52802" y1="25000" x2="52802" y2="25000"/>
                                  <a14:foregroundMark x1="57112" y1="23790" x2="57112" y2="23790"/>
                                  <a14:foregroundMark x1="61638" y1="25806" x2="61638" y2="25806"/>
                                  <a14:foregroundMark x1="93319" y1="23790" x2="93319" y2="23790"/>
                                  <a14:foregroundMark x1="89224" y1="25000" x2="89224" y2="25000"/>
                                  <a14:foregroundMark x1="87284" y1="22177" x2="87284" y2="22177"/>
                                  <a14:foregroundMark x1="84914" y1="12903" x2="84914" y2="12903"/>
                                  <a14:foregroundMark x1="84914" y1="12903" x2="84914" y2="12903"/>
                                  <a14:foregroundMark x1="83405" y1="55242" x2="83405" y2="55242"/>
                                  <a14:foregroundMark x1="82974" y1="58065" x2="82974" y2="58065"/>
                                  <a14:foregroundMark x1="83836" y1="57258" x2="83836" y2="57258"/>
                                  <a14:foregroundMark x1="83836" y1="57258" x2="85345" y2="60081"/>
                                  <a14:foregroundMark x1="89224" y1="62903" x2="89224" y2="62903"/>
                                  <a14:foregroundMark x1="89224" y1="62903" x2="89224" y2="62903"/>
                                  <a14:foregroundMark x1="92241" y1="58871" x2="92241" y2="58871"/>
                                  <a14:foregroundMark x1="75862" y1="58871" x2="75862" y2="58871"/>
                                  <a14:foregroundMark x1="73922" y1="58065" x2="73922" y2="58065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8103" y1="58871" x2="68103" y2="58871"/>
                                  <a14:foregroundMark x1="65517" y1="58871" x2="65517" y2="58871"/>
                                  <a14:foregroundMark x1="56681" y1="62903" x2="56681" y2="62903"/>
                                  <a14:foregroundMark x1="56681" y1="62903" x2="56681" y2="62903"/>
                                  <a14:foregroundMark x1="48922" y1="58065" x2="48922" y2="58065"/>
                                  <a14:foregroundMark x1="48922" y1="58065" x2="48922" y2="58065"/>
                                  <a14:foregroundMark x1="48922" y1="58065" x2="48922" y2="58065"/>
                                  <a14:foregroundMark x1="52802" y1="65323" x2="52802" y2="65323"/>
                                  <a14:foregroundMark x1="53233" y1="66532" x2="53233" y2="66532"/>
                                  <a14:foregroundMark x1="53233" y1="66532" x2="53233" y2="66532"/>
                                  <a14:foregroundMark x1="34483" y1="61694" x2="34483" y2="61694"/>
                                  <a14:foregroundMark x1="40948" y1="57258" x2="40948" y2="57258"/>
                                  <a14:foregroundMark x1="28664" y1="61694" x2="28664" y2="61694"/>
                                  <a14:foregroundMark x1="30172" y1="60887" x2="30172" y2="60887"/>
                                  <a14:foregroundMark x1="22198" y1="53629" x2="22198" y2="53629"/>
                                  <a14:foregroundMark x1="18319" y1="81048" x2="18319" y2="81048"/>
                                  <a14:foregroundMark x1="14871" y1="80242" x2="14871" y2="80242"/>
                                  <a14:foregroundMark x1="8836" y1="79435" x2="8836" y2="79435"/>
                                  <a14:foregroundMark x1="5819" y1="82258" x2="5819" y2="82258"/>
                                  <a14:foregroundMark x1="26078" y1="88710" x2="26078" y2="88710"/>
                                  <a14:foregroundMark x1="26078" y1="89516" x2="26078" y2="89516"/>
                                  <a14:foregroundMark x1="29095" y1="84677" x2="29095" y2="84677"/>
                                  <a14:foregroundMark x1="37931" y1="84677" x2="37931" y2="84677"/>
                                  <a14:foregroundMark x1="41379" y1="85887" x2="41379" y2="85887"/>
                                  <a14:foregroundMark x1="46767" y1="83871" x2="46767" y2="83871"/>
                                  <a14:foregroundMark x1="53664" y1="83871" x2="53664" y2="83871"/>
                                  <a14:foregroundMark x1="58190" y1="86694" x2="58190" y2="86694"/>
                                  <a14:foregroundMark x1="60776" y1="89516" x2="60776" y2="89516"/>
                                  <a14:foregroundMark x1="60776" y1="78226" x2="60776" y2="78226"/>
                                  <a14:foregroundMark x1="66164" y1="85887" x2="66164" y2="85887"/>
                                  <a14:foregroundMark x1="71121" y1="86694" x2="71121" y2="86694"/>
                                  <a14:foregroundMark x1="78017" y1="81048" x2="78017" y2="81048"/>
                                  <a14:foregroundMark x1="75862" y1="57258" x2="75862" y2="57258"/>
                                  <a14:foregroundMark x1="76940" y1="58871" x2="76940" y2="58871"/>
                                  <a14:foregroundMark x1="60776" y1="60887" x2="60776" y2="60887"/>
                                  <a14:foregroundMark x1="29095" y1="61694" x2="29095" y2="61694"/>
                                  <a14:foregroundMark x1="85776" y1="86694" x2="85776" y2="86694"/>
                                  <a14:foregroundMark x1="89871" y1="85887" x2="89871" y2="85887"/>
                                  <a14:foregroundMark x1="93750" y1="85887" x2="93750" y2="85887"/>
                                  <a14:foregroundMark x1="81466" y1="86694" x2="81466" y2="86694"/>
                                  <a14:foregroundMark x1="58190" y1="87500" x2="58190" y2="87500"/>
                                  <a14:foregroundMark x1="57112" y1="86694" x2="57112" y2="86694"/>
                                  <a14:foregroundMark x1="42026" y1="68145" x2="42026" y2="68145"/>
                                  <a14:foregroundMark x1="37931" y1="66532" x2="37931" y2="66532"/>
                                  <a14:foregroundMark x1="30603" y1="61694" x2="30603" y2="61694"/>
                                  <a14:foregroundMark x1="30172" y1="62903" x2="30172" y2="62903"/>
                                  <a14:foregroundMark x1="30172" y1="62903" x2="30172" y2="62903"/>
                                  <a14:foregroundMark x1="30172" y1="66532" x2="30172" y2="66532"/>
                                  <a14:foregroundMark x1="65086" y1="61694" x2="65086" y2="61694"/>
                                  <a14:foregroundMark x1="79957" y1="86694" x2="79957" y2="86694"/>
                                  <a14:backgroundMark x1="47845" y1="84677" x2="47845" y2="84677"/>
                                  <a14:backgroundMark x1="52371" y1="86694" x2="52371" y2="86694"/>
                                  <a14:backgroundMark x1="58190" y1="86694" x2="58190" y2="86694"/>
                                  <a14:backgroundMark x1="81897" y1="88710" x2="81897" y2="88710"/>
                                  <a14:backgroundMark x1="80819" y1="87500" x2="80819" y2="87500"/>
                                  <a14:backgroundMark x1="81897" y1="86694" x2="81897" y2="86694"/>
                                  <a14:backgroundMark x1="81466" y1="87500" x2="81466" y2="87500"/>
                                  <a14:backgroundMark x1="81466" y1="87500" x2="81466" y2="87500"/>
                                  <a14:backgroundMark x1="29095" y1="66532" x2="29095" y2="66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6FA4" w:rsidSect="00E66F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12185"/>
    <w:rsid w:val="0015428D"/>
    <w:rsid w:val="001711D6"/>
    <w:rsid w:val="001A0C8E"/>
    <w:rsid w:val="001D1DA3"/>
    <w:rsid w:val="001E084E"/>
    <w:rsid w:val="0023299B"/>
    <w:rsid w:val="002E109F"/>
    <w:rsid w:val="004426A7"/>
    <w:rsid w:val="00477F2E"/>
    <w:rsid w:val="004F7482"/>
    <w:rsid w:val="005B074B"/>
    <w:rsid w:val="005D4539"/>
    <w:rsid w:val="00664430"/>
    <w:rsid w:val="006E6BA6"/>
    <w:rsid w:val="007852A0"/>
    <w:rsid w:val="007B6081"/>
    <w:rsid w:val="00803200"/>
    <w:rsid w:val="00883530"/>
    <w:rsid w:val="00917CBE"/>
    <w:rsid w:val="0096771A"/>
    <w:rsid w:val="00A65587"/>
    <w:rsid w:val="00AA3881"/>
    <w:rsid w:val="00AB5281"/>
    <w:rsid w:val="00BA4926"/>
    <w:rsid w:val="00C41D3B"/>
    <w:rsid w:val="00C64831"/>
    <w:rsid w:val="00CB213E"/>
    <w:rsid w:val="00CC5535"/>
    <w:rsid w:val="00D03B71"/>
    <w:rsid w:val="00D82511"/>
    <w:rsid w:val="00E5066C"/>
    <w:rsid w:val="00E66FA4"/>
    <w:rsid w:val="00F37BF7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823B"/>
  <w15:chartTrackingRefBased/>
  <w15:docId w15:val="{A43397A1-C9A8-466D-A959-5DA4248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QURASHI, Saira (EAST LONDON NHS FOUNDATION TRUST)</dc:creator>
  <cp:keywords/>
  <dc:description/>
  <cp:lastModifiedBy>Gurinder</cp:lastModifiedBy>
  <cp:revision>2</cp:revision>
  <dcterms:created xsi:type="dcterms:W3CDTF">2026-05-26T09:32:00Z</dcterms:created>
  <dcterms:modified xsi:type="dcterms:W3CDTF">2026-05-26T09:32:00Z</dcterms:modified>
</cp:coreProperties>
</file>