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6716" w14:textId="77777777" w:rsidR="006F3719" w:rsidRDefault="006F3719" w:rsidP="006F3719">
      <w:pPr>
        <w:jc w:val="center"/>
        <w:rPr>
          <w:sz w:val="40"/>
          <w:szCs w:val="40"/>
        </w:rPr>
      </w:pPr>
    </w:p>
    <w:p w14:paraId="207A87D8" w14:textId="67D68A0D" w:rsidR="006F3719" w:rsidRDefault="001624B4" w:rsidP="006F3719">
      <w:pPr>
        <w:jc w:val="center"/>
      </w:pPr>
      <w:r>
        <w:rPr>
          <w:sz w:val="40"/>
          <w:szCs w:val="40"/>
        </w:rPr>
        <w:t>Protocol for use of Multi-compartment Compliance Aids (MCAs)</w:t>
      </w:r>
    </w:p>
    <w:p w14:paraId="17BA1C93" w14:textId="77777777" w:rsidR="006F3719" w:rsidRDefault="006F3719" w:rsidP="006F3719"/>
    <w:p w14:paraId="59E6E23B"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0707196D" w14:textId="77777777" w:rsidTr="0084474D">
        <w:tc>
          <w:tcPr>
            <w:tcW w:w="4513" w:type="dxa"/>
          </w:tcPr>
          <w:p w14:paraId="0981DF6F" w14:textId="7280015A" w:rsidR="0084474D" w:rsidRDefault="0084474D" w:rsidP="0084474D">
            <w:pPr>
              <w:spacing w:before="40" w:after="40"/>
            </w:pPr>
            <w:r>
              <w:t xml:space="preserve">Version </w:t>
            </w:r>
            <w:r w:rsidR="00E60730">
              <w:t>number:</w:t>
            </w:r>
          </w:p>
        </w:tc>
        <w:tc>
          <w:tcPr>
            <w:tcW w:w="4487" w:type="dxa"/>
          </w:tcPr>
          <w:p w14:paraId="56654B50" w14:textId="295AC52E" w:rsidR="0084474D" w:rsidRDefault="005F0428" w:rsidP="0084474D">
            <w:pPr>
              <w:spacing w:before="40" w:after="40"/>
            </w:pPr>
            <w:r>
              <w:t>3</w:t>
            </w:r>
            <w:r w:rsidR="001624B4">
              <w:t>.0</w:t>
            </w:r>
          </w:p>
        </w:tc>
      </w:tr>
      <w:tr w:rsidR="0084474D" w14:paraId="7ED4DAA3" w14:textId="77777777" w:rsidTr="0084474D">
        <w:tc>
          <w:tcPr>
            <w:tcW w:w="4513" w:type="dxa"/>
          </w:tcPr>
          <w:p w14:paraId="36672A83" w14:textId="77777777" w:rsidR="0084474D" w:rsidRDefault="0084474D" w:rsidP="0084474D">
            <w:pPr>
              <w:spacing w:before="40" w:after="40"/>
            </w:pPr>
            <w:r>
              <w:t xml:space="preserve">Consultation Groups </w:t>
            </w:r>
          </w:p>
        </w:tc>
        <w:tc>
          <w:tcPr>
            <w:tcW w:w="4487" w:type="dxa"/>
          </w:tcPr>
          <w:p w14:paraId="38342F88" w14:textId="1507CB1F" w:rsidR="006F3ABB" w:rsidRDefault="006F3ABB" w:rsidP="006F3ABB">
            <w:pPr>
              <w:rPr>
                <w:rFonts w:cs="Arial"/>
              </w:rPr>
            </w:pPr>
            <w:r>
              <w:rPr>
                <w:rFonts w:cs="Arial"/>
              </w:rPr>
              <w:t>In-</w:t>
            </w:r>
            <w:r w:rsidRPr="006F3ABB">
              <w:rPr>
                <w:rFonts w:cs="Arial"/>
              </w:rPr>
              <w:t xml:space="preserve">Patient </w:t>
            </w:r>
            <w:r>
              <w:rPr>
                <w:rFonts w:cs="Arial"/>
              </w:rPr>
              <w:t>Mental Health Directorate Leads</w:t>
            </w:r>
          </w:p>
          <w:p w14:paraId="2ED6BB1C" w14:textId="0115B101" w:rsidR="0084474D" w:rsidRPr="006F3ABB" w:rsidRDefault="001624B4" w:rsidP="006F3ABB">
            <w:pPr>
              <w:rPr>
                <w:rFonts w:cs="Arial"/>
              </w:rPr>
            </w:pPr>
            <w:r>
              <w:t>Medicines Committee</w:t>
            </w:r>
            <w:r w:rsidR="006F3ABB">
              <w:t xml:space="preserve"> </w:t>
            </w:r>
          </w:p>
        </w:tc>
      </w:tr>
      <w:tr w:rsidR="0084474D" w14:paraId="2B27E2CE" w14:textId="77777777" w:rsidTr="0084474D">
        <w:tc>
          <w:tcPr>
            <w:tcW w:w="4513" w:type="dxa"/>
          </w:tcPr>
          <w:p w14:paraId="46D4ABA1" w14:textId="77777777" w:rsidR="0084474D" w:rsidRDefault="0084474D" w:rsidP="0084474D">
            <w:pPr>
              <w:spacing w:before="40" w:after="40"/>
            </w:pPr>
            <w:r>
              <w:t>Approved by (Sponsor Group)</w:t>
            </w:r>
          </w:p>
        </w:tc>
        <w:tc>
          <w:tcPr>
            <w:tcW w:w="4487" w:type="dxa"/>
          </w:tcPr>
          <w:p w14:paraId="67C9289C" w14:textId="2DCCC282" w:rsidR="0084474D" w:rsidRDefault="001624B4" w:rsidP="0084474D">
            <w:pPr>
              <w:spacing w:before="40" w:after="40"/>
            </w:pPr>
            <w:r>
              <w:t>Medicines Committee</w:t>
            </w:r>
          </w:p>
        </w:tc>
      </w:tr>
      <w:tr w:rsidR="0084474D" w14:paraId="415E678D" w14:textId="77777777" w:rsidTr="0084474D">
        <w:tc>
          <w:tcPr>
            <w:tcW w:w="4513" w:type="dxa"/>
          </w:tcPr>
          <w:p w14:paraId="3434D586" w14:textId="77777777" w:rsidR="0084474D" w:rsidRDefault="0084474D" w:rsidP="0084474D">
            <w:pPr>
              <w:spacing w:before="40" w:after="40"/>
            </w:pPr>
            <w:r>
              <w:t>Ratified by:</w:t>
            </w:r>
          </w:p>
        </w:tc>
        <w:tc>
          <w:tcPr>
            <w:tcW w:w="4487" w:type="dxa"/>
          </w:tcPr>
          <w:p w14:paraId="69F0439A" w14:textId="234EBE35" w:rsidR="0084474D" w:rsidRDefault="001624B4" w:rsidP="0084474D">
            <w:pPr>
              <w:spacing w:before="40" w:after="40"/>
            </w:pPr>
            <w:r>
              <w:t>Medicines Committee</w:t>
            </w:r>
          </w:p>
        </w:tc>
      </w:tr>
      <w:tr w:rsidR="0084474D" w14:paraId="5ABDF99C" w14:textId="77777777" w:rsidTr="0084474D">
        <w:tc>
          <w:tcPr>
            <w:tcW w:w="4513" w:type="dxa"/>
          </w:tcPr>
          <w:p w14:paraId="5DB768AF" w14:textId="77777777" w:rsidR="0084474D" w:rsidRDefault="0084474D" w:rsidP="0084474D">
            <w:pPr>
              <w:spacing w:before="40" w:after="40"/>
            </w:pPr>
            <w:r>
              <w:t>Date ratified:</w:t>
            </w:r>
          </w:p>
        </w:tc>
        <w:tc>
          <w:tcPr>
            <w:tcW w:w="4487" w:type="dxa"/>
          </w:tcPr>
          <w:p w14:paraId="6037E0F5" w14:textId="348EDF4E" w:rsidR="0084474D" w:rsidRDefault="004B3C4B" w:rsidP="0084474D">
            <w:pPr>
              <w:spacing w:before="40" w:after="40"/>
            </w:pPr>
            <w:r>
              <w:t>Ma</w:t>
            </w:r>
            <w:r w:rsidR="006F3ABB">
              <w:t>y</w:t>
            </w:r>
            <w:r>
              <w:t xml:space="preserve"> 2026</w:t>
            </w:r>
          </w:p>
        </w:tc>
      </w:tr>
      <w:tr w:rsidR="0084474D" w14:paraId="23F4578B" w14:textId="77777777" w:rsidTr="0084474D">
        <w:tc>
          <w:tcPr>
            <w:tcW w:w="4513" w:type="dxa"/>
          </w:tcPr>
          <w:p w14:paraId="451DB102" w14:textId="77777777" w:rsidR="0084474D" w:rsidRDefault="0084474D" w:rsidP="0084474D">
            <w:pPr>
              <w:spacing w:before="40" w:after="40"/>
            </w:pPr>
            <w:r>
              <w:t>Name of originator/author:</w:t>
            </w:r>
          </w:p>
        </w:tc>
        <w:tc>
          <w:tcPr>
            <w:tcW w:w="4487" w:type="dxa"/>
          </w:tcPr>
          <w:p w14:paraId="363B952D" w14:textId="3D090D6A" w:rsidR="0084474D" w:rsidRDefault="004B3C4B" w:rsidP="0084474D">
            <w:pPr>
              <w:spacing w:before="40" w:after="40"/>
              <w:rPr>
                <w:rFonts w:cs="Arial"/>
              </w:rPr>
            </w:pPr>
            <w:r>
              <w:rPr>
                <w:rFonts w:cs="Arial"/>
              </w:rPr>
              <w:t xml:space="preserve">Clinical </w:t>
            </w:r>
            <w:r w:rsidR="00C46CE6" w:rsidRPr="004B3C4B">
              <w:rPr>
                <w:rFonts w:cs="Arial"/>
              </w:rPr>
              <w:t>Pharmacist</w:t>
            </w:r>
            <w:r w:rsidR="006D2C3C">
              <w:rPr>
                <w:rFonts w:cs="Arial"/>
              </w:rPr>
              <w:t>, Tower Hamlets</w:t>
            </w:r>
          </w:p>
          <w:p w14:paraId="1F1C83AD" w14:textId="7EE58210" w:rsidR="006F3ABB" w:rsidRPr="004B3C4B" w:rsidRDefault="00767E78" w:rsidP="0084474D">
            <w:pPr>
              <w:spacing w:before="40" w:after="40"/>
              <w:rPr>
                <w:rFonts w:cs="Arial"/>
              </w:rPr>
            </w:pPr>
            <w:r>
              <w:rPr>
                <w:rFonts w:cs="Arial"/>
              </w:rPr>
              <w:t>Co-author</w:t>
            </w:r>
            <w:r w:rsidR="006D2C3C">
              <w:rPr>
                <w:rFonts w:cs="Arial"/>
              </w:rPr>
              <w:t>s</w:t>
            </w:r>
            <w:r>
              <w:rPr>
                <w:rFonts w:cs="Arial"/>
              </w:rPr>
              <w:t xml:space="preserve">: Clinical Lead </w:t>
            </w:r>
            <w:r w:rsidR="006D2C3C">
              <w:rPr>
                <w:rFonts w:cs="Arial"/>
              </w:rPr>
              <w:t>&amp;</w:t>
            </w:r>
            <w:r>
              <w:rPr>
                <w:rFonts w:cs="Arial"/>
              </w:rPr>
              <w:t xml:space="preserve"> Directorate</w:t>
            </w:r>
            <w:r w:rsidR="006D2C3C">
              <w:rPr>
                <w:rFonts w:cs="Arial"/>
              </w:rPr>
              <w:t xml:space="preserve"> Lead </w:t>
            </w:r>
            <w:r>
              <w:rPr>
                <w:rFonts w:cs="Arial"/>
              </w:rPr>
              <w:t xml:space="preserve"> Pharmacist</w:t>
            </w:r>
            <w:r w:rsidR="00C94644">
              <w:rPr>
                <w:rFonts w:cs="Arial"/>
              </w:rPr>
              <w:t>s</w:t>
            </w:r>
            <w:r w:rsidR="006D2C3C">
              <w:rPr>
                <w:rFonts w:cs="Arial"/>
              </w:rPr>
              <w:t xml:space="preserve">, Tower Hamlets </w:t>
            </w:r>
          </w:p>
        </w:tc>
      </w:tr>
      <w:tr w:rsidR="0084474D" w14:paraId="5CC2DF7C" w14:textId="77777777" w:rsidTr="0084474D">
        <w:tc>
          <w:tcPr>
            <w:tcW w:w="4513" w:type="dxa"/>
          </w:tcPr>
          <w:p w14:paraId="6FCF4536" w14:textId="05D93C4F" w:rsidR="0084474D" w:rsidRDefault="0084474D" w:rsidP="0084474D">
            <w:pPr>
              <w:spacing w:before="40" w:after="40"/>
            </w:pPr>
            <w:r>
              <w:t xml:space="preserve">Executive Director </w:t>
            </w:r>
            <w:r w:rsidR="00E60730">
              <w:t>lead:</w:t>
            </w:r>
          </w:p>
        </w:tc>
        <w:tc>
          <w:tcPr>
            <w:tcW w:w="4487" w:type="dxa"/>
          </w:tcPr>
          <w:p w14:paraId="7D9F2106" w14:textId="3424D00B" w:rsidR="0084474D" w:rsidRDefault="00767E78" w:rsidP="0084474D">
            <w:pPr>
              <w:spacing w:before="40" w:after="40"/>
            </w:pPr>
            <w:r>
              <w:t>David Bridle</w:t>
            </w:r>
            <w:r w:rsidR="00C94644">
              <w:t>, Chief Medical Officer</w:t>
            </w:r>
          </w:p>
        </w:tc>
      </w:tr>
      <w:tr w:rsidR="0084474D" w14:paraId="2C2C5BDD" w14:textId="77777777" w:rsidTr="0084474D">
        <w:tc>
          <w:tcPr>
            <w:tcW w:w="4513" w:type="dxa"/>
          </w:tcPr>
          <w:p w14:paraId="3B047F13" w14:textId="54DCE7F1" w:rsidR="0084474D" w:rsidRDefault="0084474D" w:rsidP="0084474D">
            <w:pPr>
              <w:spacing w:before="40" w:after="40"/>
            </w:pPr>
            <w:r>
              <w:t xml:space="preserve">Implementation </w:t>
            </w:r>
            <w:r w:rsidR="00E60730">
              <w:t>Date:</w:t>
            </w:r>
          </w:p>
        </w:tc>
        <w:tc>
          <w:tcPr>
            <w:tcW w:w="4487" w:type="dxa"/>
          </w:tcPr>
          <w:p w14:paraId="368BCC60" w14:textId="7C3C523E" w:rsidR="0084474D" w:rsidRDefault="001624B4" w:rsidP="0084474D">
            <w:pPr>
              <w:spacing w:before="40" w:after="40"/>
            </w:pPr>
            <w:r>
              <w:t>Mar</w:t>
            </w:r>
            <w:r w:rsidR="006F3ABB">
              <w:t>ch</w:t>
            </w:r>
            <w:r>
              <w:t xml:space="preserve"> 2023</w:t>
            </w:r>
          </w:p>
        </w:tc>
      </w:tr>
      <w:tr w:rsidR="0084474D" w14:paraId="15B417B2" w14:textId="77777777" w:rsidTr="0084474D">
        <w:tc>
          <w:tcPr>
            <w:tcW w:w="4513" w:type="dxa"/>
          </w:tcPr>
          <w:p w14:paraId="3CCCF0B9" w14:textId="77777777" w:rsidR="0084474D" w:rsidRDefault="0084474D" w:rsidP="0084474D">
            <w:pPr>
              <w:spacing w:before="40" w:after="40"/>
            </w:pPr>
            <w:r>
              <w:t xml:space="preserve">Last Review Date </w:t>
            </w:r>
          </w:p>
        </w:tc>
        <w:tc>
          <w:tcPr>
            <w:tcW w:w="4487" w:type="dxa"/>
          </w:tcPr>
          <w:p w14:paraId="1D3BAEF8" w14:textId="0169493D" w:rsidR="0084474D" w:rsidRDefault="00C4106E" w:rsidP="0084474D">
            <w:pPr>
              <w:spacing w:before="40" w:after="40"/>
            </w:pPr>
            <w:r>
              <w:t>Mar</w:t>
            </w:r>
            <w:r w:rsidR="006F3ABB">
              <w:t>ch</w:t>
            </w:r>
            <w:r>
              <w:t xml:space="preserve"> 2026</w:t>
            </w:r>
          </w:p>
        </w:tc>
      </w:tr>
      <w:tr w:rsidR="0084474D" w14:paraId="20B6E89B" w14:textId="77777777" w:rsidTr="0084474D">
        <w:tc>
          <w:tcPr>
            <w:tcW w:w="4513" w:type="dxa"/>
          </w:tcPr>
          <w:p w14:paraId="38FDB299" w14:textId="77777777" w:rsidR="0084474D" w:rsidRDefault="0084474D" w:rsidP="0084474D">
            <w:pPr>
              <w:spacing w:before="40" w:after="40"/>
            </w:pPr>
            <w:r>
              <w:t>Next Review date:</w:t>
            </w:r>
          </w:p>
        </w:tc>
        <w:tc>
          <w:tcPr>
            <w:tcW w:w="4487" w:type="dxa"/>
          </w:tcPr>
          <w:p w14:paraId="77B9747D" w14:textId="7BE71DE5" w:rsidR="0084474D" w:rsidRDefault="001624B4" w:rsidP="0084474D">
            <w:pPr>
              <w:spacing w:before="40" w:after="40"/>
            </w:pPr>
            <w:r>
              <w:t>Mar</w:t>
            </w:r>
            <w:r w:rsidR="006F3ABB">
              <w:t>ch</w:t>
            </w:r>
            <w:r>
              <w:t xml:space="preserve"> 202</w:t>
            </w:r>
            <w:r w:rsidR="00C4106E">
              <w:t>9</w:t>
            </w:r>
          </w:p>
        </w:tc>
      </w:tr>
    </w:tbl>
    <w:p w14:paraId="24064C44" w14:textId="77777777" w:rsidR="006F3719" w:rsidRDefault="006F3719" w:rsidP="006F3719"/>
    <w:p w14:paraId="20A88AE5" w14:textId="77777777" w:rsidR="006F3719" w:rsidRDefault="006F3719" w:rsidP="006F3719"/>
    <w:tbl>
      <w:tblPr>
        <w:tblStyle w:val="TableGrid"/>
        <w:tblW w:w="0" w:type="auto"/>
        <w:tblLook w:val="04A0" w:firstRow="1" w:lastRow="0" w:firstColumn="1" w:lastColumn="0" w:noHBand="0" w:noVBand="1"/>
      </w:tblPr>
      <w:tblGrid>
        <w:gridCol w:w="4508"/>
        <w:gridCol w:w="4508"/>
      </w:tblGrid>
      <w:tr w:rsidR="002408E9" w14:paraId="4326797F" w14:textId="77777777" w:rsidTr="002408E9">
        <w:tc>
          <w:tcPr>
            <w:tcW w:w="4621" w:type="dxa"/>
          </w:tcPr>
          <w:p w14:paraId="7CE543E3" w14:textId="77777777" w:rsidR="002408E9" w:rsidRPr="006B2D92" w:rsidRDefault="0084474D" w:rsidP="006F3719">
            <w:pPr>
              <w:rPr>
                <w:b/>
                <w:bCs/>
              </w:rPr>
            </w:pPr>
            <w:r w:rsidRPr="006B2D92">
              <w:rPr>
                <w:b/>
                <w:bCs/>
              </w:rPr>
              <w:t xml:space="preserve">Services </w:t>
            </w:r>
          </w:p>
        </w:tc>
        <w:tc>
          <w:tcPr>
            <w:tcW w:w="4621" w:type="dxa"/>
          </w:tcPr>
          <w:p w14:paraId="026A4D5C" w14:textId="77777777" w:rsidR="002408E9" w:rsidRPr="006B2D92" w:rsidRDefault="0084474D" w:rsidP="006F3719">
            <w:pPr>
              <w:rPr>
                <w:b/>
                <w:bCs/>
              </w:rPr>
            </w:pPr>
            <w:r w:rsidRPr="006B2D92">
              <w:rPr>
                <w:b/>
                <w:bCs/>
              </w:rPr>
              <w:t xml:space="preserve">Applicable </w:t>
            </w:r>
          </w:p>
        </w:tc>
      </w:tr>
      <w:tr w:rsidR="002408E9" w14:paraId="485CBB1F" w14:textId="77777777" w:rsidTr="002408E9">
        <w:tc>
          <w:tcPr>
            <w:tcW w:w="4621" w:type="dxa"/>
          </w:tcPr>
          <w:p w14:paraId="360FC406" w14:textId="4B0633FF" w:rsidR="002408E9" w:rsidRDefault="00C94644" w:rsidP="006F3719">
            <w:r>
              <w:t>Trust wide</w:t>
            </w:r>
          </w:p>
        </w:tc>
        <w:tc>
          <w:tcPr>
            <w:tcW w:w="4621" w:type="dxa"/>
          </w:tcPr>
          <w:p w14:paraId="15DFDE38" w14:textId="300E65B9" w:rsidR="002408E9" w:rsidRDefault="00E9197B" w:rsidP="006F3719">
            <w:r>
              <w:t>X</w:t>
            </w:r>
          </w:p>
        </w:tc>
      </w:tr>
      <w:tr w:rsidR="002408E9" w14:paraId="09A3B968" w14:textId="77777777" w:rsidTr="002408E9">
        <w:tc>
          <w:tcPr>
            <w:tcW w:w="4621" w:type="dxa"/>
          </w:tcPr>
          <w:p w14:paraId="2883779E" w14:textId="77777777" w:rsidR="002408E9" w:rsidRDefault="0084474D" w:rsidP="006F3719">
            <w:r>
              <w:t xml:space="preserve">Mental Health and LD </w:t>
            </w:r>
          </w:p>
        </w:tc>
        <w:tc>
          <w:tcPr>
            <w:tcW w:w="4621" w:type="dxa"/>
          </w:tcPr>
          <w:p w14:paraId="5690BCB1" w14:textId="3361458C" w:rsidR="002408E9" w:rsidRDefault="002408E9" w:rsidP="006F3719"/>
        </w:tc>
      </w:tr>
      <w:tr w:rsidR="002408E9" w14:paraId="3E4B2C31" w14:textId="77777777" w:rsidTr="002408E9">
        <w:tc>
          <w:tcPr>
            <w:tcW w:w="4621" w:type="dxa"/>
          </w:tcPr>
          <w:p w14:paraId="690C7BDB" w14:textId="77777777" w:rsidR="002408E9" w:rsidRDefault="0084474D" w:rsidP="0084474D">
            <w:r>
              <w:t xml:space="preserve">Community Health Services </w:t>
            </w:r>
          </w:p>
        </w:tc>
        <w:tc>
          <w:tcPr>
            <w:tcW w:w="4621" w:type="dxa"/>
          </w:tcPr>
          <w:p w14:paraId="1EF87FCA" w14:textId="77777777" w:rsidR="002408E9" w:rsidRDefault="002408E9" w:rsidP="006F3719"/>
        </w:tc>
      </w:tr>
    </w:tbl>
    <w:p w14:paraId="64EB3C66" w14:textId="77777777" w:rsidR="006F3719" w:rsidRDefault="006F3719" w:rsidP="006F3719">
      <w:pPr>
        <w:sectPr w:rsidR="006F3719"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2F7904C6"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50B8F319"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88"/>
        <w:gridCol w:w="1650"/>
        <w:gridCol w:w="1647"/>
        <w:gridCol w:w="1750"/>
      </w:tblGrid>
      <w:tr w:rsidR="006F3719" w:rsidRPr="00C84CA8" w14:paraId="4DF5AEBD" w14:textId="77777777" w:rsidTr="00E04901">
        <w:tc>
          <w:tcPr>
            <w:tcW w:w="1661" w:type="dxa"/>
          </w:tcPr>
          <w:p w14:paraId="6252F7BF" w14:textId="77777777" w:rsidR="006F3719" w:rsidRPr="00C84CA8" w:rsidRDefault="006F3719" w:rsidP="00C96291">
            <w:pPr>
              <w:rPr>
                <w:b/>
              </w:rPr>
            </w:pPr>
            <w:r w:rsidRPr="00C84CA8">
              <w:rPr>
                <w:b/>
              </w:rPr>
              <w:t>Version</w:t>
            </w:r>
          </w:p>
        </w:tc>
        <w:tc>
          <w:tcPr>
            <w:tcW w:w="1588" w:type="dxa"/>
          </w:tcPr>
          <w:p w14:paraId="23F74948" w14:textId="77777777" w:rsidR="006F3719" w:rsidRPr="00C84CA8" w:rsidRDefault="006F3719" w:rsidP="00C96291">
            <w:pPr>
              <w:rPr>
                <w:b/>
              </w:rPr>
            </w:pPr>
            <w:r w:rsidRPr="00C84CA8">
              <w:rPr>
                <w:b/>
              </w:rPr>
              <w:t>Date</w:t>
            </w:r>
          </w:p>
        </w:tc>
        <w:tc>
          <w:tcPr>
            <w:tcW w:w="1650" w:type="dxa"/>
          </w:tcPr>
          <w:p w14:paraId="60C32266" w14:textId="77777777" w:rsidR="006F3719" w:rsidRPr="00C84CA8" w:rsidRDefault="006F3719" w:rsidP="00C96291">
            <w:pPr>
              <w:rPr>
                <w:b/>
              </w:rPr>
            </w:pPr>
            <w:r w:rsidRPr="00C84CA8">
              <w:rPr>
                <w:b/>
              </w:rPr>
              <w:t>Author</w:t>
            </w:r>
          </w:p>
        </w:tc>
        <w:tc>
          <w:tcPr>
            <w:tcW w:w="1647" w:type="dxa"/>
          </w:tcPr>
          <w:p w14:paraId="390B9BB1" w14:textId="77777777" w:rsidR="006F3719" w:rsidRPr="00C84CA8" w:rsidRDefault="006F3719" w:rsidP="00C96291">
            <w:pPr>
              <w:rPr>
                <w:b/>
              </w:rPr>
            </w:pPr>
            <w:r w:rsidRPr="00C84CA8">
              <w:rPr>
                <w:b/>
              </w:rPr>
              <w:t>Status</w:t>
            </w:r>
          </w:p>
        </w:tc>
        <w:tc>
          <w:tcPr>
            <w:tcW w:w="1750" w:type="dxa"/>
          </w:tcPr>
          <w:p w14:paraId="0D6099B7" w14:textId="77777777" w:rsidR="006F3719" w:rsidRPr="00C84CA8" w:rsidRDefault="006F3719" w:rsidP="00C96291">
            <w:pPr>
              <w:rPr>
                <w:b/>
              </w:rPr>
            </w:pPr>
            <w:r w:rsidRPr="00C84CA8">
              <w:rPr>
                <w:b/>
              </w:rPr>
              <w:t>Comment</w:t>
            </w:r>
          </w:p>
        </w:tc>
      </w:tr>
      <w:tr w:rsidR="006F3719" w14:paraId="31ADE13E" w14:textId="77777777" w:rsidTr="00E04901">
        <w:tc>
          <w:tcPr>
            <w:tcW w:w="1661" w:type="dxa"/>
          </w:tcPr>
          <w:p w14:paraId="653D5768" w14:textId="6A7DD965" w:rsidR="006F3719" w:rsidRDefault="001624B4" w:rsidP="00C96291">
            <w:r>
              <w:t>1.0</w:t>
            </w:r>
          </w:p>
        </w:tc>
        <w:tc>
          <w:tcPr>
            <w:tcW w:w="1588" w:type="dxa"/>
          </w:tcPr>
          <w:p w14:paraId="7D4F2D4F" w14:textId="1362A1B6" w:rsidR="006F3719" w:rsidRDefault="001624B4" w:rsidP="00C96291">
            <w:r>
              <w:t>Nov 2022</w:t>
            </w:r>
          </w:p>
        </w:tc>
        <w:tc>
          <w:tcPr>
            <w:tcW w:w="1650" w:type="dxa"/>
          </w:tcPr>
          <w:p w14:paraId="618A2B8E" w14:textId="6695C2C4" w:rsidR="006F3719" w:rsidRDefault="001624B4" w:rsidP="00C96291">
            <w:r>
              <w:t>Iffah Salim</w:t>
            </w:r>
          </w:p>
        </w:tc>
        <w:tc>
          <w:tcPr>
            <w:tcW w:w="1647" w:type="dxa"/>
          </w:tcPr>
          <w:p w14:paraId="0CB5CA2B" w14:textId="48AE4B50" w:rsidR="006F3719" w:rsidRDefault="001624B4" w:rsidP="00C96291">
            <w:r>
              <w:t>Ratified</w:t>
            </w:r>
          </w:p>
        </w:tc>
        <w:tc>
          <w:tcPr>
            <w:tcW w:w="1750" w:type="dxa"/>
          </w:tcPr>
          <w:p w14:paraId="35199675" w14:textId="77777777" w:rsidR="006F3719" w:rsidRDefault="006F3719" w:rsidP="00C96291"/>
        </w:tc>
      </w:tr>
      <w:tr w:rsidR="001624B4" w14:paraId="2F0D65F5" w14:textId="77777777" w:rsidTr="00E04901">
        <w:tc>
          <w:tcPr>
            <w:tcW w:w="1661" w:type="dxa"/>
          </w:tcPr>
          <w:p w14:paraId="6676F25B" w14:textId="5DAC057A" w:rsidR="001624B4" w:rsidRDefault="001624B4" w:rsidP="00C96291">
            <w:r>
              <w:t>2.0</w:t>
            </w:r>
          </w:p>
        </w:tc>
        <w:tc>
          <w:tcPr>
            <w:tcW w:w="1588" w:type="dxa"/>
          </w:tcPr>
          <w:p w14:paraId="7C3C7714" w14:textId="16FDBEC1" w:rsidR="001624B4" w:rsidRDefault="001624B4" w:rsidP="00C96291">
            <w:r>
              <w:t>Mar 2023</w:t>
            </w:r>
          </w:p>
        </w:tc>
        <w:tc>
          <w:tcPr>
            <w:tcW w:w="1650" w:type="dxa"/>
          </w:tcPr>
          <w:p w14:paraId="36B13B4B" w14:textId="0710413A" w:rsidR="001624B4" w:rsidRDefault="001624B4" w:rsidP="00C96291">
            <w:r>
              <w:t>Bhavin Karania</w:t>
            </w:r>
          </w:p>
        </w:tc>
        <w:tc>
          <w:tcPr>
            <w:tcW w:w="1647" w:type="dxa"/>
          </w:tcPr>
          <w:p w14:paraId="483C7DFE" w14:textId="77777777" w:rsidR="001624B4" w:rsidRDefault="001624B4" w:rsidP="00C96291"/>
        </w:tc>
        <w:tc>
          <w:tcPr>
            <w:tcW w:w="1750" w:type="dxa"/>
          </w:tcPr>
          <w:p w14:paraId="16EFCC38" w14:textId="77777777" w:rsidR="001624B4" w:rsidRDefault="001624B4" w:rsidP="00C96291">
            <w:r>
              <w:t>Protocol reformatted.</w:t>
            </w:r>
          </w:p>
          <w:p w14:paraId="53BA59A1" w14:textId="3D81D9EF" w:rsidR="001624B4" w:rsidRDefault="001624B4" w:rsidP="000F416A">
            <w:pPr>
              <w:jc w:val="left"/>
            </w:pPr>
            <w:r>
              <w:t>Information added to introduction.</w:t>
            </w:r>
          </w:p>
        </w:tc>
      </w:tr>
      <w:tr w:rsidR="00E04901" w14:paraId="6B9B3E89" w14:textId="77777777" w:rsidTr="00E04901">
        <w:tc>
          <w:tcPr>
            <w:tcW w:w="1661" w:type="dxa"/>
          </w:tcPr>
          <w:p w14:paraId="2F257C41" w14:textId="5E7D896D" w:rsidR="00E04901" w:rsidRDefault="00E04901" w:rsidP="00C96291">
            <w:r>
              <w:t>3.0</w:t>
            </w:r>
          </w:p>
        </w:tc>
        <w:tc>
          <w:tcPr>
            <w:tcW w:w="1588" w:type="dxa"/>
          </w:tcPr>
          <w:p w14:paraId="4C1C9B0F" w14:textId="03852A62" w:rsidR="00E04901" w:rsidRDefault="00AE04D4" w:rsidP="00C96291">
            <w:r>
              <w:t>Mar 2026</w:t>
            </w:r>
          </w:p>
        </w:tc>
        <w:tc>
          <w:tcPr>
            <w:tcW w:w="1650" w:type="dxa"/>
          </w:tcPr>
          <w:p w14:paraId="0075794D" w14:textId="2BA69C53" w:rsidR="00E04901" w:rsidRDefault="00AE04D4" w:rsidP="00C96291">
            <w:r>
              <w:t>Konstantinos Zannis</w:t>
            </w:r>
          </w:p>
        </w:tc>
        <w:tc>
          <w:tcPr>
            <w:tcW w:w="1647" w:type="dxa"/>
          </w:tcPr>
          <w:p w14:paraId="35BB3333" w14:textId="4AC41CE8" w:rsidR="00E04901" w:rsidRDefault="00AE04D4" w:rsidP="00C96291">
            <w:r>
              <w:t>Draft for approval</w:t>
            </w:r>
          </w:p>
        </w:tc>
        <w:tc>
          <w:tcPr>
            <w:tcW w:w="1750" w:type="dxa"/>
          </w:tcPr>
          <w:p w14:paraId="17027D66" w14:textId="25226E05" w:rsidR="00923FB8" w:rsidRDefault="00923FB8" w:rsidP="00C96291">
            <w:r>
              <w:t>Scope of protocol added.</w:t>
            </w:r>
          </w:p>
          <w:p w14:paraId="37EC6C9E" w14:textId="378C28B5" w:rsidR="006E0E86" w:rsidRDefault="006E0E86" w:rsidP="00C96291">
            <w:r>
              <w:t>Roles and responsibilities clarified.</w:t>
            </w:r>
          </w:p>
          <w:p w14:paraId="29360D86" w14:textId="5D76F6F1" w:rsidR="00AE04D4" w:rsidRDefault="00AE04D4" w:rsidP="00C96291">
            <w:r>
              <w:t>MCA initiation decision making process flowchart (Appendix 1)</w:t>
            </w:r>
            <w:r w:rsidR="00353E81">
              <w:t xml:space="preserve"> added</w:t>
            </w:r>
            <w:r>
              <w:t>.</w:t>
            </w:r>
          </w:p>
          <w:p w14:paraId="5BD59D5A" w14:textId="1AE1C24A" w:rsidR="0032714F" w:rsidRDefault="0032714F" w:rsidP="0032714F">
            <w:r>
              <w:t xml:space="preserve">Assessment of Suitability to initiate MCA (Appendix 2) updated. </w:t>
            </w:r>
          </w:p>
          <w:p w14:paraId="69A7F628" w14:textId="3DD4D682" w:rsidR="00E04901" w:rsidRDefault="00AE04D4" w:rsidP="00C96291">
            <w:r>
              <w:t>References updated and formatted in Vancouver style.</w:t>
            </w:r>
          </w:p>
        </w:tc>
      </w:tr>
      <w:bookmarkEnd w:id="0"/>
      <w:bookmarkEnd w:id="1"/>
    </w:tbl>
    <w:p w14:paraId="76A6E016" w14:textId="77777777" w:rsidR="006F3719" w:rsidRDefault="006F3719" w:rsidP="006F3719">
      <w:pPr>
        <w:rPr>
          <w:b/>
          <w:sz w:val="28"/>
          <w:szCs w:val="28"/>
        </w:rPr>
      </w:pPr>
    </w:p>
    <w:p w14:paraId="7AEFA0A7" w14:textId="77777777" w:rsidR="006F3719" w:rsidRDefault="006F3719" w:rsidP="006F3719">
      <w:pPr>
        <w:rPr>
          <w:b/>
          <w:sz w:val="28"/>
          <w:szCs w:val="28"/>
        </w:rPr>
      </w:pPr>
      <w:r>
        <w:rPr>
          <w:b/>
          <w:sz w:val="28"/>
          <w:szCs w:val="28"/>
        </w:rPr>
        <w:br w:type="page"/>
      </w:r>
    </w:p>
    <w:p w14:paraId="55F31FD3" w14:textId="77777777" w:rsidR="006F3719" w:rsidRPr="00EB76F2" w:rsidRDefault="006F3719" w:rsidP="006F3719">
      <w:pPr>
        <w:jc w:val="center"/>
        <w:rPr>
          <w:sz w:val="28"/>
          <w:szCs w:val="28"/>
        </w:rPr>
      </w:pPr>
      <w:r w:rsidRPr="00EB76F2">
        <w:rPr>
          <w:sz w:val="28"/>
          <w:szCs w:val="28"/>
        </w:rPr>
        <w:lastRenderedPageBreak/>
        <w:t>Contents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6F3719" w:rsidRPr="00C84CA8" w14:paraId="30592CCA" w14:textId="77777777" w:rsidTr="00266549">
        <w:trPr>
          <w:tblHeader/>
          <w:jc w:val="center"/>
        </w:trPr>
        <w:tc>
          <w:tcPr>
            <w:tcW w:w="8117" w:type="dxa"/>
            <w:gridSpan w:val="2"/>
            <w:vAlign w:val="center"/>
          </w:tcPr>
          <w:p w14:paraId="6B18D6EA" w14:textId="77777777" w:rsidR="006F3719" w:rsidRPr="00C84CA8" w:rsidRDefault="006F3719" w:rsidP="00C96291">
            <w:pPr>
              <w:rPr>
                <w:b/>
              </w:rPr>
            </w:pPr>
            <w:r w:rsidRPr="00C84CA8">
              <w:rPr>
                <w:b/>
              </w:rPr>
              <w:t>Paragraph</w:t>
            </w:r>
          </w:p>
        </w:tc>
        <w:tc>
          <w:tcPr>
            <w:tcW w:w="987" w:type="dxa"/>
            <w:vAlign w:val="center"/>
          </w:tcPr>
          <w:p w14:paraId="32F9B31D" w14:textId="77777777" w:rsidR="006F3719" w:rsidRPr="00C84CA8" w:rsidRDefault="006F3719" w:rsidP="00C96291">
            <w:pPr>
              <w:jc w:val="center"/>
              <w:rPr>
                <w:b/>
              </w:rPr>
            </w:pPr>
            <w:r w:rsidRPr="00C84CA8">
              <w:rPr>
                <w:b/>
              </w:rPr>
              <w:t>Page</w:t>
            </w:r>
          </w:p>
        </w:tc>
      </w:tr>
      <w:tr w:rsidR="006F3719" w:rsidRPr="00C84CA8" w14:paraId="376C5621" w14:textId="77777777" w:rsidTr="00266549">
        <w:trPr>
          <w:jc w:val="center"/>
        </w:trPr>
        <w:tc>
          <w:tcPr>
            <w:tcW w:w="1368" w:type="dxa"/>
            <w:vAlign w:val="center"/>
          </w:tcPr>
          <w:p w14:paraId="1CC9B86A" w14:textId="77777777" w:rsidR="006F3719" w:rsidRPr="0003298D" w:rsidRDefault="006F3719" w:rsidP="00C96291">
            <w:pPr>
              <w:spacing w:before="80" w:after="80"/>
              <w:jc w:val="center"/>
            </w:pPr>
            <w:r w:rsidRPr="0003298D">
              <w:t>1</w:t>
            </w:r>
          </w:p>
        </w:tc>
        <w:tc>
          <w:tcPr>
            <w:tcW w:w="6749" w:type="dxa"/>
            <w:vAlign w:val="center"/>
          </w:tcPr>
          <w:p w14:paraId="6C6988AC" w14:textId="66AD9A5B" w:rsidR="006F3719" w:rsidRPr="0003298D" w:rsidRDefault="006F3719" w:rsidP="00C96291">
            <w:pPr>
              <w:spacing w:before="80" w:after="80"/>
            </w:pPr>
            <w:r>
              <w:t xml:space="preserve">Executive summary </w:t>
            </w:r>
          </w:p>
        </w:tc>
        <w:tc>
          <w:tcPr>
            <w:tcW w:w="987" w:type="dxa"/>
            <w:vAlign w:val="center"/>
          </w:tcPr>
          <w:p w14:paraId="27AD1E33" w14:textId="2FA2DEFD" w:rsidR="006F3719" w:rsidRPr="000955F7" w:rsidRDefault="00017EC8" w:rsidP="00C96291">
            <w:pPr>
              <w:spacing w:before="80" w:after="80"/>
              <w:jc w:val="center"/>
            </w:pPr>
            <w:r>
              <w:t>4</w:t>
            </w:r>
          </w:p>
        </w:tc>
      </w:tr>
      <w:tr w:rsidR="000855CB" w:rsidRPr="00C84CA8" w14:paraId="4FAFFAE7" w14:textId="77777777" w:rsidTr="00266549">
        <w:trPr>
          <w:jc w:val="center"/>
        </w:trPr>
        <w:tc>
          <w:tcPr>
            <w:tcW w:w="1368" w:type="dxa"/>
            <w:vAlign w:val="center"/>
          </w:tcPr>
          <w:p w14:paraId="6C93730A" w14:textId="554E8E29" w:rsidR="000855CB" w:rsidRDefault="000855CB" w:rsidP="00C96291">
            <w:pPr>
              <w:spacing w:before="80" w:after="80"/>
              <w:jc w:val="center"/>
            </w:pPr>
            <w:r>
              <w:t>2</w:t>
            </w:r>
          </w:p>
        </w:tc>
        <w:tc>
          <w:tcPr>
            <w:tcW w:w="6749" w:type="dxa"/>
            <w:vAlign w:val="center"/>
          </w:tcPr>
          <w:p w14:paraId="6FB13FF0" w14:textId="46F2D24E" w:rsidR="000855CB" w:rsidRDefault="000855CB" w:rsidP="000855CB">
            <w:pPr>
              <w:spacing w:before="80" w:after="80"/>
            </w:pPr>
            <w:r w:rsidRPr="0003298D">
              <w:t>Introducti</w:t>
            </w:r>
            <w:r>
              <w:t>on</w:t>
            </w:r>
          </w:p>
        </w:tc>
        <w:tc>
          <w:tcPr>
            <w:tcW w:w="987" w:type="dxa"/>
            <w:vAlign w:val="center"/>
          </w:tcPr>
          <w:p w14:paraId="7DEEDD62" w14:textId="481CCCEB" w:rsidR="000855CB" w:rsidRPr="000955F7" w:rsidRDefault="00017EC8" w:rsidP="00C96291">
            <w:pPr>
              <w:spacing w:before="80" w:after="80"/>
              <w:jc w:val="center"/>
            </w:pPr>
            <w:r>
              <w:t>4</w:t>
            </w:r>
          </w:p>
        </w:tc>
      </w:tr>
      <w:tr w:rsidR="006F3719" w:rsidRPr="00C84CA8" w14:paraId="1B943955" w14:textId="77777777" w:rsidTr="00266549">
        <w:trPr>
          <w:jc w:val="center"/>
        </w:trPr>
        <w:tc>
          <w:tcPr>
            <w:tcW w:w="1368" w:type="dxa"/>
            <w:vAlign w:val="center"/>
          </w:tcPr>
          <w:p w14:paraId="52311464" w14:textId="2E41023B" w:rsidR="006F3719" w:rsidRPr="0003298D" w:rsidRDefault="000855CB" w:rsidP="00C96291">
            <w:pPr>
              <w:spacing w:before="80" w:after="80"/>
              <w:jc w:val="center"/>
            </w:pPr>
            <w:r>
              <w:t>3</w:t>
            </w:r>
          </w:p>
        </w:tc>
        <w:tc>
          <w:tcPr>
            <w:tcW w:w="6749" w:type="dxa"/>
            <w:vAlign w:val="center"/>
          </w:tcPr>
          <w:p w14:paraId="3FE82974" w14:textId="77777777" w:rsidR="006F3719" w:rsidRPr="0003298D" w:rsidRDefault="006F3719" w:rsidP="00C96291">
            <w:pPr>
              <w:spacing w:before="80" w:after="80"/>
            </w:pPr>
            <w:r>
              <w:t>Purpose</w:t>
            </w:r>
          </w:p>
        </w:tc>
        <w:tc>
          <w:tcPr>
            <w:tcW w:w="987" w:type="dxa"/>
            <w:vAlign w:val="center"/>
          </w:tcPr>
          <w:p w14:paraId="488B1AE9" w14:textId="34D8D050" w:rsidR="006F3719" w:rsidRPr="000955F7" w:rsidRDefault="00017EC8" w:rsidP="00C96291">
            <w:pPr>
              <w:spacing w:before="80" w:after="80"/>
              <w:jc w:val="center"/>
            </w:pPr>
            <w:r>
              <w:t>4</w:t>
            </w:r>
          </w:p>
        </w:tc>
      </w:tr>
      <w:tr w:rsidR="00C52930" w:rsidRPr="00C84CA8" w14:paraId="10B8BB20" w14:textId="77777777" w:rsidTr="00266549">
        <w:trPr>
          <w:jc w:val="center"/>
        </w:trPr>
        <w:tc>
          <w:tcPr>
            <w:tcW w:w="1368" w:type="dxa"/>
            <w:vAlign w:val="center"/>
          </w:tcPr>
          <w:p w14:paraId="69F0F8F9" w14:textId="19EF68C9" w:rsidR="00C52930" w:rsidRDefault="00C52930" w:rsidP="00C96291">
            <w:pPr>
              <w:spacing w:before="80" w:after="80"/>
              <w:jc w:val="center"/>
            </w:pPr>
            <w:r>
              <w:t>4</w:t>
            </w:r>
          </w:p>
        </w:tc>
        <w:tc>
          <w:tcPr>
            <w:tcW w:w="6749" w:type="dxa"/>
            <w:vAlign w:val="center"/>
          </w:tcPr>
          <w:p w14:paraId="5C8C5A92" w14:textId="102F6CB9" w:rsidR="00C52930" w:rsidRDefault="00C52930" w:rsidP="00C96291">
            <w:pPr>
              <w:spacing w:before="80" w:after="80"/>
            </w:pPr>
            <w:r>
              <w:t>Scope</w:t>
            </w:r>
          </w:p>
        </w:tc>
        <w:tc>
          <w:tcPr>
            <w:tcW w:w="987" w:type="dxa"/>
            <w:vAlign w:val="center"/>
          </w:tcPr>
          <w:p w14:paraId="0F7B8562" w14:textId="6DCB3721" w:rsidR="00C52930" w:rsidRDefault="00C52930" w:rsidP="00C96291">
            <w:pPr>
              <w:spacing w:before="80" w:after="80"/>
              <w:jc w:val="center"/>
            </w:pPr>
            <w:r>
              <w:t>4</w:t>
            </w:r>
          </w:p>
        </w:tc>
      </w:tr>
      <w:tr w:rsidR="006F3719" w:rsidRPr="00C84CA8" w14:paraId="6FA0A5F4" w14:textId="77777777" w:rsidTr="00266549">
        <w:trPr>
          <w:jc w:val="center"/>
        </w:trPr>
        <w:tc>
          <w:tcPr>
            <w:tcW w:w="1368" w:type="dxa"/>
            <w:vAlign w:val="center"/>
          </w:tcPr>
          <w:p w14:paraId="20683FCE" w14:textId="43BC44D4" w:rsidR="006F3719" w:rsidRPr="0003298D" w:rsidRDefault="00C52930" w:rsidP="00C96291">
            <w:pPr>
              <w:spacing w:before="80" w:after="80"/>
              <w:jc w:val="center"/>
            </w:pPr>
            <w:r>
              <w:t>5</w:t>
            </w:r>
          </w:p>
        </w:tc>
        <w:tc>
          <w:tcPr>
            <w:tcW w:w="6749" w:type="dxa"/>
            <w:vAlign w:val="center"/>
          </w:tcPr>
          <w:p w14:paraId="5A649814" w14:textId="35996D99" w:rsidR="006F3719" w:rsidRPr="0003298D" w:rsidRDefault="003630A1" w:rsidP="00C96291">
            <w:pPr>
              <w:spacing w:before="80" w:after="80"/>
            </w:pPr>
            <w:r>
              <w:t>Roles</w:t>
            </w:r>
            <w:r w:rsidR="0084474D">
              <w:t xml:space="preserve"> and Responsibilities </w:t>
            </w:r>
          </w:p>
        </w:tc>
        <w:tc>
          <w:tcPr>
            <w:tcW w:w="987" w:type="dxa"/>
            <w:vAlign w:val="center"/>
          </w:tcPr>
          <w:p w14:paraId="602B13BA" w14:textId="6317D9D6" w:rsidR="006F3719" w:rsidRPr="000955F7" w:rsidRDefault="00017EC8" w:rsidP="00C96291">
            <w:pPr>
              <w:spacing w:before="80" w:after="80"/>
              <w:jc w:val="center"/>
            </w:pPr>
            <w:r>
              <w:t>5</w:t>
            </w:r>
          </w:p>
        </w:tc>
      </w:tr>
      <w:tr w:rsidR="006F3719" w:rsidRPr="00C84CA8" w14:paraId="671FD03A" w14:textId="77777777" w:rsidTr="00266549">
        <w:trPr>
          <w:jc w:val="center"/>
        </w:trPr>
        <w:tc>
          <w:tcPr>
            <w:tcW w:w="1368" w:type="dxa"/>
            <w:vAlign w:val="center"/>
          </w:tcPr>
          <w:p w14:paraId="010B6440" w14:textId="4467EDE1" w:rsidR="006F3719" w:rsidRPr="0003298D" w:rsidRDefault="00C52930" w:rsidP="00C96291">
            <w:pPr>
              <w:spacing w:before="80" w:after="80"/>
              <w:jc w:val="center"/>
            </w:pPr>
            <w:r>
              <w:t>6</w:t>
            </w:r>
          </w:p>
        </w:tc>
        <w:tc>
          <w:tcPr>
            <w:tcW w:w="6749" w:type="dxa"/>
            <w:vAlign w:val="center"/>
          </w:tcPr>
          <w:p w14:paraId="2D11A03A" w14:textId="01A21E05" w:rsidR="006F3719" w:rsidRPr="0057735B" w:rsidRDefault="00C435C1" w:rsidP="00C96291">
            <w:pPr>
              <w:spacing w:before="80" w:after="80"/>
            </w:pPr>
            <w:r>
              <w:t>Key point for consideration</w:t>
            </w:r>
          </w:p>
        </w:tc>
        <w:tc>
          <w:tcPr>
            <w:tcW w:w="987" w:type="dxa"/>
            <w:vAlign w:val="center"/>
          </w:tcPr>
          <w:p w14:paraId="183C94A9" w14:textId="7A4CABDC" w:rsidR="006F3719" w:rsidRPr="000955F7" w:rsidRDefault="00017EC8" w:rsidP="00C96291">
            <w:pPr>
              <w:spacing w:before="80" w:after="80"/>
              <w:jc w:val="center"/>
            </w:pPr>
            <w:r>
              <w:t>6</w:t>
            </w:r>
          </w:p>
        </w:tc>
      </w:tr>
      <w:tr w:rsidR="00C435C1" w:rsidRPr="00C84CA8" w14:paraId="1AE1DF21" w14:textId="77777777" w:rsidTr="00266549">
        <w:trPr>
          <w:jc w:val="center"/>
        </w:trPr>
        <w:tc>
          <w:tcPr>
            <w:tcW w:w="1368" w:type="dxa"/>
            <w:vAlign w:val="center"/>
          </w:tcPr>
          <w:p w14:paraId="3475D23F" w14:textId="257F3473" w:rsidR="00C435C1" w:rsidRDefault="00C52930" w:rsidP="00C96291">
            <w:pPr>
              <w:spacing w:before="80" w:after="80"/>
              <w:jc w:val="center"/>
            </w:pPr>
            <w:r>
              <w:t>7</w:t>
            </w:r>
          </w:p>
        </w:tc>
        <w:tc>
          <w:tcPr>
            <w:tcW w:w="6749" w:type="dxa"/>
            <w:vAlign w:val="center"/>
          </w:tcPr>
          <w:p w14:paraId="270F8AFD" w14:textId="724950C2" w:rsidR="00C435C1" w:rsidRDefault="00C435C1" w:rsidP="00C96291">
            <w:pPr>
              <w:spacing w:before="80" w:after="80"/>
            </w:pPr>
            <w:r w:rsidRPr="00C435C1">
              <w:t>The advantages of MCA</w:t>
            </w:r>
          </w:p>
        </w:tc>
        <w:tc>
          <w:tcPr>
            <w:tcW w:w="987" w:type="dxa"/>
            <w:vAlign w:val="center"/>
          </w:tcPr>
          <w:p w14:paraId="1A53C60F" w14:textId="3F2422B4" w:rsidR="00C435C1" w:rsidRPr="000955F7" w:rsidRDefault="00CC4669" w:rsidP="00C96291">
            <w:pPr>
              <w:spacing w:before="80" w:after="80"/>
              <w:jc w:val="center"/>
            </w:pPr>
            <w:r>
              <w:t>6</w:t>
            </w:r>
          </w:p>
        </w:tc>
      </w:tr>
      <w:tr w:rsidR="00C435C1" w:rsidRPr="00C84CA8" w14:paraId="24E88DB2" w14:textId="77777777" w:rsidTr="00266549">
        <w:trPr>
          <w:jc w:val="center"/>
        </w:trPr>
        <w:tc>
          <w:tcPr>
            <w:tcW w:w="1368" w:type="dxa"/>
            <w:vAlign w:val="center"/>
          </w:tcPr>
          <w:p w14:paraId="21481A55" w14:textId="112F22B0" w:rsidR="00C435C1" w:rsidRDefault="00C52930" w:rsidP="00C96291">
            <w:pPr>
              <w:spacing w:before="80" w:after="80"/>
              <w:jc w:val="center"/>
            </w:pPr>
            <w:r>
              <w:t>8</w:t>
            </w:r>
          </w:p>
        </w:tc>
        <w:tc>
          <w:tcPr>
            <w:tcW w:w="6749" w:type="dxa"/>
            <w:vAlign w:val="center"/>
          </w:tcPr>
          <w:p w14:paraId="6626F6A9" w14:textId="6B48B2D2" w:rsidR="00C435C1" w:rsidRDefault="00C435C1" w:rsidP="00C96291">
            <w:pPr>
              <w:spacing w:before="80" w:after="80"/>
            </w:pPr>
            <w:r w:rsidRPr="00C435C1">
              <w:t>Disadvantages of MCA</w:t>
            </w:r>
          </w:p>
        </w:tc>
        <w:tc>
          <w:tcPr>
            <w:tcW w:w="987" w:type="dxa"/>
            <w:vAlign w:val="center"/>
          </w:tcPr>
          <w:p w14:paraId="7FD18BAE" w14:textId="0157D699" w:rsidR="00C435C1" w:rsidRPr="000955F7" w:rsidRDefault="00CC4669" w:rsidP="00C96291">
            <w:pPr>
              <w:spacing w:before="80" w:after="80"/>
              <w:jc w:val="center"/>
            </w:pPr>
            <w:r>
              <w:t>6</w:t>
            </w:r>
          </w:p>
        </w:tc>
      </w:tr>
      <w:tr w:rsidR="00C435C1" w:rsidRPr="00C84CA8" w14:paraId="78936E8D" w14:textId="77777777" w:rsidTr="00266549">
        <w:trPr>
          <w:jc w:val="center"/>
        </w:trPr>
        <w:tc>
          <w:tcPr>
            <w:tcW w:w="1368" w:type="dxa"/>
            <w:vAlign w:val="center"/>
          </w:tcPr>
          <w:p w14:paraId="4A03B4B5" w14:textId="6DF724C5" w:rsidR="00C435C1" w:rsidRDefault="00C52930" w:rsidP="00C96291">
            <w:pPr>
              <w:spacing w:before="80" w:after="80"/>
              <w:jc w:val="center"/>
            </w:pPr>
            <w:r>
              <w:t>9</w:t>
            </w:r>
          </w:p>
        </w:tc>
        <w:tc>
          <w:tcPr>
            <w:tcW w:w="6749" w:type="dxa"/>
            <w:vAlign w:val="center"/>
          </w:tcPr>
          <w:p w14:paraId="0B386BC2" w14:textId="6228914C" w:rsidR="00C435C1" w:rsidRPr="00C435C1" w:rsidRDefault="00C435C1" w:rsidP="00C96291">
            <w:pPr>
              <w:spacing w:before="80" w:after="80"/>
            </w:pPr>
            <w:r>
              <w:t>Procedure</w:t>
            </w:r>
          </w:p>
        </w:tc>
        <w:tc>
          <w:tcPr>
            <w:tcW w:w="987" w:type="dxa"/>
            <w:vAlign w:val="center"/>
          </w:tcPr>
          <w:p w14:paraId="0E8AA974" w14:textId="545117CD" w:rsidR="00C435C1" w:rsidRPr="000955F7" w:rsidRDefault="00CC4669" w:rsidP="00C96291">
            <w:pPr>
              <w:spacing w:before="80" w:after="80"/>
              <w:jc w:val="center"/>
            </w:pPr>
            <w:r>
              <w:t>7</w:t>
            </w:r>
          </w:p>
        </w:tc>
      </w:tr>
      <w:tr w:rsidR="006F3719" w:rsidRPr="00C84CA8" w14:paraId="236ABB08" w14:textId="77777777" w:rsidTr="00266549">
        <w:trPr>
          <w:jc w:val="center"/>
        </w:trPr>
        <w:tc>
          <w:tcPr>
            <w:tcW w:w="1368" w:type="dxa"/>
            <w:vAlign w:val="center"/>
          </w:tcPr>
          <w:p w14:paraId="2842112A" w14:textId="66C1B6F6" w:rsidR="006F3719" w:rsidRDefault="00C52930" w:rsidP="00C96291">
            <w:pPr>
              <w:spacing w:before="80" w:after="80"/>
              <w:jc w:val="center"/>
            </w:pPr>
            <w:r>
              <w:t>10</w:t>
            </w:r>
          </w:p>
        </w:tc>
        <w:tc>
          <w:tcPr>
            <w:tcW w:w="6749" w:type="dxa"/>
            <w:vAlign w:val="center"/>
          </w:tcPr>
          <w:p w14:paraId="09994776" w14:textId="77777777" w:rsidR="006F3719" w:rsidRPr="00DB0A67" w:rsidRDefault="006F3719" w:rsidP="00C96291">
            <w:pPr>
              <w:spacing w:before="80" w:after="80"/>
            </w:pPr>
            <w:r>
              <w:t>References</w:t>
            </w:r>
          </w:p>
        </w:tc>
        <w:tc>
          <w:tcPr>
            <w:tcW w:w="987" w:type="dxa"/>
            <w:vAlign w:val="center"/>
          </w:tcPr>
          <w:p w14:paraId="58572D1E" w14:textId="3148B2D8" w:rsidR="006F3719" w:rsidRPr="00B7156A" w:rsidRDefault="005D1A4D" w:rsidP="00C96291">
            <w:pPr>
              <w:spacing w:before="80" w:after="80"/>
              <w:jc w:val="center"/>
            </w:pPr>
            <w:r>
              <w:t>7</w:t>
            </w:r>
          </w:p>
        </w:tc>
      </w:tr>
      <w:tr w:rsidR="006F3719" w:rsidRPr="00C84CA8" w14:paraId="2DA7971E" w14:textId="77777777" w:rsidTr="00266549">
        <w:trPr>
          <w:jc w:val="center"/>
        </w:trPr>
        <w:tc>
          <w:tcPr>
            <w:tcW w:w="8117" w:type="dxa"/>
            <w:gridSpan w:val="2"/>
            <w:vAlign w:val="center"/>
          </w:tcPr>
          <w:p w14:paraId="5EA7B560" w14:textId="77777777" w:rsidR="006F3719" w:rsidRPr="00C84CA8" w:rsidRDefault="006F3719" w:rsidP="00C96291">
            <w:pPr>
              <w:rPr>
                <w:b/>
              </w:rPr>
            </w:pPr>
            <w:r w:rsidRPr="00C84CA8">
              <w:rPr>
                <w:b/>
              </w:rPr>
              <w:t>Appendices</w:t>
            </w:r>
          </w:p>
        </w:tc>
        <w:tc>
          <w:tcPr>
            <w:tcW w:w="987" w:type="dxa"/>
            <w:vAlign w:val="center"/>
          </w:tcPr>
          <w:p w14:paraId="62E60701" w14:textId="77777777" w:rsidR="006F3719" w:rsidRPr="000955F7" w:rsidRDefault="006F3719" w:rsidP="00C96291">
            <w:pPr>
              <w:jc w:val="center"/>
            </w:pPr>
          </w:p>
        </w:tc>
      </w:tr>
      <w:tr w:rsidR="006F3719" w:rsidRPr="00C84CA8" w14:paraId="4D84A3D2" w14:textId="77777777" w:rsidTr="00266549">
        <w:trPr>
          <w:jc w:val="center"/>
        </w:trPr>
        <w:tc>
          <w:tcPr>
            <w:tcW w:w="1368" w:type="dxa"/>
            <w:vAlign w:val="center"/>
          </w:tcPr>
          <w:p w14:paraId="115D2701" w14:textId="03A667F1" w:rsidR="006F3719" w:rsidRPr="007E2317" w:rsidRDefault="006F3719" w:rsidP="00C96291">
            <w:pPr>
              <w:spacing w:before="80" w:after="80"/>
              <w:jc w:val="center"/>
            </w:pPr>
            <w:r w:rsidRPr="0003298D">
              <w:t xml:space="preserve">Appendix </w:t>
            </w:r>
            <w:r w:rsidR="00C435C1">
              <w:t>1</w:t>
            </w:r>
          </w:p>
        </w:tc>
        <w:tc>
          <w:tcPr>
            <w:tcW w:w="6749" w:type="dxa"/>
            <w:vAlign w:val="center"/>
          </w:tcPr>
          <w:p w14:paraId="3DAE0151" w14:textId="4D758C26" w:rsidR="006F3719" w:rsidRPr="0003298D" w:rsidRDefault="002E7732" w:rsidP="00C96291">
            <w:pPr>
              <w:spacing w:before="80" w:after="80"/>
            </w:pPr>
            <w:r w:rsidRPr="002E7732">
              <w:t>Multi-Compartment Compliance Aid (MCA) Decision-Making Process</w:t>
            </w:r>
            <w:r>
              <w:t xml:space="preserve"> Flowchart</w:t>
            </w:r>
          </w:p>
        </w:tc>
        <w:tc>
          <w:tcPr>
            <w:tcW w:w="987" w:type="dxa"/>
            <w:vAlign w:val="center"/>
          </w:tcPr>
          <w:p w14:paraId="577563DB" w14:textId="529662CF" w:rsidR="006F3719" w:rsidRPr="000955F7" w:rsidRDefault="00BE7846" w:rsidP="00C96291">
            <w:pPr>
              <w:spacing w:before="80" w:after="80"/>
              <w:jc w:val="center"/>
            </w:pPr>
            <w:r>
              <w:t>9</w:t>
            </w:r>
          </w:p>
        </w:tc>
      </w:tr>
      <w:tr w:rsidR="002E7732" w:rsidRPr="00C84CA8" w14:paraId="54A3EA0E" w14:textId="77777777" w:rsidTr="00266549">
        <w:trPr>
          <w:jc w:val="center"/>
        </w:trPr>
        <w:tc>
          <w:tcPr>
            <w:tcW w:w="1368" w:type="dxa"/>
            <w:vAlign w:val="center"/>
          </w:tcPr>
          <w:p w14:paraId="748D9244" w14:textId="7DAA0926" w:rsidR="002E7732" w:rsidRPr="0003298D" w:rsidRDefault="002E7732" w:rsidP="002E7732">
            <w:pPr>
              <w:spacing w:before="80" w:after="80"/>
              <w:jc w:val="left"/>
            </w:pPr>
            <w:r w:rsidRPr="0003298D">
              <w:t xml:space="preserve">Appendix </w:t>
            </w:r>
            <w:r>
              <w:t>2</w:t>
            </w:r>
          </w:p>
        </w:tc>
        <w:tc>
          <w:tcPr>
            <w:tcW w:w="6749" w:type="dxa"/>
            <w:vAlign w:val="center"/>
          </w:tcPr>
          <w:p w14:paraId="763138E1" w14:textId="7329C8C7" w:rsidR="002E7732" w:rsidRPr="0003298D" w:rsidRDefault="002E7732" w:rsidP="002E7732">
            <w:pPr>
              <w:spacing w:before="80" w:after="80"/>
            </w:pPr>
            <w:r w:rsidRPr="00C435C1">
              <w:t>Assessment of Suitability to initiate MCA.</w:t>
            </w:r>
          </w:p>
        </w:tc>
        <w:tc>
          <w:tcPr>
            <w:tcW w:w="987" w:type="dxa"/>
            <w:vAlign w:val="center"/>
          </w:tcPr>
          <w:p w14:paraId="59600B72" w14:textId="24613C72" w:rsidR="002E7732" w:rsidRPr="000955F7" w:rsidRDefault="00BE7846" w:rsidP="002E7732">
            <w:pPr>
              <w:spacing w:before="80" w:after="80"/>
              <w:jc w:val="center"/>
            </w:pPr>
            <w:r>
              <w:t>10</w:t>
            </w:r>
          </w:p>
        </w:tc>
      </w:tr>
      <w:tr w:rsidR="002E7732" w:rsidRPr="00C84CA8" w14:paraId="3C76DC1A" w14:textId="77777777" w:rsidTr="00266549">
        <w:trPr>
          <w:jc w:val="center"/>
        </w:trPr>
        <w:tc>
          <w:tcPr>
            <w:tcW w:w="1368" w:type="dxa"/>
            <w:vAlign w:val="center"/>
          </w:tcPr>
          <w:p w14:paraId="2F570C87" w14:textId="3E03B508" w:rsidR="002E7732" w:rsidRDefault="002E7732" w:rsidP="002E7732">
            <w:pPr>
              <w:spacing w:before="80" w:after="80"/>
              <w:jc w:val="center"/>
            </w:pPr>
            <w:r>
              <w:t>Appendix 3</w:t>
            </w:r>
          </w:p>
        </w:tc>
        <w:tc>
          <w:tcPr>
            <w:tcW w:w="6749" w:type="dxa"/>
            <w:vAlign w:val="center"/>
          </w:tcPr>
          <w:p w14:paraId="39887108" w14:textId="525E5FBA" w:rsidR="002E7732" w:rsidRPr="007E2317" w:rsidRDefault="002E7732" w:rsidP="002E7732">
            <w:pPr>
              <w:spacing w:before="80" w:after="80"/>
            </w:pPr>
            <w:r>
              <w:t>Supporting guidance</w:t>
            </w:r>
          </w:p>
        </w:tc>
        <w:tc>
          <w:tcPr>
            <w:tcW w:w="987" w:type="dxa"/>
            <w:vAlign w:val="center"/>
          </w:tcPr>
          <w:p w14:paraId="42651F84" w14:textId="129BFA1A" w:rsidR="002E7732" w:rsidRDefault="005D1A4D" w:rsidP="002E7732">
            <w:pPr>
              <w:spacing w:before="80" w:after="80"/>
              <w:jc w:val="center"/>
            </w:pPr>
            <w:r>
              <w:t>1</w:t>
            </w:r>
            <w:r w:rsidR="00017EC8">
              <w:t>2</w:t>
            </w:r>
          </w:p>
        </w:tc>
      </w:tr>
      <w:tr w:rsidR="006F3719" w:rsidRPr="00C84CA8" w14:paraId="59712EA0" w14:textId="77777777" w:rsidTr="00266549">
        <w:trPr>
          <w:jc w:val="center"/>
        </w:trPr>
        <w:tc>
          <w:tcPr>
            <w:tcW w:w="1368" w:type="dxa"/>
            <w:vAlign w:val="center"/>
          </w:tcPr>
          <w:p w14:paraId="36E6A06C" w14:textId="77777777" w:rsidR="006F3719" w:rsidRPr="0003298D" w:rsidRDefault="006F3719" w:rsidP="00C96291">
            <w:pPr>
              <w:spacing w:before="80" w:after="80"/>
              <w:jc w:val="center"/>
            </w:pPr>
          </w:p>
        </w:tc>
        <w:tc>
          <w:tcPr>
            <w:tcW w:w="6749" w:type="dxa"/>
            <w:vAlign w:val="center"/>
          </w:tcPr>
          <w:p w14:paraId="48A513F2" w14:textId="13F36198" w:rsidR="006F3719" w:rsidRPr="00266549" w:rsidRDefault="006F3719" w:rsidP="00C96291">
            <w:pPr>
              <w:spacing w:before="80" w:after="80"/>
              <w:rPr>
                <w:b/>
                <w:bCs/>
              </w:rPr>
            </w:pPr>
          </w:p>
        </w:tc>
        <w:tc>
          <w:tcPr>
            <w:tcW w:w="987" w:type="dxa"/>
            <w:vAlign w:val="center"/>
          </w:tcPr>
          <w:p w14:paraId="7FFAF40A" w14:textId="77777777" w:rsidR="006F3719" w:rsidRPr="000955F7" w:rsidRDefault="006F3719" w:rsidP="00C96291">
            <w:pPr>
              <w:spacing w:before="80" w:after="80"/>
              <w:jc w:val="center"/>
            </w:pPr>
          </w:p>
        </w:tc>
      </w:tr>
      <w:tr w:rsidR="006F3719" w:rsidRPr="00C84CA8" w14:paraId="5EA31FBF" w14:textId="77777777" w:rsidTr="00266549">
        <w:trPr>
          <w:jc w:val="center"/>
        </w:trPr>
        <w:tc>
          <w:tcPr>
            <w:tcW w:w="1368" w:type="dxa"/>
            <w:vAlign w:val="center"/>
          </w:tcPr>
          <w:p w14:paraId="661687DD" w14:textId="77777777" w:rsidR="006F3719" w:rsidRPr="0003298D" w:rsidRDefault="006F3719" w:rsidP="00C96291">
            <w:pPr>
              <w:spacing w:before="80" w:after="80"/>
              <w:jc w:val="center"/>
            </w:pPr>
          </w:p>
        </w:tc>
        <w:tc>
          <w:tcPr>
            <w:tcW w:w="6749" w:type="dxa"/>
            <w:vAlign w:val="center"/>
          </w:tcPr>
          <w:p w14:paraId="09671E07" w14:textId="77777777" w:rsidR="006F3719" w:rsidRPr="0003298D" w:rsidRDefault="006F3719" w:rsidP="00C96291">
            <w:pPr>
              <w:spacing w:before="80" w:after="80"/>
            </w:pPr>
          </w:p>
        </w:tc>
        <w:tc>
          <w:tcPr>
            <w:tcW w:w="987" w:type="dxa"/>
            <w:vAlign w:val="center"/>
          </w:tcPr>
          <w:p w14:paraId="53F7A5DE" w14:textId="77777777" w:rsidR="006F3719" w:rsidRPr="000955F7" w:rsidRDefault="006F3719" w:rsidP="00C96291">
            <w:pPr>
              <w:spacing w:before="80" w:after="80"/>
              <w:jc w:val="center"/>
            </w:pPr>
          </w:p>
        </w:tc>
      </w:tr>
    </w:tbl>
    <w:p w14:paraId="606A4141" w14:textId="6756465C" w:rsidR="00017EC8" w:rsidRDefault="00017EC8" w:rsidP="00017EC8">
      <w:pPr>
        <w:pStyle w:val="ListParagraph"/>
        <w:rPr>
          <w:b/>
          <w:bCs/>
          <w:sz w:val="24"/>
          <w:szCs w:val="28"/>
        </w:rPr>
      </w:pPr>
    </w:p>
    <w:p w14:paraId="73D618E7" w14:textId="77863BD1" w:rsidR="00017EC8" w:rsidRDefault="00017EC8" w:rsidP="00017EC8">
      <w:pPr>
        <w:pStyle w:val="ListParagraph"/>
        <w:rPr>
          <w:b/>
          <w:bCs/>
          <w:sz w:val="24"/>
          <w:szCs w:val="28"/>
        </w:rPr>
      </w:pPr>
    </w:p>
    <w:p w14:paraId="73B1C253" w14:textId="0578DEAB" w:rsidR="00017EC8" w:rsidRDefault="00017EC8" w:rsidP="00017EC8">
      <w:pPr>
        <w:pStyle w:val="ListParagraph"/>
        <w:rPr>
          <w:b/>
          <w:bCs/>
          <w:sz w:val="24"/>
          <w:szCs w:val="28"/>
        </w:rPr>
      </w:pPr>
    </w:p>
    <w:p w14:paraId="09030AFC" w14:textId="54C91640" w:rsidR="00017EC8" w:rsidRDefault="00017EC8" w:rsidP="00017EC8">
      <w:pPr>
        <w:pStyle w:val="ListParagraph"/>
        <w:rPr>
          <w:b/>
          <w:bCs/>
          <w:sz w:val="24"/>
          <w:szCs w:val="28"/>
        </w:rPr>
      </w:pPr>
    </w:p>
    <w:p w14:paraId="416771A3" w14:textId="387F52A2" w:rsidR="00017EC8" w:rsidRDefault="00017EC8" w:rsidP="00017EC8">
      <w:pPr>
        <w:pStyle w:val="ListParagraph"/>
        <w:rPr>
          <w:b/>
          <w:bCs/>
          <w:sz w:val="24"/>
          <w:szCs w:val="28"/>
        </w:rPr>
      </w:pPr>
    </w:p>
    <w:p w14:paraId="0791D138" w14:textId="001405F3" w:rsidR="00017EC8" w:rsidRDefault="00017EC8" w:rsidP="00017EC8">
      <w:pPr>
        <w:pStyle w:val="ListParagraph"/>
        <w:rPr>
          <w:b/>
          <w:bCs/>
          <w:sz w:val="24"/>
          <w:szCs w:val="28"/>
        </w:rPr>
      </w:pPr>
    </w:p>
    <w:p w14:paraId="1B34DC06" w14:textId="55E9941E" w:rsidR="00017EC8" w:rsidRDefault="00017EC8" w:rsidP="00017EC8">
      <w:pPr>
        <w:pStyle w:val="ListParagraph"/>
        <w:rPr>
          <w:b/>
          <w:bCs/>
          <w:sz w:val="24"/>
          <w:szCs w:val="28"/>
        </w:rPr>
      </w:pPr>
    </w:p>
    <w:p w14:paraId="7CE42460" w14:textId="57548324" w:rsidR="00017EC8" w:rsidRDefault="00017EC8" w:rsidP="00017EC8">
      <w:pPr>
        <w:pStyle w:val="ListParagraph"/>
        <w:rPr>
          <w:b/>
          <w:bCs/>
          <w:sz w:val="24"/>
          <w:szCs w:val="28"/>
        </w:rPr>
      </w:pPr>
    </w:p>
    <w:p w14:paraId="6037D71D" w14:textId="594467F9" w:rsidR="00017EC8" w:rsidRDefault="00017EC8" w:rsidP="00017EC8">
      <w:pPr>
        <w:pStyle w:val="ListParagraph"/>
        <w:rPr>
          <w:b/>
          <w:bCs/>
          <w:sz w:val="24"/>
          <w:szCs w:val="28"/>
        </w:rPr>
      </w:pPr>
    </w:p>
    <w:p w14:paraId="30559FA3" w14:textId="5FDA046F" w:rsidR="00017EC8" w:rsidRDefault="00017EC8" w:rsidP="00017EC8">
      <w:pPr>
        <w:pStyle w:val="ListParagraph"/>
        <w:rPr>
          <w:b/>
          <w:bCs/>
          <w:sz w:val="24"/>
          <w:szCs w:val="28"/>
        </w:rPr>
      </w:pPr>
    </w:p>
    <w:p w14:paraId="49E8F675" w14:textId="0943C212" w:rsidR="00017EC8" w:rsidRDefault="00017EC8" w:rsidP="00017EC8">
      <w:pPr>
        <w:pStyle w:val="ListParagraph"/>
        <w:rPr>
          <w:b/>
          <w:bCs/>
          <w:sz w:val="24"/>
          <w:szCs w:val="28"/>
        </w:rPr>
      </w:pPr>
    </w:p>
    <w:p w14:paraId="0778DEAB" w14:textId="43030D74" w:rsidR="00017EC8" w:rsidRDefault="00017EC8" w:rsidP="00017EC8">
      <w:pPr>
        <w:pStyle w:val="ListParagraph"/>
        <w:rPr>
          <w:b/>
          <w:bCs/>
          <w:sz w:val="24"/>
          <w:szCs w:val="28"/>
        </w:rPr>
      </w:pPr>
    </w:p>
    <w:p w14:paraId="6727F1FB" w14:textId="027B1808" w:rsidR="00017EC8" w:rsidRDefault="00017EC8" w:rsidP="00017EC8">
      <w:pPr>
        <w:pStyle w:val="ListParagraph"/>
        <w:rPr>
          <w:b/>
          <w:bCs/>
          <w:sz w:val="24"/>
          <w:szCs w:val="28"/>
        </w:rPr>
      </w:pPr>
    </w:p>
    <w:p w14:paraId="4755A952" w14:textId="3C4D9465" w:rsidR="00017EC8" w:rsidRDefault="00017EC8" w:rsidP="00017EC8">
      <w:pPr>
        <w:pStyle w:val="ListParagraph"/>
        <w:rPr>
          <w:b/>
          <w:bCs/>
          <w:sz w:val="24"/>
          <w:szCs w:val="28"/>
        </w:rPr>
      </w:pPr>
    </w:p>
    <w:p w14:paraId="0742BCDD" w14:textId="2654196B" w:rsidR="00017EC8" w:rsidRDefault="00017EC8" w:rsidP="00017EC8">
      <w:pPr>
        <w:pStyle w:val="ListParagraph"/>
        <w:rPr>
          <w:b/>
          <w:bCs/>
          <w:sz w:val="24"/>
          <w:szCs w:val="28"/>
        </w:rPr>
      </w:pPr>
    </w:p>
    <w:p w14:paraId="035FDB04" w14:textId="0F61E453" w:rsidR="00017EC8" w:rsidRDefault="00017EC8" w:rsidP="00017EC8">
      <w:pPr>
        <w:pStyle w:val="ListParagraph"/>
        <w:rPr>
          <w:b/>
          <w:bCs/>
          <w:sz w:val="24"/>
          <w:szCs w:val="28"/>
        </w:rPr>
      </w:pPr>
    </w:p>
    <w:p w14:paraId="3980FCA6" w14:textId="2469447F" w:rsidR="00017EC8" w:rsidRDefault="00017EC8" w:rsidP="00017EC8">
      <w:pPr>
        <w:pStyle w:val="ListParagraph"/>
        <w:rPr>
          <w:b/>
          <w:bCs/>
          <w:sz w:val="24"/>
          <w:szCs w:val="28"/>
        </w:rPr>
      </w:pPr>
    </w:p>
    <w:p w14:paraId="75758DF5" w14:textId="39D3D755" w:rsidR="00017EC8" w:rsidRDefault="00017EC8" w:rsidP="00017EC8">
      <w:pPr>
        <w:pStyle w:val="ListParagraph"/>
        <w:rPr>
          <w:b/>
          <w:bCs/>
          <w:sz w:val="24"/>
          <w:szCs w:val="28"/>
        </w:rPr>
      </w:pPr>
    </w:p>
    <w:p w14:paraId="0EF89DF1" w14:textId="77777777" w:rsidR="00017EC8" w:rsidRDefault="00017EC8" w:rsidP="00017EC8">
      <w:pPr>
        <w:pStyle w:val="ListParagraph"/>
        <w:rPr>
          <w:b/>
          <w:bCs/>
          <w:sz w:val="24"/>
          <w:szCs w:val="28"/>
        </w:rPr>
      </w:pPr>
    </w:p>
    <w:p w14:paraId="011A47ED" w14:textId="13D7FF4F" w:rsidR="00266549" w:rsidRPr="004E7A43" w:rsidRDefault="00266549" w:rsidP="004E7A43">
      <w:pPr>
        <w:pStyle w:val="ListParagraph"/>
        <w:numPr>
          <w:ilvl w:val="0"/>
          <w:numId w:val="25"/>
        </w:numPr>
        <w:rPr>
          <w:b/>
          <w:bCs/>
          <w:sz w:val="24"/>
          <w:szCs w:val="28"/>
        </w:rPr>
      </w:pPr>
      <w:r w:rsidRPr="004E7A43">
        <w:rPr>
          <w:b/>
          <w:bCs/>
          <w:sz w:val="24"/>
          <w:szCs w:val="28"/>
        </w:rPr>
        <w:lastRenderedPageBreak/>
        <w:t>Executive summary</w:t>
      </w:r>
    </w:p>
    <w:p w14:paraId="4C18AAB4" w14:textId="70E9717B" w:rsidR="000F416A" w:rsidRDefault="00266549" w:rsidP="0093762F">
      <w:r>
        <w:t>A multi-compartment compliance aid (MCA) is a general term for a device designed to contain individual doses of medicines in separate compartments or blisters</w:t>
      </w:r>
      <w:r w:rsidR="0038628F" w:rsidRPr="0038628F">
        <w:rPr>
          <w:vertAlign w:val="superscript"/>
        </w:rPr>
        <w:t>1</w:t>
      </w:r>
      <w:r>
        <w:t xml:space="preserve">. </w:t>
      </w:r>
      <w:r w:rsidR="000F416A">
        <w:t xml:space="preserve">These aids are not always the most appropriate for service users </w:t>
      </w:r>
      <w:r w:rsidR="00FC4BC9">
        <w:t xml:space="preserve">as MCAs </w:t>
      </w:r>
      <w:r w:rsidR="000530A2">
        <w:t xml:space="preserve">have </w:t>
      </w:r>
      <w:r w:rsidR="00FC4BC9">
        <w:t xml:space="preserve">both </w:t>
      </w:r>
      <w:r w:rsidR="000530A2">
        <w:t>advantages and disadvantages</w:t>
      </w:r>
      <w:r w:rsidR="0038628F" w:rsidRPr="0038628F">
        <w:rPr>
          <w:vertAlign w:val="superscript"/>
        </w:rPr>
        <w:t>1</w:t>
      </w:r>
      <w:r w:rsidR="00195377">
        <w:rPr>
          <w:vertAlign w:val="superscript"/>
        </w:rPr>
        <w:t>,2</w:t>
      </w:r>
      <w:r w:rsidR="000530A2">
        <w:t>.</w:t>
      </w:r>
    </w:p>
    <w:p w14:paraId="5EF20930" w14:textId="3EE7CF08" w:rsidR="00266549" w:rsidRDefault="00266549" w:rsidP="0093762F">
      <w:r>
        <w:t>This p</w:t>
      </w:r>
      <w:r w:rsidR="00F4330E">
        <w:t>rotocol</w:t>
      </w:r>
      <w:r>
        <w:t xml:space="preserve"> provides a framework to support </w:t>
      </w:r>
      <w:r w:rsidR="006A6B1D">
        <w:t xml:space="preserve">the </w:t>
      </w:r>
      <w:r>
        <w:t xml:space="preserve">safe </w:t>
      </w:r>
      <w:r w:rsidR="00F4330E">
        <w:t xml:space="preserve">initiation and </w:t>
      </w:r>
      <w:r>
        <w:t>use of Multi-compartmental Compliance Aids (M</w:t>
      </w:r>
      <w:r w:rsidR="0046724E">
        <w:t>CAs)</w:t>
      </w:r>
      <w:r>
        <w:t>.</w:t>
      </w:r>
    </w:p>
    <w:p w14:paraId="766415A4" w14:textId="789F3B5F" w:rsidR="00266549" w:rsidRDefault="00266549" w:rsidP="0093762F"/>
    <w:p w14:paraId="0FB5A307" w14:textId="25B6F917" w:rsidR="00266549" w:rsidRPr="004E7A43" w:rsidRDefault="00266549" w:rsidP="004E7A43">
      <w:pPr>
        <w:pStyle w:val="ListParagraph"/>
        <w:numPr>
          <w:ilvl w:val="0"/>
          <w:numId w:val="25"/>
        </w:numPr>
        <w:rPr>
          <w:b/>
          <w:bCs/>
          <w:sz w:val="24"/>
          <w:szCs w:val="28"/>
        </w:rPr>
      </w:pPr>
      <w:r w:rsidRPr="004E7A43">
        <w:rPr>
          <w:b/>
          <w:bCs/>
          <w:sz w:val="24"/>
          <w:szCs w:val="28"/>
        </w:rPr>
        <w:t>Introduction</w:t>
      </w:r>
    </w:p>
    <w:p w14:paraId="6CEC16A1" w14:textId="17EDD5EA" w:rsidR="003E6125" w:rsidRDefault="003E6125" w:rsidP="0093762F">
      <w:r>
        <w:t xml:space="preserve">A multi-compartment compliance aid (MCA) </w:t>
      </w:r>
      <w:r w:rsidR="00705CF9">
        <w:t>may also be</w:t>
      </w:r>
      <w:r>
        <w:t xml:space="preserve"> referred to </w:t>
      </w:r>
      <w:r w:rsidR="00705CF9">
        <w:t xml:space="preserve">as </w:t>
      </w:r>
      <w:r>
        <w:t xml:space="preserve">a monitored dosage </w:t>
      </w:r>
      <w:r w:rsidR="003630A1">
        <w:t>system (MDS)</w:t>
      </w:r>
      <w:r w:rsidR="00FC4BC9" w:rsidRPr="00FC4BC9">
        <w:rPr>
          <w:vertAlign w:val="superscript"/>
        </w:rPr>
        <w:t>1</w:t>
      </w:r>
      <w:r w:rsidR="00195377">
        <w:rPr>
          <w:vertAlign w:val="superscript"/>
        </w:rPr>
        <w:t>,</w:t>
      </w:r>
      <w:r w:rsidR="00E61810">
        <w:rPr>
          <w:vertAlign w:val="superscript"/>
        </w:rPr>
        <w:t>2</w:t>
      </w:r>
      <w:r>
        <w:t xml:space="preserve">. There are a variety of types of </w:t>
      </w:r>
      <w:r w:rsidR="003630A1">
        <w:t>devices</w:t>
      </w:r>
      <w:r>
        <w:t xml:space="preserve"> available</w:t>
      </w:r>
      <w:r w:rsidR="00E61810">
        <w:rPr>
          <w:vertAlign w:val="superscript"/>
        </w:rPr>
        <w:t>1,2</w:t>
      </w:r>
      <w:r w:rsidR="000530A2">
        <w:t>.</w:t>
      </w:r>
    </w:p>
    <w:p w14:paraId="7F1D5AFE" w14:textId="2BC263FB" w:rsidR="003630A1" w:rsidRDefault="000530A2" w:rsidP="0093762F">
      <w:pPr>
        <w:rPr>
          <w:szCs w:val="22"/>
        </w:rPr>
      </w:pPr>
      <w:r w:rsidRPr="00FC4BC9">
        <w:rPr>
          <w:szCs w:val="22"/>
        </w:rPr>
        <w:t>The MCA is made specifically for a service user based on their medication regime</w:t>
      </w:r>
      <w:r w:rsidR="006158D0" w:rsidRPr="006158D0">
        <w:rPr>
          <w:szCs w:val="22"/>
          <w:vertAlign w:val="superscript"/>
        </w:rPr>
        <w:t>1</w:t>
      </w:r>
      <w:r w:rsidRPr="00FC4BC9">
        <w:rPr>
          <w:szCs w:val="22"/>
        </w:rPr>
        <w:t xml:space="preserve">. </w:t>
      </w:r>
      <w:r w:rsidR="00F4330E" w:rsidRPr="00FC4BC9">
        <w:rPr>
          <w:szCs w:val="22"/>
        </w:rPr>
        <w:t>However,</w:t>
      </w:r>
      <w:r w:rsidRPr="00FC4BC9">
        <w:rPr>
          <w:szCs w:val="22"/>
        </w:rPr>
        <w:t xml:space="preserve"> due to medication design not all formulations are able to go into an MCA and therefore careful consideration needs to be undertaken for their suitability for the individual</w:t>
      </w:r>
      <w:r w:rsidR="00195377" w:rsidRPr="00195377">
        <w:rPr>
          <w:szCs w:val="22"/>
          <w:vertAlign w:val="superscript"/>
        </w:rPr>
        <w:t>1</w:t>
      </w:r>
      <w:r w:rsidR="00E61810">
        <w:rPr>
          <w:szCs w:val="22"/>
          <w:vertAlign w:val="superscript"/>
        </w:rPr>
        <w:t>,2</w:t>
      </w:r>
      <w:r w:rsidRPr="00FC4BC9">
        <w:rPr>
          <w:szCs w:val="22"/>
        </w:rPr>
        <w:t xml:space="preserve">. </w:t>
      </w:r>
    </w:p>
    <w:p w14:paraId="569D4D5E" w14:textId="1575C89B" w:rsidR="00BB641A" w:rsidRPr="00BB641A" w:rsidRDefault="00FC4BC9" w:rsidP="0093762F">
      <w:pPr>
        <w:rPr>
          <w:szCs w:val="22"/>
        </w:rPr>
      </w:pPr>
      <w:r>
        <w:rPr>
          <w:szCs w:val="22"/>
        </w:rPr>
        <w:t xml:space="preserve">The Royal Pharmaceutical Society (RPS) and NICE </w:t>
      </w:r>
      <w:r w:rsidRPr="00FC4BC9">
        <w:rPr>
          <w:szCs w:val="22"/>
        </w:rPr>
        <w:t>guidance</w:t>
      </w:r>
      <w:r>
        <w:rPr>
          <w:szCs w:val="22"/>
        </w:rPr>
        <w:t xml:space="preserve"> both recommend</w:t>
      </w:r>
      <w:r w:rsidRPr="00FC4BC9">
        <w:rPr>
          <w:szCs w:val="22"/>
        </w:rPr>
        <w:t xml:space="preserve"> that MCAs should not be considered the default method for supporting medicines adherence</w:t>
      </w:r>
      <w:r w:rsidR="00F4330E">
        <w:rPr>
          <w:szCs w:val="22"/>
          <w:vertAlign w:val="superscript"/>
        </w:rPr>
        <w:t>1</w:t>
      </w:r>
      <w:r w:rsidR="00BB641A">
        <w:rPr>
          <w:szCs w:val="22"/>
          <w:vertAlign w:val="superscript"/>
        </w:rPr>
        <w:t>-</w:t>
      </w:r>
      <w:r w:rsidR="00F4330E">
        <w:rPr>
          <w:szCs w:val="22"/>
          <w:vertAlign w:val="superscript"/>
        </w:rPr>
        <w:t>3</w:t>
      </w:r>
      <w:r w:rsidRPr="00FC4BC9">
        <w:rPr>
          <w:szCs w:val="22"/>
        </w:rPr>
        <w:t xml:space="preserve">. </w:t>
      </w:r>
      <w:r w:rsidR="00BB641A">
        <w:rPr>
          <w:szCs w:val="22"/>
        </w:rPr>
        <w:t>An MCA should only be initiated for a service user only when an assessment by a health professional (e.g., pha</w:t>
      </w:r>
      <w:r w:rsidR="00E0681D">
        <w:rPr>
          <w:szCs w:val="22"/>
        </w:rPr>
        <w:t>rmacist) has been carried out</w:t>
      </w:r>
      <w:r w:rsidR="00BB641A">
        <w:rPr>
          <w:szCs w:val="22"/>
          <w:vertAlign w:val="superscript"/>
        </w:rPr>
        <w:t>1,3</w:t>
      </w:r>
      <w:r w:rsidR="00BB641A">
        <w:rPr>
          <w:szCs w:val="22"/>
        </w:rPr>
        <w:t>.</w:t>
      </w:r>
    </w:p>
    <w:p w14:paraId="5116E3B8" w14:textId="1911356A" w:rsidR="000855CB" w:rsidRPr="004E7A43" w:rsidRDefault="00FC4BC9" w:rsidP="0093762F">
      <w:pPr>
        <w:rPr>
          <w:szCs w:val="22"/>
        </w:rPr>
      </w:pPr>
      <w:r w:rsidRPr="00FC4BC9">
        <w:rPr>
          <w:szCs w:val="22"/>
        </w:rPr>
        <w:t xml:space="preserve">Alternative adjustments should be explored first to enable service users to manage medicines safely using </w:t>
      </w:r>
      <w:r w:rsidR="00AA05CC" w:rsidRPr="00FC4BC9">
        <w:rPr>
          <w:szCs w:val="22"/>
        </w:rPr>
        <w:t>original</w:t>
      </w:r>
      <w:r w:rsidRPr="00FC4BC9">
        <w:rPr>
          <w:szCs w:val="22"/>
        </w:rPr>
        <w:t xml:space="preserve"> packaging wherever possible</w:t>
      </w:r>
      <w:r w:rsidRPr="00FC4BC9">
        <w:rPr>
          <w:szCs w:val="22"/>
          <w:vertAlign w:val="superscript"/>
        </w:rPr>
        <w:t>1</w:t>
      </w:r>
      <w:r w:rsidR="00195377">
        <w:rPr>
          <w:szCs w:val="22"/>
          <w:vertAlign w:val="superscript"/>
        </w:rPr>
        <w:t>,2</w:t>
      </w:r>
      <w:r w:rsidRPr="00FC4BC9">
        <w:rPr>
          <w:szCs w:val="22"/>
        </w:rPr>
        <w:t xml:space="preserve">. </w:t>
      </w:r>
    </w:p>
    <w:p w14:paraId="69B7BC5A" w14:textId="77777777" w:rsidR="000855CB" w:rsidRPr="00C435C1" w:rsidRDefault="000855CB" w:rsidP="0093762F">
      <w:pPr>
        <w:rPr>
          <w:sz w:val="24"/>
          <w:szCs w:val="28"/>
        </w:rPr>
      </w:pPr>
    </w:p>
    <w:p w14:paraId="3027D877" w14:textId="01C47B5F" w:rsidR="003630A1" w:rsidRPr="0038628F" w:rsidRDefault="003630A1" w:rsidP="004E7A43">
      <w:pPr>
        <w:pStyle w:val="ListParagraph"/>
        <w:numPr>
          <w:ilvl w:val="0"/>
          <w:numId w:val="25"/>
        </w:numPr>
        <w:rPr>
          <w:b/>
          <w:bCs/>
          <w:sz w:val="24"/>
          <w:szCs w:val="28"/>
        </w:rPr>
      </w:pPr>
      <w:r w:rsidRPr="0038628F">
        <w:rPr>
          <w:b/>
          <w:bCs/>
          <w:sz w:val="24"/>
          <w:szCs w:val="28"/>
        </w:rPr>
        <w:t>Purpose</w:t>
      </w:r>
    </w:p>
    <w:p w14:paraId="382D0D4F" w14:textId="307DD7C1" w:rsidR="003E6125" w:rsidRDefault="003630A1" w:rsidP="0093762F">
      <w:r>
        <w:t xml:space="preserve">The purpose of this document is to make sure that Multi-compartmental Compliance Aids are only initiated in appropriate patients where the service </w:t>
      </w:r>
      <w:r w:rsidR="00BB641A">
        <w:t>user’s</w:t>
      </w:r>
      <w:r>
        <w:t xml:space="preserve"> medicines management needs and medication formulations have been taken into consideration.</w:t>
      </w:r>
    </w:p>
    <w:p w14:paraId="09D248FC" w14:textId="77777777" w:rsidR="00DB6BF6" w:rsidRDefault="00DB6BF6" w:rsidP="00DB6BF6">
      <w:r>
        <w:t>This SOP aims to:</w:t>
      </w:r>
    </w:p>
    <w:p w14:paraId="39EC6B51" w14:textId="77777777" w:rsidR="00DB6BF6" w:rsidRDefault="00DB6BF6" w:rsidP="00DB6BF6">
      <w:pPr>
        <w:pStyle w:val="ListParagraph"/>
        <w:numPr>
          <w:ilvl w:val="0"/>
          <w:numId w:val="23"/>
        </w:numPr>
      </w:pPr>
      <w:r>
        <w:t>Promote safe, effective, and person-centred use of MCAs</w:t>
      </w:r>
    </w:p>
    <w:p w14:paraId="0A0D9283" w14:textId="77777777" w:rsidR="00DB6BF6" w:rsidRDefault="00DB6BF6" w:rsidP="00DB6BF6">
      <w:pPr>
        <w:pStyle w:val="ListParagraph"/>
        <w:numPr>
          <w:ilvl w:val="0"/>
          <w:numId w:val="23"/>
        </w:numPr>
      </w:pPr>
      <w:r>
        <w:t>Ensure that the service user’s medicines management needs, cognitive and physical abilities, and living circumstances are considered</w:t>
      </w:r>
    </w:p>
    <w:p w14:paraId="184F1EB4" w14:textId="77777777" w:rsidR="00DB6BF6" w:rsidRDefault="00DB6BF6" w:rsidP="00DB6BF6">
      <w:pPr>
        <w:pStyle w:val="ListParagraph"/>
        <w:numPr>
          <w:ilvl w:val="0"/>
          <w:numId w:val="23"/>
        </w:numPr>
      </w:pPr>
      <w:r>
        <w:t>Prevent inappropriate or routine initiation of MCAs</w:t>
      </w:r>
    </w:p>
    <w:p w14:paraId="515CC847" w14:textId="6C551D3A" w:rsidR="00DB6BF6" w:rsidRDefault="00DB6BF6" w:rsidP="00DB6BF6">
      <w:pPr>
        <w:pStyle w:val="ListParagraph"/>
        <w:numPr>
          <w:ilvl w:val="0"/>
          <w:numId w:val="23"/>
        </w:numPr>
      </w:pPr>
      <w:r>
        <w:t xml:space="preserve">Ensure continuity of care across inpatient, discharge, and community settings </w:t>
      </w:r>
    </w:p>
    <w:p w14:paraId="6EAFCCFA" w14:textId="58B606E7" w:rsidR="003630A1" w:rsidRPr="004B16FA" w:rsidRDefault="003630A1" w:rsidP="0093762F">
      <w:pPr>
        <w:rPr>
          <w:b/>
          <w:bCs/>
        </w:rPr>
      </w:pPr>
    </w:p>
    <w:p w14:paraId="5A33B3C5" w14:textId="4C90CD95" w:rsidR="004B16FA" w:rsidRPr="00F90EF1" w:rsidRDefault="004B16FA" w:rsidP="004B16FA">
      <w:pPr>
        <w:pStyle w:val="ListParagraph"/>
        <w:numPr>
          <w:ilvl w:val="0"/>
          <w:numId w:val="25"/>
        </w:numPr>
        <w:rPr>
          <w:b/>
          <w:bCs/>
          <w:sz w:val="24"/>
        </w:rPr>
      </w:pPr>
      <w:r w:rsidRPr="00F90EF1">
        <w:rPr>
          <w:b/>
          <w:bCs/>
          <w:sz w:val="24"/>
        </w:rPr>
        <w:t>Scope</w:t>
      </w:r>
    </w:p>
    <w:p w14:paraId="025D84A3" w14:textId="3614EDD2" w:rsidR="004B16FA" w:rsidRDefault="006614A3" w:rsidP="0093762F">
      <w:r w:rsidRPr="006614A3">
        <w:t>This protocol applies to medical practitioners, nurses, clinical pharmacists and medicines management technicians involved in the care of patients within ELFT inpatient services and outpatient clozapine clinics.</w:t>
      </w:r>
      <w:r>
        <w:t xml:space="preserve"> </w:t>
      </w:r>
    </w:p>
    <w:p w14:paraId="5BF46F53" w14:textId="72CFD3A8" w:rsidR="006614A3" w:rsidRDefault="006614A3" w:rsidP="0093762F"/>
    <w:p w14:paraId="29F7BB36" w14:textId="1FD5BEBE" w:rsidR="00017EC8" w:rsidRDefault="00017EC8" w:rsidP="0093762F"/>
    <w:p w14:paraId="6603345F" w14:textId="77777777" w:rsidR="00017EC8" w:rsidRDefault="00017EC8" w:rsidP="0093762F"/>
    <w:p w14:paraId="5C1ED13A" w14:textId="1D38C2F7" w:rsidR="003630A1" w:rsidRPr="004E7A43" w:rsidRDefault="003630A1" w:rsidP="004E7A43">
      <w:pPr>
        <w:pStyle w:val="ListParagraph"/>
        <w:numPr>
          <w:ilvl w:val="0"/>
          <w:numId w:val="25"/>
        </w:numPr>
        <w:rPr>
          <w:b/>
          <w:bCs/>
          <w:sz w:val="24"/>
          <w:szCs w:val="28"/>
        </w:rPr>
      </w:pPr>
      <w:r w:rsidRPr="0038628F">
        <w:rPr>
          <w:b/>
          <w:bCs/>
          <w:sz w:val="24"/>
          <w:szCs w:val="28"/>
        </w:rPr>
        <w:lastRenderedPageBreak/>
        <w:t>Roles and Responsibilities</w:t>
      </w:r>
    </w:p>
    <w:p w14:paraId="144C491A" w14:textId="699DE63F" w:rsidR="00DB6BF6" w:rsidRPr="003B4F17" w:rsidRDefault="00DB6BF6" w:rsidP="00DB6BF6">
      <w:pPr>
        <w:rPr>
          <w:b/>
          <w:bCs/>
          <w:color w:val="000000" w:themeColor="text1"/>
        </w:rPr>
      </w:pPr>
      <w:r w:rsidRPr="003B4F17">
        <w:rPr>
          <w:b/>
          <w:bCs/>
          <w:color w:val="000000" w:themeColor="text1"/>
        </w:rPr>
        <w:t xml:space="preserve">Pharmacy Team: </w:t>
      </w:r>
    </w:p>
    <w:p w14:paraId="5DA596C6" w14:textId="6A3B3E20"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 xml:space="preserve">To complete the </w:t>
      </w:r>
      <w:r w:rsidR="00BB641A" w:rsidRPr="003B4F17">
        <w:rPr>
          <w:color w:val="000000" w:themeColor="text1"/>
        </w:rPr>
        <w:t>multi-compartment</w:t>
      </w:r>
      <w:r w:rsidR="003B4F17" w:rsidRPr="003B4F17">
        <w:rPr>
          <w:color w:val="000000" w:themeColor="text1"/>
        </w:rPr>
        <w:t xml:space="preserve"> compliance aid assessment tool </w:t>
      </w:r>
      <w:r w:rsidR="00CD3944">
        <w:rPr>
          <w:color w:val="000000" w:themeColor="text1"/>
        </w:rPr>
        <w:t xml:space="preserve">(Appendix 2.) </w:t>
      </w:r>
      <w:r w:rsidR="003B4F17" w:rsidRPr="003B4F17">
        <w:rPr>
          <w:color w:val="000000" w:themeColor="text1"/>
        </w:rPr>
        <w:t>to ensure it is appropriate for the individual-case of the service user.</w:t>
      </w:r>
    </w:p>
    <w:p w14:paraId="34960F15" w14:textId="7FD05E40"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To ensure all medications intended for inclusion in an MCA are compatible with it using the following resource: Medicines in Compliance Aids Stability Tool – NHS SPS - Specialist Pharmacy Service – The first stop for professional medicines advice</w:t>
      </w:r>
      <w:r w:rsidR="00E74F32">
        <w:rPr>
          <w:color w:val="000000" w:themeColor="text1"/>
          <w:vertAlign w:val="superscript"/>
        </w:rPr>
        <w:t>4</w:t>
      </w:r>
      <w:r w:rsidR="003B4F17" w:rsidRPr="003B4F17">
        <w:rPr>
          <w:color w:val="000000" w:themeColor="text1"/>
        </w:rPr>
        <w:t>.</w:t>
      </w:r>
    </w:p>
    <w:p w14:paraId="7BCD7AB5" w14:textId="4A437432"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To identify medicines unsuitable for MCAs and ensure appropriate arrangements for supply outside the compliance aid</w:t>
      </w:r>
    </w:p>
    <w:p w14:paraId="14E9690B" w14:textId="7E8D10B1"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To provide counselling to the service user and/or carer</w:t>
      </w:r>
      <w:r w:rsidR="005D6C5D">
        <w:rPr>
          <w:color w:val="000000" w:themeColor="text1"/>
        </w:rPr>
        <w:t xml:space="preserve"> involved</w:t>
      </w:r>
      <w:r w:rsidR="003B4F17" w:rsidRPr="003B4F17">
        <w:rPr>
          <w:color w:val="000000" w:themeColor="text1"/>
        </w:rPr>
        <w:t xml:space="preserve"> on the correct use of the MCA with the use of patient information leaflets from MAPPs and Florid</w:t>
      </w:r>
    </w:p>
    <w:p w14:paraId="596F8510" w14:textId="30CB3649"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To liaise with the patient’s nominated community pharmacy and GP to ensure agreement and capacity to continue MCA supply following discharge</w:t>
      </w:r>
    </w:p>
    <w:p w14:paraId="1A6557D8" w14:textId="5EBEEA3A"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To reassess the ongoing need for an MCA where a service user was admitted with one already in place</w:t>
      </w:r>
    </w:p>
    <w:p w14:paraId="077A4B38" w14:textId="77777777" w:rsidR="00F90EF1" w:rsidRDefault="00F90EF1" w:rsidP="003B4F17">
      <w:pPr>
        <w:rPr>
          <w:b/>
          <w:bCs/>
          <w:color w:val="000000" w:themeColor="text1"/>
        </w:rPr>
      </w:pPr>
    </w:p>
    <w:p w14:paraId="1D0C4B3C" w14:textId="15041825" w:rsidR="003B4F17" w:rsidRPr="003B4F17" w:rsidRDefault="00D759A6" w:rsidP="003B4F17">
      <w:pPr>
        <w:rPr>
          <w:b/>
          <w:bCs/>
          <w:color w:val="000000" w:themeColor="text1"/>
        </w:rPr>
      </w:pPr>
      <w:r>
        <w:rPr>
          <w:b/>
          <w:bCs/>
          <w:color w:val="000000" w:themeColor="text1"/>
        </w:rPr>
        <w:t>Prescriber</w:t>
      </w:r>
      <w:r w:rsidR="003B4F17" w:rsidRPr="003B4F17">
        <w:rPr>
          <w:b/>
          <w:bCs/>
          <w:color w:val="000000" w:themeColor="text1"/>
        </w:rPr>
        <w:t>s:</w:t>
      </w:r>
    </w:p>
    <w:p w14:paraId="7BAF0ADE" w14:textId="610E51AC" w:rsidR="003B4F17" w:rsidRPr="003B4F17" w:rsidRDefault="00592DA7" w:rsidP="003B4F17">
      <w:pPr>
        <w:rPr>
          <w:color w:val="000000" w:themeColor="text1"/>
        </w:rPr>
      </w:pPr>
      <w:r>
        <w:rPr>
          <w:color w:val="000000" w:themeColor="text1"/>
        </w:rPr>
        <w:t xml:space="preserve">• </w:t>
      </w:r>
      <w:r w:rsidR="003B4F17" w:rsidRPr="003B4F17">
        <w:rPr>
          <w:color w:val="000000" w:themeColor="text1"/>
        </w:rPr>
        <w:t xml:space="preserve">To optimise the medication regimen and consider whether medicines can be simplified or deprescribed prior to MCA initiation </w:t>
      </w:r>
    </w:p>
    <w:p w14:paraId="320D53D0" w14:textId="77777777" w:rsidR="00592DA7" w:rsidRDefault="00592DA7" w:rsidP="00592DA7">
      <w:pPr>
        <w:rPr>
          <w:color w:val="000000" w:themeColor="text1"/>
        </w:rPr>
      </w:pPr>
      <w:r>
        <w:rPr>
          <w:color w:val="000000" w:themeColor="text1"/>
        </w:rPr>
        <w:t xml:space="preserve">• </w:t>
      </w:r>
      <w:r w:rsidR="003B4F17" w:rsidRPr="003B4F17">
        <w:rPr>
          <w:color w:val="000000" w:themeColor="text1"/>
        </w:rPr>
        <w:t xml:space="preserve">To order the patient’s TTA in a timely manner, allowing at least 24 hours’ notice for pharmacy to supply </w:t>
      </w:r>
      <w:r w:rsidR="00A9490B">
        <w:rPr>
          <w:color w:val="000000" w:themeColor="text1"/>
        </w:rPr>
        <w:t xml:space="preserve">a patient’s </w:t>
      </w:r>
      <w:r w:rsidR="003B4F17" w:rsidRPr="003B4F17">
        <w:rPr>
          <w:color w:val="000000" w:themeColor="text1"/>
        </w:rPr>
        <w:t>MCA upon discharge</w:t>
      </w:r>
      <w:r w:rsidR="003B4F17">
        <w:rPr>
          <w:color w:val="000000" w:themeColor="text1"/>
        </w:rPr>
        <w:t xml:space="preserve"> </w:t>
      </w:r>
    </w:p>
    <w:p w14:paraId="1CF8FD84" w14:textId="1C315675" w:rsidR="00592DA7" w:rsidRDefault="00592DA7" w:rsidP="00592DA7">
      <w:pPr>
        <w:rPr>
          <w:color w:val="000000" w:themeColor="text1"/>
        </w:rPr>
      </w:pPr>
      <w:r w:rsidRPr="003B4F17">
        <w:rPr>
          <w:color w:val="000000" w:themeColor="text1"/>
        </w:rPr>
        <w:t>•</w:t>
      </w:r>
      <w:r>
        <w:rPr>
          <w:color w:val="000000" w:themeColor="text1"/>
        </w:rPr>
        <w:t xml:space="preserve"> To </w:t>
      </w:r>
      <w:r w:rsidRPr="00592DA7">
        <w:rPr>
          <w:color w:val="000000" w:themeColor="text1"/>
        </w:rPr>
        <w:t>review any medicines identified by pharmacy as unsuitable for inclusion in an MCA due to stability concerns and consider alternative formulations where clinically appropriate.</w:t>
      </w:r>
      <w:r>
        <w:rPr>
          <w:color w:val="000000" w:themeColor="text1"/>
        </w:rPr>
        <w:t xml:space="preserve"> </w:t>
      </w:r>
    </w:p>
    <w:p w14:paraId="2BCE9A93" w14:textId="69F5303A" w:rsidR="00592DA7" w:rsidRDefault="00592DA7" w:rsidP="00592DA7">
      <w:pPr>
        <w:rPr>
          <w:color w:val="000000" w:themeColor="text1"/>
        </w:rPr>
      </w:pPr>
      <w:r>
        <w:rPr>
          <w:color w:val="000000" w:themeColor="text1"/>
        </w:rPr>
        <w:t>•</w:t>
      </w:r>
      <w:r w:rsidR="006B5FED">
        <w:rPr>
          <w:color w:val="000000" w:themeColor="text1"/>
        </w:rPr>
        <w:t xml:space="preserve"> </w:t>
      </w:r>
      <w:r w:rsidR="009E32D3">
        <w:rPr>
          <w:color w:val="000000" w:themeColor="text1"/>
        </w:rPr>
        <w:t>W</w:t>
      </w:r>
      <w:r w:rsidR="006B5FED" w:rsidRPr="006B5FED">
        <w:rPr>
          <w:color w:val="000000" w:themeColor="text1"/>
        </w:rPr>
        <w:t>here no suitable alternative to MCA supply exists and the clinical benefits of supplying medicines within an MCA are considered to outweigh the potential risks associated with stability</w:t>
      </w:r>
      <w:r w:rsidR="009E32D3">
        <w:rPr>
          <w:color w:val="000000" w:themeColor="text1"/>
        </w:rPr>
        <w:t>, the prescriber must</w:t>
      </w:r>
      <w:r w:rsidR="009E32D3" w:rsidRPr="00592DA7">
        <w:rPr>
          <w:color w:val="000000" w:themeColor="text1"/>
        </w:rPr>
        <w:t xml:space="preserve"> formally </w:t>
      </w:r>
      <w:r w:rsidR="009E32D3">
        <w:rPr>
          <w:color w:val="000000" w:themeColor="text1"/>
        </w:rPr>
        <w:t xml:space="preserve">document </w:t>
      </w:r>
      <w:r w:rsidR="009E32D3" w:rsidRPr="006B5FED">
        <w:rPr>
          <w:color w:val="000000" w:themeColor="text1"/>
        </w:rPr>
        <w:t>the decision by signing the declaration in Appendix</w:t>
      </w:r>
      <w:r w:rsidR="009E32D3">
        <w:rPr>
          <w:color w:val="000000" w:themeColor="text1"/>
        </w:rPr>
        <w:t xml:space="preserve"> 2.</w:t>
      </w:r>
    </w:p>
    <w:p w14:paraId="2AE7DDD6" w14:textId="77777777" w:rsidR="00592DA7" w:rsidRPr="00592DA7" w:rsidRDefault="00592DA7" w:rsidP="00592DA7">
      <w:pPr>
        <w:rPr>
          <w:color w:val="000000" w:themeColor="text1"/>
        </w:rPr>
      </w:pPr>
    </w:p>
    <w:p w14:paraId="60DF1C30" w14:textId="6384663C" w:rsidR="003B4F17" w:rsidRDefault="00D759A6" w:rsidP="003B4F17">
      <w:pPr>
        <w:rPr>
          <w:b/>
          <w:bCs/>
          <w:color w:val="000000" w:themeColor="text1"/>
        </w:rPr>
      </w:pPr>
      <w:r>
        <w:rPr>
          <w:b/>
          <w:bCs/>
          <w:color w:val="000000" w:themeColor="text1"/>
        </w:rPr>
        <w:t xml:space="preserve">Nursing </w:t>
      </w:r>
      <w:r w:rsidR="003B4F17">
        <w:rPr>
          <w:b/>
          <w:bCs/>
          <w:color w:val="000000" w:themeColor="text1"/>
        </w:rPr>
        <w:t xml:space="preserve">team: </w:t>
      </w:r>
    </w:p>
    <w:p w14:paraId="6D5ADCF9" w14:textId="7FE4C034" w:rsidR="003B4F17" w:rsidRDefault="00592DA7" w:rsidP="003B4F17">
      <w:pPr>
        <w:rPr>
          <w:color w:val="000000" w:themeColor="text1"/>
        </w:rPr>
      </w:pPr>
      <w:r>
        <w:rPr>
          <w:color w:val="000000" w:themeColor="text1"/>
        </w:rPr>
        <w:t xml:space="preserve">• </w:t>
      </w:r>
      <w:r w:rsidR="003B4F17">
        <w:rPr>
          <w:color w:val="000000" w:themeColor="text1"/>
        </w:rPr>
        <w:t xml:space="preserve">To identify service users </w:t>
      </w:r>
      <w:proofErr w:type="gramStart"/>
      <w:r w:rsidR="003B4F17">
        <w:rPr>
          <w:color w:val="000000" w:themeColor="text1"/>
        </w:rPr>
        <w:t>experiencing difficulty</w:t>
      </w:r>
      <w:proofErr w:type="gramEnd"/>
      <w:r w:rsidR="003B4F17">
        <w:rPr>
          <w:color w:val="000000" w:themeColor="text1"/>
        </w:rPr>
        <w:t xml:space="preserve"> managing </w:t>
      </w:r>
      <w:r w:rsidR="005F6AEF">
        <w:rPr>
          <w:color w:val="000000" w:themeColor="text1"/>
        </w:rPr>
        <w:t>medicines.</w:t>
      </w:r>
    </w:p>
    <w:p w14:paraId="6AFE55E8" w14:textId="4805A7CF" w:rsidR="003B4F17" w:rsidRDefault="00592DA7" w:rsidP="003B4F17">
      <w:pPr>
        <w:rPr>
          <w:color w:val="000000" w:themeColor="text1"/>
        </w:rPr>
      </w:pPr>
      <w:r>
        <w:rPr>
          <w:color w:val="000000" w:themeColor="text1"/>
        </w:rPr>
        <w:t xml:space="preserve">• </w:t>
      </w:r>
      <w:r w:rsidR="004346F8">
        <w:rPr>
          <w:color w:val="000000" w:themeColor="text1"/>
        </w:rPr>
        <w:t xml:space="preserve">To </w:t>
      </w:r>
      <w:r w:rsidR="002265BB">
        <w:rPr>
          <w:color w:val="000000" w:themeColor="text1"/>
        </w:rPr>
        <w:t>liaise with carers and/or care homes and asses</w:t>
      </w:r>
      <w:r w:rsidR="00C94644">
        <w:rPr>
          <w:color w:val="000000" w:themeColor="text1"/>
        </w:rPr>
        <w:t>s</w:t>
      </w:r>
      <w:r w:rsidR="002265BB">
        <w:rPr>
          <w:color w:val="000000" w:themeColor="text1"/>
        </w:rPr>
        <w:t xml:space="preserve"> the necessity of </w:t>
      </w:r>
      <w:proofErr w:type="gramStart"/>
      <w:r w:rsidR="002265BB">
        <w:rPr>
          <w:color w:val="000000" w:themeColor="text1"/>
        </w:rPr>
        <w:t>a</w:t>
      </w:r>
      <w:proofErr w:type="gramEnd"/>
      <w:r w:rsidR="002265BB">
        <w:rPr>
          <w:color w:val="000000" w:themeColor="text1"/>
        </w:rPr>
        <w:t xml:space="preserve"> M</w:t>
      </w:r>
      <w:r w:rsidR="00D759A6">
        <w:rPr>
          <w:color w:val="000000" w:themeColor="text1"/>
        </w:rPr>
        <w:t>CA</w:t>
      </w:r>
      <w:r w:rsidR="002265BB">
        <w:rPr>
          <w:color w:val="000000" w:themeColor="text1"/>
        </w:rPr>
        <w:t xml:space="preserve"> device for medicines administration</w:t>
      </w:r>
      <w:r w:rsidR="00DF18B8">
        <w:rPr>
          <w:color w:val="000000" w:themeColor="text1"/>
        </w:rPr>
        <w:t>.</w:t>
      </w:r>
    </w:p>
    <w:p w14:paraId="33B38881" w14:textId="141CF739" w:rsidR="002E13CC" w:rsidRDefault="002E13CC" w:rsidP="003B4F17">
      <w:pPr>
        <w:rPr>
          <w:color w:val="000000" w:themeColor="text1"/>
        </w:rPr>
      </w:pPr>
      <w:r>
        <w:rPr>
          <w:color w:val="000000" w:themeColor="text1"/>
        </w:rPr>
        <w:t xml:space="preserve">• </w:t>
      </w:r>
      <w:r w:rsidRPr="003B4F17">
        <w:rPr>
          <w:color w:val="000000" w:themeColor="text1"/>
        </w:rPr>
        <w:t>To provide counselling to the service user and/or carer</w:t>
      </w:r>
      <w:r>
        <w:rPr>
          <w:color w:val="000000" w:themeColor="text1"/>
        </w:rPr>
        <w:t xml:space="preserve"> involved</w:t>
      </w:r>
      <w:r w:rsidRPr="003B4F17">
        <w:rPr>
          <w:color w:val="000000" w:themeColor="text1"/>
        </w:rPr>
        <w:t xml:space="preserve"> on the correct use of the MCA</w:t>
      </w:r>
      <w:r w:rsidR="00DF18B8">
        <w:rPr>
          <w:color w:val="000000" w:themeColor="text1"/>
        </w:rPr>
        <w:t xml:space="preserve">. Nursing staff can contact the pharmacy team with this if necessary. </w:t>
      </w:r>
    </w:p>
    <w:p w14:paraId="2019F5F0" w14:textId="23FD06F1" w:rsidR="00AA05CC" w:rsidRDefault="00AA05CC" w:rsidP="003B4F17">
      <w:pPr>
        <w:rPr>
          <w:color w:val="000000" w:themeColor="text1"/>
        </w:rPr>
      </w:pPr>
    </w:p>
    <w:p w14:paraId="3D000AA4" w14:textId="45A50D2B" w:rsidR="00017EC8" w:rsidRDefault="00017EC8" w:rsidP="003B4F17">
      <w:pPr>
        <w:rPr>
          <w:color w:val="000000" w:themeColor="text1"/>
        </w:rPr>
      </w:pPr>
    </w:p>
    <w:p w14:paraId="67F7116C" w14:textId="77777777" w:rsidR="00017EC8" w:rsidRPr="003B4F17" w:rsidRDefault="00017EC8" w:rsidP="003B4F17">
      <w:pPr>
        <w:rPr>
          <w:color w:val="000000" w:themeColor="text1"/>
        </w:rPr>
      </w:pPr>
    </w:p>
    <w:p w14:paraId="5A5F7A07" w14:textId="6CF01D99" w:rsidR="003630A1" w:rsidRPr="0038628F" w:rsidRDefault="0093762F" w:rsidP="004E7A43">
      <w:pPr>
        <w:pStyle w:val="ListParagraph"/>
        <w:numPr>
          <w:ilvl w:val="0"/>
          <w:numId w:val="25"/>
        </w:numPr>
        <w:rPr>
          <w:b/>
          <w:bCs/>
          <w:sz w:val="24"/>
          <w:szCs w:val="28"/>
        </w:rPr>
      </w:pPr>
      <w:r w:rsidRPr="0038628F">
        <w:rPr>
          <w:b/>
          <w:bCs/>
          <w:sz w:val="24"/>
          <w:szCs w:val="28"/>
        </w:rPr>
        <w:lastRenderedPageBreak/>
        <w:t>Key points for consideration</w:t>
      </w:r>
    </w:p>
    <w:p w14:paraId="33645C0D" w14:textId="235DE433" w:rsidR="003E6125" w:rsidRDefault="003E6125" w:rsidP="0093762F">
      <w:r>
        <w:t>MCAs do not always simplify how people take their medicines</w:t>
      </w:r>
      <w:r w:rsidR="00327E9C" w:rsidRPr="00327E9C">
        <w:rPr>
          <w:vertAlign w:val="superscript"/>
        </w:rPr>
        <w:t>1</w:t>
      </w:r>
      <w:r>
        <w:t>. They can result in some medication being administered from original packs</w:t>
      </w:r>
      <w:r w:rsidR="00BB641A">
        <w:t>,</w:t>
      </w:r>
      <w:r>
        <w:t xml:space="preserve"> whist other</w:t>
      </w:r>
      <w:r w:rsidR="00BB641A">
        <w:t>s</w:t>
      </w:r>
      <w:r>
        <w:t xml:space="preserve"> are being administered from the MCA</w:t>
      </w:r>
      <w:r w:rsidR="00BB641A">
        <w:rPr>
          <w:vertAlign w:val="superscript"/>
        </w:rPr>
        <w:t xml:space="preserve">, </w:t>
      </w:r>
      <w:r w:rsidR="00BB641A">
        <w:t>leading to possible patient harm</w:t>
      </w:r>
      <w:r w:rsidR="00BB641A" w:rsidRPr="00195377">
        <w:rPr>
          <w:vertAlign w:val="superscript"/>
        </w:rPr>
        <w:t>2</w:t>
      </w:r>
      <w:r w:rsidR="00E90FA5">
        <w:rPr>
          <w:vertAlign w:val="superscript"/>
        </w:rPr>
        <w:t>,5</w:t>
      </w:r>
      <w:r w:rsidR="00BB641A">
        <w:t xml:space="preserve">. </w:t>
      </w:r>
    </w:p>
    <w:p w14:paraId="3809D7E8" w14:textId="0ECC66D3" w:rsidR="003E6125" w:rsidRDefault="00C22ECE" w:rsidP="0093762F">
      <w:r>
        <w:t xml:space="preserve">Healthcare professional must make reasonable adjustments support service user’s medication compliance and </w:t>
      </w:r>
      <w:r w:rsidR="003E6125">
        <w:t>promote people’s independence</w:t>
      </w:r>
      <w:r w:rsidRPr="00C22ECE">
        <w:rPr>
          <w:vertAlign w:val="superscript"/>
        </w:rPr>
        <w:t>1</w:t>
      </w:r>
      <w:r w:rsidR="003E6125">
        <w:t xml:space="preserve">. Other reasonable adjustments to support </w:t>
      </w:r>
      <w:r>
        <w:t>a</w:t>
      </w:r>
      <w:r w:rsidR="003E6125">
        <w:t xml:space="preserve"> person to use original packs of medicines may include</w:t>
      </w:r>
      <w:r w:rsidR="00195377" w:rsidRPr="00195377">
        <w:rPr>
          <w:vertAlign w:val="superscript"/>
        </w:rPr>
        <w:t>1</w:t>
      </w:r>
      <w:r w:rsidR="00327E9C">
        <w:rPr>
          <w:vertAlign w:val="superscript"/>
        </w:rPr>
        <w:t>,2</w:t>
      </w:r>
      <w:r w:rsidR="003E6125">
        <w:t>:</w:t>
      </w:r>
    </w:p>
    <w:p w14:paraId="3B1E9718" w14:textId="48C9DFCB" w:rsidR="00DD27D6" w:rsidRDefault="003E6125" w:rsidP="00EE497C">
      <w:pPr>
        <w:pStyle w:val="ListParagraph"/>
        <w:numPr>
          <w:ilvl w:val="0"/>
          <w:numId w:val="9"/>
        </w:numPr>
      </w:pPr>
      <w:r>
        <w:t>reminder charts</w:t>
      </w:r>
      <w:r w:rsidR="00DD27D6">
        <w:t xml:space="preserve"> (as a memory aid)</w:t>
      </w:r>
    </w:p>
    <w:p w14:paraId="74134649" w14:textId="0B736248" w:rsidR="00327E9C" w:rsidRDefault="00327E9C" w:rsidP="00EE497C">
      <w:pPr>
        <w:pStyle w:val="ListParagraph"/>
        <w:numPr>
          <w:ilvl w:val="0"/>
          <w:numId w:val="9"/>
        </w:numPr>
      </w:pPr>
      <w:r>
        <w:t>Medicines Administration Record (MAR) sheets</w:t>
      </w:r>
    </w:p>
    <w:p w14:paraId="0CB7F6AE" w14:textId="441257D0" w:rsidR="003E6125" w:rsidRDefault="003E6125" w:rsidP="0093762F">
      <w:pPr>
        <w:pStyle w:val="ListParagraph"/>
        <w:numPr>
          <w:ilvl w:val="0"/>
          <w:numId w:val="9"/>
        </w:numPr>
      </w:pPr>
      <w:r>
        <w:t>winged bottle caps</w:t>
      </w:r>
    </w:p>
    <w:p w14:paraId="087F3ACB" w14:textId="42A94790" w:rsidR="003E6125" w:rsidRDefault="003E6125" w:rsidP="0093762F">
      <w:pPr>
        <w:pStyle w:val="ListParagraph"/>
        <w:numPr>
          <w:ilvl w:val="0"/>
          <w:numId w:val="9"/>
        </w:numPr>
      </w:pPr>
      <w:r>
        <w:t>large print labels</w:t>
      </w:r>
    </w:p>
    <w:p w14:paraId="13FF3F76" w14:textId="416BFAA7" w:rsidR="003E6125" w:rsidRDefault="003E6125" w:rsidP="0093762F">
      <w:pPr>
        <w:pStyle w:val="ListParagraph"/>
        <w:numPr>
          <w:ilvl w:val="0"/>
          <w:numId w:val="9"/>
        </w:numPr>
      </w:pPr>
      <w:r>
        <w:t>alarms (such as notifications on mobile phones)</w:t>
      </w:r>
    </w:p>
    <w:p w14:paraId="423250CF" w14:textId="2D1F0C94" w:rsidR="003E6125" w:rsidRDefault="003E6125" w:rsidP="0093762F">
      <w:pPr>
        <w:pStyle w:val="ListParagraph"/>
        <w:numPr>
          <w:ilvl w:val="0"/>
          <w:numId w:val="9"/>
        </w:numPr>
      </w:pPr>
      <w:r>
        <w:t>tablet splitters</w:t>
      </w:r>
      <w:r w:rsidR="00195377">
        <w:t>.</w:t>
      </w:r>
    </w:p>
    <w:p w14:paraId="27794558" w14:textId="4E28F577" w:rsidR="003E6125" w:rsidRDefault="0093762F" w:rsidP="0093762F">
      <w:r>
        <w:t>T</w:t>
      </w:r>
      <w:r w:rsidR="003E6125">
        <w:t>he Royal Pharmaceutical Society (RPS) and NICE recommend that the use of original packs of medicines should be the preferred choice for the supply of medicines in the absence of a specific need for an MCA in all settings</w:t>
      </w:r>
      <w:r w:rsidR="00BB641A">
        <w:rPr>
          <w:vertAlign w:val="superscript"/>
        </w:rPr>
        <w:t>1,2</w:t>
      </w:r>
      <w:r w:rsidR="003E6125">
        <w:t>.</w:t>
      </w:r>
    </w:p>
    <w:p w14:paraId="7978BD43" w14:textId="77777777" w:rsidR="00060F7C" w:rsidRPr="00060F7C" w:rsidRDefault="00060F7C" w:rsidP="0093762F"/>
    <w:p w14:paraId="06576975" w14:textId="460AE435" w:rsidR="00266549" w:rsidRPr="0038628F" w:rsidRDefault="003E6125" w:rsidP="004E7A43">
      <w:pPr>
        <w:pStyle w:val="ListParagraph"/>
        <w:numPr>
          <w:ilvl w:val="0"/>
          <w:numId w:val="25"/>
        </w:numPr>
        <w:rPr>
          <w:b/>
          <w:bCs/>
          <w:sz w:val="24"/>
          <w:szCs w:val="28"/>
        </w:rPr>
      </w:pPr>
      <w:r w:rsidRPr="0038628F">
        <w:rPr>
          <w:b/>
          <w:bCs/>
          <w:sz w:val="24"/>
          <w:szCs w:val="28"/>
        </w:rPr>
        <w:t>The advantages of MCA</w:t>
      </w:r>
      <w:r w:rsidR="00CC4669">
        <w:rPr>
          <w:b/>
          <w:bCs/>
          <w:sz w:val="24"/>
          <w:szCs w:val="28"/>
        </w:rPr>
        <w:t>s</w:t>
      </w:r>
    </w:p>
    <w:p w14:paraId="7A7D7583" w14:textId="77777777" w:rsidR="00017EC8" w:rsidRDefault="0093762F" w:rsidP="00017EC8">
      <w:pPr>
        <w:pStyle w:val="ListParagraph"/>
        <w:numPr>
          <w:ilvl w:val="0"/>
          <w:numId w:val="31"/>
        </w:numPr>
      </w:pPr>
      <w:r>
        <w:t>They help simplify the drug regimen and provide a convenient way for patients to take their medicines</w:t>
      </w:r>
      <w:r w:rsidR="00E90FA5" w:rsidRPr="00017EC8">
        <w:rPr>
          <w:vertAlign w:val="superscript"/>
        </w:rPr>
        <w:t>2</w:t>
      </w:r>
      <w:r w:rsidR="00E74F32">
        <w:t>.</w:t>
      </w:r>
    </w:p>
    <w:p w14:paraId="50463589" w14:textId="77777777" w:rsidR="00017EC8" w:rsidRDefault="0093762F" w:rsidP="00017EC8">
      <w:pPr>
        <w:pStyle w:val="ListParagraph"/>
        <w:numPr>
          <w:ilvl w:val="0"/>
          <w:numId w:val="31"/>
        </w:numPr>
      </w:pPr>
      <w:r>
        <w:t>They act as a visual reminder to prompt the patient to take medicines</w:t>
      </w:r>
      <w:r w:rsidR="00E90FA5" w:rsidRPr="00017EC8">
        <w:rPr>
          <w:vertAlign w:val="superscript"/>
        </w:rPr>
        <w:t>2</w:t>
      </w:r>
      <w:r w:rsidR="00E74F32">
        <w:t>.</w:t>
      </w:r>
    </w:p>
    <w:p w14:paraId="7BFB7275" w14:textId="77777777" w:rsidR="00017EC8" w:rsidRDefault="0093762F" w:rsidP="00017EC8">
      <w:pPr>
        <w:pStyle w:val="ListParagraph"/>
        <w:numPr>
          <w:ilvl w:val="0"/>
          <w:numId w:val="31"/>
        </w:numPr>
      </w:pPr>
      <w:r>
        <w:t>They may help to promote or maintain independence</w:t>
      </w:r>
      <w:r w:rsidR="00E90FA5" w:rsidRPr="00017EC8">
        <w:rPr>
          <w:vertAlign w:val="superscript"/>
        </w:rPr>
        <w:t>2</w:t>
      </w:r>
      <w:r w:rsidR="00E74F32">
        <w:t>.</w:t>
      </w:r>
    </w:p>
    <w:p w14:paraId="716B5268" w14:textId="6BF39DD9" w:rsidR="003B4F17" w:rsidRDefault="00C22ECE" w:rsidP="00017EC8">
      <w:pPr>
        <w:pStyle w:val="ListParagraph"/>
        <w:numPr>
          <w:ilvl w:val="0"/>
          <w:numId w:val="31"/>
        </w:numPr>
      </w:pPr>
      <w:r>
        <w:t>The</w:t>
      </w:r>
      <w:r w:rsidR="003B4F17">
        <w:t xml:space="preserve">y </w:t>
      </w:r>
      <w:r>
        <w:t>may</w:t>
      </w:r>
      <w:r w:rsidR="003B4F17">
        <w:t xml:space="preserve"> assist carers with structured medicines administration</w:t>
      </w:r>
      <w:r w:rsidR="00F05FCF" w:rsidRPr="00017EC8">
        <w:rPr>
          <w:vertAlign w:val="superscript"/>
        </w:rPr>
        <w:t>2</w:t>
      </w:r>
      <w:r w:rsidR="00F05FCF">
        <w:t>.</w:t>
      </w:r>
    </w:p>
    <w:p w14:paraId="5817CB94" w14:textId="77777777" w:rsidR="0093762F" w:rsidRDefault="0093762F" w:rsidP="0093762F"/>
    <w:p w14:paraId="46B30296" w14:textId="2AE1A769" w:rsidR="0093762F" w:rsidRPr="0038628F" w:rsidRDefault="0093762F" w:rsidP="004E7A43">
      <w:pPr>
        <w:pStyle w:val="ListParagraph"/>
        <w:numPr>
          <w:ilvl w:val="0"/>
          <w:numId w:val="25"/>
        </w:numPr>
        <w:rPr>
          <w:rFonts w:cs="Arial"/>
          <w:b/>
          <w:sz w:val="24"/>
        </w:rPr>
      </w:pPr>
      <w:r w:rsidRPr="0038628F">
        <w:rPr>
          <w:rFonts w:cs="Arial"/>
          <w:b/>
          <w:sz w:val="24"/>
        </w:rPr>
        <w:t>Disadvantages of MCA</w:t>
      </w:r>
      <w:r w:rsidR="00CC4669">
        <w:rPr>
          <w:rFonts w:cs="Arial"/>
          <w:b/>
          <w:sz w:val="24"/>
        </w:rPr>
        <w:t>s</w:t>
      </w:r>
    </w:p>
    <w:p w14:paraId="5E0EC8D1" w14:textId="47592FB9" w:rsidR="0093762F" w:rsidRPr="0093762F" w:rsidRDefault="0093762F" w:rsidP="0093762F">
      <w:pPr>
        <w:pStyle w:val="ListParagraph"/>
        <w:numPr>
          <w:ilvl w:val="0"/>
          <w:numId w:val="5"/>
        </w:numPr>
        <w:rPr>
          <w:sz w:val="24"/>
        </w:rPr>
      </w:pPr>
      <w:r w:rsidRPr="0093762F">
        <w:rPr>
          <w:rFonts w:eastAsiaTheme="minorEastAsia"/>
        </w:rPr>
        <w:t>They can only be used to store some oral solid medications. A Glasgow study showed that 46% of 264 patients on MCAs were taking additional oral medication outside the MCA</w:t>
      </w:r>
      <w:r w:rsidR="00437814">
        <w:rPr>
          <w:rFonts w:eastAsiaTheme="minorEastAsia"/>
          <w:vertAlign w:val="superscript"/>
        </w:rPr>
        <w:t>5</w:t>
      </w:r>
      <w:r w:rsidRPr="0093762F">
        <w:rPr>
          <w:rFonts w:eastAsiaTheme="minorEastAsia"/>
        </w:rPr>
        <w:t xml:space="preserve">. </w:t>
      </w:r>
    </w:p>
    <w:p w14:paraId="0AA98AD5" w14:textId="5D518D45" w:rsidR="00E74F32" w:rsidRDefault="00E74F32" w:rsidP="0093762F">
      <w:pPr>
        <w:pStyle w:val="ListParagraph"/>
        <w:numPr>
          <w:ilvl w:val="0"/>
          <w:numId w:val="5"/>
        </w:numPr>
      </w:pPr>
      <w:r>
        <w:t>Lack of published data to demonstrate stability of medicines in MCAs and determined appropriate expiry dates</w:t>
      </w:r>
      <w:r w:rsidRPr="00E74F32">
        <w:rPr>
          <w:vertAlign w:val="superscript"/>
        </w:rPr>
        <w:t>2</w:t>
      </w:r>
      <w:r>
        <w:t>.</w:t>
      </w:r>
    </w:p>
    <w:p w14:paraId="783AE838" w14:textId="6DC31E95" w:rsidR="0093762F" w:rsidRDefault="0093762F" w:rsidP="0093762F">
      <w:pPr>
        <w:pStyle w:val="ListParagraph"/>
        <w:numPr>
          <w:ilvl w:val="0"/>
          <w:numId w:val="5"/>
        </w:numPr>
      </w:pPr>
      <w:r>
        <w:t xml:space="preserve">Some medicines cannot be packed in compliance aids because they are unstable when exposed to light or moisture (e.g. sodium valproate, </w:t>
      </w:r>
      <w:r w:rsidR="00703F7F">
        <w:t xml:space="preserve">dabigatran and </w:t>
      </w:r>
      <w:r>
        <w:t>nifedipine)</w:t>
      </w:r>
      <w:r w:rsidR="00950970">
        <w:rPr>
          <w:vertAlign w:val="superscript"/>
        </w:rPr>
        <w:t>2</w:t>
      </w:r>
      <w:r w:rsidR="00D3278F">
        <w:rPr>
          <w:vertAlign w:val="superscript"/>
        </w:rPr>
        <w:t>,</w:t>
      </w:r>
      <w:r w:rsidR="00536D98">
        <w:rPr>
          <w:vertAlign w:val="superscript"/>
        </w:rPr>
        <w:t>4</w:t>
      </w:r>
      <w:r>
        <w:t>.</w:t>
      </w:r>
    </w:p>
    <w:p w14:paraId="06EB9493" w14:textId="404A3E06" w:rsidR="0093762F" w:rsidRDefault="0093762F" w:rsidP="0093762F">
      <w:pPr>
        <w:pStyle w:val="ListParagraph"/>
        <w:numPr>
          <w:ilvl w:val="0"/>
          <w:numId w:val="5"/>
        </w:numPr>
      </w:pPr>
      <w:r>
        <w:t>PRN</w:t>
      </w:r>
      <w:r w:rsidR="003B4F17">
        <w:t>,</w:t>
      </w:r>
      <w:r>
        <w:t xml:space="preserve"> liquid</w:t>
      </w:r>
      <w:r w:rsidR="003B4F17">
        <w:t>, and dispersible</w:t>
      </w:r>
      <w:r>
        <w:t xml:space="preserve"> medicines cannot be packed in a compliance aid</w:t>
      </w:r>
      <w:r w:rsidR="00950970">
        <w:rPr>
          <w:vertAlign w:val="superscript"/>
        </w:rPr>
        <w:t>2</w:t>
      </w:r>
      <w:r>
        <w:t>.</w:t>
      </w:r>
    </w:p>
    <w:p w14:paraId="16AF71FE" w14:textId="5F2630A3" w:rsidR="0093762F" w:rsidRDefault="0093762F" w:rsidP="0093762F">
      <w:pPr>
        <w:pStyle w:val="ListParagraph"/>
        <w:numPr>
          <w:ilvl w:val="0"/>
          <w:numId w:val="5"/>
        </w:numPr>
      </w:pPr>
      <w:r w:rsidRPr="0093762F">
        <w:rPr>
          <w:rFonts w:eastAsiaTheme="minorEastAsia"/>
        </w:rPr>
        <w:t>Individual drugs are not labelled so inability to identify specific medicines may affect decision making in terms of whether to take or not</w:t>
      </w:r>
      <w:r w:rsidR="00060F7C">
        <w:rPr>
          <w:rFonts w:eastAsiaTheme="minorEastAsia"/>
          <w:vertAlign w:val="superscript"/>
        </w:rPr>
        <w:t>2</w:t>
      </w:r>
      <w:r w:rsidRPr="0093762F">
        <w:rPr>
          <w:rFonts w:eastAsiaTheme="minorEastAsia"/>
        </w:rPr>
        <w:t>.</w:t>
      </w:r>
    </w:p>
    <w:p w14:paraId="63B4E5A7" w14:textId="65E5FEF6" w:rsidR="0093762F" w:rsidRPr="00883AB1" w:rsidRDefault="0093762F" w:rsidP="0093762F">
      <w:pPr>
        <w:pStyle w:val="ListParagraph"/>
        <w:numPr>
          <w:ilvl w:val="0"/>
          <w:numId w:val="5"/>
        </w:numPr>
      </w:pPr>
      <w:r w:rsidRPr="0093762F">
        <w:rPr>
          <w:rFonts w:eastAsiaTheme="minorEastAsia"/>
        </w:rPr>
        <w:t>Disempowers the patient</w:t>
      </w:r>
      <w:r w:rsidR="003B4F17">
        <w:rPr>
          <w:rFonts w:eastAsiaTheme="minorEastAsia"/>
        </w:rPr>
        <w:t xml:space="preserve"> and reduces their autonomy and involvement in medicines management</w:t>
      </w:r>
      <w:r w:rsidR="00060F7C" w:rsidRPr="00195377">
        <w:rPr>
          <w:vertAlign w:val="superscript"/>
        </w:rPr>
        <w:t>1</w:t>
      </w:r>
      <w:r w:rsidR="00060F7C">
        <w:rPr>
          <w:vertAlign w:val="superscript"/>
        </w:rPr>
        <w:t>,2</w:t>
      </w:r>
      <w:r w:rsidRPr="0093762F">
        <w:rPr>
          <w:rFonts w:eastAsiaTheme="minorEastAsia"/>
        </w:rPr>
        <w:t xml:space="preserve">. </w:t>
      </w:r>
    </w:p>
    <w:p w14:paraId="07432E95" w14:textId="40224DEF" w:rsidR="00883AB1" w:rsidRDefault="00883AB1" w:rsidP="0093762F">
      <w:pPr>
        <w:pStyle w:val="ListParagraph"/>
        <w:numPr>
          <w:ilvl w:val="0"/>
          <w:numId w:val="5"/>
        </w:numPr>
      </w:pPr>
      <w:r w:rsidRPr="00883AB1">
        <w:t>The Care Homes Use of Medicines Study (CHUMS) identified that</w:t>
      </w:r>
      <w:r>
        <w:t xml:space="preserve"> MCAs are associated with medication administration errors</w:t>
      </w:r>
      <w:r w:rsidR="00594D9C">
        <w:t xml:space="preserve"> in care home settings</w:t>
      </w:r>
      <w:r>
        <w:t xml:space="preserve"> with 69.5% of residents across 55 care homes experiencing at least one medication error</w:t>
      </w:r>
      <w:r w:rsidR="00E90FA5">
        <w:rPr>
          <w:vertAlign w:val="superscript"/>
        </w:rPr>
        <w:t>6</w:t>
      </w:r>
      <w:r>
        <w:t xml:space="preserve">. </w:t>
      </w:r>
    </w:p>
    <w:p w14:paraId="2DDB2357" w14:textId="24EEAC51" w:rsidR="0093762F" w:rsidRDefault="0093762F" w:rsidP="0093762F">
      <w:pPr>
        <w:pStyle w:val="ListParagraph"/>
        <w:numPr>
          <w:ilvl w:val="0"/>
          <w:numId w:val="5"/>
        </w:numPr>
      </w:pPr>
      <w:r w:rsidRPr="0093762F">
        <w:rPr>
          <w:rFonts w:eastAsiaTheme="minorEastAsia"/>
        </w:rPr>
        <w:t>Wastage and increase in cost due to short half-life in MCA</w:t>
      </w:r>
      <w:r w:rsidR="00536D98">
        <w:rPr>
          <w:rFonts w:eastAsiaTheme="minorEastAsia"/>
        </w:rPr>
        <w:t>, and i</w:t>
      </w:r>
      <w:r w:rsidRPr="0093762F">
        <w:rPr>
          <w:rFonts w:eastAsiaTheme="minorEastAsia"/>
        </w:rPr>
        <w:t>f there are any changes to one medication, all will have to be retrieved and destroyed</w:t>
      </w:r>
      <w:r w:rsidR="00D3278F" w:rsidRPr="00195377">
        <w:rPr>
          <w:vertAlign w:val="superscript"/>
        </w:rPr>
        <w:t>1</w:t>
      </w:r>
      <w:r w:rsidR="00D3278F">
        <w:rPr>
          <w:vertAlign w:val="superscript"/>
        </w:rPr>
        <w:t>,</w:t>
      </w:r>
      <w:r w:rsidR="00536D98">
        <w:rPr>
          <w:vertAlign w:val="superscript"/>
        </w:rPr>
        <w:t>2</w:t>
      </w:r>
      <w:r w:rsidRPr="0093762F">
        <w:rPr>
          <w:rFonts w:eastAsiaTheme="minorEastAsia"/>
        </w:rPr>
        <w:t>.</w:t>
      </w:r>
    </w:p>
    <w:p w14:paraId="4AE79B1E" w14:textId="2F484C54" w:rsidR="0093762F" w:rsidRDefault="0093762F" w:rsidP="0093762F">
      <w:pPr>
        <w:pStyle w:val="ListParagraph"/>
        <w:numPr>
          <w:ilvl w:val="0"/>
          <w:numId w:val="5"/>
        </w:numPr>
      </w:pPr>
      <w:r w:rsidRPr="0093762F">
        <w:rPr>
          <w:rFonts w:eastAsiaTheme="minorEastAsia"/>
        </w:rPr>
        <w:t>Restricts patient’s choice</w:t>
      </w:r>
      <w:r w:rsidR="00060F7C" w:rsidRPr="00195377">
        <w:rPr>
          <w:vertAlign w:val="superscript"/>
        </w:rPr>
        <w:t>1</w:t>
      </w:r>
      <w:r w:rsidR="00060F7C">
        <w:rPr>
          <w:vertAlign w:val="superscript"/>
        </w:rPr>
        <w:t>,2</w:t>
      </w:r>
      <w:r w:rsidR="00536D98">
        <w:t>.</w:t>
      </w:r>
    </w:p>
    <w:p w14:paraId="3236B7EC" w14:textId="65998554" w:rsidR="0093762F" w:rsidRDefault="00536D98" w:rsidP="0093762F">
      <w:pPr>
        <w:pStyle w:val="ListParagraph"/>
        <w:numPr>
          <w:ilvl w:val="0"/>
          <w:numId w:val="5"/>
        </w:numPr>
      </w:pPr>
      <w:r>
        <w:rPr>
          <w:rFonts w:eastAsiaTheme="minorEastAsia"/>
        </w:rPr>
        <w:t>They</w:t>
      </w:r>
      <w:r w:rsidR="0093762F" w:rsidRPr="0093762F">
        <w:rPr>
          <w:rFonts w:eastAsiaTheme="minorEastAsia"/>
        </w:rPr>
        <w:t xml:space="preserve"> are not tamper proof which could increase the risks of drug errors if drugs are intentionally or non-intentionally moved from one compartment to another</w:t>
      </w:r>
      <w:r w:rsidR="00AA05CC">
        <w:rPr>
          <w:vertAlign w:val="superscript"/>
        </w:rPr>
        <w:t>1,2</w:t>
      </w:r>
      <w:r w:rsidR="0093762F" w:rsidRPr="0093762F">
        <w:rPr>
          <w:rFonts w:eastAsiaTheme="minorEastAsia"/>
        </w:rPr>
        <w:t>.</w:t>
      </w:r>
    </w:p>
    <w:p w14:paraId="783AB365" w14:textId="3F791810" w:rsidR="0093762F" w:rsidRDefault="0093762F" w:rsidP="0093762F">
      <w:pPr>
        <w:pStyle w:val="ListParagraph"/>
        <w:numPr>
          <w:ilvl w:val="0"/>
          <w:numId w:val="5"/>
        </w:numPr>
      </w:pPr>
      <w:r w:rsidRPr="0093762F">
        <w:rPr>
          <w:rFonts w:eastAsiaTheme="minorEastAsia"/>
        </w:rPr>
        <w:t>They are not child proof and so do not meet the legal requirements regarding child resistant containers</w:t>
      </w:r>
      <w:r w:rsidR="00D3278F" w:rsidRPr="00195377">
        <w:rPr>
          <w:vertAlign w:val="superscript"/>
        </w:rPr>
        <w:t>1</w:t>
      </w:r>
      <w:r w:rsidR="00536D98">
        <w:rPr>
          <w:vertAlign w:val="superscript"/>
        </w:rPr>
        <w:t>,2</w:t>
      </w:r>
      <w:r w:rsidR="00327E9C" w:rsidRPr="0093762F">
        <w:rPr>
          <w:rFonts w:eastAsiaTheme="minorEastAsia"/>
        </w:rPr>
        <w:t>.</w:t>
      </w:r>
    </w:p>
    <w:p w14:paraId="62D42A12" w14:textId="1BB24643" w:rsidR="00060F7C" w:rsidRDefault="00536D98" w:rsidP="00AA05CC">
      <w:pPr>
        <w:pStyle w:val="ListParagraph"/>
        <w:numPr>
          <w:ilvl w:val="0"/>
          <w:numId w:val="5"/>
        </w:numPr>
      </w:pPr>
      <w:r>
        <w:rPr>
          <w:rFonts w:eastAsiaTheme="minorEastAsia"/>
        </w:rPr>
        <w:t>Dispe</w:t>
      </w:r>
      <w:r w:rsidR="00017EC8">
        <w:rPr>
          <w:rFonts w:eastAsiaTheme="minorEastAsia"/>
        </w:rPr>
        <w:t>n</w:t>
      </w:r>
      <w:r>
        <w:rPr>
          <w:rFonts w:eastAsiaTheme="minorEastAsia"/>
        </w:rPr>
        <w:t>sing and checking errors may occur</w:t>
      </w:r>
      <w:r w:rsidR="0093762F" w:rsidRPr="0093762F">
        <w:rPr>
          <w:rFonts w:eastAsiaTheme="minorEastAsia"/>
        </w:rPr>
        <w:t xml:space="preserve"> </w:t>
      </w:r>
      <w:r>
        <w:rPr>
          <w:rFonts w:eastAsiaTheme="minorEastAsia"/>
        </w:rPr>
        <w:t xml:space="preserve">and can be </w:t>
      </w:r>
      <w:r w:rsidR="003B4F17">
        <w:rPr>
          <w:rFonts w:eastAsiaTheme="minorEastAsia"/>
        </w:rPr>
        <w:t>more time-consuming</w:t>
      </w:r>
      <w:r>
        <w:rPr>
          <w:rFonts w:eastAsiaTheme="minorEastAsia"/>
          <w:vertAlign w:val="superscript"/>
        </w:rPr>
        <w:t>2</w:t>
      </w:r>
      <w:r w:rsidR="00327E9C" w:rsidRPr="0093762F">
        <w:rPr>
          <w:rFonts w:eastAsiaTheme="minorEastAsia"/>
        </w:rPr>
        <w:t>.</w:t>
      </w:r>
      <w:r w:rsidR="00327E9C">
        <w:rPr>
          <w:rFonts w:eastAsiaTheme="minorEastAsia"/>
        </w:rPr>
        <w:t xml:space="preserve"> </w:t>
      </w:r>
    </w:p>
    <w:p w14:paraId="3305C405" w14:textId="2546036C" w:rsidR="006F3719" w:rsidRPr="0038628F" w:rsidRDefault="0093762F" w:rsidP="004E7A43">
      <w:pPr>
        <w:pStyle w:val="ListParagraph"/>
        <w:numPr>
          <w:ilvl w:val="0"/>
          <w:numId w:val="25"/>
        </w:numPr>
        <w:rPr>
          <w:b/>
          <w:bCs/>
          <w:sz w:val="24"/>
          <w:szCs w:val="28"/>
        </w:rPr>
      </w:pPr>
      <w:r w:rsidRPr="0038628F">
        <w:rPr>
          <w:b/>
          <w:bCs/>
          <w:sz w:val="24"/>
          <w:szCs w:val="28"/>
        </w:rPr>
        <w:lastRenderedPageBreak/>
        <w:t>Procedure</w:t>
      </w:r>
    </w:p>
    <w:p w14:paraId="1B8DC177" w14:textId="5773F0A8" w:rsidR="00692514" w:rsidRDefault="00692514" w:rsidP="006F3719">
      <w:r>
        <w:t>The following procedure applies to both inpatient mental health services and outpatient clozapine clinic services within ELFT.</w:t>
      </w:r>
    </w:p>
    <w:p w14:paraId="09FE0D0C" w14:textId="1B04A07E" w:rsidR="0093762F" w:rsidRDefault="0093762F" w:rsidP="006F3719">
      <w:proofErr w:type="gramStart"/>
      <w:r w:rsidRPr="00C435C1">
        <w:t>In order to</w:t>
      </w:r>
      <w:proofErr w:type="gramEnd"/>
      <w:r w:rsidRPr="00C435C1">
        <w:t xml:space="preserve"> initiate </w:t>
      </w:r>
      <w:r w:rsidR="00C435C1" w:rsidRPr="00C435C1">
        <w:t>an</w:t>
      </w:r>
      <w:r w:rsidRPr="00C435C1">
        <w:t xml:space="preserve"> MCA for a service user</w:t>
      </w:r>
      <w:r w:rsidR="000B7036">
        <w:t>,</w:t>
      </w:r>
      <w:r w:rsidRPr="00C435C1">
        <w:t xml:space="preserve"> the pharmacy team must be contacted. </w:t>
      </w:r>
    </w:p>
    <w:p w14:paraId="79609D0D" w14:textId="134B1A85" w:rsidR="00F01E0B" w:rsidRPr="00C435C1" w:rsidRDefault="00F01E0B" w:rsidP="006F3719">
      <w:r w:rsidRPr="00F01E0B">
        <w:t xml:space="preserve">Requests for initiation of </w:t>
      </w:r>
      <w:proofErr w:type="gramStart"/>
      <w:r w:rsidRPr="00F01E0B">
        <w:t>a</w:t>
      </w:r>
      <w:proofErr w:type="gramEnd"/>
      <w:r w:rsidRPr="00F01E0B">
        <w:t xml:space="preserve"> MCA must follow the MCA decision</w:t>
      </w:r>
      <w:r w:rsidR="003019A5">
        <w:t xml:space="preserve">-making process outlined in the Appendix 1 </w:t>
      </w:r>
      <w:r>
        <w:t>f</w:t>
      </w:r>
      <w:r w:rsidRPr="00F01E0B">
        <w:t>lowchart and be supported by a structured assessment.</w:t>
      </w:r>
    </w:p>
    <w:p w14:paraId="1F3E1BBE" w14:textId="0818434E" w:rsidR="00C435C1" w:rsidRDefault="00C435C1" w:rsidP="006F3719">
      <w:r w:rsidRPr="00C435C1">
        <w:t>A member</w:t>
      </w:r>
      <w:r w:rsidR="001C2FD5">
        <w:t xml:space="preserve"> of the pharmacy team must </w:t>
      </w:r>
      <w:r w:rsidRPr="00C435C1">
        <w:t>assess the suitability of an MCA using the Assessment of Suitability to initiate MCA found in</w:t>
      </w:r>
      <w:r w:rsidR="00F01E0B">
        <w:t xml:space="preserve"> A</w:t>
      </w:r>
      <w:r w:rsidRPr="00C435C1">
        <w:t xml:space="preserve">ppendix </w:t>
      </w:r>
      <w:r w:rsidR="00F01E0B">
        <w:t>2</w:t>
      </w:r>
      <w:r w:rsidR="00CD3944">
        <w:t xml:space="preserve"> with the help of supporting guidance </w:t>
      </w:r>
      <w:r w:rsidR="003019A5">
        <w:t xml:space="preserve">in </w:t>
      </w:r>
      <w:r w:rsidR="00CD3944">
        <w:t>Appendix 3</w:t>
      </w:r>
      <w:r w:rsidRPr="00C435C1">
        <w:t xml:space="preserve">. </w:t>
      </w:r>
    </w:p>
    <w:p w14:paraId="5DB93376" w14:textId="1115F76A" w:rsidR="00785A4D" w:rsidRDefault="00785A4D" w:rsidP="00785A4D">
      <w:r>
        <w:t>All medicines must be individually assessed for stability and suitability for inclusion in an MCA using the SPS Stability Tool</w:t>
      </w:r>
      <w:r w:rsidRPr="00785A4D">
        <w:rPr>
          <w:vertAlign w:val="superscript"/>
        </w:rPr>
        <w:t>4</w:t>
      </w:r>
      <w:r>
        <w:t>.</w:t>
      </w:r>
    </w:p>
    <w:p w14:paraId="5DFAA7D8" w14:textId="64071F8B" w:rsidR="00785A4D" w:rsidRDefault="00785A4D" w:rsidP="00785A4D">
      <w:r>
        <w:t>If medicines are identified as unsuitable for inclusion due to stability concerns:</w:t>
      </w:r>
    </w:p>
    <w:p w14:paraId="225B2EF3" w14:textId="6BB66F45" w:rsidR="00785A4D" w:rsidRDefault="00785A4D" w:rsidP="00785A4D">
      <w:pPr>
        <w:pStyle w:val="ListParagraph"/>
        <w:numPr>
          <w:ilvl w:val="0"/>
          <w:numId w:val="29"/>
        </w:numPr>
      </w:pPr>
      <w:r>
        <w:t>The pharmacy team must inform the prescribing clinician.</w:t>
      </w:r>
    </w:p>
    <w:p w14:paraId="64DC0DC3" w14:textId="10CB1043" w:rsidR="00785A4D" w:rsidRDefault="00785A4D" w:rsidP="00785A4D">
      <w:pPr>
        <w:pStyle w:val="ListParagraph"/>
        <w:numPr>
          <w:ilvl w:val="0"/>
          <w:numId w:val="29"/>
        </w:numPr>
      </w:pPr>
      <w:r>
        <w:t>The prescriber must review the medication regimen and consider alternative formulations or treatment options.</w:t>
      </w:r>
    </w:p>
    <w:p w14:paraId="1676EA77" w14:textId="67726C7E" w:rsidR="00785A4D" w:rsidRDefault="00785A4D" w:rsidP="00F14792">
      <w:pPr>
        <w:pStyle w:val="ListParagraph"/>
        <w:numPr>
          <w:ilvl w:val="0"/>
          <w:numId w:val="29"/>
        </w:numPr>
      </w:pPr>
      <w:r>
        <w:t xml:space="preserve">If no suitable alternative is available and the prescriber determines that the clinical benefits of inclusion in an MCA outweigh the associated stability risks, the prescriber must complete and sign the Prescriber Declaration in </w:t>
      </w:r>
      <w:r w:rsidR="009E32D3">
        <w:t xml:space="preserve">the </w:t>
      </w:r>
      <w:r w:rsidR="00F14792" w:rsidRPr="00F14792">
        <w:t>Assessment of Suitability</w:t>
      </w:r>
      <w:r w:rsidR="009E32D3">
        <w:t xml:space="preserve"> form</w:t>
      </w:r>
      <w:r w:rsidR="00F14792" w:rsidRPr="00F14792">
        <w:t xml:space="preserve"> to initiate MCA</w:t>
      </w:r>
      <w:r w:rsidR="00F14792">
        <w:t xml:space="preserve"> (Appendix 2)</w:t>
      </w:r>
      <w:r w:rsidR="00F14792" w:rsidRPr="00F14792">
        <w:t>.</w:t>
      </w:r>
      <w:r w:rsidR="00F14792">
        <w:t xml:space="preserve"> </w:t>
      </w:r>
    </w:p>
    <w:p w14:paraId="033E4008" w14:textId="6CC9A7EC" w:rsidR="00785A4D" w:rsidRDefault="00785A4D" w:rsidP="00785A4D">
      <w:pPr>
        <w:pStyle w:val="ListParagraph"/>
        <w:numPr>
          <w:ilvl w:val="0"/>
          <w:numId w:val="29"/>
        </w:numPr>
      </w:pPr>
      <w:r>
        <w:t>Pharmacy will only include medicines with known or potential stability concerns in an MCA onc</w:t>
      </w:r>
      <w:r w:rsidR="00F55815">
        <w:t>e</w:t>
      </w:r>
      <w:r>
        <w:t xml:space="preserve"> the signed declaration has been received.</w:t>
      </w:r>
    </w:p>
    <w:p w14:paraId="3FB4578E" w14:textId="499B1991" w:rsidR="00785A4D" w:rsidRDefault="00785A4D" w:rsidP="00785A4D">
      <w:r>
        <w:t xml:space="preserve">If </w:t>
      </w:r>
      <w:r w:rsidR="00A35478">
        <w:t>the MCA initiation</w:t>
      </w:r>
      <w:r>
        <w:t xml:space="preserve"> has been deemed appropriate, the pharmacy team must ensure continuity of supply within the community</w:t>
      </w:r>
      <w:r w:rsidR="00360B3D">
        <w:t xml:space="preserve"> by liaising with the service user’s GP and community pharmacy</w:t>
      </w:r>
      <w:r>
        <w:t xml:space="preserve"> prior to initiation.</w:t>
      </w:r>
    </w:p>
    <w:p w14:paraId="6516F3CD" w14:textId="0120A141" w:rsidR="00785A4D" w:rsidRDefault="00327D28" w:rsidP="00785A4D">
      <w:r>
        <w:t>A</w:t>
      </w:r>
      <w:r w:rsidR="00785A4D">
        <w:t xml:space="preserve"> member of the pharmacy</w:t>
      </w:r>
      <w:r>
        <w:t>/nursing</w:t>
      </w:r>
      <w:r w:rsidR="00785A4D">
        <w:t xml:space="preserve"> team must demonstrate the MCA to the service user and/or carer and provide counselling on its correct use.</w:t>
      </w:r>
    </w:p>
    <w:p w14:paraId="201E5E1D" w14:textId="5CF00C78" w:rsidR="00C435C1" w:rsidRDefault="00F01E0B" w:rsidP="006F3719">
      <w:r>
        <w:t>A member of the pharmacy team must review</w:t>
      </w:r>
      <w:r w:rsidRPr="00F01E0B">
        <w:t xml:space="preserve"> the need for ongoing MCA use</w:t>
      </w:r>
      <w:r w:rsidR="006E0E86">
        <w:t xml:space="preserve"> every 6 months</w:t>
      </w:r>
      <w:r>
        <w:t>,</w:t>
      </w:r>
      <w:r w:rsidRPr="00F01E0B">
        <w:t xml:space="preserve"> following </w:t>
      </w:r>
      <w:r w:rsidR="00785A4D">
        <w:t xml:space="preserve">any </w:t>
      </w:r>
      <w:r w:rsidRPr="00F01E0B">
        <w:t>medication changes</w:t>
      </w:r>
      <w:r w:rsidR="00785A4D">
        <w:t xml:space="preserve">, </w:t>
      </w:r>
      <w:r w:rsidR="000B68D8">
        <w:t>upon transfer of care</w:t>
      </w:r>
      <w:r w:rsidR="00480967">
        <w:t xml:space="preserve">, </w:t>
      </w:r>
      <w:r w:rsidR="00A35478">
        <w:t>at</w:t>
      </w:r>
      <w:r w:rsidR="00785A4D">
        <w:t xml:space="preserve"> discharge,</w:t>
      </w:r>
      <w:r w:rsidR="00480967">
        <w:t xml:space="preserve"> and</w:t>
      </w:r>
      <w:r w:rsidRPr="00F01E0B">
        <w:t xml:space="preserve"> </w:t>
      </w:r>
      <w:r w:rsidR="000B68D8">
        <w:t>at clozapine clinics</w:t>
      </w:r>
      <w:r w:rsidR="00594D9C">
        <w:t>.</w:t>
      </w:r>
    </w:p>
    <w:p w14:paraId="667A7746" w14:textId="77777777" w:rsidR="00CA3CBF" w:rsidRPr="00327D28" w:rsidRDefault="00CA3CBF" w:rsidP="006F3719"/>
    <w:p w14:paraId="01014320" w14:textId="43CE9033" w:rsidR="0038628F" w:rsidRPr="0038628F" w:rsidRDefault="00C435C1" w:rsidP="004E7A43">
      <w:pPr>
        <w:pStyle w:val="ListParagraph"/>
        <w:numPr>
          <w:ilvl w:val="0"/>
          <w:numId w:val="25"/>
        </w:numPr>
        <w:rPr>
          <w:b/>
          <w:bCs/>
          <w:sz w:val="24"/>
          <w:szCs w:val="28"/>
        </w:rPr>
      </w:pPr>
      <w:r w:rsidRPr="0038628F">
        <w:rPr>
          <w:b/>
          <w:bCs/>
          <w:sz w:val="24"/>
          <w:szCs w:val="28"/>
        </w:rPr>
        <w:t>References</w:t>
      </w:r>
    </w:p>
    <w:p w14:paraId="133E7E82" w14:textId="2836F5B4" w:rsidR="00705CF9" w:rsidRPr="00914A3B" w:rsidRDefault="00705CF9" w:rsidP="00705CF9">
      <w:pPr>
        <w:pStyle w:val="NormalWeb"/>
        <w:numPr>
          <w:ilvl w:val="0"/>
          <w:numId w:val="26"/>
        </w:numPr>
        <w:rPr>
          <w:rFonts w:ascii="Arial" w:hAnsi="Arial" w:cs="Arial"/>
          <w:sz w:val="22"/>
          <w:szCs w:val="22"/>
        </w:rPr>
      </w:pPr>
      <w:r w:rsidRPr="00914A3B">
        <w:rPr>
          <w:rStyle w:val="whitespace-normal"/>
          <w:rFonts w:ascii="Arial" w:hAnsi="Arial" w:cs="Arial"/>
          <w:sz w:val="22"/>
          <w:szCs w:val="22"/>
        </w:rPr>
        <w:t>Care Quality Commission</w:t>
      </w:r>
      <w:r w:rsidRPr="00914A3B">
        <w:rPr>
          <w:rFonts w:ascii="Arial" w:hAnsi="Arial" w:cs="Arial"/>
          <w:sz w:val="22"/>
          <w:szCs w:val="22"/>
        </w:rPr>
        <w:t xml:space="preserve">. </w:t>
      </w:r>
      <w:r w:rsidRPr="00914A3B">
        <w:rPr>
          <w:rStyle w:val="Emphasis"/>
          <w:rFonts w:ascii="Arial" w:hAnsi="Arial" w:cs="Arial"/>
          <w:sz w:val="22"/>
          <w:szCs w:val="22"/>
        </w:rPr>
        <w:t>Multi-compartment compliance aids in adult social care</w:t>
      </w:r>
      <w:r w:rsidRPr="00914A3B">
        <w:rPr>
          <w:rFonts w:ascii="Arial" w:hAnsi="Arial" w:cs="Arial"/>
          <w:sz w:val="22"/>
          <w:szCs w:val="22"/>
        </w:rPr>
        <w:t xml:space="preserve"> [Internet]. London: Care Quality Commission; 202</w:t>
      </w:r>
      <w:r w:rsidR="00E61810">
        <w:rPr>
          <w:rFonts w:ascii="Arial" w:hAnsi="Arial" w:cs="Arial"/>
          <w:sz w:val="22"/>
          <w:szCs w:val="22"/>
        </w:rPr>
        <w:t>4</w:t>
      </w:r>
      <w:r w:rsidRPr="00914A3B">
        <w:rPr>
          <w:rFonts w:ascii="Arial" w:hAnsi="Arial" w:cs="Arial"/>
          <w:sz w:val="22"/>
          <w:szCs w:val="22"/>
        </w:rPr>
        <w:t xml:space="preserve">. Available from: </w:t>
      </w:r>
      <w:hyperlink r:id="rId12" w:tgtFrame="_new" w:history="1">
        <w:r w:rsidRPr="00914A3B">
          <w:rPr>
            <w:rStyle w:val="Hyperlink"/>
            <w:rFonts w:ascii="Arial" w:hAnsi="Arial" w:cs="Arial"/>
            <w:sz w:val="22"/>
            <w:szCs w:val="22"/>
          </w:rPr>
          <w:t>https://www.cqc.org.uk/guidance-providers/adult-social-care/multi-compartment-compliance-aids-mcas-adult-social-care</w:t>
        </w:r>
      </w:hyperlink>
    </w:p>
    <w:p w14:paraId="56A1C844" w14:textId="39F48AAD" w:rsidR="00C00591" w:rsidRDefault="00C00591" w:rsidP="00705CF9">
      <w:pPr>
        <w:pStyle w:val="NormalWeb"/>
        <w:numPr>
          <w:ilvl w:val="0"/>
          <w:numId w:val="26"/>
        </w:numPr>
        <w:rPr>
          <w:rFonts w:ascii="Arial" w:hAnsi="Arial" w:cs="Arial"/>
          <w:sz w:val="22"/>
          <w:szCs w:val="22"/>
        </w:rPr>
      </w:pPr>
      <w:r w:rsidRPr="00C00591">
        <w:rPr>
          <w:rFonts w:ascii="Arial" w:hAnsi="Arial" w:cs="Arial"/>
          <w:sz w:val="22"/>
          <w:szCs w:val="22"/>
        </w:rPr>
        <w:t xml:space="preserve">Royal Pharmaceutical Society. </w:t>
      </w:r>
      <w:r w:rsidRPr="00C00591">
        <w:rPr>
          <w:rFonts w:ascii="Arial" w:hAnsi="Arial" w:cs="Arial"/>
          <w:i/>
          <w:iCs/>
          <w:sz w:val="22"/>
          <w:szCs w:val="22"/>
        </w:rPr>
        <w:t>Multi-compartment compliance aids.</w:t>
      </w:r>
      <w:r w:rsidRPr="00C00591">
        <w:rPr>
          <w:rFonts w:ascii="Arial" w:hAnsi="Arial" w:cs="Arial"/>
          <w:sz w:val="22"/>
          <w:szCs w:val="22"/>
        </w:rPr>
        <w:t xml:space="preserve"> Pharmacy guide.</w:t>
      </w:r>
      <w:r>
        <w:rPr>
          <w:rFonts w:ascii="Arial" w:hAnsi="Arial" w:cs="Arial"/>
          <w:sz w:val="22"/>
          <w:szCs w:val="22"/>
        </w:rPr>
        <w:t xml:space="preserve"> </w:t>
      </w:r>
      <w:r w:rsidRPr="00C00591">
        <w:rPr>
          <w:rFonts w:ascii="Arial" w:hAnsi="Arial" w:cs="Arial"/>
          <w:sz w:val="22"/>
          <w:szCs w:val="22"/>
        </w:rPr>
        <w:t>2022.</w:t>
      </w:r>
      <w:r w:rsidR="00F4330E">
        <w:rPr>
          <w:rFonts w:ascii="Arial" w:hAnsi="Arial" w:cs="Arial"/>
          <w:sz w:val="22"/>
          <w:szCs w:val="22"/>
        </w:rPr>
        <w:t xml:space="preserve"> Available from:</w:t>
      </w:r>
      <w:r w:rsidRPr="00C00591">
        <w:rPr>
          <w:rFonts w:ascii="Arial" w:hAnsi="Arial" w:cs="Arial"/>
          <w:sz w:val="22"/>
          <w:szCs w:val="22"/>
        </w:rPr>
        <w:t xml:space="preserve"> </w:t>
      </w:r>
      <w:hyperlink r:id="rId13" w:history="1">
        <w:r w:rsidRPr="00D97582">
          <w:rPr>
            <w:rStyle w:val="Hyperlink"/>
            <w:rFonts w:ascii="Arial" w:hAnsi="Arial" w:cs="Arial"/>
            <w:sz w:val="22"/>
            <w:szCs w:val="22"/>
          </w:rPr>
          <w:t>https://www.rpharms.com/resources/pharmacy-guides/mca</w:t>
        </w:r>
      </w:hyperlink>
    </w:p>
    <w:p w14:paraId="101E4422" w14:textId="7A8102B6" w:rsidR="00F4330E" w:rsidRPr="00F4330E" w:rsidRDefault="00705CF9" w:rsidP="00F4330E">
      <w:pPr>
        <w:pStyle w:val="NormalWeb"/>
        <w:numPr>
          <w:ilvl w:val="0"/>
          <w:numId w:val="26"/>
        </w:numPr>
        <w:rPr>
          <w:rFonts w:ascii="Arial" w:hAnsi="Arial" w:cs="Arial"/>
          <w:sz w:val="22"/>
          <w:szCs w:val="22"/>
        </w:rPr>
      </w:pPr>
      <w:r w:rsidRPr="00914A3B">
        <w:rPr>
          <w:rStyle w:val="whitespace-normal"/>
          <w:rFonts w:ascii="Arial" w:hAnsi="Arial" w:cs="Arial"/>
          <w:sz w:val="22"/>
          <w:szCs w:val="22"/>
        </w:rPr>
        <w:t>National Institute for Health and Care Excellence</w:t>
      </w:r>
      <w:r w:rsidRPr="00914A3B">
        <w:rPr>
          <w:rFonts w:ascii="Arial" w:hAnsi="Arial" w:cs="Arial"/>
          <w:sz w:val="22"/>
          <w:szCs w:val="22"/>
        </w:rPr>
        <w:t xml:space="preserve">. </w:t>
      </w:r>
      <w:r w:rsidR="00F4330E" w:rsidRPr="00F4330E">
        <w:rPr>
          <w:rStyle w:val="Emphasis"/>
          <w:rFonts w:ascii="Arial" w:hAnsi="Arial" w:cs="Arial"/>
          <w:sz w:val="22"/>
          <w:szCs w:val="22"/>
        </w:rPr>
        <w:t>Managing medicines for adults receiving social care in the community</w:t>
      </w:r>
      <w:r w:rsidRPr="00914A3B">
        <w:rPr>
          <w:rFonts w:ascii="Arial" w:hAnsi="Arial" w:cs="Arial"/>
          <w:sz w:val="22"/>
          <w:szCs w:val="22"/>
        </w:rPr>
        <w:t>. NICE guideline NG</w:t>
      </w:r>
      <w:r w:rsidR="00F4330E">
        <w:rPr>
          <w:rFonts w:ascii="Arial" w:hAnsi="Arial" w:cs="Arial"/>
          <w:sz w:val="22"/>
          <w:szCs w:val="22"/>
        </w:rPr>
        <w:t>67</w:t>
      </w:r>
      <w:r w:rsidRPr="00914A3B">
        <w:rPr>
          <w:rFonts w:ascii="Arial" w:hAnsi="Arial" w:cs="Arial"/>
          <w:sz w:val="22"/>
          <w:szCs w:val="22"/>
        </w:rPr>
        <w:t>. London: NICE; 20</w:t>
      </w:r>
      <w:r w:rsidR="00C22ECE">
        <w:rPr>
          <w:rFonts w:ascii="Arial" w:hAnsi="Arial" w:cs="Arial"/>
          <w:sz w:val="22"/>
          <w:szCs w:val="22"/>
        </w:rPr>
        <w:t>17</w:t>
      </w:r>
      <w:r w:rsidRPr="00914A3B">
        <w:rPr>
          <w:rFonts w:ascii="Arial" w:hAnsi="Arial" w:cs="Arial"/>
          <w:sz w:val="22"/>
          <w:szCs w:val="22"/>
        </w:rPr>
        <w:t>.</w:t>
      </w:r>
      <w:r w:rsidR="00F4330E">
        <w:rPr>
          <w:rFonts w:ascii="Arial" w:hAnsi="Arial" w:cs="Arial"/>
          <w:sz w:val="22"/>
          <w:szCs w:val="22"/>
        </w:rPr>
        <w:t xml:space="preserve"> Available from: </w:t>
      </w:r>
      <w:hyperlink r:id="rId14" w:anchor="assessing-and-reviewing-a-persons-medicines-support-needs" w:history="1">
        <w:r w:rsidR="00536D98" w:rsidRPr="00D97582">
          <w:rPr>
            <w:rStyle w:val="Hyperlink"/>
            <w:rFonts w:ascii="Arial" w:hAnsi="Arial" w:cs="Arial"/>
            <w:sz w:val="22"/>
            <w:szCs w:val="22"/>
          </w:rPr>
          <w:t>https://www.nice.org.uk/guidance/NG67/chapter/Recommendations#assessing-and-reviewing-a-persons-medicines-support-needs</w:t>
        </w:r>
      </w:hyperlink>
      <w:r w:rsidR="00536D98">
        <w:rPr>
          <w:rFonts w:ascii="Arial" w:hAnsi="Arial" w:cs="Arial"/>
          <w:sz w:val="22"/>
          <w:szCs w:val="22"/>
        </w:rPr>
        <w:t xml:space="preserve"> </w:t>
      </w:r>
    </w:p>
    <w:p w14:paraId="48C7274D" w14:textId="47EE5C80" w:rsidR="00705CF9" w:rsidRPr="00914A3B" w:rsidRDefault="00705CF9" w:rsidP="00705CF9">
      <w:pPr>
        <w:pStyle w:val="NormalWeb"/>
        <w:numPr>
          <w:ilvl w:val="0"/>
          <w:numId w:val="26"/>
        </w:numPr>
        <w:rPr>
          <w:rFonts w:ascii="Arial" w:hAnsi="Arial" w:cs="Arial"/>
          <w:sz w:val="22"/>
          <w:szCs w:val="22"/>
        </w:rPr>
      </w:pPr>
      <w:r w:rsidRPr="00914A3B">
        <w:rPr>
          <w:rStyle w:val="whitespace-normal"/>
          <w:rFonts w:ascii="Arial" w:hAnsi="Arial" w:cs="Arial"/>
          <w:sz w:val="22"/>
          <w:szCs w:val="22"/>
        </w:rPr>
        <w:t>Specialist Pharmacy Service</w:t>
      </w:r>
      <w:r w:rsidRPr="00914A3B">
        <w:rPr>
          <w:rFonts w:ascii="Arial" w:hAnsi="Arial" w:cs="Arial"/>
          <w:sz w:val="22"/>
          <w:szCs w:val="22"/>
        </w:rPr>
        <w:t xml:space="preserve">. </w:t>
      </w:r>
      <w:r w:rsidRPr="00914A3B">
        <w:rPr>
          <w:rStyle w:val="Emphasis"/>
          <w:rFonts w:ascii="Arial" w:hAnsi="Arial" w:cs="Arial"/>
          <w:sz w:val="22"/>
          <w:szCs w:val="22"/>
        </w:rPr>
        <w:t>Medicines in compliance aids stability tool</w:t>
      </w:r>
      <w:r w:rsidRPr="00914A3B">
        <w:rPr>
          <w:rFonts w:ascii="Arial" w:hAnsi="Arial" w:cs="Arial"/>
          <w:sz w:val="22"/>
          <w:szCs w:val="22"/>
        </w:rPr>
        <w:t xml:space="preserve"> [Internet]. London: NHS Specialist Pharmacy Service</w:t>
      </w:r>
      <w:r w:rsidR="00E90FA5">
        <w:rPr>
          <w:rFonts w:ascii="Arial" w:hAnsi="Arial" w:cs="Arial"/>
          <w:sz w:val="22"/>
          <w:szCs w:val="22"/>
        </w:rPr>
        <w:t>.</w:t>
      </w:r>
      <w:r w:rsidRPr="00914A3B">
        <w:rPr>
          <w:rFonts w:ascii="Arial" w:hAnsi="Arial" w:cs="Arial"/>
          <w:sz w:val="22"/>
          <w:szCs w:val="22"/>
        </w:rPr>
        <w:t xml:space="preserve"> Available from: </w:t>
      </w:r>
      <w:hyperlink r:id="rId15" w:tgtFrame="_new" w:history="1">
        <w:r w:rsidRPr="00914A3B">
          <w:rPr>
            <w:rStyle w:val="Hyperlink"/>
            <w:rFonts w:ascii="Arial" w:hAnsi="Arial" w:cs="Arial"/>
            <w:sz w:val="22"/>
            <w:szCs w:val="22"/>
          </w:rPr>
          <w:t>https://www.sps.nhs.uk</w:t>
        </w:r>
      </w:hyperlink>
    </w:p>
    <w:p w14:paraId="6DC926C6" w14:textId="571795C6" w:rsidR="00437814" w:rsidRDefault="00437814" w:rsidP="00705CF9">
      <w:pPr>
        <w:pStyle w:val="NormalWeb"/>
        <w:numPr>
          <w:ilvl w:val="0"/>
          <w:numId w:val="26"/>
        </w:numPr>
        <w:rPr>
          <w:rFonts w:ascii="Arial" w:hAnsi="Arial" w:cs="Arial"/>
          <w:sz w:val="22"/>
          <w:szCs w:val="22"/>
        </w:rPr>
      </w:pPr>
      <w:r w:rsidRPr="00437814">
        <w:rPr>
          <w:rFonts w:ascii="Arial" w:hAnsi="Arial" w:cs="Arial"/>
          <w:sz w:val="22"/>
          <w:szCs w:val="22"/>
        </w:rPr>
        <w:lastRenderedPageBreak/>
        <w:t>Oboh L. Frequently asked questions (FAQ) on the use of multi-compartment compliance aids (MCAs) in the community: a resource for community pharmacists and other health and social care professionals involved in medicines management for older people [Internet]. NHS Lambeth</w:t>
      </w:r>
      <w:r w:rsidR="00E90FA5">
        <w:rPr>
          <w:rFonts w:ascii="Arial" w:hAnsi="Arial" w:cs="Arial"/>
          <w:sz w:val="22"/>
          <w:szCs w:val="22"/>
        </w:rPr>
        <w:t>;</w:t>
      </w:r>
      <w:r w:rsidRPr="00437814">
        <w:rPr>
          <w:rFonts w:ascii="Arial" w:hAnsi="Arial" w:cs="Arial"/>
          <w:sz w:val="22"/>
          <w:szCs w:val="22"/>
        </w:rPr>
        <w:t xml:space="preserve"> 2011. Available from: </w:t>
      </w:r>
      <w:hyperlink r:id="rId16" w:history="1">
        <w:r w:rsidRPr="00D97582">
          <w:rPr>
            <w:rStyle w:val="Hyperlink"/>
            <w:rFonts w:ascii="Arial" w:hAnsi="Arial" w:cs="Arial"/>
            <w:sz w:val="22"/>
            <w:szCs w:val="22"/>
          </w:rPr>
          <w:t>https://www.rpharms.com/portals/0/rps%20document%20library/open%20access/support/toolkit/faqs-on-mcas-nhs-lambeth.pdf</w:t>
        </w:r>
      </w:hyperlink>
      <w:r>
        <w:rPr>
          <w:rFonts w:ascii="Arial" w:hAnsi="Arial" w:cs="Arial"/>
          <w:sz w:val="22"/>
          <w:szCs w:val="22"/>
        </w:rPr>
        <w:t xml:space="preserve"> </w:t>
      </w:r>
    </w:p>
    <w:p w14:paraId="23B2F1AF" w14:textId="4785C8E0" w:rsidR="00AA29AE" w:rsidRPr="00CD3944" w:rsidRDefault="00E61810" w:rsidP="0046724E">
      <w:pPr>
        <w:pStyle w:val="NormalWeb"/>
        <w:numPr>
          <w:ilvl w:val="0"/>
          <w:numId w:val="26"/>
        </w:numPr>
        <w:rPr>
          <w:rFonts w:ascii="Arial" w:hAnsi="Arial" w:cs="Arial"/>
          <w:sz w:val="22"/>
          <w:szCs w:val="22"/>
        </w:rPr>
      </w:pPr>
      <w:r w:rsidRPr="00536D98">
        <w:rPr>
          <w:rFonts w:ascii="Arial" w:hAnsi="Arial" w:cs="Arial"/>
          <w:sz w:val="22"/>
          <w:szCs w:val="22"/>
        </w:rPr>
        <w:t xml:space="preserve">Barber ND, Alldred DP, Raynor DK, Dickinson R, Garfield S, Jesson B, et al. Care homes’ use of medicines study: prevalence, causes and potential harm of medication errors in care homes for older people. Quality and Safety in Health Care [Internet]. 2009;18(5):341–6. Available from: </w:t>
      </w:r>
      <w:hyperlink r:id="rId17" w:history="1">
        <w:r w:rsidR="00536D98" w:rsidRPr="00D97582">
          <w:rPr>
            <w:rStyle w:val="Hyperlink"/>
            <w:rFonts w:ascii="Arial" w:hAnsi="Arial" w:cs="Arial"/>
            <w:sz w:val="22"/>
            <w:szCs w:val="22"/>
          </w:rPr>
          <w:t>https://qualitysafety.bmj.com/content/18/5/341</w:t>
        </w:r>
      </w:hyperlink>
    </w:p>
    <w:p w14:paraId="17DDF4B9" w14:textId="77777777" w:rsidR="00785A4D" w:rsidRDefault="00785A4D" w:rsidP="0046724E">
      <w:pPr>
        <w:pStyle w:val="Title"/>
        <w:jc w:val="left"/>
        <w:rPr>
          <w:rFonts w:cs="Arial"/>
          <w:sz w:val="24"/>
          <w:szCs w:val="24"/>
        </w:rPr>
      </w:pPr>
    </w:p>
    <w:p w14:paraId="25EB320A" w14:textId="77777777" w:rsidR="00785A4D" w:rsidRDefault="00785A4D" w:rsidP="0046724E">
      <w:pPr>
        <w:pStyle w:val="Title"/>
        <w:jc w:val="left"/>
        <w:rPr>
          <w:rFonts w:cs="Arial"/>
          <w:sz w:val="24"/>
          <w:szCs w:val="24"/>
        </w:rPr>
      </w:pPr>
    </w:p>
    <w:p w14:paraId="11F91252" w14:textId="77777777" w:rsidR="00785A4D" w:rsidRDefault="00785A4D" w:rsidP="0046724E">
      <w:pPr>
        <w:pStyle w:val="Title"/>
        <w:jc w:val="left"/>
        <w:rPr>
          <w:rFonts w:cs="Arial"/>
          <w:sz w:val="24"/>
          <w:szCs w:val="24"/>
        </w:rPr>
      </w:pPr>
    </w:p>
    <w:p w14:paraId="13CE7E89" w14:textId="77777777" w:rsidR="00785A4D" w:rsidRDefault="00785A4D" w:rsidP="0046724E">
      <w:pPr>
        <w:pStyle w:val="Title"/>
        <w:jc w:val="left"/>
        <w:rPr>
          <w:rFonts w:cs="Arial"/>
          <w:sz w:val="24"/>
          <w:szCs w:val="24"/>
        </w:rPr>
      </w:pPr>
    </w:p>
    <w:p w14:paraId="5820975A" w14:textId="77777777" w:rsidR="00785A4D" w:rsidRDefault="00785A4D" w:rsidP="0046724E">
      <w:pPr>
        <w:pStyle w:val="Title"/>
        <w:jc w:val="left"/>
        <w:rPr>
          <w:rFonts w:cs="Arial"/>
          <w:sz w:val="24"/>
          <w:szCs w:val="24"/>
        </w:rPr>
      </w:pPr>
    </w:p>
    <w:p w14:paraId="13263B2B" w14:textId="77777777" w:rsidR="00785A4D" w:rsidRDefault="00785A4D" w:rsidP="0046724E">
      <w:pPr>
        <w:pStyle w:val="Title"/>
        <w:jc w:val="left"/>
        <w:rPr>
          <w:rFonts w:cs="Arial"/>
          <w:sz w:val="24"/>
          <w:szCs w:val="24"/>
        </w:rPr>
      </w:pPr>
    </w:p>
    <w:p w14:paraId="5F511B21" w14:textId="77777777" w:rsidR="00785A4D" w:rsidRDefault="00785A4D" w:rsidP="0046724E">
      <w:pPr>
        <w:pStyle w:val="Title"/>
        <w:jc w:val="left"/>
        <w:rPr>
          <w:rFonts w:cs="Arial"/>
          <w:sz w:val="24"/>
          <w:szCs w:val="24"/>
        </w:rPr>
      </w:pPr>
    </w:p>
    <w:p w14:paraId="065CF220" w14:textId="77777777" w:rsidR="00785A4D" w:rsidRDefault="00785A4D" w:rsidP="0046724E">
      <w:pPr>
        <w:pStyle w:val="Title"/>
        <w:jc w:val="left"/>
        <w:rPr>
          <w:rFonts w:cs="Arial"/>
          <w:sz w:val="24"/>
          <w:szCs w:val="24"/>
        </w:rPr>
      </w:pPr>
    </w:p>
    <w:p w14:paraId="66524071" w14:textId="77777777" w:rsidR="00785A4D" w:rsidRDefault="00785A4D" w:rsidP="0046724E">
      <w:pPr>
        <w:pStyle w:val="Title"/>
        <w:jc w:val="left"/>
        <w:rPr>
          <w:rFonts w:cs="Arial"/>
          <w:sz w:val="24"/>
          <w:szCs w:val="24"/>
        </w:rPr>
      </w:pPr>
    </w:p>
    <w:p w14:paraId="3253F72D" w14:textId="77777777" w:rsidR="00785A4D" w:rsidRDefault="00785A4D" w:rsidP="0046724E">
      <w:pPr>
        <w:pStyle w:val="Title"/>
        <w:jc w:val="left"/>
        <w:rPr>
          <w:rFonts w:cs="Arial"/>
          <w:sz w:val="24"/>
          <w:szCs w:val="24"/>
        </w:rPr>
      </w:pPr>
    </w:p>
    <w:p w14:paraId="6336BFC9" w14:textId="7978210F" w:rsidR="00785A4D" w:rsidRDefault="00785A4D" w:rsidP="0046724E">
      <w:pPr>
        <w:pStyle w:val="Title"/>
        <w:jc w:val="left"/>
        <w:rPr>
          <w:rFonts w:cs="Arial"/>
          <w:sz w:val="24"/>
          <w:szCs w:val="24"/>
        </w:rPr>
      </w:pPr>
    </w:p>
    <w:p w14:paraId="109924FA" w14:textId="5E2C4D48" w:rsidR="00017EC8" w:rsidRDefault="00017EC8" w:rsidP="0046724E">
      <w:pPr>
        <w:pStyle w:val="Title"/>
        <w:jc w:val="left"/>
        <w:rPr>
          <w:rFonts w:cs="Arial"/>
          <w:sz w:val="24"/>
          <w:szCs w:val="24"/>
        </w:rPr>
      </w:pPr>
    </w:p>
    <w:p w14:paraId="649DA16A" w14:textId="0E464CAF" w:rsidR="00017EC8" w:rsidRDefault="00017EC8" w:rsidP="0046724E">
      <w:pPr>
        <w:pStyle w:val="Title"/>
        <w:jc w:val="left"/>
        <w:rPr>
          <w:rFonts w:cs="Arial"/>
          <w:sz w:val="24"/>
          <w:szCs w:val="24"/>
        </w:rPr>
      </w:pPr>
    </w:p>
    <w:p w14:paraId="39F87BA3" w14:textId="0CAC008C" w:rsidR="00017EC8" w:rsidRDefault="00017EC8" w:rsidP="0046724E">
      <w:pPr>
        <w:pStyle w:val="Title"/>
        <w:jc w:val="left"/>
        <w:rPr>
          <w:rFonts w:cs="Arial"/>
          <w:sz w:val="24"/>
          <w:szCs w:val="24"/>
        </w:rPr>
      </w:pPr>
    </w:p>
    <w:p w14:paraId="3D9DB6A7" w14:textId="6674FC8F" w:rsidR="00017EC8" w:rsidRDefault="00017EC8" w:rsidP="0046724E">
      <w:pPr>
        <w:pStyle w:val="Title"/>
        <w:jc w:val="left"/>
        <w:rPr>
          <w:rFonts w:cs="Arial"/>
          <w:sz w:val="24"/>
          <w:szCs w:val="24"/>
        </w:rPr>
      </w:pPr>
    </w:p>
    <w:p w14:paraId="3109D643" w14:textId="616D99C9" w:rsidR="00017EC8" w:rsidRDefault="00017EC8" w:rsidP="0046724E">
      <w:pPr>
        <w:pStyle w:val="Title"/>
        <w:jc w:val="left"/>
        <w:rPr>
          <w:rFonts w:cs="Arial"/>
          <w:sz w:val="24"/>
          <w:szCs w:val="24"/>
        </w:rPr>
      </w:pPr>
    </w:p>
    <w:p w14:paraId="44B19EDE" w14:textId="6D28853C" w:rsidR="00017EC8" w:rsidRDefault="00017EC8" w:rsidP="0046724E">
      <w:pPr>
        <w:pStyle w:val="Title"/>
        <w:jc w:val="left"/>
        <w:rPr>
          <w:rFonts w:cs="Arial"/>
          <w:sz w:val="24"/>
          <w:szCs w:val="24"/>
        </w:rPr>
      </w:pPr>
    </w:p>
    <w:p w14:paraId="468C3FCA" w14:textId="0D77FEEE" w:rsidR="00017EC8" w:rsidRDefault="00017EC8" w:rsidP="0046724E">
      <w:pPr>
        <w:pStyle w:val="Title"/>
        <w:jc w:val="left"/>
        <w:rPr>
          <w:rFonts w:cs="Arial"/>
          <w:sz w:val="24"/>
          <w:szCs w:val="24"/>
        </w:rPr>
      </w:pPr>
    </w:p>
    <w:p w14:paraId="4F7B9C12" w14:textId="541F2D70" w:rsidR="00017EC8" w:rsidRDefault="00017EC8" w:rsidP="0046724E">
      <w:pPr>
        <w:pStyle w:val="Title"/>
        <w:jc w:val="left"/>
        <w:rPr>
          <w:rFonts w:cs="Arial"/>
          <w:sz w:val="24"/>
          <w:szCs w:val="24"/>
        </w:rPr>
      </w:pPr>
    </w:p>
    <w:p w14:paraId="4B1F05CB" w14:textId="002E0A00" w:rsidR="00017EC8" w:rsidRDefault="00017EC8" w:rsidP="0046724E">
      <w:pPr>
        <w:pStyle w:val="Title"/>
        <w:jc w:val="left"/>
        <w:rPr>
          <w:rFonts w:cs="Arial"/>
          <w:sz w:val="24"/>
          <w:szCs w:val="24"/>
        </w:rPr>
      </w:pPr>
    </w:p>
    <w:p w14:paraId="01425FE5" w14:textId="6A658904" w:rsidR="00017EC8" w:rsidRDefault="00017EC8" w:rsidP="0046724E">
      <w:pPr>
        <w:pStyle w:val="Title"/>
        <w:jc w:val="left"/>
        <w:rPr>
          <w:rFonts w:cs="Arial"/>
          <w:sz w:val="24"/>
          <w:szCs w:val="24"/>
        </w:rPr>
      </w:pPr>
    </w:p>
    <w:p w14:paraId="544648D6" w14:textId="27652BDC" w:rsidR="00017EC8" w:rsidRDefault="00017EC8" w:rsidP="0046724E">
      <w:pPr>
        <w:pStyle w:val="Title"/>
        <w:jc w:val="left"/>
        <w:rPr>
          <w:rFonts w:cs="Arial"/>
          <w:sz w:val="24"/>
          <w:szCs w:val="24"/>
        </w:rPr>
      </w:pPr>
    </w:p>
    <w:p w14:paraId="6F5062E6" w14:textId="79EEF26F" w:rsidR="00017EC8" w:rsidRDefault="00017EC8" w:rsidP="0046724E">
      <w:pPr>
        <w:pStyle w:val="Title"/>
        <w:jc w:val="left"/>
        <w:rPr>
          <w:rFonts w:cs="Arial"/>
          <w:sz w:val="24"/>
          <w:szCs w:val="24"/>
        </w:rPr>
      </w:pPr>
    </w:p>
    <w:p w14:paraId="5ED78748" w14:textId="0D6DB1D9" w:rsidR="00017EC8" w:rsidRDefault="00017EC8" w:rsidP="0046724E">
      <w:pPr>
        <w:pStyle w:val="Title"/>
        <w:jc w:val="left"/>
        <w:rPr>
          <w:rFonts w:cs="Arial"/>
          <w:sz w:val="24"/>
          <w:szCs w:val="24"/>
        </w:rPr>
      </w:pPr>
    </w:p>
    <w:p w14:paraId="444C7965" w14:textId="44D9EDEF" w:rsidR="00017EC8" w:rsidRDefault="00017EC8" w:rsidP="0046724E">
      <w:pPr>
        <w:pStyle w:val="Title"/>
        <w:jc w:val="left"/>
        <w:rPr>
          <w:rFonts w:cs="Arial"/>
          <w:sz w:val="24"/>
          <w:szCs w:val="24"/>
        </w:rPr>
      </w:pPr>
    </w:p>
    <w:p w14:paraId="7789C648" w14:textId="7B88BDE6" w:rsidR="00017EC8" w:rsidRDefault="00017EC8" w:rsidP="0046724E">
      <w:pPr>
        <w:pStyle w:val="Title"/>
        <w:jc w:val="left"/>
        <w:rPr>
          <w:rFonts w:cs="Arial"/>
          <w:sz w:val="24"/>
          <w:szCs w:val="24"/>
        </w:rPr>
      </w:pPr>
    </w:p>
    <w:p w14:paraId="47EA2999" w14:textId="7D4AB4F6" w:rsidR="00017EC8" w:rsidRDefault="00017EC8" w:rsidP="0046724E">
      <w:pPr>
        <w:pStyle w:val="Title"/>
        <w:jc w:val="left"/>
        <w:rPr>
          <w:rFonts w:cs="Arial"/>
          <w:sz w:val="24"/>
          <w:szCs w:val="24"/>
        </w:rPr>
      </w:pPr>
    </w:p>
    <w:p w14:paraId="360D2E2A" w14:textId="32B0D135" w:rsidR="00017EC8" w:rsidRDefault="00017EC8" w:rsidP="0046724E">
      <w:pPr>
        <w:pStyle w:val="Title"/>
        <w:jc w:val="left"/>
        <w:rPr>
          <w:rFonts w:cs="Arial"/>
          <w:sz w:val="24"/>
          <w:szCs w:val="24"/>
        </w:rPr>
      </w:pPr>
    </w:p>
    <w:p w14:paraId="4456B0D3" w14:textId="4CCA6EEF" w:rsidR="00017EC8" w:rsidRDefault="00017EC8" w:rsidP="0046724E">
      <w:pPr>
        <w:pStyle w:val="Title"/>
        <w:jc w:val="left"/>
        <w:rPr>
          <w:rFonts w:cs="Arial"/>
          <w:sz w:val="24"/>
          <w:szCs w:val="24"/>
        </w:rPr>
      </w:pPr>
    </w:p>
    <w:p w14:paraId="0D0EB054" w14:textId="078F3068" w:rsidR="00017EC8" w:rsidRDefault="00017EC8" w:rsidP="0046724E">
      <w:pPr>
        <w:pStyle w:val="Title"/>
        <w:jc w:val="left"/>
        <w:rPr>
          <w:rFonts w:cs="Arial"/>
          <w:sz w:val="24"/>
          <w:szCs w:val="24"/>
        </w:rPr>
      </w:pPr>
    </w:p>
    <w:p w14:paraId="1B40A780" w14:textId="1A66A94D" w:rsidR="00017EC8" w:rsidRDefault="00017EC8" w:rsidP="0046724E">
      <w:pPr>
        <w:pStyle w:val="Title"/>
        <w:jc w:val="left"/>
        <w:rPr>
          <w:rFonts w:cs="Arial"/>
          <w:sz w:val="24"/>
          <w:szCs w:val="24"/>
        </w:rPr>
      </w:pPr>
    </w:p>
    <w:p w14:paraId="6F79B39B" w14:textId="2AEC29D6" w:rsidR="00017EC8" w:rsidRDefault="00017EC8" w:rsidP="0046724E">
      <w:pPr>
        <w:pStyle w:val="Title"/>
        <w:jc w:val="left"/>
        <w:rPr>
          <w:rFonts w:cs="Arial"/>
          <w:sz w:val="24"/>
          <w:szCs w:val="24"/>
        </w:rPr>
      </w:pPr>
    </w:p>
    <w:p w14:paraId="410DB934" w14:textId="4686DE26" w:rsidR="00017EC8" w:rsidRDefault="00017EC8" w:rsidP="0046724E">
      <w:pPr>
        <w:pStyle w:val="Title"/>
        <w:jc w:val="left"/>
        <w:rPr>
          <w:rFonts w:cs="Arial"/>
          <w:sz w:val="24"/>
          <w:szCs w:val="24"/>
        </w:rPr>
      </w:pPr>
    </w:p>
    <w:p w14:paraId="3F0544FA" w14:textId="4833F73F" w:rsidR="00017EC8" w:rsidRDefault="00017EC8" w:rsidP="0046724E">
      <w:pPr>
        <w:pStyle w:val="Title"/>
        <w:jc w:val="left"/>
        <w:rPr>
          <w:rFonts w:cs="Arial"/>
          <w:sz w:val="24"/>
          <w:szCs w:val="24"/>
        </w:rPr>
      </w:pPr>
    </w:p>
    <w:p w14:paraId="0CA11038" w14:textId="19F7F024" w:rsidR="00017EC8" w:rsidRDefault="00017EC8" w:rsidP="0046724E">
      <w:pPr>
        <w:pStyle w:val="Title"/>
        <w:jc w:val="left"/>
        <w:rPr>
          <w:rFonts w:cs="Arial"/>
          <w:sz w:val="24"/>
          <w:szCs w:val="24"/>
        </w:rPr>
      </w:pPr>
    </w:p>
    <w:p w14:paraId="57C4469B" w14:textId="1FD5849F" w:rsidR="00017EC8" w:rsidRDefault="00017EC8" w:rsidP="0046724E">
      <w:pPr>
        <w:pStyle w:val="Title"/>
        <w:jc w:val="left"/>
        <w:rPr>
          <w:rFonts w:cs="Arial"/>
          <w:sz w:val="24"/>
          <w:szCs w:val="24"/>
        </w:rPr>
      </w:pPr>
    </w:p>
    <w:p w14:paraId="5D4D9935" w14:textId="04FB711B" w:rsidR="00017EC8" w:rsidRDefault="00017EC8" w:rsidP="0046724E">
      <w:pPr>
        <w:pStyle w:val="Title"/>
        <w:jc w:val="left"/>
        <w:rPr>
          <w:rFonts w:cs="Arial"/>
          <w:sz w:val="24"/>
          <w:szCs w:val="24"/>
        </w:rPr>
      </w:pPr>
    </w:p>
    <w:p w14:paraId="3D2ECD09" w14:textId="77777777" w:rsidR="00017EC8" w:rsidRDefault="00017EC8" w:rsidP="0046724E">
      <w:pPr>
        <w:pStyle w:val="Title"/>
        <w:jc w:val="left"/>
        <w:rPr>
          <w:rFonts w:cs="Arial"/>
          <w:sz w:val="24"/>
          <w:szCs w:val="24"/>
        </w:rPr>
      </w:pPr>
    </w:p>
    <w:p w14:paraId="32D34C7E" w14:textId="77777777" w:rsidR="00480967" w:rsidRDefault="00480967" w:rsidP="0046724E">
      <w:pPr>
        <w:pStyle w:val="Title"/>
        <w:jc w:val="left"/>
        <w:rPr>
          <w:rFonts w:cs="Arial"/>
          <w:sz w:val="24"/>
          <w:szCs w:val="24"/>
        </w:rPr>
      </w:pPr>
    </w:p>
    <w:p w14:paraId="4EB3684D" w14:textId="77777777" w:rsidR="00785A4D" w:rsidRDefault="00785A4D" w:rsidP="0046724E">
      <w:pPr>
        <w:pStyle w:val="Title"/>
        <w:jc w:val="left"/>
        <w:rPr>
          <w:rFonts w:cs="Arial"/>
          <w:sz w:val="24"/>
          <w:szCs w:val="24"/>
        </w:rPr>
      </w:pPr>
    </w:p>
    <w:p w14:paraId="07DA24AE" w14:textId="4F7AA4A3" w:rsidR="000B68D8" w:rsidRDefault="0046724E" w:rsidP="000B68D8">
      <w:pPr>
        <w:pStyle w:val="Title"/>
        <w:jc w:val="left"/>
        <w:rPr>
          <w:rFonts w:cs="Arial"/>
          <w:sz w:val="24"/>
          <w:szCs w:val="24"/>
        </w:rPr>
      </w:pPr>
      <w:r>
        <w:rPr>
          <w:rFonts w:cs="Arial"/>
          <w:sz w:val="24"/>
          <w:szCs w:val="24"/>
        </w:rPr>
        <w:lastRenderedPageBreak/>
        <w:t>Appendix 1.</w:t>
      </w:r>
      <w:r w:rsidR="000B68D8">
        <w:rPr>
          <w:rFonts w:cs="Arial"/>
          <w:sz w:val="24"/>
          <w:szCs w:val="24"/>
        </w:rPr>
        <w:t xml:space="preserve"> </w:t>
      </w:r>
    </w:p>
    <w:p w14:paraId="4B85091C" w14:textId="4CECFFB9" w:rsidR="00204A43" w:rsidRDefault="0046724E" w:rsidP="000B68D8">
      <w:pPr>
        <w:pStyle w:val="Title"/>
        <w:rPr>
          <w:rFonts w:cs="Arial"/>
          <w:sz w:val="24"/>
          <w:szCs w:val="24"/>
        </w:rPr>
      </w:pPr>
      <w:r w:rsidRPr="0046724E">
        <w:rPr>
          <w:rFonts w:cs="Arial"/>
          <w:sz w:val="24"/>
          <w:szCs w:val="24"/>
        </w:rPr>
        <w:t>MCA</w:t>
      </w:r>
      <w:r w:rsidR="00EF1D23">
        <w:rPr>
          <w:rFonts w:cs="Arial"/>
          <w:sz w:val="24"/>
          <w:szCs w:val="24"/>
        </w:rPr>
        <w:t xml:space="preserve"> Initiation and</w:t>
      </w:r>
      <w:r w:rsidRPr="0046724E">
        <w:rPr>
          <w:rFonts w:cs="Arial"/>
          <w:sz w:val="24"/>
          <w:szCs w:val="24"/>
        </w:rPr>
        <w:t xml:space="preserve"> Decision-Making </w:t>
      </w:r>
      <w:r w:rsidR="000B68D8">
        <w:rPr>
          <w:rFonts w:cs="Arial"/>
          <w:sz w:val="24"/>
          <w:szCs w:val="24"/>
        </w:rPr>
        <w:t>P</w:t>
      </w:r>
      <w:r w:rsidR="00C731EC">
        <w:rPr>
          <w:rFonts w:cs="Arial"/>
          <w:sz w:val="24"/>
          <w:szCs w:val="24"/>
        </w:rPr>
        <w:t>rocess</w:t>
      </w:r>
      <w:r w:rsidR="00EF1D23">
        <w:rPr>
          <w:rFonts w:cs="Arial"/>
          <w:sz w:val="24"/>
          <w:szCs w:val="24"/>
        </w:rPr>
        <w:t xml:space="preserve"> </w:t>
      </w:r>
      <w:r w:rsidR="00277A75">
        <w:rPr>
          <w:rFonts w:cs="Arial"/>
          <w:sz w:val="24"/>
          <w:szCs w:val="24"/>
        </w:rPr>
        <w:t xml:space="preserve"> </w:t>
      </w:r>
      <w:r w:rsidR="000144CA">
        <w:rPr>
          <w:rFonts w:cs="Arial"/>
          <w:noProof/>
          <w:sz w:val="24"/>
          <w:szCs w:val="24"/>
        </w:rPr>
        <w:drawing>
          <wp:inline distT="0" distB="0" distL="0" distR="0" wp14:anchorId="7F7F33C0" wp14:editId="008F61B4">
            <wp:extent cx="3678092" cy="849573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7096" cy="8516530"/>
                    </a:xfrm>
                    <a:prstGeom prst="rect">
                      <a:avLst/>
                    </a:prstGeom>
                    <a:noFill/>
                    <a:ln>
                      <a:noFill/>
                    </a:ln>
                  </pic:spPr>
                </pic:pic>
              </a:graphicData>
            </a:graphic>
          </wp:inline>
        </w:drawing>
      </w:r>
    </w:p>
    <w:p w14:paraId="172BBC26" w14:textId="7F95ED6E" w:rsidR="000855CB" w:rsidRDefault="000855CB" w:rsidP="000855CB">
      <w:pPr>
        <w:pStyle w:val="Title"/>
        <w:jc w:val="left"/>
        <w:rPr>
          <w:rFonts w:cs="Arial"/>
          <w:sz w:val="24"/>
          <w:szCs w:val="24"/>
        </w:rPr>
      </w:pPr>
      <w:r>
        <w:rPr>
          <w:rFonts w:cs="Arial"/>
          <w:sz w:val="24"/>
          <w:szCs w:val="24"/>
        </w:rPr>
        <w:lastRenderedPageBreak/>
        <w:t xml:space="preserve">Appendix </w:t>
      </w:r>
      <w:r w:rsidR="0046724E">
        <w:rPr>
          <w:rFonts w:cs="Arial"/>
          <w:sz w:val="24"/>
          <w:szCs w:val="24"/>
        </w:rPr>
        <w:t>2</w:t>
      </w:r>
      <w:r>
        <w:rPr>
          <w:rFonts w:cs="Arial"/>
          <w:sz w:val="24"/>
          <w:szCs w:val="24"/>
        </w:rPr>
        <w:t>.</w:t>
      </w:r>
    </w:p>
    <w:p w14:paraId="7F9E98B2" w14:textId="10DA062E" w:rsidR="000855CB" w:rsidRDefault="000855CB" w:rsidP="000855CB">
      <w:pPr>
        <w:pStyle w:val="Title"/>
        <w:rPr>
          <w:rFonts w:cs="Arial"/>
          <w:sz w:val="24"/>
          <w:szCs w:val="24"/>
        </w:rPr>
      </w:pPr>
      <w:r>
        <w:rPr>
          <w:rFonts w:cs="Arial"/>
          <w:sz w:val="24"/>
          <w:szCs w:val="24"/>
        </w:rPr>
        <w:t xml:space="preserve">Assessment of Suitability to initiate MCA. </w:t>
      </w:r>
    </w:p>
    <w:p w14:paraId="0254F461" w14:textId="77777777" w:rsidR="000855CB" w:rsidRDefault="000855CB" w:rsidP="000855CB">
      <w:pPr>
        <w:pStyle w:val="Title"/>
        <w:rPr>
          <w:rFonts w:cs="Arial"/>
          <w:sz w:val="24"/>
          <w:szCs w:val="24"/>
        </w:rPr>
      </w:pPr>
      <w:r>
        <w:rPr>
          <w:rFonts w:cs="Arial"/>
          <w:sz w:val="24"/>
          <w:szCs w:val="24"/>
        </w:rPr>
        <w:t>To be completed by pharmacy team</w:t>
      </w:r>
    </w:p>
    <w:p w14:paraId="102FEFB4" w14:textId="77777777" w:rsidR="000855CB" w:rsidRDefault="000855CB" w:rsidP="000855CB">
      <w:pPr>
        <w:pStyle w:val="Title"/>
        <w:rPr>
          <w:rFonts w:cs="Arial"/>
          <w:sz w:val="24"/>
          <w:szCs w:val="24"/>
        </w:rPr>
      </w:pPr>
    </w:p>
    <w:p w14:paraId="1A0B844B" w14:textId="77777777" w:rsidR="000855CB" w:rsidRDefault="000855CB" w:rsidP="000855CB">
      <w:pPr>
        <w:pStyle w:val="Title"/>
        <w:tabs>
          <w:tab w:val="left" w:pos="1560"/>
          <w:tab w:val="left" w:pos="5387"/>
          <w:tab w:val="left" w:pos="6804"/>
        </w:tabs>
        <w:spacing w:before="120"/>
        <w:jc w:val="left"/>
        <w:rPr>
          <w:rFonts w:cs="Arial"/>
          <w:b w:val="0"/>
          <w:sz w:val="24"/>
          <w:szCs w:val="24"/>
        </w:rPr>
      </w:pPr>
      <w:r>
        <w:rPr>
          <w:rFonts w:cs="Arial"/>
          <w:sz w:val="24"/>
          <w:szCs w:val="24"/>
        </w:rPr>
        <w:t xml:space="preserve">Patient’s Name: </w:t>
      </w:r>
      <w:r>
        <w:rPr>
          <w:rFonts w:cs="Arial"/>
          <w:b w:val="0"/>
          <w:sz w:val="24"/>
          <w:szCs w:val="24"/>
        </w:rPr>
        <w:t>__________________________________________</w:t>
      </w:r>
    </w:p>
    <w:p w14:paraId="46DEE8B1" w14:textId="77777777" w:rsidR="000855CB" w:rsidRDefault="000855CB" w:rsidP="000855CB">
      <w:pPr>
        <w:pStyle w:val="Title"/>
        <w:tabs>
          <w:tab w:val="left" w:pos="1560"/>
          <w:tab w:val="left" w:pos="5387"/>
          <w:tab w:val="left" w:pos="6804"/>
        </w:tabs>
        <w:spacing w:before="120"/>
        <w:jc w:val="left"/>
        <w:rPr>
          <w:rFonts w:cs="Arial"/>
          <w:b w:val="0"/>
          <w:sz w:val="24"/>
          <w:szCs w:val="24"/>
        </w:rPr>
      </w:pPr>
      <w:r>
        <w:rPr>
          <w:rFonts w:cs="Arial"/>
          <w:sz w:val="24"/>
          <w:szCs w:val="24"/>
        </w:rPr>
        <w:t>Ward/Team:</w:t>
      </w:r>
      <w:r>
        <w:rPr>
          <w:rFonts w:cs="Arial"/>
          <w:b w:val="0"/>
          <w:sz w:val="24"/>
          <w:szCs w:val="24"/>
        </w:rPr>
        <w:t xml:space="preserve"> ______________________________________________</w:t>
      </w:r>
    </w:p>
    <w:p w14:paraId="7091B806" w14:textId="110E085F" w:rsidR="000855CB" w:rsidRDefault="000855CB" w:rsidP="000855CB">
      <w:pPr>
        <w:pStyle w:val="Title"/>
        <w:tabs>
          <w:tab w:val="left" w:pos="1560"/>
          <w:tab w:val="left" w:pos="5387"/>
          <w:tab w:val="left" w:pos="6804"/>
        </w:tabs>
        <w:spacing w:before="120"/>
        <w:jc w:val="left"/>
        <w:rPr>
          <w:rFonts w:cs="Arial"/>
          <w:b w:val="0"/>
          <w:sz w:val="24"/>
          <w:szCs w:val="24"/>
        </w:rPr>
      </w:pPr>
      <w:r>
        <w:rPr>
          <w:rFonts w:cs="Arial"/>
          <w:sz w:val="24"/>
          <w:szCs w:val="24"/>
        </w:rPr>
        <w:t>Pharmacist/Technician name</w:t>
      </w:r>
      <w:r w:rsidR="00E04901">
        <w:rPr>
          <w:rFonts w:cs="Arial"/>
          <w:sz w:val="24"/>
          <w:szCs w:val="24"/>
        </w:rPr>
        <w:t>:</w:t>
      </w:r>
      <w:r>
        <w:rPr>
          <w:rFonts w:cs="Arial"/>
          <w:b w:val="0"/>
          <w:sz w:val="24"/>
          <w:szCs w:val="24"/>
        </w:rPr>
        <w:t>________________________________</w:t>
      </w:r>
    </w:p>
    <w:p w14:paraId="214DA356" w14:textId="77777777" w:rsidR="000855CB" w:rsidRDefault="000855CB" w:rsidP="000855CB">
      <w:pPr>
        <w:pStyle w:val="Title"/>
        <w:tabs>
          <w:tab w:val="left" w:pos="1560"/>
          <w:tab w:val="left" w:pos="1814"/>
          <w:tab w:val="left" w:pos="3969"/>
          <w:tab w:val="left" w:pos="5387"/>
          <w:tab w:val="left" w:pos="6804"/>
          <w:tab w:val="left" w:pos="7371"/>
        </w:tabs>
        <w:spacing w:before="120"/>
        <w:jc w:val="left"/>
        <w:rPr>
          <w:rFonts w:cs="Arial"/>
          <w:b w:val="0"/>
          <w:sz w:val="24"/>
          <w:szCs w:val="24"/>
        </w:rPr>
      </w:pPr>
    </w:p>
    <w:p w14:paraId="3A7FD61C" w14:textId="141809AC" w:rsidR="000855CB" w:rsidRDefault="000855CB" w:rsidP="000855CB">
      <w:pPr>
        <w:pStyle w:val="Title"/>
        <w:tabs>
          <w:tab w:val="left" w:pos="1560"/>
          <w:tab w:val="left" w:pos="1814"/>
          <w:tab w:val="left" w:pos="3969"/>
          <w:tab w:val="left" w:pos="5387"/>
          <w:tab w:val="left" w:pos="6804"/>
          <w:tab w:val="left" w:pos="7371"/>
        </w:tabs>
        <w:spacing w:before="120"/>
        <w:jc w:val="left"/>
        <w:rPr>
          <w:rFonts w:cs="Arial"/>
          <w:b w:val="0"/>
          <w:sz w:val="24"/>
          <w:szCs w:val="24"/>
        </w:rPr>
      </w:pPr>
      <w:r>
        <w:rPr>
          <w:rFonts w:cs="Arial"/>
          <w:b w:val="0"/>
          <w:sz w:val="24"/>
          <w:szCs w:val="24"/>
        </w:rPr>
        <w:t>Please answer the following questions to assess suitability for MCA (circle Yes or No). Generally, if the answer to any of the questions is No, an MCA is unsuitable. (See appendix</w:t>
      </w:r>
      <w:r w:rsidR="005F6AEF">
        <w:rPr>
          <w:rFonts w:cs="Arial"/>
          <w:b w:val="0"/>
          <w:sz w:val="24"/>
          <w:szCs w:val="24"/>
        </w:rPr>
        <w:t xml:space="preserve"> 3</w:t>
      </w:r>
      <w:r>
        <w:rPr>
          <w:rFonts w:cs="Arial"/>
          <w:b w:val="0"/>
          <w:sz w:val="24"/>
          <w:szCs w:val="24"/>
        </w:rPr>
        <w:t xml:space="preserve"> for further clarification)</w:t>
      </w:r>
    </w:p>
    <w:p w14:paraId="5545CF08" w14:textId="4929B117" w:rsidR="000855CB" w:rsidRDefault="000855CB" w:rsidP="000855CB">
      <w:pPr>
        <w:numPr>
          <w:ilvl w:val="0"/>
          <w:numId w:val="10"/>
        </w:numPr>
        <w:spacing w:before="120" w:after="0"/>
        <w:jc w:val="left"/>
        <w:rPr>
          <w:rFonts w:cs="Arial"/>
          <w:sz w:val="24"/>
        </w:rPr>
      </w:pPr>
      <w:r>
        <w:rPr>
          <w:rFonts w:cs="Arial"/>
          <w:sz w:val="24"/>
        </w:rPr>
        <w:t>Is the regimen complex?</w:t>
      </w:r>
      <w:r w:rsidR="005D6C5D">
        <w:rPr>
          <w:rFonts w:cs="Arial"/>
          <w:sz w:val="24"/>
        </w:rPr>
        <w:t xml:space="preserve"> (i.e., more than </w:t>
      </w:r>
      <w:r w:rsidR="00EE497C">
        <w:rPr>
          <w:rFonts w:cs="Arial"/>
          <w:sz w:val="24"/>
        </w:rPr>
        <w:t>4</w:t>
      </w:r>
      <w:r w:rsidR="005D6C5D">
        <w:rPr>
          <w:rFonts w:cs="Arial"/>
          <w:sz w:val="24"/>
        </w:rPr>
        <w:t xml:space="preserve"> medicines</w:t>
      </w:r>
      <w:r w:rsidR="00EE497C">
        <w:rPr>
          <w:rFonts w:cs="Arial"/>
          <w:sz w:val="24"/>
        </w:rPr>
        <w:t xml:space="preserve"> in the treatment regimen</w:t>
      </w:r>
      <w:r w:rsidR="005D6C5D">
        <w:rPr>
          <w:rFonts w:cs="Arial"/>
          <w:sz w:val="24"/>
        </w:rPr>
        <w:t>)</w:t>
      </w:r>
      <w:r>
        <w:rPr>
          <w:rFonts w:cs="Arial"/>
          <w:sz w:val="24"/>
        </w:rPr>
        <w:tab/>
      </w:r>
      <w:r>
        <w:rPr>
          <w:rFonts w:cs="Arial"/>
          <w:sz w:val="24"/>
        </w:rPr>
        <w:tab/>
      </w:r>
      <w:r>
        <w:rPr>
          <w:rFonts w:cs="Arial"/>
          <w:sz w:val="24"/>
        </w:rPr>
        <w:tab/>
      </w:r>
      <w:r>
        <w:rPr>
          <w:rFonts w:cs="Arial"/>
          <w:sz w:val="24"/>
        </w:rPr>
        <w:tab/>
      </w:r>
      <w:r w:rsidR="00EE497C">
        <w:rPr>
          <w:rFonts w:cs="Arial"/>
          <w:sz w:val="24"/>
        </w:rPr>
        <w:tab/>
      </w:r>
      <w:r w:rsidR="00EE497C">
        <w:rPr>
          <w:rFonts w:cs="Arial"/>
          <w:sz w:val="24"/>
        </w:rPr>
        <w:tab/>
      </w:r>
      <w:r w:rsidR="00EE497C">
        <w:rPr>
          <w:rFonts w:cs="Arial"/>
          <w:sz w:val="24"/>
        </w:rPr>
        <w:tab/>
      </w:r>
      <w:r w:rsidR="00EE497C">
        <w:rPr>
          <w:rFonts w:cs="Arial"/>
          <w:sz w:val="24"/>
        </w:rPr>
        <w:tab/>
      </w:r>
      <w:r>
        <w:rPr>
          <w:rFonts w:cs="Arial"/>
          <w:sz w:val="24"/>
        </w:rPr>
        <w:t>Yes / No</w:t>
      </w:r>
    </w:p>
    <w:p w14:paraId="72243E18" w14:textId="77777777" w:rsidR="000855CB" w:rsidRDefault="000855CB" w:rsidP="000855CB">
      <w:pPr>
        <w:numPr>
          <w:ilvl w:val="0"/>
          <w:numId w:val="10"/>
        </w:numPr>
        <w:spacing w:before="120" w:after="0"/>
        <w:jc w:val="left"/>
        <w:rPr>
          <w:rFonts w:cs="Arial"/>
          <w:sz w:val="24"/>
        </w:rPr>
      </w:pPr>
      <w:r>
        <w:rPr>
          <w:rFonts w:cs="Arial"/>
          <w:sz w:val="24"/>
        </w:rPr>
        <w:t>Has medication been reviewed to minimise pill burden?</w:t>
      </w:r>
      <w:r>
        <w:rPr>
          <w:rFonts w:cs="Arial"/>
          <w:sz w:val="24"/>
        </w:rPr>
        <w:tab/>
        <w:t>Yes / No</w:t>
      </w:r>
    </w:p>
    <w:p w14:paraId="736F16E7" w14:textId="77777777" w:rsidR="000855CB" w:rsidRDefault="000855CB" w:rsidP="000855CB">
      <w:pPr>
        <w:numPr>
          <w:ilvl w:val="0"/>
          <w:numId w:val="10"/>
        </w:numPr>
        <w:spacing w:before="120" w:after="0"/>
        <w:jc w:val="left"/>
        <w:rPr>
          <w:rFonts w:cs="Arial"/>
          <w:sz w:val="24"/>
        </w:rPr>
      </w:pPr>
      <w:r>
        <w:rPr>
          <w:rFonts w:cs="Arial"/>
          <w:sz w:val="24"/>
        </w:rPr>
        <w:t>Have alternatives to MCA been trialled?</w:t>
      </w:r>
    </w:p>
    <w:p w14:paraId="07CE833F" w14:textId="77777777" w:rsidR="000855CB" w:rsidRDefault="000855CB" w:rsidP="000855CB">
      <w:pPr>
        <w:numPr>
          <w:ilvl w:val="1"/>
          <w:numId w:val="10"/>
        </w:numPr>
        <w:spacing w:before="120" w:after="0"/>
        <w:jc w:val="left"/>
        <w:rPr>
          <w:rFonts w:cs="Arial"/>
          <w:sz w:val="24"/>
        </w:rPr>
      </w:pPr>
      <w:r>
        <w:rPr>
          <w:rFonts w:cs="Arial"/>
          <w:sz w:val="24"/>
        </w:rPr>
        <w:t>Reminder chart with dosing schedule</w:t>
      </w:r>
      <w:r>
        <w:rPr>
          <w:rFonts w:cs="Arial"/>
          <w:sz w:val="24"/>
        </w:rPr>
        <w:tab/>
      </w:r>
      <w:r>
        <w:rPr>
          <w:rFonts w:cs="Arial"/>
          <w:sz w:val="24"/>
        </w:rPr>
        <w:tab/>
      </w:r>
      <w:r>
        <w:rPr>
          <w:rFonts w:cs="Arial"/>
          <w:sz w:val="24"/>
        </w:rPr>
        <w:tab/>
        <w:t>Yes / No</w:t>
      </w:r>
    </w:p>
    <w:p w14:paraId="188DCDF3" w14:textId="77777777" w:rsidR="000855CB" w:rsidRDefault="000855CB" w:rsidP="000855CB">
      <w:pPr>
        <w:numPr>
          <w:ilvl w:val="1"/>
          <w:numId w:val="10"/>
        </w:numPr>
        <w:spacing w:before="120" w:after="0"/>
        <w:jc w:val="left"/>
        <w:rPr>
          <w:rFonts w:cs="Arial"/>
          <w:sz w:val="24"/>
        </w:rPr>
      </w:pPr>
      <w:r>
        <w:rPr>
          <w:rFonts w:cs="Arial"/>
          <w:sz w:val="24"/>
        </w:rPr>
        <w:t>Medicines Administration Record (MAR) sheets</w:t>
      </w:r>
      <w:r>
        <w:rPr>
          <w:rFonts w:cs="Arial"/>
          <w:sz w:val="24"/>
        </w:rPr>
        <w:tab/>
        <w:t>Yes / No</w:t>
      </w:r>
    </w:p>
    <w:p w14:paraId="13229063" w14:textId="77777777" w:rsidR="000855CB" w:rsidRDefault="000855CB" w:rsidP="000855CB">
      <w:pPr>
        <w:numPr>
          <w:ilvl w:val="1"/>
          <w:numId w:val="10"/>
        </w:numPr>
        <w:spacing w:before="120" w:after="0"/>
        <w:jc w:val="left"/>
        <w:rPr>
          <w:rFonts w:cs="Arial"/>
          <w:sz w:val="24"/>
        </w:rPr>
      </w:pPr>
      <w:r>
        <w:rPr>
          <w:rFonts w:cs="Arial"/>
          <w:sz w:val="24"/>
        </w:rPr>
        <w:t>Large print labels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Yes / No</w:t>
      </w:r>
    </w:p>
    <w:p w14:paraId="3009E6C7" w14:textId="77777777" w:rsidR="000855CB" w:rsidRDefault="000855CB" w:rsidP="000855CB">
      <w:pPr>
        <w:numPr>
          <w:ilvl w:val="1"/>
          <w:numId w:val="10"/>
        </w:numPr>
        <w:spacing w:before="120" w:after="0"/>
        <w:jc w:val="left"/>
        <w:rPr>
          <w:rFonts w:cs="Arial"/>
          <w:sz w:val="24"/>
        </w:rPr>
      </w:pPr>
      <w:r>
        <w:rPr>
          <w:rFonts w:cs="Arial"/>
          <w:sz w:val="24"/>
        </w:rPr>
        <w:t>Alarms (such as notifications on mobile phones/apps)</w:t>
      </w:r>
      <w:r>
        <w:rPr>
          <w:rFonts w:cs="Arial"/>
          <w:sz w:val="24"/>
        </w:rPr>
        <w:tab/>
        <w:t>Yes / No</w:t>
      </w:r>
    </w:p>
    <w:p w14:paraId="06E73EB5" w14:textId="77777777" w:rsidR="000855CB" w:rsidRDefault="000855CB" w:rsidP="000855CB">
      <w:pPr>
        <w:numPr>
          <w:ilvl w:val="0"/>
          <w:numId w:val="10"/>
        </w:numPr>
        <w:spacing w:before="120" w:after="0"/>
        <w:jc w:val="left"/>
        <w:rPr>
          <w:rFonts w:cs="Arial"/>
          <w:sz w:val="24"/>
        </w:rPr>
      </w:pPr>
      <w:r>
        <w:rPr>
          <w:rFonts w:cs="Arial"/>
          <w:sz w:val="24"/>
        </w:rPr>
        <w:t>Is the patient oriented in time?</w:t>
      </w:r>
      <w:r>
        <w:rPr>
          <w:rFonts w:cs="Arial"/>
          <w:sz w:val="24"/>
        </w:rPr>
        <w:tab/>
      </w:r>
      <w:r>
        <w:rPr>
          <w:rFonts w:cs="Arial"/>
          <w:sz w:val="24"/>
        </w:rPr>
        <w:tab/>
      </w:r>
      <w:r>
        <w:rPr>
          <w:rFonts w:cs="Arial"/>
          <w:sz w:val="24"/>
        </w:rPr>
        <w:tab/>
      </w:r>
      <w:r>
        <w:rPr>
          <w:rFonts w:cs="Arial"/>
          <w:sz w:val="24"/>
        </w:rPr>
        <w:tab/>
      </w:r>
      <w:r>
        <w:rPr>
          <w:rFonts w:cs="Arial"/>
          <w:sz w:val="24"/>
        </w:rPr>
        <w:tab/>
        <w:t>Yes / No</w:t>
      </w:r>
    </w:p>
    <w:p w14:paraId="705D5422" w14:textId="77777777" w:rsidR="000855CB" w:rsidRDefault="000855CB" w:rsidP="000855CB">
      <w:pPr>
        <w:numPr>
          <w:ilvl w:val="0"/>
          <w:numId w:val="10"/>
        </w:numPr>
        <w:spacing w:before="120" w:after="0"/>
        <w:jc w:val="left"/>
        <w:rPr>
          <w:rFonts w:cs="Arial"/>
          <w:sz w:val="24"/>
        </w:rPr>
      </w:pPr>
      <w:r>
        <w:rPr>
          <w:rFonts w:cs="Arial"/>
          <w:sz w:val="24"/>
        </w:rPr>
        <w:t>Have previous problems with compliance been addressed?</w:t>
      </w:r>
      <w:r>
        <w:rPr>
          <w:rFonts w:cs="Arial"/>
          <w:sz w:val="24"/>
        </w:rPr>
        <w:tab/>
        <w:t>Yes / No</w:t>
      </w:r>
    </w:p>
    <w:p w14:paraId="477186E6" w14:textId="77777777" w:rsidR="000855CB" w:rsidRDefault="000855CB" w:rsidP="000855CB">
      <w:pPr>
        <w:numPr>
          <w:ilvl w:val="0"/>
          <w:numId w:val="10"/>
        </w:numPr>
        <w:spacing w:before="120" w:after="0"/>
        <w:jc w:val="left"/>
        <w:rPr>
          <w:rFonts w:cs="Arial"/>
          <w:sz w:val="24"/>
        </w:rPr>
      </w:pPr>
      <w:r>
        <w:rPr>
          <w:rFonts w:cs="Arial"/>
          <w:sz w:val="24"/>
        </w:rPr>
        <w:t xml:space="preserve">Has future compliance been promoted? </w:t>
      </w:r>
      <w:r>
        <w:rPr>
          <w:rFonts w:cs="Arial"/>
          <w:sz w:val="24"/>
        </w:rPr>
        <w:tab/>
      </w:r>
      <w:r>
        <w:rPr>
          <w:rFonts w:cs="Arial"/>
          <w:sz w:val="24"/>
        </w:rPr>
        <w:tab/>
      </w:r>
      <w:r>
        <w:rPr>
          <w:rFonts w:cs="Arial"/>
          <w:sz w:val="24"/>
        </w:rPr>
        <w:tab/>
      </w:r>
      <w:r>
        <w:rPr>
          <w:rFonts w:cs="Arial"/>
          <w:sz w:val="24"/>
        </w:rPr>
        <w:tab/>
        <w:t>Yes / No</w:t>
      </w:r>
    </w:p>
    <w:p w14:paraId="69510AC8" w14:textId="77777777" w:rsidR="000855CB" w:rsidRDefault="000855CB" w:rsidP="000855CB">
      <w:pPr>
        <w:numPr>
          <w:ilvl w:val="0"/>
          <w:numId w:val="10"/>
        </w:numPr>
        <w:spacing w:before="120" w:after="0"/>
        <w:jc w:val="left"/>
        <w:rPr>
          <w:rFonts w:cs="Arial"/>
          <w:sz w:val="24"/>
        </w:rPr>
      </w:pPr>
      <w:r>
        <w:rPr>
          <w:rFonts w:cs="Arial"/>
          <w:sz w:val="24"/>
        </w:rPr>
        <w:t>Is the medication regimen likely to remain unchanged?</w:t>
      </w:r>
      <w:r>
        <w:rPr>
          <w:rFonts w:cs="Arial"/>
          <w:sz w:val="24"/>
        </w:rPr>
        <w:tab/>
        <w:t>Yes / No</w:t>
      </w:r>
    </w:p>
    <w:p w14:paraId="651783B4" w14:textId="5D3032D5" w:rsidR="000855CB" w:rsidRDefault="000855CB" w:rsidP="000855CB">
      <w:pPr>
        <w:numPr>
          <w:ilvl w:val="0"/>
          <w:numId w:val="10"/>
        </w:numPr>
        <w:spacing w:before="120" w:after="0"/>
        <w:jc w:val="left"/>
        <w:rPr>
          <w:rFonts w:cs="Arial"/>
          <w:sz w:val="24"/>
        </w:rPr>
      </w:pPr>
      <w:r>
        <w:rPr>
          <w:rFonts w:cs="Arial"/>
          <w:sz w:val="24"/>
        </w:rPr>
        <w:t>Has the person who will administer the medication demonstrated they can use a compliance aid?</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sidR="00BE79D6">
        <w:rPr>
          <w:rFonts w:cs="Arial"/>
          <w:sz w:val="24"/>
        </w:rPr>
        <w:tab/>
      </w:r>
      <w:r>
        <w:rPr>
          <w:rFonts w:cs="Arial"/>
          <w:sz w:val="24"/>
        </w:rPr>
        <w:t>Yes / No</w:t>
      </w:r>
    </w:p>
    <w:p w14:paraId="5224838E" w14:textId="6FC7CC93" w:rsidR="000855CB" w:rsidRDefault="000855CB" w:rsidP="000855CB">
      <w:pPr>
        <w:numPr>
          <w:ilvl w:val="0"/>
          <w:numId w:val="10"/>
        </w:numPr>
        <w:spacing w:before="120" w:after="0"/>
        <w:jc w:val="left"/>
        <w:rPr>
          <w:rFonts w:cs="Arial"/>
          <w:sz w:val="24"/>
        </w:rPr>
      </w:pPr>
      <w:r>
        <w:rPr>
          <w:rFonts w:cs="Arial"/>
          <w:sz w:val="24"/>
        </w:rPr>
        <w:t xml:space="preserve">Will the MCA be the only source of </w:t>
      </w:r>
      <w:r w:rsidR="005F6AEF">
        <w:rPr>
          <w:rFonts w:cs="Arial"/>
          <w:sz w:val="24"/>
        </w:rPr>
        <w:t xml:space="preserve">regular </w:t>
      </w:r>
      <w:r>
        <w:rPr>
          <w:rFonts w:cs="Arial"/>
          <w:sz w:val="24"/>
        </w:rPr>
        <w:t>medication?</w:t>
      </w:r>
      <w:r>
        <w:rPr>
          <w:rFonts w:cs="Arial"/>
          <w:sz w:val="24"/>
        </w:rPr>
        <w:tab/>
        <w:t>Yes / No</w:t>
      </w:r>
    </w:p>
    <w:p w14:paraId="5DD7BF64" w14:textId="77777777" w:rsidR="000855CB" w:rsidRDefault="000855CB" w:rsidP="000855CB">
      <w:pPr>
        <w:numPr>
          <w:ilvl w:val="0"/>
          <w:numId w:val="10"/>
        </w:numPr>
        <w:spacing w:before="120" w:after="0"/>
        <w:jc w:val="left"/>
        <w:rPr>
          <w:rFonts w:cs="Arial"/>
          <w:sz w:val="24"/>
        </w:rPr>
      </w:pPr>
      <w:r>
        <w:rPr>
          <w:rFonts w:cs="Arial"/>
          <w:sz w:val="24"/>
        </w:rPr>
        <w:t>Have arrangements been made to fill a compliance aid on an ongoing basis?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Yes / No</w:t>
      </w:r>
    </w:p>
    <w:p w14:paraId="38D6533E" w14:textId="77777777" w:rsidR="000855CB" w:rsidRDefault="000855CB" w:rsidP="000855CB">
      <w:pPr>
        <w:spacing w:before="120"/>
        <w:rPr>
          <w:rFonts w:ascii="Tahoma" w:hAnsi="Tahoma"/>
          <w:sz w:val="24"/>
        </w:rPr>
      </w:pPr>
    </w:p>
    <w:p w14:paraId="11444B4A" w14:textId="77777777" w:rsidR="000855CB" w:rsidRDefault="000855CB" w:rsidP="000855CB">
      <w:pPr>
        <w:pStyle w:val="Title"/>
        <w:spacing w:before="120"/>
        <w:jc w:val="left"/>
        <w:rPr>
          <w:sz w:val="24"/>
          <w:szCs w:val="24"/>
        </w:rPr>
      </w:pPr>
    </w:p>
    <w:p w14:paraId="04092097" w14:textId="1E5F65E1" w:rsidR="000855CB" w:rsidRDefault="000855CB" w:rsidP="000855CB">
      <w:pPr>
        <w:pStyle w:val="Title"/>
        <w:spacing w:before="120"/>
        <w:jc w:val="left"/>
        <w:rPr>
          <w:sz w:val="24"/>
          <w:szCs w:val="24"/>
        </w:rPr>
      </w:pPr>
      <w:r>
        <w:rPr>
          <w:sz w:val="24"/>
          <w:szCs w:val="24"/>
        </w:rPr>
        <w:t>If patient is assessed suitable to initiate MCA, please state reason below</w:t>
      </w:r>
      <w:r w:rsidR="00E83963">
        <w:rPr>
          <w:sz w:val="24"/>
          <w:szCs w:val="24"/>
        </w:rPr>
        <w:t>:</w:t>
      </w:r>
    </w:p>
    <w:p w14:paraId="6D33F800" w14:textId="77777777" w:rsidR="000855CB" w:rsidRDefault="000855CB" w:rsidP="000855CB">
      <w:pPr>
        <w:pStyle w:val="Title"/>
        <w:spacing w:before="120"/>
        <w:jc w:val="left"/>
        <w:rPr>
          <w:b w:val="0"/>
          <w:sz w:val="24"/>
          <w:szCs w:val="24"/>
        </w:rPr>
      </w:pPr>
      <w:r>
        <w:rPr>
          <w:b w:val="0"/>
          <w:sz w:val="24"/>
          <w:szCs w:val="24"/>
        </w:rPr>
        <w:t>______________________________________________________________</w:t>
      </w:r>
    </w:p>
    <w:p w14:paraId="7DBE0C36" w14:textId="77777777" w:rsidR="000855CB" w:rsidRDefault="000855CB" w:rsidP="000855CB">
      <w:pPr>
        <w:pStyle w:val="Title"/>
        <w:spacing w:before="120"/>
        <w:jc w:val="left"/>
        <w:rPr>
          <w:b w:val="0"/>
          <w:sz w:val="24"/>
          <w:szCs w:val="24"/>
        </w:rPr>
      </w:pPr>
      <w:r>
        <w:rPr>
          <w:b w:val="0"/>
          <w:sz w:val="24"/>
          <w:szCs w:val="24"/>
        </w:rPr>
        <w:t>______________________________________________________________</w:t>
      </w:r>
    </w:p>
    <w:p w14:paraId="7EE76953" w14:textId="77777777" w:rsidR="000855CB" w:rsidRDefault="000855CB" w:rsidP="000855CB">
      <w:pPr>
        <w:pStyle w:val="Subtitle"/>
        <w:jc w:val="left"/>
        <w:rPr>
          <w:sz w:val="20"/>
          <w:u w:val="single"/>
        </w:rPr>
      </w:pPr>
    </w:p>
    <w:p w14:paraId="0EC0A325" w14:textId="77777777" w:rsidR="000855CB" w:rsidRDefault="000855CB" w:rsidP="000855CB">
      <w:pPr>
        <w:pStyle w:val="Subtitle"/>
        <w:jc w:val="left"/>
        <w:rPr>
          <w:sz w:val="20"/>
          <w:u w:val="single"/>
        </w:rPr>
      </w:pPr>
    </w:p>
    <w:p w14:paraId="0F3F7E03" w14:textId="047E4B4A" w:rsidR="000855CB" w:rsidRDefault="000855CB" w:rsidP="000855CB">
      <w:pPr>
        <w:pStyle w:val="Subtitle"/>
        <w:jc w:val="left"/>
        <w:rPr>
          <w:sz w:val="20"/>
        </w:rPr>
      </w:pPr>
      <w:r>
        <w:rPr>
          <w:sz w:val="20"/>
        </w:rPr>
        <w:t>Signature:</w:t>
      </w:r>
      <w:r w:rsidR="00E83963">
        <w:rPr>
          <w:sz w:val="20"/>
        </w:rPr>
        <w:t xml:space="preserve"> </w:t>
      </w:r>
      <w:r>
        <w:rPr>
          <w:sz w:val="20"/>
        </w:rPr>
        <w:t>____________________________</w:t>
      </w:r>
      <w:r>
        <w:rPr>
          <w:sz w:val="20"/>
        </w:rPr>
        <w:tab/>
        <w:t>Date:</w:t>
      </w:r>
      <w:r w:rsidR="00E83963">
        <w:rPr>
          <w:sz w:val="20"/>
        </w:rPr>
        <w:t xml:space="preserve"> </w:t>
      </w:r>
      <w:r>
        <w:rPr>
          <w:sz w:val="20"/>
        </w:rPr>
        <w:t>______________________________</w:t>
      </w:r>
    </w:p>
    <w:p w14:paraId="11D1FC14" w14:textId="77777777" w:rsidR="000855CB" w:rsidRDefault="000855CB" w:rsidP="000855CB">
      <w:pPr>
        <w:pStyle w:val="Subtitle"/>
        <w:jc w:val="left"/>
        <w:rPr>
          <w:b w:val="0"/>
          <w:sz w:val="24"/>
          <w:szCs w:val="24"/>
          <w:u w:val="single"/>
        </w:rPr>
      </w:pPr>
    </w:p>
    <w:p w14:paraId="3FC04D94" w14:textId="70B5293B" w:rsidR="000855CB" w:rsidRDefault="000855CB" w:rsidP="000855CB">
      <w:pPr>
        <w:pStyle w:val="Subtitle"/>
        <w:jc w:val="left"/>
        <w:rPr>
          <w:sz w:val="24"/>
          <w:szCs w:val="24"/>
        </w:rPr>
      </w:pPr>
      <w:r>
        <w:rPr>
          <w:sz w:val="24"/>
          <w:szCs w:val="24"/>
        </w:rPr>
        <w:t>This form is valid for 6 months only. Review date:</w:t>
      </w:r>
      <w:r w:rsidR="00CE048B">
        <w:rPr>
          <w:b w:val="0"/>
          <w:sz w:val="24"/>
          <w:szCs w:val="24"/>
        </w:rPr>
        <w:t xml:space="preserve"> </w:t>
      </w:r>
      <w:r>
        <w:rPr>
          <w:sz w:val="24"/>
          <w:szCs w:val="24"/>
        </w:rPr>
        <w:t>___________________</w:t>
      </w:r>
    </w:p>
    <w:p w14:paraId="4F2D5B20" w14:textId="77777777" w:rsidR="009E32D3" w:rsidRDefault="009E32D3" w:rsidP="00CD3944">
      <w:pPr>
        <w:pStyle w:val="Title"/>
        <w:spacing w:before="120"/>
        <w:jc w:val="left"/>
        <w:rPr>
          <w:sz w:val="24"/>
          <w:szCs w:val="24"/>
        </w:rPr>
      </w:pPr>
    </w:p>
    <w:p w14:paraId="1BE21E9E" w14:textId="513070E7" w:rsidR="009E32D3" w:rsidRDefault="009E32D3" w:rsidP="00CD3944">
      <w:pPr>
        <w:pStyle w:val="Title"/>
        <w:spacing w:before="120"/>
        <w:jc w:val="left"/>
        <w:rPr>
          <w:sz w:val="24"/>
          <w:szCs w:val="24"/>
        </w:rPr>
      </w:pPr>
      <w:r>
        <w:lastRenderedPageBreak/>
        <w:t xml:space="preserve">Prescriber Declaration: </w:t>
      </w:r>
    </w:p>
    <w:p w14:paraId="2D7B9D53" w14:textId="1A0DBB96" w:rsidR="00CD3944" w:rsidRPr="00B26B94" w:rsidRDefault="00CD3944" w:rsidP="00CD3944">
      <w:pPr>
        <w:pStyle w:val="Title"/>
        <w:spacing w:before="120"/>
        <w:jc w:val="left"/>
        <w:rPr>
          <w:b w:val="0"/>
          <w:sz w:val="24"/>
          <w:szCs w:val="24"/>
        </w:rPr>
      </w:pPr>
      <w:r w:rsidRPr="00AE2D68">
        <w:rPr>
          <w:sz w:val="24"/>
          <w:szCs w:val="24"/>
        </w:rPr>
        <w:t xml:space="preserve">If the prescribing doctor </w:t>
      </w:r>
      <w:r>
        <w:rPr>
          <w:sz w:val="24"/>
          <w:szCs w:val="24"/>
        </w:rPr>
        <w:t>considers</w:t>
      </w:r>
      <w:r w:rsidRPr="00AE2D68">
        <w:rPr>
          <w:sz w:val="24"/>
          <w:szCs w:val="24"/>
        </w:rPr>
        <w:t xml:space="preserve"> that the benefits of having medicines in a</w:t>
      </w:r>
      <w:r>
        <w:rPr>
          <w:sz w:val="24"/>
          <w:szCs w:val="24"/>
        </w:rPr>
        <w:t xml:space="preserve"> </w:t>
      </w:r>
      <w:r w:rsidRPr="00AE2D68">
        <w:rPr>
          <w:sz w:val="24"/>
          <w:szCs w:val="24"/>
        </w:rPr>
        <w:t>compliance</w:t>
      </w:r>
      <w:r w:rsidRPr="009C1B6B">
        <w:rPr>
          <w:sz w:val="24"/>
          <w:szCs w:val="24"/>
        </w:rPr>
        <w:t xml:space="preserve"> aid</w:t>
      </w:r>
      <w:r w:rsidRPr="00AE2D68">
        <w:rPr>
          <w:sz w:val="24"/>
          <w:szCs w:val="24"/>
        </w:rPr>
        <w:t xml:space="preserve"> outweigh the risks surrounding the stability of the</w:t>
      </w:r>
      <w:r>
        <w:rPr>
          <w:sz w:val="24"/>
          <w:szCs w:val="24"/>
        </w:rPr>
        <w:t>se medicines, they should sign the following statement to acknowledge they understand and accept those risks:</w:t>
      </w:r>
      <w:r w:rsidRPr="00AE2D68">
        <w:rPr>
          <w:sz w:val="24"/>
          <w:szCs w:val="24"/>
        </w:rPr>
        <w:t xml:space="preserve"> </w:t>
      </w:r>
    </w:p>
    <w:p w14:paraId="7A4F4640" w14:textId="77777777" w:rsidR="00CD3944" w:rsidRPr="00AE2D68" w:rsidRDefault="00CD3944" w:rsidP="00CD3944">
      <w:pPr>
        <w:pStyle w:val="Title"/>
        <w:spacing w:before="120"/>
        <w:jc w:val="left"/>
        <w:rPr>
          <w:sz w:val="24"/>
          <w:szCs w:val="24"/>
        </w:rPr>
      </w:pPr>
    </w:p>
    <w:p w14:paraId="4E4701EE" w14:textId="77777777" w:rsidR="00CD3944" w:rsidRPr="00AE2D68" w:rsidRDefault="00CD3944" w:rsidP="00CD3944">
      <w:pPr>
        <w:pStyle w:val="Title"/>
        <w:spacing w:before="120"/>
        <w:jc w:val="left"/>
        <w:rPr>
          <w:sz w:val="24"/>
          <w:szCs w:val="24"/>
        </w:rPr>
      </w:pPr>
      <w:r>
        <w:rPr>
          <w:sz w:val="24"/>
          <w:szCs w:val="24"/>
        </w:rPr>
        <w:t>I would like</w:t>
      </w:r>
      <w:r w:rsidRPr="00AE2D68">
        <w:rPr>
          <w:sz w:val="24"/>
          <w:szCs w:val="24"/>
        </w:rPr>
        <w:t xml:space="preserve"> ___________________________________ </w:t>
      </w:r>
      <w:r w:rsidRPr="00A45D49">
        <w:rPr>
          <w:sz w:val="16"/>
          <w:szCs w:val="16"/>
        </w:rPr>
        <w:t>(insert patient’s name)</w:t>
      </w:r>
      <w:r w:rsidRPr="00AE2D68">
        <w:rPr>
          <w:sz w:val="24"/>
          <w:szCs w:val="24"/>
        </w:rPr>
        <w:t xml:space="preserve"> to have </w:t>
      </w:r>
      <w:proofErr w:type="gramStart"/>
      <w:r w:rsidRPr="00AE2D68">
        <w:rPr>
          <w:sz w:val="24"/>
          <w:szCs w:val="24"/>
        </w:rPr>
        <w:t>all of</w:t>
      </w:r>
      <w:proofErr w:type="gramEnd"/>
      <w:r w:rsidRPr="00AE2D68">
        <w:rPr>
          <w:sz w:val="24"/>
          <w:szCs w:val="24"/>
        </w:rPr>
        <w:t xml:space="preserve"> his/her medicines supplied in a</w:t>
      </w:r>
      <w:r>
        <w:rPr>
          <w:sz w:val="24"/>
          <w:szCs w:val="24"/>
        </w:rPr>
        <w:t xml:space="preserve"> </w:t>
      </w:r>
      <w:r w:rsidRPr="009C1B6B">
        <w:rPr>
          <w:sz w:val="24"/>
          <w:szCs w:val="24"/>
        </w:rPr>
        <w:t>compliance aid</w:t>
      </w:r>
      <w:r>
        <w:rPr>
          <w:sz w:val="24"/>
          <w:szCs w:val="24"/>
        </w:rPr>
        <w:t xml:space="preserve"> </w:t>
      </w:r>
      <w:r w:rsidRPr="00AE2D68">
        <w:rPr>
          <w:sz w:val="24"/>
          <w:szCs w:val="24"/>
        </w:rPr>
        <w:t xml:space="preserve">regardless of any stability issues that may be present. </w:t>
      </w:r>
    </w:p>
    <w:p w14:paraId="1521EAE5" w14:textId="77777777" w:rsidR="00CD3944" w:rsidRPr="00AE2D68" w:rsidRDefault="00CD3944" w:rsidP="00CD3944">
      <w:pPr>
        <w:pStyle w:val="Title"/>
        <w:spacing w:before="120"/>
        <w:jc w:val="left"/>
        <w:rPr>
          <w:sz w:val="24"/>
          <w:szCs w:val="24"/>
        </w:rPr>
      </w:pPr>
    </w:p>
    <w:p w14:paraId="513D0817" w14:textId="360AB891" w:rsidR="00CD3944" w:rsidRPr="00AE2D68" w:rsidRDefault="00CD3944" w:rsidP="00CD3944">
      <w:pPr>
        <w:pStyle w:val="Title"/>
        <w:spacing w:before="120"/>
        <w:jc w:val="left"/>
        <w:rPr>
          <w:sz w:val="20"/>
        </w:rPr>
      </w:pPr>
      <w:r w:rsidRPr="00AE2D68">
        <w:rPr>
          <w:sz w:val="24"/>
          <w:szCs w:val="24"/>
        </w:rPr>
        <w:t>Signed:</w:t>
      </w:r>
      <w:r w:rsidRPr="00AE2D68">
        <w:rPr>
          <w:sz w:val="20"/>
        </w:rPr>
        <w:t xml:space="preserve"> </w:t>
      </w:r>
      <w:r>
        <w:rPr>
          <w:sz w:val="20"/>
        </w:rPr>
        <w:t>_______________________</w:t>
      </w:r>
      <w:r w:rsidR="00E65BED">
        <w:rPr>
          <w:b w:val="0"/>
          <w:sz w:val="20"/>
        </w:rPr>
        <w:t xml:space="preserve"> </w:t>
      </w:r>
      <w:r w:rsidRPr="00AE2D68">
        <w:rPr>
          <w:sz w:val="16"/>
          <w:szCs w:val="16"/>
        </w:rPr>
        <w:t xml:space="preserve">(Doctor’s </w:t>
      </w:r>
      <w:r w:rsidR="00E83963" w:rsidRPr="00AE2D68">
        <w:rPr>
          <w:sz w:val="16"/>
          <w:szCs w:val="16"/>
        </w:rPr>
        <w:t>signature)</w:t>
      </w:r>
      <w:r w:rsidR="00E83963">
        <w:rPr>
          <w:sz w:val="16"/>
          <w:szCs w:val="16"/>
        </w:rPr>
        <w:t xml:space="preserve"> </w:t>
      </w:r>
      <w:r w:rsidR="00E83963" w:rsidRPr="00E83963">
        <w:rPr>
          <w:sz w:val="24"/>
          <w:szCs w:val="24"/>
        </w:rPr>
        <w:t>Print</w:t>
      </w:r>
      <w:r w:rsidRPr="00E83963">
        <w:rPr>
          <w:sz w:val="24"/>
          <w:szCs w:val="24"/>
        </w:rPr>
        <w:t xml:space="preserve"> </w:t>
      </w:r>
      <w:r w:rsidRPr="00AE2D68">
        <w:rPr>
          <w:sz w:val="24"/>
          <w:szCs w:val="24"/>
        </w:rPr>
        <w:t>Name:</w:t>
      </w:r>
      <w:r w:rsidR="00E83963">
        <w:rPr>
          <w:sz w:val="24"/>
          <w:szCs w:val="24"/>
        </w:rPr>
        <w:t xml:space="preserve"> </w:t>
      </w:r>
      <w:r>
        <w:rPr>
          <w:sz w:val="20"/>
        </w:rPr>
        <w:t>______________________</w:t>
      </w:r>
    </w:p>
    <w:p w14:paraId="2D6C3D56" w14:textId="77777777" w:rsidR="00CD3944" w:rsidRDefault="00CD3944" w:rsidP="00CD3944">
      <w:pPr>
        <w:pStyle w:val="Title"/>
        <w:spacing w:before="120"/>
        <w:jc w:val="left"/>
        <w:rPr>
          <w:sz w:val="24"/>
          <w:szCs w:val="24"/>
        </w:rPr>
      </w:pPr>
    </w:p>
    <w:p w14:paraId="2C79E40F" w14:textId="77777777" w:rsidR="00CD3944" w:rsidRPr="00E15ABD" w:rsidRDefault="00CD3944" w:rsidP="00CD3944">
      <w:pPr>
        <w:pStyle w:val="Title"/>
        <w:spacing w:before="120"/>
        <w:jc w:val="left"/>
        <w:rPr>
          <w:sz w:val="24"/>
          <w:szCs w:val="24"/>
        </w:rPr>
      </w:pPr>
      <w:r w:rsidRPr="002C5EB4">
        <w:rPr>
          <w:i/>
          <w:sz w:val="24"/>
          <w:szCs w:val="24"/>
        </w:rPr>
        <w:t xml:space="preserve">Pharmacy will only pack unstable medicines in a </w:t>
      </w:r>
      <w:r w:rsidRPr="009C1B6B">
        <w:rPr>
          <w:i/>
          <w:sz w:val="24"/>
          <w:szCs w:val="24"/>
        </w:rPr>
        <w:t>compliance aid</w:t>
      </w:r>
      <w:r w:rsidRPr="002C5EB4">
        <w:rPr>
          <w:i/>
          <w:sz w:val="24"/>
          <w:szCs w:val="24"/>
        </w:rPr>
        <w:t xml:space="preserve"> </w:t>
      </w:r>
      <w:r>
        <w:rPr>
          <w:i/>
          <w:sz w:val="24"/>
          <w:szCs w:val="24"/>
        </w:rPr>
        <w:t xml:space="preserve">box </w:t>
      </w:r>
      <w:r w:rsidRPr="002C5EB4">
        <w:rPr>
          <w:i/>
          <w:sz w:val="24"/>
          <w:szCs w:val="24"/>
        </w:rPr>
        <w:t>if the statement above is signed</w:t>
      </w:r>
      <w:r>
        <w:rPr>
          <w:sz w:val="24"/>
          <w:szCs w:val="24"/>
        </w:rPr>
        <w:t xml:space="preserve">. </w:t>
      </w:r>
      <w:r w:rsidRPr="00E83963">
        <w:rPr>
          <w:i/>
          <w:iCs/>
          <w:sz w:val="24"/>
          <w:szCs w:val="24"/>
        </w:rPr>
        <w:t>Please contact pharmacy if you have any questions surrounding stability of medicines.</w:t>
      </w:r>
      <w:r w:rsidRPr="00AE2D68">
        <w:rPr>
          <w:color w:val="0000FF"/>
          <w:sz w:val="24"/>
          <w:szCs w:val="24"/>
        </w:rPr>
        <w:t xml:space="preserve">   </w:t>
      </w:r>
    </w:p>
    <w:p w14:paraId="0DCD7BED" w14:textId="57DF93A9" w:rsidR="00C435C1" w:rsidRDefault="00C435C1" w:rsidP="006F3719"/>
    <w:p w14:paraId="37309775" w14:textId="20249F2B" w:rsidR="00785A4D" w:rsidRDefault="00785A4D" w:rsidP="006F3719"/>
    <w:p w14:paraId="37FAF00A" w14:textId="188DB213" w:rsidR="00F14792" w:rsidRDefault="00F14792" w:rsidP="006F3719"/>
    <w:p w14:paraId="0EF53BB4" w14:textId="3BD894CA" w:rsidR="00F14792" w:rsidRDefault="00F14792" w:rsidP="006F3719"/>
    <w:p w14:paraId="7ED0EB50" w14:textId="5031C81E" w:rsidR="00F14792" w:rsidRDefault="00F14792" w:rsidP="006F3719"/>
    <w:p w14:paraId="20D70563" w14:textId="11C5EA0C" w:rsidR="00F14792" w:rsidRDefault="00F14792" w:rsidP="006F3719"/>
    <w:p w14:paraId="70B09218" w14:textId="6358D954" w:rsidR="00F14792" w:rsidRDefault="00F14792" w:rsidP="006F3719"/>
    <w:p w14:paraId="6296510B" w14:textId="65B5B4F7" w:rsidR="00F14792" w:rsidRDefault="00F14792" w:rsidP="006F3719"/>
    <w:p w14:paraId="06EC5282" w14:textId="1100E046" w:rsidR="00F14792" w:rsidRDefault="00F14792" w:rsidP="006F3719"/>
    <w:p w14:paraId="69A8A8CE" w14:textId="1B17EA47" w:rsidR="00F14792" w:rsidRDefault="00F14792" w:rsidP="006F3719"/>
    <w:p w14:paraId="7F83724B" w14:textId="192809A2" w:rsidR="00F14792" w:rsidRDefault="00F14792" w:rsidP="006F3719"/>
    <w:p w14:paraId="300654D5" w14:textId="53170F1E" w:rsidR="00F14792" w:rsidRDefault="00F14792" w:rsidP="006F3719"/>
    <w:p w14:paraId="36ABCB37" w14:textId="6F2E38D8" w:rsidR="00F14792" w:rsidRDefault="00F14792" w:rsidP="006F3719"/>
    <w:p w14:paraId="5B47B79B" w14:textId="1C9F8A27" w:rsidR="00F14792" w:rsidRDefault="00F14792" w:rsidP="006F3719"/>
    <w:p w14:paraId="2F83ABC6" w14:textId="4FD38C04" w:rsidR="00F14792" w:rsidRDefault="00F14792" w:rsidP="006F3719"/>
    <w:p w14:paraId="01AF6134" w14:textId="20BE0457" w:rsidR="00F14792" w:rsidRDefault="00F14792" w:rsidP="006F3719"/>
    <w:p w14:paraId="34B94517" w14:textId="433ECFAB" w:rsidR="00F14792" w:rsidRDefault="00F14792" w:rsidP="006F3719"/>
    <w:p w14:paraId="5BB1AF0F" w14:textId="5A577D4D" w:rsidR="00F14792" w:rsidRDefault="00F14792" w:rsidP="006F3719"/>
    <w:p w14:paraId="2E86F442" w14:textId="77777777" w:rsidR="00F14792" w:rsidRDefault="00F14792" w:rsidP="006F3719"/>
    <w:p w14:paraId="214AE2AC" w14:textId="64A9CB42" w:rsidR="000855CB" w:rsidRDefault="000855CB" w:rsidP="000855CB">
      <w:pPr>
        <w:pStyle w:val="Subtitle"/>
        <w:jc w:val="left"/>
        <w:rPr>
          <w:sz w:val="24"/>
          <w:szCs w:val="24"/>
        </w:rPr>
      </w:pPr>
      <w:r>
        <w:rPr>
          <w:sz w:val="24"/>
          <w:szCs w:val="24"/>
        </w:rPr>
        <w:lastRenderedPageBreak/>
        <w:t xml:space="preserve">Appendix </w:t>
      </w:r>
      <w:r w:rsidR="0046724E">
        <w:rPr>
          <w:sz w:val="24"/>
          <w:szCs w:val="24"/>
        </w:rPr>
        <w:t>3.</w:t>
      </w:r>
    </w:p>
    <w:p w14:paraId="5F22F6F2" w14:textId="49AD4C76" w:rsidR="000855CB" w:rsidRDefault="000855CB" w:rsidP="000855CB">
      <w:pPr>
        <w:pStyle w:val="Subtitle"/>
        <w:rPr>
          <w:sz w:val="24"/>
          <w:szCs w:val="24"/>
        </w:rPr>
      </w:pPr>
      <w:r>
        <w:rPr>
          <w:sz w:val="24"/>
          <w:szCs w:val="24"/>
        </w:rPr>
        <w:t>Supporting Guidance</w:t>
      </w:r>
    </w:p>
    <w:p w14:paraId="5B688784" w14:textId="77777777" w:rsidR="000855CB" w:rsidRDefault="000855CB" w:rsidP="000855CB">
      <w:pPr>
        <w:pStyle w:val="Subtitle"/>
        <w:jc w:val="left"/>
        <w:rPr>
          <w:b w:val="0"/>
          <w:sz w:val="24"/>
          <w:szCs w:val="24"/>
        </w:rPr>
      </w:pPr>
    </w:p>
    <w:p w14:paraId="5423B87B" w14:textId="77777777" w:rsidR="000855CB" w:rsidRDefault="000855CB" w:rsidP="000855CB">
      <w:pPr>
        <w:pStyle w:val="Subtitle"/>
        <w:numPr>
          <w:ilvl w:val="0"/>
          <w:numId w:val="11"/>
        </w:numPr>
        <w:jc w:val="left"/>
        <w:rPr>
          <w:b w:val="0"/>
          <w:sz w:val="24"/>
          <w:szCs w:val="24"/>
        </w:rPr>
      </w:pPr>
      <w:r>
        <w:rPr>
          <w:b w:val="0"/>
          <w:sz w:val="24"/>
          <w:szCs w:val="24"/>
        </w:rPr>
        <w:t>Is the regimen complex?</w:t>
      </w:r>
    </w:p>
    <w:p w14:paraId="7969253D" w14:textId="77777777" w:rsidR="000855CB" w:rsidRDefault="000855CB" w:rsidP="000855CB">
      <w:pPr>
        <w:pStyle w:val="Subtitle"/>
        <w:ind w:left="360"/>
        <w:jc w:val="left"/>
        <w:rPr>
          <w:b w:val="0"/>
          <w:sz w:val="24"/>
          <w:szCs w:val="24"/>
        </w:rPr>
      </w:pPr>
      <w:r>
        <w:rPr>
          <w:b w:val="0"/>
          <w:sz w:val="24"/>
          <w:szCs w:val="24"/>
        </w:rPr>
        <w:t xml:space="preserve">Generally, less than 4 regular medications </w:t>
      </w:r>
      <w:proofErr w:type="gramStart"/>
      <w:r>
        <w:rPr>
          <w:b w:val="0"/>
          <w:sz w:val="24"/>
          <w:szCs w:val="24"/>
        </w:rPr>
        <w:t>does</w:t>
      </w:r>
      <w:proofErr w:type="gramEnd"/>
      <w:r>
        <w:rPr>
          <w:b w:val="0"/>
          <w:sz w:val="24"/>
          <w:szCs w:val="24"/>
        </w:rPr>
        <w:t xml:space="preserve"> not constitute polypharmacy. </w:t>
      </w:r>
    </w:p>
    <w:p w14:paraId="51C69E34" w14:textId="77777777" w:rsidR="000855CB" w:rsidRDefault="000855CB" w:rsidP="000855CB">
      <w:pPr>
        <w:pStyle w:val="Subtitle"/>
        <w:jc w:val="left"/>
        <w:rPr>
          <w:b w:val="0"/>
          <w:sz w:val="24"/>
          <w:szCs w:val="24"/>
        </w:rPr>
      </w:pPr>
    </w:p>
    <w:p w14:paraId="4BB01345" w14:textId="77777777" w:rsidR="000855CB" w:rsidRDefault="000855CB" w:rsidP="000855CB">
      <w:pPr>
        <w:pStyle w:val="Subtitle"/>
        <w:numPr>
          <w:ilvl w:val="0"/>
          <w:numId w:val="11"/>
        </w:numPr>
        <w:jc w:val="left"/>
        <w:rPr>
          <w:b w:val="0"/>
          <w:sz w:val="24"/>
          <w:szCs w:val="24"/>
        </w:rPr>
      </w:pPr>
      <w:r>
        <w:rPr>
          <w:b w:val="0"/>
          <w:sz w:val="24"/>
          <w:szCs w:val="24"/>
        </w:rPr>
        <w:t>Has medication been reviewed to minimise pill burden?</w:t>
      </w:r>
      <w:r>
        <w:rPr>
          <w:b w:val="0"/>
          <w:sz w:val="24"/>
          <w:szCs w:val="24"/>
        </w:rPr>
        <w:tab/>
      </w:r>
      <w:r>
        <w:rPr>
          <w:b w:val="0"/>
          <w:sz w:val="24"/>
          <w:szCs w:val="24"/>
        </w:rPr>
        <w:tab/>
      </w:r>
    </w:p>
    <w:p w14:paraId="3CE02ADD" w14:textId="77777777" w:rsidR="000855CB" w:rsidRDefault="000855CB" w:rsidP="000855CB">
      <w:pPr>
        <w:pStyle w:val="Subtitle"/>
        <w:ind w:left="360"/>
        <w:jc w:val="left"/>
        <w:rPr>
          <w:b w:val="0"/>
          <w:sz w:val="24"/>
          <w:szCs w:val="24"/>
        </w:rPr>
      </w:pPr>
      <w:r>
        <w:rPr>
          <w:b w:val="0"/>
          <w:sz w:val="24"/>
          <w:szCs w:val="24"/>
        </w:rPr>
        <w:t>Has any attempt been made to reduce the number of different drugs,</w:t>
      </w:r>
    </w:p>
    <w:p w14:paraId="7ED9303B" w14:textId="77777777" w:rsidR="000855CB" w:rsidRDefault="000855CB" w:rsidP="000855CB">
      <w:pPr>
        <w:pStyle w:val="Subtitle"/>
        <w:ind w:left="360"/>
        <w:jc w:val="left"/>
        <w:rPr>
          <w:b w:val="0"/>
          <w:sz w:val="24"/>
          <w:szCs w:val="24"/>
        </w:rPr>
      </w:pPr>
      <w:r>
        <w:rPr>
          <w:b w:val="0"/>
          <w:sz w:val="24"/>
          <w:szCs w:val="24"/>
        </w:rPr>
        <w:t>number of tablets or frequency of administration?</w:t>
      </w:r>
    </w:p>
    <w:p w14:paraId="6D1C405E" w14:textId="77777777" w:rsidR="000855CB" w:rsidRDefault="000855CB" w:rsidP="000855CB">
      <w:pPr>
        <w:pStyle w:val="Subtitle"/>
        <w:ind w:left="360"/>
        <w:jc w:val="left"/>
        <w:rPr>
          <w:b w:val="0"/>
          <w:sz w:val="24"/>
          <w:szCs w:val="24"/>
        </w:rPr>
      </w:pPr>
    </w:p>
    <w:p w14:paraId="6FDE3694" w14:textId="77777777" w:rsidR="000855CB" w:rsidRDefault="000855CB" w:rsidP="000855CB">
      <w:pPr>
        <w:pStyle w:val="Subtitle"/>
        <w:numPr>
          <w:ilvl w:val="0"/>
          <w:numId w:val="11"/>
        </w:numPr>
        <w:jc w:val="left"/>
        <w:rPr>
          <w:b w:val="0"/>
          <w:sz w:val="24"/>
          <w:szCs w:val="24"/>
        </w:rPr>
      </w:pPr>
      <w:r>
        <w:rPr>
          <w:b w:val="0"/>
          <w:sz w:val="24"/>
          <w:szCs w:val="24"/>
        </w:rPr>
        <w:t xml:space="preserve">Have alternatives to MCA been trialled? </w:t>
      </w:r>
    </w:p>
    <w:p w14:paraId="3AE0C347" w14:textId="77777777" w:rsidR="000855CB" w:rsidRDefault="000855CB" w:rsidP="000855CB">
      <w:pPr>
        <w:pStyle w:val="Subtitle"/>
        <w:ind w:left="360"/>
        <w:jc w:val="left"/>
        <w:rPr>
          <w:b w:val="0"/>
          <w:sz w:val="24"/>
          <w:szCs w:val="24"/>
        </w:rPr>
      </w:pPr>
      <w:r>
        <w:rPr>
          <w:b w:val="0"/>
          <w:sz w:val="24"/>
          <w:szCs w:val="24"/>
        </w:rPr>
        <w:t xml:space="preserve">MCA should not be considered if alternatives have not been explored first. </w:t>
      </w:r>
    </w:p>
    <w:p w14:paraId="5BB049D7" w14:textId="77777777" w:rsidR="000855CB" w:rsidRDefault="000855CB" w:rsidP="000855CB">
      <w:pPr>
        <w:pStyle w:val="Title"/>
        <w:jc w:val="left"/>
        <w:rPr>
          <w:b w:val="0"/>
          <w:sz w:val="24"/>
          <w:szCs w:val="24"/>
        </w:rPr>
      </w:pPr>
    </w:p>
    <w:p w14:paraId="150DAF26" w14:textId="77777777" w:rsidR="000855CB" w:rsidRDefault="000855CB" w:rsidP="000855CB">
      <w:pPr>
        <w:pStyle w:val="Subtitle"/>
        <w:numPr>
          <w:ilvl w:val="0"/>
          <w:numId w:val="11"/>
        </w:numPr>
        <w:jc w:val="left"/>
        <w:rPr>
          <w:b w:val="0"/>
          <w:sz w:val="24"/>
          <w:szCs w:val="24"/>
        </w:rPr>
      </w:pPr>
      <w:r>
        <w:rPr>
          <w:b w:val="0"/>
          <w:sz w:val="24"/>
          <w:szCs w:val="24"/>
        </w:rPr>
        <w:t xml:space="preserve">Is the patient oriented in time?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14:paraId="490509D0" w14:textId="77777777" w:rsidR="000855CB" w:rsidRDefault="000855CB" w:rsidP="000855CB">
      <w:pPr>
        <w:pStyle w:val="Subtitle"/>
        <w:ind w:left="360"/>
        <w:jc w:val="left"/>
        <w:rPr>
          <w:b w:val="0"/>
          <w:sz w:val="24"/>
          <w:szCs w:val="24"/>
        </w:rPr>
      </w:pPr>
      <w:r>
        <w:rPr>
          <w:b w:val="0"/>
          <w:sz w:val="24"/>
          <w:szCs w:val="24"/>
        </w:rPr>
        <w:t>If not, an MCA may not be of benefit. Other prompts, verbal or visual, may be required (e.g. medication reminder card), and may be more effective when used alone.</w:t>
      </w:r>
    </w:p>
    <w:p w14:paraId="61565590" w14:textId="77777777" w:rsidR="000855CB" w:rsidRDefault="000855CB" w:rsidP="000855CB">
      <w:pPr>
        <w:pStyle w:val="Title"/>
        <w:jc w:val="left"/>
        <w:rPr>
          <w:b w:val="0"/>
          <w:sz w:val="24"/>
          <w:szCs w:val="24"/>
        </w:rPr>
      </w:pPr>
    </w:p>
    <w:p w14:paraId="481D6FD2" w14:textId="77777777" w:rsidR="000855CB" w:rsidRDefault="000855CB" w:rsidP="000855CB">
      <w:pPr>
        <w:pStyle w:val="Subtitle"/>
        <w:numPr>
          <w:ilvl w:val="0"/>
          <w:numId w:val="11"/>
        </w:numPr>
        <w:jc w:val="left"/>
        <w:rPr>
          <w:b w:val="0"/>
          <w:sz w:val="24"/>
          <w:szCs w:val="24"/>
        </w:rPr>
      </w:pPr>
      <w:r>
        <w:rPr>
          <w:b w:val="0"/>
          <w:sz w:val="24"/>
          <w:szCs w:val="24"/>
        </w:rPr>
        <w:t xml:space="preserve">Have previous problems with compliance been addressed? </w:t>
      </w:r>
      <w:r>
        <w:rPr>
          <w:b w:val="0"/>
          <w:sz w:val="24"/>
          <w:szCs w:val="24"/>
        </w:rPr>
        <w:tab/>
      </w:r>
      <w:r>
        <w:rPr>
          <w:b w:val="0"/>
          <w:sz w:val="24"/>
          <w:szCs w:val="24"/>
        </w:rPr>
        <w:tab/>
        <w:t xml:space="preserve">                                                                    </w:t>
      </w:r>
    </w:p>
    <w:p w14:paraId="2C57A475" w14:textId="77777777" w:rsidR="000855CB" w:rsidRDefault="000855CB" w:rsidP="000855CB">
      <w:pPr>
        <w:pStyle w:val="Subtitle"/>
        <w:ind w:left="360"/>
        <w:jc w:val="left"/>
        <w:rPr>
          <w:b w:val="0"/>
          <w:sz w:val="24"/>
          <w:szCs w:val="24"/>
        </w:rPr>
      </w:pPr>
      <w:r>
        <w:rPr>
          <w:b w:val="0"/>
          <w:sz w:val="24"/>
          <w:szCs w:val="24"/>
        </w:rPr>
        <w:t>Patients have a choice about whether to take medicine or not. They may choose not to because they:</w:t>
      </w:r>
    </w:p>
    <w:p w14:paraId="394CD5D3" w14:textId="77777777" w:rsidR="000855CB" w:rsidRDefault="000855CB" w:rsidP="000855CB">
      <w:pPr>
        <w:pStyle w:val="Title"/>
        <w:numPr>
          <w:ilvl w:val="1"/>
          <w:numId w:val="11"/>
        </w:numPr>
        <w:jc w:val="left"/>
        <w:rPr>
          <w:b w:val="0"/>
          <w:sz w:val="24"/>
          <w:szCs w:val="24"/>
        </w:rPr>
      </w:pPr>
      <w:r>
        <w:rPr>
          <w:b w:val="0"/>
          <w:sz w:val="24"/>
          <w:szCs w:val="24"/>
        </w:rPr>
        <w:t>lack insight (do not think they are ill or that medicines are beneficial).</w:t>
      </w:r>
    </w:p>
    <w:p w14:paraId="53B3D7C4" w14:textId="77777777" w:rsidR="000855CB" w:rsidRDefault="000855CB" w:rsidP="000855CB">
      <w:pPr>
        <w:pStyle w:val="Title"/>
        <w:numPr>
          <w:ilvl w:val="1"/>
          <w:numId w:val="11"/>
        </w:numPr>
        <w:jc w:val="left"/>
        <w:rPr>
          <w:b w:val="0"/>
          <w:sz w:val="24"/>
          <w:szCs w:val="24"/>
        </w:rPr>
      </w:pPr>
      <w:r>
        <w:rPr>
          <w:b w:val="0"/>
          <w:sz w:val="24"/>
          <w:szCs w:val="24"/>
        </w:rPr>
        <w:t>are unwilling to tolerate side effects.</w:t>
      </w:r>
    </w:p>
    <w:p w14:paraId="35696B6C" w14:textId="77777777" w:rsidR="000855CB" w:rsidRDefault="000855CB" w:rsidP="000855CB">
      <w:pPr>
        <w:pStyle w:val="Title"/>
        <w:numPr>
          <w:ilvl w:val="1"/>
          <w:numId w:val="11"/>
        </w:numPr>
        <w:jc w:val="left"/>
        <w:rPr>
          <w:b w:val="0"/>
          <w:sz w:val="24"/>
          <w:szCs w:val="24"/>
        </w:rPr>
      </w:pPr>
      <w:r>
        <w:rPr>
          <w:b w:val="0"/>
          <w:sz w:val="24"/>
          <w:szCs w:val="24"/>
        </w:rPr>
        <w:t xml:space="preserve">unable to make a reasoned choice because they are disorganised or their psychotic symptoms (e.g. delusion of being poisoned, voices saying negative things about medicines) influence their behaviour. </w:t>
      </w:r>
    </w:p>
    <w:p w14:paraId="284AD352" w14:textId="77777777" w:rsidR="000855CB" w:rsidRDefault="000855CB" w:rsidP="000855CB">
      <w:pPr>
        <w:pStyle w:val="Title"/>
        <w:ind w:left="360"/>
        <w:jc w:val="left"/>
        <w:rPr>
          <w:b w:val="0"/>
          <w:sz w:val="24"/>
          <w:szCs w:val="24"/>
        </w:rPr>
      </w:pPr>
      <w:r>
        <w:rPr>
          <w:b w:val="0"/>
          <w:sz w:val="24"/>
          <w:szCs w:val="24"/>
        </w:rPr>
        <w:t xml:space="preserve">These patients may not benefit from a compliance aid. A compliance aid will only help if a patient is motivated to take medication. </w:t>
      </w:r>
    </w:p>
    <w:p w14:paraId="5999B665" w14:textId="77777777" w:rsidR="000855CB" w:rsidRDefault="000855CB" w:rsidP="000855CB">
      <w:pPr>
        <w:pStyle w:val="Title"/>
        <w:jc w:val="left"/>
        <w:rPr>
          <w:b w:val="0"/>
          <w:sz w:val="24"/>
          <w:szCs w:val="24"/>
        </w:rPr>
      </w:pPr>
    </w:p>
    <w:p w14:paraId="78F73713" w14:textId="77777777" w:rsidR="000855CB" w:rsidRDefault="000855CB" w:rsidP="000855CB">
      <w:pPr>
        <w:pStyle w:val="Subtitle"/>
        <w:numPr>
          <w:ilvl w:val="0"/>
          <w:numId w:val="11"/>
        </w:numPr>
        <w:jc w:val="left"/>
        <w:rPr>
          <w:b w:val="0"/>
          <w:sz w:val="24"/>
          <w:szCs w:val="24"/>
        </w:rPr>
      </w:pPr>
      <w:r>
        <w:rPr>
          <w:b w:val="0"/>
          <w:sz w:val="24"/>
          <w:szCs w:val="24"/>
        </w:rPr>
        <w:t xml:space="preserve">Has future compliance been promoted? </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p>
    <w:p w14:paraId="3F08D3CE" w14:textId="77777777" w:rsidR="000855CB" w:rsidRDefault="000855CB" w:rsidP="000855CB">
      <w:pPr>
        <w:pStyle w:val="Title"/>
        <w:ind w:left="360"/>
        <w:jc w:val="left"/>
        <w:rPr>
          <w:b w:val="0"/>
          <w:sz w:val="24"/>
          <w:szCs w:val="24"/>
        </w:rPr>
      </w:pPr>
      <w:r>
        <w:rPr>
          <w:b w:val="0"/>
          <w:sz w:val="24"/>
          <w:szCs w:val="24"/>
        </w:rPr>
        <w:t>Many reasons for non-compliance cannot be managed by MCA use.</w:t>
      </w:r>
    </w:p>
    <w:p w14:paraId="50B26212" w14:textId="60B196DC" w:rsidR="000855CB" w:rsidRDefault="000855CB" w:rsidP="000855CB">
      <w:pPr>
        <w:pStyle w:val="Title"/>
        <w:numPr>
          <w:ilvl w:val="2"/>
          <w:numId w:val="11"/>
        </w:numPr>
        <w:jc w:val="left"/>
        <w:rPr>
          <w:b w:val="0"/>
          <w:sz w:val="24"/>
          <w:szCs w:val="24"/>
        </w:rPr>
      </w:pPr>
      <w:r>
        <w:rPr>
          <w:b w:val="0"/>
          <w:sz w:val="24"/>
          <w:szCs w:val="24"/>
        </w:rPr>
        <w:t>Have the patient’s attitudes towards medicines been explored?</w:t>
      </w:r>
    </w:p>
    <w:p w14:paraId="66693D61" w14:textId="5233B458" w:rsidR="000855CB" w:rsidRDefault="000855CB" w:rsidP="000855CB">
      <w:pPr>
        <w:pStyle w:val="Title"/>
        <w:numPr>
          <w:ilvl w:val="2"/>
          <w:numId w:val="11"/>
        </w:numPr>
        <w:jc w:val="left"/>
        <w:rPr>
          <w:b w:val="0"/>
          <w:sz w:val="24"/>
          <w:szCs w:val="24"/>
        </w:rPr>
      </w:pPr>
      <w:r>
        <w:rPr>
          <w:b w:val="0"/>
          <w:sz w:val="24"/>
          <w:szCs w:val="24"/>
        </w:rPr>
        <w:t>Has supervised self</w:t>
      </w:r>
      <w:r w:rsidR="00F9740B">
        <w:rPr>
          <w:b w:val="0"/>
          <w:sz w:val="24"/>
          <w:szCs w:val="24"/>
        </w:rPr>
        <w:t>-</w:t>
      </w:r>
      <w:r>
        <w:rPr>
          <w:b w:val="0"/>
          <w:sz w:val="24"/>
          <w:szCs w:val="24"/>
        </w:rPr>
        <w:t>medication been attempted on the ward?</w:t>
      </w:r>
    </w:p>
    <w:p w14:paraId="6E64A134" w14:textId="77777777" w:rsidR="000855CB" w:rsidRDefault="000855CB" w:rsidP="000855CB">
      <w:pPr>
        <w:pStyle w:val="Title"/>
        <w:numPr>
          <w:ilvl w:val="2"/>
          <w:numId w:val="11"/>
        </w:numPr>
        <w:jc w:val="left"/>
        <w:rPr>
          <w:b w:val="0"/>
          <w:sz w:val="24"/>
          <w:szCs w:val="24"/>
        </w:rPr>
      </w:pPr>
      <w:r>
        <w:rPr>
          <w:b w:val="0"/>
          <w:sz w:val="24"/>
          <w:szCs w:val="24"/>
        </w:rPr>
        <w:t>Does the patient understand what each medication is for</w:t>
      </w:r>
    </w:p>
    <w:p w14:paraId="25894878" w14:textId="77777777" w:rsidR="000855CB" w:rsidRDefault="000855CB" w:rsidP="000855CB">
      <w:pPr>
        <w:pStyle w:val="Title"/>
        <w:numPr>
          <w:ilvl w:val="2"/>
          <w:numId w:val="11"/>
        </w:numPr>
        <w:jc w:val="left"/>
        <w:rPr>
          <w:b w:val="0"/>
          <w:sz w:val="24"/>
          <w:szCs w:val="24"/>
        </w:rPr>
      </w:pPr>
      <w:r>
        <w:rPr>
          <w:b w:val="0"/>
          <w:sz w:val="24"/>
          <w:szCs w:val="24"/>
        </w:rPr>
        <w:t>Is the patient experiencing side effects?</w:t>
      </w:r>
      <w:r>
        <w:rPr>
          <w:b w:val="0"/>
          <w:sz w:val="24"/>
          <w:szCs w:val="24"/>
        </w:rPr>
        <w:tab/>
      </w:r>
    </w:p>
    <w:p w14:paraId="1EADF1BF" w14:textId="77777777" w:rsidR="000855CB" w:rsidRDefault="000855CB" w:rsidP="000855CB">
      <w:pPr>
        <w:pStyle w:val="Title"/>
        <w:numPr>
          <w:ilvl w:val="2"/>
          <w:numId w:val="11"/>
        </w:numPr>
        <w:jc w:val="left"/>
        <w:rPr>
          <w:b w:val="0"/>
          <w:sz w:val="24"/>
          <w:szCs w:val="24"/>
        </w:rPr>
      </w:pPr>
      <w:r>
        <w:rPr>
          <w:b w:val="0"/>
          <w:sz w:val="24"/>
          <w:szCs w:val="24"/>
        </w:rPr>
        <w:t>Does the patient have difficulty reading the labels on the containers?</w:t>
      </w:r>
    </w:p>
    <w:p w14:paraId="121FF12D" w14:textId="2EADE832" w:rsidR="000855CB" w:rsidRDefault="000855CB" w:rsidP="000855CB">
      <w:pPr>
        <w:pStyle w:val="Title"/>
        <w:numPr>
          <w:ilvl w:val="2"/>
          <w:numId w:val="11"/>
        </w:numPr>
        <w:jc w:val="left"/>
        <w:rPr>
          <w:b w:val="0"/>
          <w:sz w:val="24"/>
          <w:szCs w:val="24"/>
        </w:rPr>
      </w:pPr>
      <w:r>
        <w:rPr>
          <w:b w:val="0"/>
          <w:sz w:val="24"/>
          <w:szCs w:val="24"/>
        </w:rPr>
        <w:t>Is the patient (not the staff) motivated to take medication?</w:t>
      </w:r>
      <w:r>
        <w:rPr>
          <w:b w:val="0"/>
          <w:sz w:val="24"/>
          <w:szCs w:val="24"/>
        </w:rPr>
        <w:tab/>
      </w:r>
    </w:p>
    <w:p w14:paraId="6E73F515" w14:textId="77777777" w:rsidR="000855CB" w:rsidRDefault="000855CB" w:rsidP="000855CB">
      <w:pPr>
        <w:pStyle w:val="Title"/>
        <w:numPr>
          <w:ilvl w:val="2"/>
          <w:numId w:val="11"/>
        </w:numPr>
        <w:jc w:val="left"/>
        <w:rPr>
          <w:b w:val="0"/>
          <w:sz w:val="24"/>
          <w:szCs w:val="24"/>
        </w:rPr>
      </w:pPr>
      <w:r>
        <w:rPr>
          <w:b w:val="0"/>
          <w:sz w:val="24"/>
          <w:szCs w:val="24"/>
        </w:rPr>
        <w:t>Is compliance therapy required?</w:t>
      </w:r>
      <w:r>
        <w:rPr>
          <w:b w:val="0"/>
          <w:sz w:val="24"/>
          <w:szCs w:val="24"/>
        </w:rPr>
        <w:tab/>
      </w:r>
      <w:r>
        <w:rPr>
          <w:b w:val="0"/>
          <w:sz w:val="24"/>
          <w:szCs w:val="24"/>
        </w:rPr>
        <w:tab/>
      </w:r>
      <w:r>
        <w:rPr>
          <w:b w:val="0"/>
          <w:sz w:val="24"/>
          <w:szCs w:val="24"/>
        </w:rPr>
        <w:tab/>
      </w:r>
    </w:p>
    <w:p w14:paraId="718E0722" w14:textId="77777777" w:rsidR="000855CB" w:rsidRDefault="000855CB" w:rsidP="000855CB">
      <w:pPr>
        <w:pStyle w:val="Title"/>
        <w:jc w:val="left"/>
        <w:rPr>
          <w:b w:val="0"/>
          <w:sz w:val="24"/>
          <w:szCs w:val="24"/>
        </w:rPr>
      </w:pPr>
    </w:p>
    <w:p w14:paraId="70B4A1C1" w14:textId="77777777" w:rsidR="000855CB" w:rsidRDefault="000855CB" w:rsidP="000855CB">
      <w:pPr>
        <w:pStyle w:val="Title"/>
        <w:numPr>
          <w:ilvl w:val="0"/>
          <w:numId w:val="11"/>
        </w:numPr>
        <w:jc w:val="left"/>
        <w:rPr>
          <w:b w:val="0"/>
          <w:sz w:val="24"/>
          <w:szCs w:val="24"/>
        </w:rPr>
      </w:pPr>
      <w:r>
        <w:rPr>
          <w:b w:val="0"/>
          <w:sz w:val="24"/>
          <w:szCs w:val="24"/>
        </w:rPr>
        <w:t>Is the medication regimen likely to remain unchanged?</w:t>
      </w:r>
    </w:p>
    <w:p w14:paraId="5CAE536F" w14:textId="77777777" w:rsidR="000855CB" w:rsidRDefault="000855CB" w:rsidP="000855CB">
      <w:pPr>
        <w:pStyle w:val="Title"/>
        <w:ind w:left="360"/>
        <w:jc w:val="left"/>
        <w:rPr>
          <w:b w:val="0"/>
          <w:sz w:val="24"/>
          <w:szCs w:val="24"/>
        </w:rPr>
      </w:pPr>
      <w:r>
        <w:rPr>
          <w:b w:val="0"/>
          <w:sz w:val="24"/>
          <w:szCs w:val="24"/>
        </w:rPr>
        <w:t>MCA should not be initiated when medication regimen is changeable.</w:t>
      </w:r>
    </w:p>
    <w:p w14:paraId="26C3BFF0" w14:textId="77777777" w:rsidR="000855CB" w:rsidRDefault="000855CB" w:rsidP="000855CB">
      <w:pPr>
        <w:pStyle w:val="Title"/>
        <w:ind w:left="360"/>
        <w:jc w:val="left"/>
        <w:rPr>
          <w:b w:val="0"/>
          <w:sz w:val="24"/>
          <w:szCs w:val="24"/>
        </w:rPr>
      </w:pPr>
    </w:p>
    <w:p w14:paraId="3EA72245" w14:textId="77777777" w:rsidR="000855CB" w:rsidRDefault="000855CB" w:rsidP="000855CB">
      <w:pPr>
        <w:pStyle w:val="Subtitle"/>
        <w:numPr>
          <w:ilvl w:val="0"/>
          <w:numId w:val="11"/>
        </w:numPr>
        <w:jc w:val="left"/>
        <w:rPr>
          <w:b w:val="0"/>
          <w:sz w:val="24"/>
          <w:szCs w:val="24"/>
        </w:rPr>
      </w:pPr>
      <w:r>
        <w:rPr>
          <w:rFonts w:cs="Arial"/>
          <w:b w:val="0"/>
          <w:sz w:val="24"/>
          <w:szCs w:val="24"/>
        </w:rPr>
        <w:t>Has the person who will administer the medication demonstrated they can use a compliance aid?</w:t>
      </w:r>
    </w:p>
    <w:p w14:paraId="2CDA80DE" w14:textId="77777777" w:rsidR="000855CB" w:rsidRDefault="000855CB" w:rsidP="000855CB">
      <w:pPr>
        <w:pStyle w:val="Subtitle"/>
        <w:ind w:left="360"/>
        <w:jc w:val="left"/>
        <w:rPr>
          <w:b w:val="0"/>
          <w:sz w:val="24"/>
          <w:szCs w:val="24"/>
        </w:rPr>
      </w:pPr>
      <w:r>
        <w:rPr>
          <w:b w:val="0"/>
          <w:sz w:val="24"/>
          <w:szCs w:val="24"/>
        </w:rPr>
        <w:t xml:space="preserve">Are the patient’s sight, cognition and manual dexterity up to the task in hand? This should be assessed on the ward with patient or carer if appropriate. </w:t>
      </w:r>
    </w:p>
    <w:p w14:paraId="558E8948" w14:textId="77777777" w:rsidR="000855CB" w:rsidRDefault="000855CB" w:rsidP="000855CB">
      <w:pPr>
        <w:pStyle w:val="Title"/>
        <w:jc w:val="left"/>
        <w:rPr>
          <w:b w:val="0"/>
          <w:sz w:val="24"/>
          <w:szCs w:val="24"/>
        </w:rPr>
      </w:pPr>
    </w:p>
    <w:p w14:paraId="583577AE" w14:textId="77777777" w:rsidR="000855CB" w:rsidRDefault="000855CB" w:rsidP="000855CB">
      <w:pPr>
        <w:pStyle w:val="Subtitle"/>
        <w:ind w:left="360"/>
        <w:jc w:val="left"/>
        <w:rPr>
          <w:b w:val="0"/>
          <w:sz w:val="24"/>
          <w:szCs w:val="24"/>
        </w:rPr>
      </w:pPr>
      <w:r>
        <w:rPr>
          <w:b w:val="0"/>
          <w:sz w:val="24"/>
          <w:szCs w:val="24"/>
        </w:rPr>
        <w:t>9. Will the MCA be the only source of medication?</w:t>
      </w:r>
      <w:r>
        <w:rPr>
          <w:b w:val="0"/>
          <w:sz w:val="24"/>
          <w:szCs w:val="24"/>
        </w:rPr>
        <w:tab/>
      </w:r>
      <w:r>
        <w:rPr>
          <w:b w:val="0"/>
          <w:sz w:val="24"/>
          <w:szCs w:val="24"/>
        </w:rPr>
        <w:tab/>
      </w:r>
      <w:r>
        <w:rPr>
          <w:b w:val="0"/>
          <w:sz w:val="24"/>
          <w:szCs w:val="24"/>
        </w:rPr>
        <w:tab/>
      </w:r>
    </w:p>
    <w:p w14:paraId="163D36F7" w14:textId="77777777" w:rsidR="000855CB" w:rsidRDefault="000855CB" w:rsidP="000855CB">
      <w:pPr>
        <w:pStyle w:val="Subtitle"/>
        <w:ind w:left="360"/>
        <w:jc w:val="left"/>
        <w:rPr>
          <w:b w:val="0"/>
          <w:sz w:val="24"/>
          <w:szCs w:val="24"/>
        </w:rPr>
      </w:pPr>
      <w:r>
        <w:rPr>
          <w:b w:val="0"/>
          <w:sz w:val="24"/>
          <w:szCs w:val="24"/>
        </w:rPr>
        <w:lastRenderedPageBreak/>
        <w:t>Taking additional medications to MCA can cause confusion. What steps are being made to rationalise supply?</w:t>
      </w:r>
    </w:p>
    <w:p w14:paraId="457252A9" w14:textId="77777777" w:rsidR="000855CB" w:rsidRDefault="000855CB" w:rsidP="000855CB">
      <w:pPr>
        <w:pStyle w:val="Title"/>
        <w:jc w:val="left"/>
        <w:rPr>
          <w:b w:val="0"/>
          <w:sz w:val="24"/>
          <w:szCs w:val="24"/>
        </w:rPr>
      </w:pPr>
    </w:p>
    <w:p w14:paraId="4DD9E853" w14:textId="77777777" w:rsidR="000855CB" w:rsidRDefault="000855CB" w:rsidP="000855CB">
      <w:pPr>
        <w:pStyle w:val="Subtitle"/>
        <w:ind w:left="360"/>
        <w:jc w:val="left"/>
        <w:rPr>
          <w:b w:val="0"/>
          <w:sz w:val="24"/>
          <w:szCs w:val="24"/>
        </w:rPr>
      </w:pPr>
      <w:r>
        <w:rPr>
          <w:b w:val="0"/>
          <w:sz w:val="24"/>
          <w:szCs w:val="24"/>
        </w:rPr>
        <w:t>10. Have arrangements been made to fill a compliance aid on an ongoing basis?</w:t>
      </w:r>
    </w:p>
    <w:p w14:paraId="3BB28435" w14:textId="77777777" w:rsidR="000855CB" w:rsidRDefault="000855CB" w:rsidP="000855CB">
      <w:pPr>
        <w:pStyle w:val="Subtitle"/>
        <w:ind w:left="360"/>
        <w:jc w:val="left"/>
        <w:rPr>
          <w:b w:val="0"/>
          <w:sz w:val="24"/>
          <w:szCs w:val="24"/>
        </w:rPr>
      </w:pPr>
      <w:r>
        <w:rPr>
          <w:b w:val="0"/>
          <w:sz w:val="24"/>
          <w:szCs w:val="24"/>
        </w:rPr>
        <w:t>Will there be an ongoing MCA supply available?</w:t>
      </w:r>
    </w:p>
    <w:p w14:paraId="4A86A6BE" w14:textId="77777777" w:rsidR="000855CB" w:rsidRDefault="000855CB" w:rsidP="000855CB">
      <w:pPr>
        <w:pStyle w:val="Subtitle"/>
        <w:ind w:left="360"/>
        <w:jc w:val="left"/>
        <w:rPr>
          <w:b w:val="0"/>
          <w:sz w:val="24"/>
          <w:szCs w:val="24"/>
        </w:rPr>
      </w:pPr>
    </w:p>
    <w:p w14:paraId="6038E040" w14:textId="77777777" w:rsidR="000855CB" w:rsidRDefault="000855CB" w:rsidP="00BE79D6">
      <w:pPr>
        <w:pStyle w:val="Subtitle"/>
        <w:jc w:val="left"/>
        <w:rPr>
          <w:b w:val="0"/>
          <w:sz w:val="24"/>
          <w:szCs w:val="24"/>
        </w:rPr>
      </w:pPr>
    </w:p>
    <w:p w14:paraId="60ED8DA1" w14:textId="58E61D8C" w:rsidR="000855CB" w:rsidRPr="00BB2130" w:rsidRDefault="000855CB" w:rsidP="00BB2130">
      <w:pPr>
        <w:pStyle w:val="Subtitle"/>
        <w:ind w:left="360"/>
        <w:jc w:val="left"/>
        <w:rPr>
          <w:sz w:val="24"/>
          <w:szCs w:val="24"/>
        </w:rPr>
      </w:pPr>
      <w:r>
        <w:rPr>
          <w:sz w:val="24"/>
          <w:szCs w:val="24"/>
        </w:rPr>
        <w:t>Items that are not considered suitable for MCA due to stability</w:t>
      </w:r>
      <w:r w:rsidR="009E0A29" w:rsidRPr="009E0A29">
        <w:rPr>
          <w:sz w:val="24"/>
          <w:szCs w:val="24"/>
          <w:vertAlign w:val="superscript"/>
        </w:rPr>
        <w:t>2</w:t>
      </w:r>
      <w:r w:rsidR="003558F3">
        <w:rPr>
          <w:sz w:val="24"/>
          <w:szCs w:val="24"/>
          <w:vertAlign w:val="superscript"/>
        </w:rPr>
        <w:t>,4</w:t>
      </w:r>
      <w:r>
        <w:rPr>
          <w:sz w:val="24"/>
          <w:szCs w:val="24"/>
        </w:rPr>
        <w:t>:</w:t>
      </w:r>
    </w:p>
    <w:p w14:paraId="145F4B02" w14:textId="344F35F6" w:rsidR="000855CB" w:rsidRDefault="000855CB" w:rsidP="000855CB">
      <w:pPr>
        <w:pStyle w:val="ListParagraph"/>
        <w:numPr>
          <w:ilvl w:val="0"/>
          <w:numId w:val="12"/>
        </w:numPr>
        <w:spacing w:before="0" w:after="160" w:line="256" w:lineRule="auto"/>
        <w:jc w:val="left"/>
        <w:rPr>
          <w:rFonts w:cs="Arial"/>
        </w:rPr>
      </w:pPr>
      <w:r>
        <w:rPr>
          <w:rFonts w:cs="Arial"/>
        </w:rPr>
        <w:t>Effervescent, dispersible and soluble medication</w:t>
      </w:r>
      <w:r w:rsidR="003558F3">
        <w:rPr>
          <w:rFonts w:cs="Arial"/>
        </w:rPr>
        <w:t xml:space="preserve"> (e.g., </w:t>
      </w:r>
      <w:r w:rsidR="00703F7F">
        <w:rPr>
          <w:rFonts w:cs="Arial"/>
        </w:rPr>
        <w:t>a</w:t>
      </w:r>
      <w:r w:rsidR="003558F3">
        <w:rPr>
          <w:rFonts w:cs="Arial"/>
        </w:rPr>
        <w:t>spirin dispersible table</w:t>
      </w:r>
      <w:r w:rsidR="00A34636">
        <w:rPr>
          <w:rFonts w:cs="Arial"/>
        </w:rPr>
        <w:t>ts</w:t>
      </w:r>
      <w:r w:rsidR="003558F3">
        <w:rPr>
          <w:rFonts w:cs="Arial"/>
        </w:rPr>
        <w:t>)</w:t>
      </w:r>
    </w:p>
    <w:p w14:paraId="2C0F9347" w14:textId="523955A8" w:rsidR="000855CB" w:rsidRPr="001C1B67" w:rsidRDefault="000855CB" w:rsidP="001C1B67">
      <w:pPr>
        <w:pStyle w:val="ListParagraph"/>
        <w:numPr>
          <w:ilvl w:val="0"/>
          <w:numId w:val="12"/>
        </w:numPr>
        <w:spacing w:before="0" w:after="160" w:line="256" w:lineRule="auto"/>
        <w:jc w:val="left"/>
        <w:rPr>
          <w:rFonts w:cs="Arial"/>
        </w:rPr>
      </w:pPr>
      <w:r>
        <w:rPr>
          <w:rFonts w:cs="Arial"/>
        </w:rPr>
        <w:t>Buccal and mucosal products</w:t>
      </w:r>
      <w:r w:rsidR="003558F3">
        <w:rPr>
          <w:rFonts w:cs="Arial"/>
        </w:rPr>
        <w:t xml:space="preserve"> (e.g., </w:t>
      </w:r>
      <w:r w:rsidR="00703F7F">
        <w:rPr>
          <w:rFonts w:cs="Arial"/>
        </w:rPr>
        <w:t>p</w:t>
      </w:r>
      <w:r w:rsidR="003558F3">
        <w:rPr>
          <w:rFonts w:cs="Arial"/>
        </w:rPr>
        <w:t>rochlorperazine buccal tablets)</w:t>
      </w:r>
    </w:p>
    <w:p w14:paraId="6C91DC50" w14:textId="4D843DFC" w:rsidR="000855CB" w:rsidRDefault="000855CB" w:rsidP="000855CB">
      <w:pPr>
        <w:pStyle w:val="ListParagraph"/>
        <w:numPr>
          <w:ilvl w:val="0"/>
          <w:numId w:val="12"/>
        </w:numPr>
        <w:spacing w:before="0" w:after="160" w:line="256" w:lineRule="auto"/>
        <w:jc w:val="left"/>
        <w:rPr>
          <w:rFonts w:cs="Arial"/>
        </w:rPr>
      </w:pPr>
      <w:r>
        <w:rPr>
          <w:rFonts w:cs="Arial"/>
        </w:rPr>
        <w:t>Hygroscopic products</w:t>
      </w:r>
      <w:r w:rsidR="009E0A29">
        <w:rPr>
          <w:rFonts w:cs="Arial"/>
        </w:rPr>
        <w:t xml:space="preserve"> (e.g., nicorandil)</w:t>
      </w:r>
      <w:r>
        <w:rPr>
          <w:rFonts w:cs="Arial"/>
        </w:rPr>
        <w:t xml:space="preserve">, and where original pack contains a </w:t>
      </w:r>
      <w:r w:rsidR="009E0A29">
        <w:rPr>
          <w:rFonts w:cs="Arial"/>
        </w:rPr>
        <w:t>desiccant</w:t>
      </w:r>
    </w:p>
    <w:p w14:paraId="4F3069B2" w14:textId="3DEEDFC9" w:rsidR="00703F7F" w:rsidRDefault="00703F7F" w:rsidP="000855CB">
      <w:pPr>
        <w:pStyle w:val="ListParagraph"/>
        <w:numPr>
          <w:ilvl w:val="0"/>
          <w:numId w:val="12"/>
        </w:numPr>
        <w:spacing w:before="0" w:after="160" w:line="256" w:lineRule="auto"/>
        <w:jc w:val="left"/>
        <w:rPr>
          <w:rFonts w:cs="Arial"/>
        </w:rPr>
      </w:pPr>
      <w:r>
        <w:rPr>
          <w:rFonts w:cs="Arial"/>
        </w:rPr>
        <w:t>Light sensitive products (e.g., nifedipine)</w:t>
      </w:r>
    </w:p>
    <w:p w14:paraId="64F41EED" w14:textId="34FDED24" w:rsidR="009E0A29" w:rsidRDefault="009E0A29" w:rsidP="000855CB">
      <w:pPr>
        <w:pStyle w:val="ListParagraph"/>
        <w:numPr>
          <w:ilvl w:val="0"/>
          <w:numId w:val="12"/>
        </w:numPr>
        <w:spacing w:before="0" w:after="160" w:line="256" w:lineRule="auto"/>
        <w:jc w:val="left"/>
        <w:rPr>
          <w:rFonts w:cs="Arial"/>
        </w:rPr>
      </w:pPr>
      <w:r>
        <w:rPr>
          <w:rFonts w:cs="Arial"/>
        </w:rPr>
        <w:t>Medicines dispensed in glass containers (e.g., glyceryl trinitrate or clomethiazole)</w:t>
      </w:r>
    </w:p>
    <w:p w14:paraId="3882C048" w14:textId="06D11F60" w:rsidR="000855CB" w:rsidRDefault="000855CB" w:rsidP="000855CB">
      <w:pPr>
        <w:pStyle w:val="ListParagraph"/>
        <w:numPr>
          <w:ilvl w:val="0"/>
          <w:numId w:val="12"/>
        </w:numPr>
        <w:spacing w:before="0" w:after="160" w:line="256" w:lineRule="auto"/>
        <w:jc w:val="left"/>
        <w:rPr>
          <w:rFonts w:cs="Arial"/>
        </w:rPr>
      </w:pPr>
      <w:r>
        <w:rPr>
          <w:rFonts w:cs="Arial"/>
        </w:rPr>
        <w:t>Cytotoxic</w:t>
      </w:r>
      <w:r w:rsidR="009E0A29">
        <w:rPr>
          <w:rFonts w:cs="Arial"/>
        </w:rPr>
        <w:t xml:space="preserve"> </w:t>
      </w:r>
      <w:r>
        <w:rPr>
          <w:rFonts w:cs="Arial"/>
        </w:rPr>
        <w:t>medication</w:t>
      </w:r>
      <w:r w:rsidR="00703F7F">
        <w:rPr>
          <w:rFonts w:cs="Arial"/>
        </w:rPr>
        <w:t xml:space="preserve"> (e.g., methotrexate)</w:t>
      </w:r>
    </w:p>
    <w:p w14:paraId="71C1D4E9" w14:textId="61E080DA" w:rsidR="00C435C1" w:rsidRPr="009E0A29" w:rsidRDefault="000855CB" w:rsidP="009E0A29">
      <w:pPr>
        <w:pStyle w:val="ListParagraph"/>
        <w:numPr>
          <w:ilvl w:val="0"/>
          <w:numId w:val="12"/>
        </w:numPr>
        <w:spacing w:before="0" w:after="160" w:line="256" w:lineRule="auto"/>
        <w:jc w:val="left"/>
        <w:rPr>
          <w:rFonts w:cs="Arial"/>
        </w:rPr>
      </w:pPr>
      <w:r>
        <w:rPr>
          <w:rFonts w:cs="Arial"/>
        </w:rPr>
        <w:t xml:space="preserve">No capsules can be supplied in the same compartment </w:t>
      </w:r>
      <w:r w:rsidR="009E0A29">
        <w:rPr>
          <w:rFonts w:cs="Arial"/>
        </w:rPr>
        <w:t>with</w:t>
      </w:r>
      <w:r>
        <w:rPr>
          <w:rFonts w:cs="Arial"/>
        </w:rPr>
        <w:t xml:space="preserve"> </w:t>
      </w:r>
      <w:r w:rsidR="009E0A29">
        <w:rPr>
          <w:rFonts w:cs="Arial"/>
        </w:rPr>
        <w:t>MR tablets due to risk of changing the release characteristics of the tablets</w:t>
      </w:r>
      <w:r>
        <w:rPr>
          <w:rFonts w:cs="Arial"/>
        </w:rPr>
        <w:t>.</w:t>
      </w:r>
    </w:p>
    <w:p w14:paraId="2C0B0EED" w14:textId="3F486CF8" w:rsidR="00C435C1" w:rsidRDefault="00C435C1" w:rsidP="006F3719"/>
    <w:p w14:paraId="58893BE3" w14:textId="23CB4C7B" w:rsidR="00C435C1" w:rsidRDefault="00C435C1" w:rsidP="006F3719"/>
    <w:p w14:paraId="4941DC6E" w14:textId="7EB24851" w:rsidR="00C435C1" w:rsidRDefault="00C435C1" w:rsidP="006F3719"/>
    <w:p w14:paraId="188D3BE5" w14:textId="7D3F8C64" w:rsidR="00C435C1" w:rsidRDefault="00C435C1" w:rsidP="006F3719"/>
    <w:p w14:paraId="09F9CE1E" w14:textId="4F651D0E" w:rsidR="00C435C1" w:rsidRDefault="00C435C1" w:rsidP="006F3719"/>
    <w:p w14:paraId="751878DA" w14:textId="46E12A12" w:rsidR="00C435C1" w:rsidRDefault="00C435C1" w:rsidP="006F3719"/>
    <w:p w14:paraId="4717DD83" w14:textId="7999D6C8" w:rsidR="00C435C1" w:rsidRDefault="00C435C1" w:rsidP="006F3719"/>
    <w:p w14:paraId="1DD1C1F3" w14:textId="77777777" w:rsidR="00C435C1" w:rsidRPr="00C435C1" w:rsidRDefault="00C435C1" w:rsidP="006F3719"/>
    <w:sectPr w:rsidR="00C435C1" w:rsidRPr="00C435C1"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C3C7" w14:textId="77777777" w:rsidR="00363B2C" w:rsidRDefault="00363B2C" w:rsidP="006F3719">
      <w:pPr>
        <w:spacing w:before="0" w:after="0"/>
      </w:pPr>
      <w:r>
        <w:separator/>
      </w:r>
    </w:p>
  </w:endnote>
  <w:endnote w:type="continuationSeparator" w:id="0">
    <w:p w14:paraId="686D4B1C" w14:textId="77777777" w:rsidR="00363B2C" w:rsidRDefault="00363B2C"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EFBF" w14:textId="77777777" w:rsidR="00175E7B"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19FB68A0" w14:textId="77777777" w:rsidR="00175E7B" w:rsidRDefault="00175E7B"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BCB8" w14:textId="43867051" w:rsidR="00175E7B"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D51613">
      <w:rPr>
        <w:rStyle w:val="PageNumber"/>
        <w:noProof/>
      </w:rPr>
      <w:t>12</w:t>
    </w:r>
    <w:r>
      <w:rPr>
        <w:rStyle w:val="PageNumber"/>
      </w:rPr>
      <w:fldChar w:fldCharType="end"/>
    </w:r>
  </w:p>
  <w:p w14:paraId="75F8995C" w14:textId="77777777" w:rsidR="00175E7B" w:rsidRDefault="00175E7B"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D655" w14:textId="70B743B3" w:rsidR="00175E7B"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5D1A4D">
      <w:rPr>
        <w:rStyle w:val="PageNumber"/>
        <w:noProof/>
      </w:rPr>
      <w:t>1</w:t>
    </w:r>
    <w:r>
      <w:rPr>
        <w:rStyle w:val="PageNumber"/>
      </w:rPr>
      <w:fldChar w:fldCharType="end"/>
    </w:r>
  </w:p>
  <w:p w14:paraId="7B383432" w14:textId="77777777" w:rsidR="00175E7B" w:rsidRDefault="00175E7B"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EE4B" w14:textId="77777777" w:rsidR="00363B2C" w:rsidRDefault="00363B2C" w:rsidP="006F3719">
      <w:pPr>
        <w:spacing w:before="0" w:after="0"/>
      </w:pPr>
      <w:r>
        <w:separator/>
      </w:r>
    </w:p>
  </w:footnote>
  <w:footnote w:type="continuationSeparator" w:id="0">
    <w:p w14:paraId="2A1D73BF" w14:textId="77777777" w:rsidR="00363B2C" w:rsidRDefault="00363B2C"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DAFB" w14:textId="77777777" w:rsidR="006F3719" w:rsidRDefault="00742373" w:rsidP="00742373">
    <w:pPr>
      <w:pStyle w:val="Header"/>
      <w:tabs>
        <w:tab w:val="clear" w:pos="4513"/>
        <w:tab w:val="clear" w:pos="9026"/>
        <w:tab w:val="left" w:pos="6420"/>
      </w:tabs>
    </w:pPr>
    <w:r>
      <w:tab/>
    </w:r>
    <w:r>
      <w:rPr>
        <w:noProof/>
      </w:rPr>
      <w:drawing>
        <wp:inline distT="0" distB="0" distL="0" distR="0" wp14:anchorId="1CBEAB32" wp14:editId="59BA62C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835"/>
    <w:multiLevelType w:val="hybridMultilevel"/>
    <w:tmpl w:val="9CCA761E"/>
    <w:lvl w:ilvl="0" w:tplc="BE7C1C18">
      <w:start w:val="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264C2"/>
    <w:multiLevelType w:val="hybridMultilevel"/>
    <w:tmpl w:val="7F961B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775188"/>
    <w:multiLevelType w:val="hybridMultilevel"/>
    <w:tmpl w:val="4058B9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5E64D0"/>
    <w:multiLevelType w:val="hybridMultilevel"/>
    <w:tmpl w:val="D87A50BE"/>
    <w:lvl w:ilvl="0" w:tplc="AB5A1924">
      <w:start w:val="1"/>
      <w:numFmt w:val="bullet"/>
      <w:lvlText w:val="•"/>
      <w:lvlJc w:val="left"/>
      <w:pPr>
        <w:tabs>
          <w:tab w:val="num" w:pos="720"/>
        </w:tabs>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31515"/>
    <w:multiLevelType w:val="hybridMultilevel"/>
    <w:tmpl w:val="F3745B6C"/>
    <w:lvl w:ilvl="0" w:tplc="AB5A1924">
      <w:start w:val="1"/>
      <w:numFmt w:val="bullet"/>
      <w:lvlText w:val="•"/>
      <w:lvlJc w:val="left"/>
      <w:pPr>
        <w:tabs>
          <w:tab w:val="num" w:pos="720"/>
        </w:tabs>
        <w:ind w:left="720" w:hanging="360"/>
      </w:pPr>
      <w:rPr>
        <w:rFonts w:ascii="Arial" w:hAnsi="Arial" w:cs="Times New Roman" w:hint="default"/>
      </w:rPr>
    </w:lvl>
    <w:lvl w:ilvl="1" w:tplc="C71AE7A6">
      <w:start w:val="1"/>
      <w:numFmt w:val="bullet"/>
      <w:lvlText w:val="•"/>
      <w:lvlJc w:val="left"/>
      <w:pPr>
        <w:tabs>
          <w:tab w:val="num" w:pos="1440"/>
        </w:tabs>
        <w:ind w:left="1440" w:hanging="360"/>
      </w:pPr>
      <w:rPr>
        <w:rFonts w:ascii="Arial" w:hAnsi="Arial" w:cs="Times New Roman" w:hint="default"/>
      </w:rPr>
    </w:lvl>
    <w:lvl w:ilvl="2" w:tplc="58BC9026">
      <w:start w:val="1"/>
      <w:numFmt w:val="bullet"/>
      <w:lvlText w:val="•"/>
      <w:lvlJc w:val="left"/>
      <w:pPr>
        <w:tabs>
          <w:tab w:val="num" w:pos="2160"/>
        </w:tabs>
        <w:ind w:left="2160" w:hanging="360"/>
      </w:pPr>
      <w:rPr>
        <w:rFonts w:ascii="Arial" w:hAnsi="Arial" w:cs="Times New Roman" w:hint="default"/>
      </w:rPr>
    </w:lvl>
    <w:lvl w:ilvl="3" w:tplc="A950E21A">
      <w:start w:val="1"/>
      <w:numFmt w:val="bullet"/>
      <w:lvlText w:val="•"/>
      <w:lvlJc w:val="left"/>
      <w:pPr>
        <w:tabs>
          <w:tab w:val="num" w:pos="2880"/>
        </w:tabs>
        <w:ind w:left="2880" w:hanging="360"/>
      </w:pPr>
      <w:rPr>
        <w:rFonts w:ascii="Arial" w:hAnsi="Arial" w:cs="Times New Roman" w:hint="default"/>
      </w:rPr>
    </w:lvl>
    <w:lvl w:ilvl="4" w:tplc="BDD40248">
      <w:start w:val="1"/>
      <w:numFmt w:val="bullet"/>
      <w:lvlText w:val="•"/>
      <w:lvlJc w:val="left"/>
      <w:pPr>
        <w:tabs>
          <w:tab w:val="num" w:pos="3600"/>
        </w:tabs>
        <w:ind w:left="3600" w:hanging="360"/>
      </w:pPr>
      <w:rPr>
        <w:rFonts w:ascii="Arial" w:hAnsi="Arial" w:cs="Times New Roman" w:hint="default"/>
      </w:rPr>
    </w:lvl>
    <w:lvl w:ilvl="5" w:tplc="D5B4093C">
      <w:start w:val="1"/>
      <w:numFmt w:val="bullet"/>
      <w:lvlText w:val="•"/>
      <w:lvlJc w:val="left"/>
      <w:pPr>
        <w:tabs>
          <w:tab w:val="num" w:pos="4320"/>
        </w:tabs>
        <w:ind w:left="4320" w:hanging="360"/>
      </w:pPr>
      <w:rPr>
        <w:rFonts w:ascii="Arial" w:hAnsi="Arial" w:cs="Times New Roman" w:hint="default"/>
      </w:rPr>
    </w:lvl>
    <w:lvl w:ilvl="6" w:tplc="80942EE2">
      <w:start w:val="1"/>
      <w:numFmt w:val="bullet"/>
      <w:lvlText w:val="•"/>
      <w:lvlJc w:val="left"/>
      <w:pPr>
        <w:tabs>
          <w:tab w:val="num" w:pos="5040"/>
        </w:tabs>
        <w:ind w:left="5040" w:hanging="360"/>
      </w:pPr>
      <w:rPr>
        <w:rFonts w:ascii="Arial" w:hAnsi="Arial" w:cs="Times New Roman" w:hint="default"/>
      </w:rPr>
    </w:lvl>
    <w:lvl w:ilvl="7" w:tplc="DF0ED954">
      <w:start w:val="1"/>
      <w:numFmt w:val="bullet"/>
      <w:lvlText w:val="•"/>
      <w:lvlJc w:val="left"/>
      <w:pPr>
        <w:tabs>
          <w:tab w:val="num" w:pos="5760"/>
        </w:tabs>
        <w:ind w:left="5760" w:hanging="360"/>
      </w:pPr>
      <w:rPr>
        <w:rFonts w:ascii="Arial" w:hAnsi="Arial" w:cs="Times New Roman" w:hint="default"/>
      </w:rPr>
    </w:lvl>
    <w:lvl w:ilvl="8" w:tplc="1F86D1F0">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DF74BDB"/>
    <w:multiLevelType w:val="hybridMultilevel"/>
    <w:tmpl w:val="AF1E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1DB7"/>
    <w:multiLevelType w:val="hybridMultilevel"/>
    <w:tmpl w:val="3F18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46DA1"/>
    <w:multiLevelType w:val="hybridMultilevel"/>
    <w:tmpl w:val="02389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16069"/>
    <w:multiLevelType w:val="hybridMultilevel"/>
    <w:tmpl w:val="3A66EDF0"/>
    <w:lvl w:ilvl="0" w:tplc="BE7C1C18">
      <w:start w:val="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73BEE"/>
    <w:multiLevelType w:val="hybridMultilevel"/>
    <w:tmpl w:val="201C2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13C9E"/>
    <w:multiLevelType w:val="hybridMultilevel"/>
    <w:tmpl w:val="2A38F260"/>
    <w:lvl w:ilvl="0" w:tplc="F6CA30D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40305"/>
    <w:multiLevelType w:val="hybridMultilevel"/>
    <w:tmpl w:val="3CB6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348BD"/>
    <w:multiLevelType w:val="hybridMultilevel"/>
    <w:tmpl w:val="6D52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9D08C6"/>
    <w:multiLevelType w:val="hybridMultilevel"/>
    <w:tmpl w:val="7C9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65AD5"/>
    <w:multiLevelType w:val="hybridMultilevel"/>
    <w:tmpl w:val="73D42E82"/>
    <w:lvl w:ilvl="0" w:tplc="BE7C1C18">
      <w:start w:val="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F363C"/>
    <w:multiLevelType w:val="hybridMultilevel"/>
    <w:tmpl w:val="B61A97B2"/>
    <w:lvl w:ilvl="0" w:tplc="1D84A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F2C28"/>
    <w:multiLevelType w:val="hybridMultilevel"/>
    <w:tmpl w:val="6514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C6C85"/>
    <w:multiLevelType w:val="hybridMultilevel"/>
    <w:tmpl w:val="14D6AB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485DB5"/>
    <w:multiLevelType w:val="hybridMultilevel"/>
    <w:tmpl w:val="625AA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87425B0"/>
    <w:multiLevelType w:val="hybridMultilevel"/>
    <w:tmpl w:val="725E1920"/>
    <w:lvl w:ilvl="0" w:tplc="BE7C1C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B6478"/>
    <w:multiLevelType w:val="hybridMultilevel"/>
    <w:tmpl w:val="1BDE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83774"/>
    <w:multiLevelType w:val="hybridMultilevel"/>
    <w:tmpl w:val="BFD84144"/>
    <w:lvl w:ilvl="0" w:tplc="BE7C1C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9023C"/>
    <w:multiLevelType w:val="hybridMultilevel"/>
    <w:tmpl w:val="DFA8C6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3820275"/>
    <w:multiLevelType w:val="hybridMultilevel"/>
    <w:tmpl w:val="128C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A02BE3"/>
    <w:multiLevelType w:val="hybridMultilevel"/>
    <w:tmpl w:val="9832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70870"/>
    <w:multiLevelType w:val="hybridMultilevel"/>
    <w:tmpl w:val="B080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42342"/>
    <w:multiLevelType w:val="hybridMultilevel"/>
    <w:tmpl w:val="C8145520"/>
    <w:lvl w:ilvl="0" w:tplc="08090001">
      <w:start w:val="1"/>
      <w:numFmt w:val="bullet"/>
      <w:lvlText w:val=""/>
      <w:lvlJc w:val="left"/>
      <w:pPr>
        <w:ind w:left="720" w:hanging="360"/>
      </w:pPr>
      <w:rPr>
        <w:rFonts w:ascii="Symbol" w:hAnsi="Symbol" w:hint="default"/>
      </w:rPr>
    </w:lvl>
    <w:lvl w:ilvl="1" w:tplc="2FC6061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662FA"/>
    <w:multiLevelType w:val="hybridMultilevel"/>
    <w:tmpl w:val="D61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D4678"/>
    <w:multiLevelType w:val="hybridMultilevel"/>
    <w:tmpl w:val="569C1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605413">
    <w:abstractNumId w:val="4"/>
  </w:num>
  <w:num w:numId="2" w16cid:durableId="1275091177">
    <w:abstractNumId w:val="4"/>
  </w:num>
  <w:num w:numId="3" w16cid:durableId="1721394752">
    <w:abstractNumId w:val="3"/>
  </w:num>
  <w:num w:numId="4" w16cid:durableId="1470198404">
    <w:abstractNumId w:val="13"/>
  </w:num>
  <w:num w:numId="5" w16cid:durableId="1704137509">
    <w:abstractNumId w:val="19"/>
  </w:num>
  <w:num w:numId="6" w16cid:durableId="1637835657">
    <w:abstractNumId w:val="27"/>
  </w:num>
  <w:num w:numId="7" w16cid:durableId="1216965471">
    <w:abstractNumId w:val="8"/>
  </w:num>
  <w:num w:numId="8" w16cid:durableId="695038622">
    <w:abstractNumId w:val="0"/>
  </w:num>
  <w:num w:numId="9" w16cid:durableId="1210995010">
    <w:abstractNumId w:val="14"/>
  </w:num>
  <w:num w:numId="10" w16cid:durableId="679621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816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474277">
    <w:abstractNumId w:val="28"/>
  </w:num>
  <w:num w:numId="13" w16cid:durableId="1008755535">
    <w:abstractNumId w:val="20"/>
  </w:num>
  <w:num w:numId="14" w16cid:durableId="1178664981">
    <w:abstractNumId w:val="24"/>
  </w:num>
  <w:num w:numId="15" w16cid:durableId="991375940">
    <w:abstractNumId w:val="11"/>
  </w:num>
  <w:num w:numId="16" w16cid:durableId="2078547102">
    <w:abstractNumId w:val="1"/>
  </w:num>
  <w:num w:numId="17" w16cid:durableId="1643535117">
    <w:abstractNumId w:val="7"/>
  </w:num>
  <w:num w:numId="18" w16cid:durableId="558245501">
    <w:abstractNumId w:val="23"/>
  </w:num>
  <w:num w:numId="19" w16cid:durableId="1092244335">
    <w:abstractNumId w:val="9"/>
  </w:num>
  <w:num w:numId="20" w16cid:durableId="645401505">
    <w:abstractNumId w:val="17"/>
  </w:num>
  <w:num w:numId="21" w16cid:durableId="1281061798">
    <w:abstractNumId w:val="26"/>
  </w:num>
  <w:num w:numId="22" w16cid:durableId="175316765">
    <w:abstractNumId w:val="2"/>
  </w:num>
  <w:num w:numId="23" w16cid:durableId="224339549">
    <w:abstractNumId w:val="5"/>
  </w:num>
  <w:num w:numId="24" w16cid:durableId="608780096">
    <w:abstractNumId w:val="25"/>
  </w:num>
  <w:num w:numId="25" w16cid:durableId="912742663">
    <w:abstractNumId w:val="10"/>
  </w:num>
  <w:num w:numId="26" w16cid:durableId="1715692858">
    <w:abstractNumId w:val="15"/>
  </w:num>
  <w:num w:numId="27" w16cid:durableId="843400094">
    <w:abstractNumId w:val="12"/>
  </w:num>
  <w:num w:numId="28" w16cid:durableId="2113427482">
    <w:abstractNumId w:val="16"/>
  </w:num>
  <w:num w:numId="29" w16cid:durableId="1364478372">
    <w:abstractNumId w:val="6"/>
  </w:num>
  <w:num w:numId="30" w16cid:durableId="922683954">
    <w:abstractNumId w:val="22"/>
  </w:num>
  <w:num w:numId="31" w16cid:durableId="8944623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144CA"/>
    <w:rsid w:val="00017EC8"/>
    <w:rsid w:val="000416EB"/>
    <w:rsid w:val="00042A6A"/>
    <w:rsid w:val="000530A2"/>
    <w:rsid w:val="00060F7C"/>
    <w:rsid w:val="000855CB"/>
    <w:rsid w:val="000916A0"/>
    <w:rsid w:val="000A4F93"/>
    <w:rsid w:val="000B68D8"/>
    <w:rsid w:val="000B7036"/>
    <w:rsid w:val="000E203E"/>
    <w:rsid w:val="000F29FE"/>
    <w:rsid w:val="000F416A"/>
    <w:rsid w:val="00121F13"/>
    <w:rsid w:val="001624B4"/>
    <w:rsid w:val="00175E7B"/>
    <w:rsid w:val="00195377"/>
    <w:rsid w:val="001C1B67"/>
    <w:rsid w:val="001C2FD5"/>
    <w:rsid w:val="001D6BA1"/>
    <w:rsid w:val="00204A43"/>
    <w:rsid w:val="002265BB"/>
    <w:rsid w:val="002328F1"/>
    <w:rsid w:val="002408E9"/>
    <w:rsid w:val="00266549"/>
    <w:rsid w:val="00277A75"/>
    <w:rsid w:val="002A5F72"/>
    <w:rsid w:val="002E13CC"/>
    <w:rsid w:val="002E7732"/>
    <w:rsid w:val="002F068F"/>
    <w:rsid w:val="003019A5"/>
    <w:rsid w:val="00325FE8"/>
    <w:rsid w:val="0032714F"/>
    <w:rsid w:val="00327D28"/>
    <w:rsid w:val="00327E9C"/>
    <w:rsid w:val="00353E81"/>
    <w:rsid w:val="003558F3"/>
    <w:rsid w:val="0035653B"/>
    <w:rsid w:val="00360B3D"/>
    <w:rsid w:val="003630A1"/>
    <w:rsid w:val="00363B2C"/>
    <w:rsid w:val="00377373"/>
    <w:rsid w:val="0038628F"/>
    <w:rsid w:val="00397FEA"/>
    <w:rsid w:val="003B4F17"/>
    <w:rsid w:val="003C4408"/>
    <w:rsid w:val="003C7D40"/>
    <w:rsid w:val="003E6125"/>
    <w:rsid w:val="003F2D08"/>
    <w:rsid w:val="00406B9A"/>
    <w:rsid w:val="00407FE0"/>
    <w:rsid w:val="00431C7C"/>
    <w:rsid w:val="004346F8"/>
    <w:rsid w:val="00436C8B"/>
    <w:rsid w:val="00437814"/>
    <w:rsid w:val="0044172D"/>
    <w:rsid w:val="0046724E"/>
    <w:rsid w:val="00480967"/>
    <w:rsid w:val="004B16FA"/>
    <w:rsid w:val="004B3C4B"/>
    <w:rsid w:val="004C0857"/>
    <w:rsid w:val="004E736E"/>
    <w:rsid w:val="004E7A43"/>
    <w:rsid w:val="0051694B"/>
    <w:rsid w:val="005225BD"/>
    <w:rsid w:val="00531E6A"/>
    <w:rsid w:val="00536D98"/>
    <w:rsid w:val="00592DA7"/>
    <w:rsid w:val="00594D9C"/>
    <w:rsid w:val="005D11F1"/>
    <w:rsid w:val="005D1A4D"/>
    <w:rsid w:val="005D20BE"/>
    <w:rsid w:val="005D6C5D"/>
    <w:rsid w:val="005F0428"/>
    <w:rsid w:val="005F6AEF"/>
    <w:rsid w:val="006158D0"/>
    <w:rsid w:val="006614A3"/>
    <w:rsid w:val="00662EA3"/>
    <w:rsid w:val="006671B8"/>
    <w:rsid w:val="00680B9F"/>
    <w:rsid w:val="006837C4"/>
    <w:rsid w:val="00692514"/>
    <w:rsid w:val="006A6B1D"/>
    <w:rsid w:val="006B2D92"/>
    <w:rsid w:val="006B5FED"/>
    <w:rsid w:val="006D2C3C"/>
    <w:rsid w:val="006D6E97"/>
    <w:rsid w:val="006D6EFF"/>
    <w:rsid w:val="006E0E86"/>
    <w:rsid w:val="006F3719"/>
    <w:rsid w:val="006F3ABB"/>
    <w:rsid w:val="00703F7F"/>
    <w:rsid w:val="00705CF9"/>
    <w:rsid w:val="00737EFC"/>
    <w:rsid w:val="00742373"/>
    <w:rsid w:val="0075297B"/>
    <w:rsid w:val="007600AB"/>
    <w:rsid w:val="00767E78"/>
    <w:rsid w:val="00785A4D"/>
    <w:rsid w:val="007861AB"/>
    <w:rsid w:val="007C089D"/>
    <w:rsid w:val="00800B80"/>
    <w:rsid w:val="008010F5"/>
    <w:rsid w:val="0082107D"/>
    <w:rsid w:val="0084474D"/>
    <w:rsid w:val="0085787E"/>
    <w:rsid w:val="00880549"/>
    <w:rsid w:val="00883AB1"/>
    <w:rsid w:val="00885411"/>
    <w:rsid w:val="008A177B"/>
    <w:rsid w:val="008F4D6F"/>
    <w:rsid w:val="009145B6"/>
    <w:rsid w:val="00914A3B"/>
    <w:rsid w:val="00923FB8"/>
    <w:rsid w:val="0093762F"/>
    <w:rsid w:val="00943541"/>
    <w:rsid w:val="00950970"/>
    <w:rsid w:val="00965693"/>
    <w:rsid w:val="0096710F"/>
    <w:rsid w:val="00981FF1"/>
    <w:rsid w:val="009B61DB"/>
    <w:rsid w:val="009C2C32"/>
    <w:rsid w:val="009C6E05"/>
    <w:rsid w:val="009E0A29"/>
    <w:rsid w:val="009E32D3"/>
    <w:rsid w:val="009F53C8"/>
    <w:rsid w:val="00A34636"/>
    <w:rsid w:val="00A35478"/>
    <w:rsid w:val="00A40C7B"/>
    <w:rsid w:val="00A41DAA"/>
    <w:rsid w:val="00A9490B"/>
    <w:rsid w:val="00AA05CC"/>
    <w:rsid w:val="00AA29AE"/>
    <w:rsid w:val="00AE04D4"/>
    <w:rsid w:val="00B1485D"/>
    <w:rsid w:val="00B45265"/>
    <w:rsid w:val="00B46CA4"/>
    <w:rsid w:val="00BB2130"/>
    <w:rsid w:val="00BB641A"/>
    <w:rsid w:val="00BE7846"/>
    <w:rsid w:val="00BE79D6"/>
    <w:rsid w:val="00C00591"/>
    <w:rsid w:val="00C22456"/>
    <w:rsid w:val="00C22ECE"/>
    <w:rsid w:val="00C4106E"/>
    <w:rsid w:val="00C435C1"/>
    <w:rsid w:val="00C46CE6"/>
    <w:rsid w:val="00C52930"/>
    <w:rsid w:val="00C731EC"/>
    <w:rsid w:val="00C73769"/>
    <w:rsid w:val="00C94644"/>
    <w:rsid w:val="00CA3CBF"/>
    <w:rsid w:val="00CC4669"/>
    <w:rsid w:val="00CD3944"/>
    <w:rsid w:val="00CD7E9B"/>
    <w:rsid w:val="00CE048B"/>
    <w:rsid w:val="00CF2550"/>
    <w:rsid w:val="00D3278F"/>
    <w:rsid w:val="00D35AB1"/>
    <w:rsid w:val="00D51613"/>
    <w:rsid w:val="00D759A6"/>
    <w:rsid w:val="00DB6BF6"/>
    <w:rsid w:val="00DD27D6"/>
    <w:rsid w:val="00DF18B8"/>
    <w:rsid w:val="00E04901"/>
    <w:rsid w:val="00E0681D"/>
    <w:rsid w:val="00E26C8D"/>
    <w:rsid w:val="00E60730"/>
    <w:rsid w:val="00E61810"/>
    <w:rsid w:val="00E65BED"/>
    <w:rsid w:val="00E74F32"/>
    <w:rsid w:val="00E765CB"/>
    <w:rsid w:val="00E83963"/>
    <w:rsid w:val="00E90FA5"/>
    <w:rsid w:val="00E9197B"/>
    <w:rsid w:val="00ED23BE"/>
    <w:rsid w:val="00EE3B3E"/>
    <w:rsid w:val="00EE497C"/>
    <w:rsid w:val="00EF1D23"/>
    <w:rsid w:val="00F01E0B"/>
    <w:rsid w:val="00F05FCF"/>
    <w:rsid w:val="00F14792"/>
    <w:rsid w:val="00F4330E"/>
    <w:rsid w:val="00F55815"/>
    <w:rsid w:val="00F661EF"/>
    <w:rsid w:val="00F90EF1"/>
    <w:rsid w:val="00F9740B"/>
    <w:rsid w:val="00FA4C2F"/>
    <w:rsid w:val="00FC4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30B2D"/>
  <w15:docId w15:val="{257DB3F7-C4EE-4238-ACED-3060DA17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62F"/>
    <w:pPr>
      <w:ind w:left="720"/>
      <w:contextualSpacing/>
    </w:pPr>
  </w:style>
  <w:style w:type="character" w:styleId="Hyperlink">
    <w:name w:val="Hyperlink"/>
    <w:basedOn w:val="DefaultParagraphFont"/>
    <w:uiPriority w:val="99"/>
    <w:unhideWhenUsed/>
    <w:rsid w:val="00C435C1"/>
    <w:rPr>
      <w:color w:val="0000FF" w:themeColor="hyperlink"/>
      <w:u w:val="single"/>
    </w:rPr>
  </w:style>
  <w:style w:type="character" w:customStyle="1" w:styleId="UnresolvedMention1">
    <w:name w:val="Unresolved Mention1"/>
    <w:basedOn w:val="DefaultParagraphFont"/>
    <w:uiPriority w:val="99"/>
    <w:semiHidden/>
    <w:unhideWhenUsed/>
    <w:rsid w:val="00C435C1"/>
    <w:rPr>
      <w:color w:val="605E5C"/>
      <w:shd w:val="clear" w:color="auto" w:fill="E1DFDD"/>
    </w:rPr>
  </w:style>
  <w:style w:type="paragraph" w:styleId="Title">
    <w:name w:val="Title"/>
    <w:basedOn w:val="Normal"/>
    <w:link w:val="TitleChar"/>
    <w:qFormat/>
    <w:rsid w:val="000855CB"/>
    <w:pPr>
      <w:spacing w:before="0" w:after="0"/>
      <w:jc w:val="center"/>
    </w:pPr>
    <w:rPr>
      <w:b/>
      <w:sz w:val="28"/>
      <w:szCs w:val="20"/>
    </w:rPr>
  </w:style>
  <w:style w:type="character" w:customStyle="1" w:styleId="TitleChar">
    <w:name w:val="Title Char"/>
    <w:basedOn w:val="DefaultParagraphFont"/>
    <w:link w:val="Title"/>
    <w:rsid w:val="000855CB"/>
    <w:rPr>
      <w:rFonts w:ascii="Arial" w:eastAsia="Times New Roman" w:hAnsi="Arial" w:cs="Times New Roman"/>
      <w:b/>
      <w:sz w:val="28"/>
      <w:szCs w:val="20"/>
      <w:lang w:eastAsia="en-GB"/>
    </w:rPr>
  </w:style>
  <w:style w:type="paragraph" w:styleId="Subtitle">
    <w:name w:val="Subtitle"/>
    <w:basedOn w:val="Normal"/>
    <w:link w:val="SubtitleChar"/>
    <w:qFormat/>
    <w:rsid w:val="000855CB"/>
    <w:pPr>
      <w:spacing w:before="0" w:after="0"/>
      <w:jc w:val="center"/>
    </w:pPr>
    <w:rPr>
      <w:b/>
      <w:sz w:val="32"/>
      <w:szCs w:val="20"/>
    </w:rPr>
  </w:style>
  <w:style w:type="character" w:customStyle="1" w:styleId="SubtitleChar">
    <w:name w:val="Subtitle Char"/>
    <w:basedOn w:val="DefaultParagraphFont"/>
    <w:link w:val="Subtitle"/>
    <w:rsid w:val="000855CB"/>
    <w:rPr>
      <w:rFonts w:ascii="Arial" w:eastAsia="Times New Roman" w:hAnsi="Arial" w:cs="Times New Roman"/>
      <w:b/>
      <w:sz w:val="32"/>
      <w:szCs w:val="20"/>
      <w:lang w:eastAsia="en-GB"/>
    </w:rPr>
  </w:style>
  <w:style w:type="paragraph" w:styleId="EndnoteText">
    <w:name w:val="endnote text"/>
    <w:basedOn w:val="Normal"/>
    <w:link w:val="EndnoteTextChar"/>
    <w:uiPriority w:val="99"/>
    <w:semiHidden/>
    <w:unhideWhenUsed/>
    <w:rsid w:val="00431C7C"/>
    <w:pPr>
      <w:spacing w:before="0" w:after="0"/>
    </w:pPr>
    <w:rPr>
      <w:sz w:val="20"/>
      <w:szCs w:val="20"/>
    </w:rPr>
  </w:style>
  <w:style w:type="character" w:customStyle="1" w:styleId="EndnoteTextChar">
    <w:name w:val="Endnote Text Char"/>
    <w:basedOn w:val="DefaultParagraphFont"/>
    <w:link w:val="EndnoteText"/>
    <w:uiPriority w:val="99"/>
    <w:semiHidden/>
    <w:rsid w:val="00431C7C"/>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431C7C"/>
    <w:rPr>
      <w:vertAlign w:val="superscript"/>
    </w:rPr>
  </w:style>
  <w:style w:type="character" w:styleId="CommentReference">
    <w:name w:val="annotation reference"/>
    <w:basedOn w:val="DefaultParagraphFont"/>
    <w:uiPriority w:val="99"/>
    <w:semiHidden/>
    <w:unhideWhenUsed/>
    <w:rsid w:val="00431C7C"/>
    <w:rPr>
      <w:sz w:val="16"/>
      <w:szCs w:val="16"/>
    </w:rPr>
  </w:style>
  <w:style w:type="paragraph" w:styleId="CommentText">
    <w:name w:val="annotation text"/>
    <w:basedOn w:val="Normal"/>
    <w:link w:val="CommentTextChar"/>
    <w:uiPriority w:val="99"/>
    <w:semiHidden/>
    <w:unhideWhenUsed/>
    <w:rsid w:val="00431C7C"/>
    <w:rPr>
      <w:sz w:val="20"/>
      <w:szCs w:val="20"/>
    </w:rPr>
  </w:style>
  <w:style w:type="character" w:customStyle="1" w:styleId="CommentTextChar">
    <w:name w:val="Comment Text Char"/>
    <w:basedOn w:val="DefaultParagraphFont"/>
    <w:link w:val="CommentText"/>
    <w:uiPriority w:val="99"/>
    <w:semiHidden/>
    <w:rsid w:val="00431C7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1C7C"/>
    <w:rPr>
      <w:b/>
      <w:bCs/>
    </w:rPr>
  </w:style>
  <w:style w:type="character" w:customStyle="1" w:styleId="CommentSubjectChar">
    <w:name w:val="Comment Subject Char"/>
    <w:basedOn w:val="CommentTextChar"/>
    <w:link w:val="CommentSubject"/>
    <w:uiPriority w:val="99"/>
    <w:semiHidden/>
    <w:rsid w:val="00431C7C"/>
    <w:rPr>
      <w:rFonts w:ascii="Arial" w:eastAsia="Times New Roman" w:hAnsi="Arial" w:cs="Times New Roman"/>
      <w:b/>
      <w:bCs/>
      <w:sz w:val="20"/>
      <w:szCs w:val="20"/>
      <w:lang w:eastAsia="en-GB"/>
    </w:rPr>
  </w:style>
  <w:style w:type="paragraph" w:styleId="Revision">
    <w:name w:val="Revision"/>
    <w:hidden/>
    <w:uiPriority w:val="99"/>
    <w:semiHidden/>
    <w:rsid w:val="00BB2130"/>
    <w:pPr>
      <w:spacing w:after="0" w:line="240" w:lineRule="auto"/>
    </w:pPr>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BB2130"/>
    <w:rPr>
      <w:color w:val="800080" w:themeColor="followedHyperlink"/>
      <w:u w:val="single"/>
    </w:rPr>
  </w:style>
  <w:style w:type="paragraph" w:styleId="NormalWeb">
    <w:name w:val="Normal (Web)"/>
    <w:basedOn w:val="Normal"/>
    <w:uiPriority w:val="99"/>
    <w:unhideWhenUsed/>
    <w:rsid w:val="00705CF9"/>
    <w:pPr>
      <w:spacing w:before="100" w:beforeAutospacing="1" w:after="100" w:afterAutospacing="1"/>
      <w:jc w:val="left"/>
    </w:pPr>
    <w:rPr>
      <w:rFonts w:ascii="Times New Roman" w:hAnsi="Times New Roman"/>
      <w:sz w:val="24"/>
    </w:rPr>
  </w:style>
  <w:style w:type="character" w:customStyle="1" w:styleId="whitespace-normal">
    <w:name w:val="whitespace-normal"/>
    <w:basedOn w:val="DefaultParagraphFont"/>
    <w:rsid w:val="00705CF9"/>
  </w:style>
  <w:style w:type="character" w:styleId="Emphasis">
    <w:name w:val="Emphasis"/>
    <w:basedOn w:val="DefaultParagraphFont"/>
    <w:uiPriority w:val="20"/>
    <w:qFormat/>
    <w:rsid w:val="00705CF9"/>
    <w:rPr>
      <w:i/>
      <w:iCs/>
    </w:rPr>
  </w:style>
  <w:style w:type="character" w:customStyle="1" w:styleId="UnresolvedMention2">
    <w:name w:val="Unresolved Mention2"/>
    <w:basedOn w:val="DefaultParagraphFont"/>
    <w:uiPriority w:val="99"/>
    <w:semiHidden/>
    <w:unhideWhenUsed/>
    <w:rsid w:val="00C0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5585">
      <w:bodyDiv w:val="1"/>
      <w:marLeft w:val="0"/>
      <w:marRight w:val="0"/>
      <w:marTop w:val="0"/>
      <w:marBottom w:val="0"/>
      <w:divBdr>
        <w:top w:val="none" w:sz="0" w:space="0" w:color="auto"/>
        <w:left w:val="none" w:sz="0" w:space="0" w:color="auto"/>
        <w:bottom w:val="none" w:sz="0" w:space="0" w:color="auto"/>
        <w:right w:val="none" w:sz="0" w:space="0" w:color="auto"/>
      </w:divBdr>
    </w:div>
    <w:div w:id="751199501">
      <w:bodyDiv w:val="1"/>
      <w:marLeft w:val="0"/>
      <w:marRight w:val="0"/>
      <w:marTop w:val="0"/>
      <w:marBottom w:val="0"/>
      <w:divBdr>
        <w:top w:val="none" w:sz="0" w:space="0" w:color="auto"/>
        <w:left w:val="none" w:sz="0" w:space="0" w:color="auto"/>
        <w:bottom w:val="none" w:sz="0" w:space="0" w:color="auto"/>
        <w:right w:val="none" w:sz="0" w:space="0" w:color="auto"/>
      </w:divBdr>
    </w:div>
    <w:div w:id="927732952">
      <w:bodyDiv w:val="1"/>
      <w:marLeft w:val="0"/>
      <w:marRight w:val="0"/>
      <w:marTop w:val="0"/>
      <w:marBottom w:val="0"/>
      <w:divBdr>
        <w:top w:val="none" w:sz="0" w:space="0" w:color="auto"/>
        <w:left w:val="none" w:sz="0" w:space="0" w:color="auto"/>
        <w:bottom w:val="none" w:sz="0" w:space="0" w:color="auto"/>
        <w:right w:val="none" w:sz="0" w:space="0" w:color="auto"/>
      </w:divBdr>
    </w:div>
    <w:div w:id="1119185700">
      <w:bodyDiv w:val="1"/>
      <w:marLeft w:val="0"/>
      <w:marRight w:val="0"/>
      <w:marTop w:val="0"/>
      <w:marBottom w:val="0"/>
      <w:divBdr>
        <w:top w:val="none" w:sz="0" w:space="0" w:color="auto"/>
        <w:left w:val="none" w:sz="0" w:space="0" w:color="auto"/>
        <w:bottom w:val="none" w:sz="0" w:space="0" w:color="auto"/>
        <w:right w:val="none" w:sz="0" w:space="0" w:color="auto"/>
      </w:divBdr>
    </w:div>
    <w:div w:id="1375690644">
      <w:bodyDiv w:val="1"/>
      <w:marLeft w:val="0"/>
      <w:marRight w:val="0"/>
      <w:marTop w:val="0"/>
      <w:marBottom w:val="0"/>
      <w:divBdr>
        <w:top w:val="none" w:sz="0" w:space="0" w:color="auto"/>
        <w:left w:val="none" w:sz="0" w:space="0" w:color="auto"/>
        <w:bottom w:val="none" w:sz="0" w:space="0" w:color="auto"/>
        <w:right w:val="none" w:sz="0" w:space="0" w:color="auto"/>
      </w:divBdr>
    </w:div>
    <w:div w:id="1799108959">
      <w:bodyDiv w:val="1"/>
      <w:marLeft w:val="0"/>
      <w:marRight w:val="0"/>
      <w:marTop w:val="0"/>
      <w:marBottom w:val="0"/>
      <w:divBdr>
        <w:top w:val="none" w:sz="0" w:space="0" w:color="auto"/>
        <w:left w:val="none" w:sz="0" w:space="0" w:color="auto"/>
        <w:bottom w:val="none" w:sz="0" w:space="0" w:color="auto"/>
        <w:right w:val="none" w:sz="0" w:space="0" w:color="auto"/>
      </w:divBdr>
    </w:div>
    <w:div w:id="1947034787">
      <w:bodyDiv w:val="1"/>
      <w:marLeft w:val="0"/>
      <w:marRight w:val="0"/>
      <w:marTop w:val="0"/>
      <w:marBottom w:val="0"/>
      <w:divBdr>
        <w:top w:val="none" w:sz="0" w:space="0" w:color="auto"/>
        <w:left w:val="none" w:sz="0" w:space="0" w:color="auto"/>
        <w:bottom w:val="none" w:sz="0" w:space="0" w:color="auto"/>
        <w:right w:val="none" w:sz="0" w:space="0" w:color="auto"/>
      </w:divBdr>
    </w:div>
    <w:div w:id="2017878436">
      <w:bodyDiv w:val="1"/>
      <w:marLeft w:val="0"/>
      <w:marRight w:val="0"/>
      <w:marTop w:val="0"/>
      <w:marBottom w:val="0"/>
      <w:divBdr>
        <w:top w:val="none" w:sz="0" w:space="0" w:color="auto"/>
        <w:left w:val="none" w:sz="0" w:space="0" w:color="auto"/>
        <w:bottom w:val="none" w:sz="0" w:space="0" w:color="auto"/>
        <w:right w:val="none" w:sz="0" w:space="0" w:color="auto"/>
      </w:divBdr>
    </w:div>
    <w:div w:id="20592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pharms.com/resources/pharmacy-guides/mca"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qc.org.uk/guidance-providers/adult-social-care/multi-compartment-compliance-aids-mcas-adult-social-care" TargetMode="External"/><Relationship Id="rId17" Type="http://schemas.openxmlformats.org/officeDocument/2006/relationships/hyperlink" Target="https://qualitysafety.bmj.com/content/18/5/341" TargetMode="External"/><Relationship Id="rId2" Type="http://schemas.openxmlformats.org/officeDocument/2006/relationships/numbering" Target="numbering.xml"/><Relationship Id="rId16" Type="http://schemas.openxmlformats.org/officeDocument/2006/relationships/hyperlink" Target="https://www.rpharms.com/portals/0/rps%20document%20library/open%20access/support/toolkit/faqs-on-mcas-nhs-lambet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ps.nhs.u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ice.org.uk/guidance/NG67/chapter/Recommen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E58D-0BD1-459E-A588-06F26791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2760</Words>
  <Characters>15738</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KHATUN, Rashida (EAST LONDON NHS FOUNDATION TRUST)</cp:lastModifiedBy>
  <cp:revision>2</cp:revision>
  <dcterms:created xsi:type="dcterms:W3CDTF">2026-05-18T08:01:00Z</dcterms:created>
  <dcterms:modified xsi:type="dcterms:W3CDTF">2026-05-18T08:01:00Z</dcterms:modified>
</cp:coreProperties>
</file>