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5358" w14:textId="5B97A323" w:rsidR="004E39BE" w:rsidRPr="00332446" w:rsidRDefault="002932AE" w:rsidP="00332446">
      <w:pPr>
        <w:jc w:val="center"/>
        <w:rPr>
          <w:rFonts w:ascii="Arial" w:hAnsi="Arial" w:cs="Arial"/>
          <w:b/>
          <w:bCs/>
          <w:sz w:val="24"/>
          <w:szCs w:val="24"/>
        </w:rPr>
      </w:pPr>
      <w:r w:rsidRPr="00373A85">
        <w:rPr>
          <w:rFonts w:ascii="Arial" w:hAnsi="Arial" w:cs="Arial"/>
          <w:b/>
          <w:bCs/>
          <w:sz w:val="24"/>
          <w:szCs w:val="24"/>
        </w:rPr>
        <w:t>Policy in a Nutshell (</w:t>
      </w:r>
      <w:r w:rsidR="00FF24AA">
        <w:rPr>
          <w:rFonts w:ascii="Arial" w:hAnsi="Arial" w:cs="Arial"/>
          <w:b/>
          <w:bCs/>
          <w:sz w:val="24"/>
          <w:szCs w:val="24"/>
        </w:rPr>
        <w:t>April</w:t>
      </w:r>
      <w:r w:rsidRPr="00373A85">
        <w:rPr>
          <w:rFonts w:ascii="Arial" w:hAnsi="Arial" w:cs="Arial"/>
          <w:b/>
          <w:bCs/>
          <w:sz w:val="24"/>
          <w:szCs w:val="24"/>
        </w:rPr>
        <w:t xml:space="preserve"> 202</w:t>
      </w:r>
      <w:r w:rsidR="00B81426">
        <w:rPr>
          <w:rFonts w:ascii="Arial" w:hAnsi="Arial" w:cs="Arial"/>
          <w:b/>
          <w:bCs/>
          <w:sz w:val="24"/>
          <w:szCs w:val="24"/>
        </w:rPr>
        <w:t>6</w:t>
      </w:r>
      <w:r w:rsidRPr="00373A85">
        <w:rPr>
          <w:rFonts w:ascii="Arial" w:hAnsi="Arial" w:cs="Arial"/>
          <w:b/>
          <w:bCs/>
          <w:sz w:val="24"/>
          <w:szCs w:val="24"/>
        </w:rPr>
        <w:t>)</w:t>
      </w:r>
    </w:p>
    <w:p w14:paraId="6E05D309" w14:textId="77777777" w:rsidR="004E39BE" w:rsidRDefault="004E39BE" w:rsidP="004E39BE">
      <w:pPr>
        <w:rPr>
          <w:rFonts w:ascii="Arial" w:hAnsi="Arial" w:cs="Arial"/>
        </w:rPr>
      </w:pPr>
      <w:r w:rsidRPr="004E39BE">
        <w:rPr>
          <w:rFonts w:ascii="Arial" w:hAnsi="Arial" w:cs="Arial"/>
        </w:rPr>
        <w:t xml:space="preserve">All Trust wide policies are available on the ELFT intranet, </w:t>
      </w:r>
    </w:p>
    <w:p w14:paraId="17061249" w14:textId="15492BB2" w:rsidR="004E39BE" w:rsidRPr="004E39BE" w:rsidRDefault="004E39BE" w:rsidP="004E39BE">
      <w:pPr>
        <w:rPr>
          <w:rFonts w:ascii="Arial" w:hAnsi="Arial" w:cs="Arial"/>
        </w:rPr>
      </w:pPr>
      <w:hyperlink r:id="rId5" w:history="1">
        <w:r w:rsidRPr="004E39BE">
          <w:rPr>
            <w:rStyle w:val="Hyperlink"/>
            <w:rFonts w:ascii="Arial" w:hAnsi="Arial" w:cs="Arial"/>
          </w:rPr>
          <w:t>https://www.elft.nhs.uk/intranet/teams-support-me/governance-and-risk-management/policy-management/trust-policies</w:t>
        </w:r>
      </w:hyperlink>
    </w:p>
    <w:p w14:paraId="31749719" w14:textId="53C22F26" w:rsidR="00373A85" w:rsidRPr="00373A85" w:rsidRDefault="004E39BE" w:rsidP="004E39BE">
      <w:pPr>
        <w:rPr>
          <w:rFonts w:ascii="Arial" w:hAnsi="Arial" w:cs="Arial"/>
        </w:rPr>
      </w:pPr>
      <w:r w:rsidRPr="004E39BE">
        <w:rPr>
          <w:rFonts w:ascii="Arial" w:hAnsi="Arial" w:cs="Arial"/>
        </w:rPr>
        <w:t xml:space="preserve">As a polite reminder please do not search for policies on the internet as not all policies are published externally, and you may not find what you are looking for! </w:t>
      </w:r>
    </w:p>
    <w:p w14:paraId="1E9BBEDE" w14:textId="77777777" w:rsidR="00332446" w:rsidRDefault="00332446" w:rsidP="002932AE">
      <w:pPr>
        <w:rPr>
          <w:rFonts w:ascii="Arial" w:hAnsi="Arial" w:cs="Arial"/>
          <w:b/>
          <w:bCs/>
        </w:rPr>
      </w:pPr>
    </w:p>
    <w:p w14:paraId="4069F1AF" w14:textId="422F2920" w:rsidR="00FF24AA" w:rsidRDefault="002932AE" w:rsidP="00FF24AA">
      <w:pPr>
        <w:rPr>
          <w:rFonts w:ascii="Arial" w:hAnsi="Arial" w:cs="Arial"/>
          <w:b/>
          <w:bCs/>
        </w:rPr>
      </w:pPr>
      <w:r w:rsidRPr="004E39BE">
        <w:rPr>
          <w:rFonts w:ascii="Arial" w:hAnsi="Arial" w:cs="Arial"/>
          <w:b/>
          <w:bCs/>
        </w:rPr>
        <w:t>The following polic</w:t>
      </w:r>
      <w:r w:rsidR="00332446">
        <w:rPr>
          <w:rFonts w:ascii="Arial" w:hAnsi="Arial" w:cs="Arial"/>
          <w:b/>
          <w:bCs/>
        </w:rPr>
        <w:t>ies</w:t>
      </w:r>
      <w:r w:rsidRPr="004E39BE">
        <w:rPr>
          <w:rFonts w:ascii="Arial" w:hAnsi="Arial" w:cs="Arial"/>
          <w:b/>
          <w:bCs/>
        </w:rPr>
        <w:t xml:space="preserve"> were ratified or extended recently by the Quality Committee</w:t>
      </w:r>
      <w:r w:rsidR="00332446">
        <w:rPr>
          <w:rFonts w:ascii="Arial" w:hAnsi="Arial" w:cs="Arial"/>
          <w:b/>
          <w:bCs/>
        </w:rPr>
        <w:t>:</w:t>
      </w:r>
    </w:p>
    <w:p w14:paraId="48413434" w14:textId="578C6776" w:rsidR="00FF24AA" w:rsidRPr="00FF24AA" w:rsidRDefault="00FF24AA" w:rsidP="00FF24AA">
      <w:pPr>
        <w:rPr>
          <w:rFonts w:ascii="Arial" w:hAnsi="Arial" w:cs="Arial"/>
          <w:b/>
          <w:bCs/>
        </w:rPr>
      </w:pPr>
      <w:r w:rsidRPr="00FF24AA">
        <w:rPr>
          <w:rFonts w:ascii="Arial" w:hAnsi="Arial" w:cs="Arial"/>
          <w:b/>
          <w:bCs/>
        </w:rPr>
        <w:t>Health Records Policy</w:t>
      </w:r>
    </w:p>
    <w:p w14:paraId="2D5F768E" w14:textId="63E7DD51" w:rsidR="00FF24AA" w:rsidRPr="00FF24AA" w:rsidRDefault="00FF24AA" w:rsidP="00FF24AA">
      <w:pPr>
        <w:rPr>
          <w:rFonts w:ascii="Arial" w:hAnsi="Arial" w:cs="Arial"/>
        </w:rPr>
      </w:pPr>
      <w:r w:rsidRPr="00FF24AA">
        <w:rPr>
          <w:rFonts w:ascii="Arial" w:hAnsi="Arial" w:cs="Arial"/>
        </w:rPr>
        <w:t>This policy establishes a structured framework to ensure consistent, high-quality record keeping across services, with a primary focus on electronic records as the main system for documentation. It reflects the transition from paper-based to electronic records within community and mental health services and promotes safe, reliable information management practices.</w:t>
      </w:r>
    </w:p>
    <w:p w14:paraId="286CED73" w14:textId="5122625D" w:rsidR="00FF24AA" w:rsidRPr="00FF24AA" w:rsidRDefault="00FF24AA" w:rsidP="00FF24AA">
      <w:pPr>
        <w:rPr>
          <w:rFonts w:ascii="Arial" w:hAnsi="Arial" w:cs="Arial"/>
        </w:rPr>
      </w:pPr>
      <w:r w:rsidRPr="00FF24AA">
        <w:rPr>
          <w:rFonts w:ascii="Arial" w:hAnsi="Arial" w:cs="Arial"/>
        </w:rPr>
        <w:t>The purpose of this policy is to set out the standards, responsibilities, and processes required to maintain high-quality health records for all service users. It ensures compliance with legal and regulatory requirements while supporting the safe, effective use of electronic records as the primary source of patient information.</w:t>
      </w:r>
    </w:p>
    <w:p w14:paraId="051048CF" w14:textId="2F245FE1" w:rsidR="008E5AB1" w:rsidRDefault="00FF24AA" w:rsidP="00FF24AA">
      <w:pPr>
        <w:rPr>
          <w:rFonts w:ascii="Arial" w:hAnsi="Arial" w:cs="Arial"/>
        </w:rPr>
      </w:pPr>
      <w:r w:rsidRPr="00FF24AA">
        <w:rPr>
          <w:rFonts w:ascii="Arial" w:hAnsi="Arial" w:cs="Arial"/>
        </w:rPr>
        <w:t>Changes made during this review included outlining of methods of communication with patients.</w:t>
      </w:r>
      <w:r w:rsidR="00844FBF">
        <w:rPr>
          <w:rFonts w:ascii="Arial" w:hAnsi="Arial" w:cs="Arial"/>
        </w:rPr>
        <w:t xml:space="preserve"> </w:t>
      </w:r>
    </w:p>
    <w:p w14:paraId="6DD975F4" w14:textId="5D84852B" w:rsidR="004E39BE" w:rsidRDefault="004F1129" w:rsidP="002932AE">
      <w:pPr>
        <w:rPr>
          <w:rFonts w:ascii="Arial" w:hAnsi="Arial" w:cs="Arial"/>
        </w:rPr>
      </w:pPr>
      <w:hyperlink r:id="rId6" w:history="1">
        <w:r w:rsidRPr="00373BE2">
          <w:rPr>
            <w:rStyle w:val="Hyperlink"/>
            <w:rFonts w:ascii="Arial" w:hAnsi="Arial" w:cs="Arial"/>
          </w:rPr>
          <w:t>https://www.elft.nhs.uk/intranet/documents/health-records-policy-210</w:t>
        </w:r>
      </w:hyperlink>
      <w:r>
        <w:rPr>
          <w:rFonts w:ascii="Arial" w:hAnsi="Arial" w:cs="Arial"/>
        </w:rPr>
        <w:t xml:space="preserve"> </w:t>
      </w:r>
    </w:p>
    <w:p w14:paraId="6E0B6181" w14:textId="77777777" w:rsidR="00FF24AA" w:rsidRDefault="00FF24AA" w:rsidP="002932AE">
      <w:pPr>
        <w:rPr>
          <w:rFonts w:ascii="Arial" w:hAnsi="Arial" w:cs="Arial"/>
        </w:rPr>
      </w:pPr>
    </w:p>
    <w:p w14:paraId="4A952E09" w14:textId="26498B71" w:rsidR="00FF24AA" w:rsidRPr="00FF24AA" w:rsidRDefault="00FF24AA" w:rsidP="00FF24AA">
      <w:pPr>
        <w:shd w:val="clear" w:color="auto" w:fill="FFFFFF"/>
        <w:spacing w:after="200" w:line="276" w:lineRule="auto"/>
        <w:jc w:val="both"/>
        <w:rPr>
          <w:rFonts w:ascii="Arial" w:eastAsia="Calibri" w:hAnsi="Arial" w:cs="Arial"/>
          <w:b/>
          <w:bCs/>
          <w:kern w:val="0"/>
          <w:u w:val="single"/>
          <w14:ligatures w14:val="none"/>
        </w:rPr>
      </w:pPr>
      <w:r w:rsidRPr="00FF24AA">
        <w:rPr>
          <w:rFonts w:ascii="Arial" w:eastAsia="Calibri" w:hAnsi="Arial" w:cs="Arial"/>
          <w:b/>
          <w:bCs/>
          <w:kern w:val="0"/>
          <w:u w:val="single"/>
          <w14:ligatures w14:val="none"/>
        </w:rPr>
        <w:t>Policies for Extension</w:t>
      </w:r>
    </w:p>
    <w:tbl>
      <w:tblPr>
        <w:tblStyle w:val="TableGrid"/>
        <w:tblW w:w="9555" w:type="dxa"/>
        <w:tblLook w:val="04A0" w:firstRow="1" w:lastRow="0" w:firstColumn="1" w:lastColumn="0" w:noHBand="0" w:noVBand="1"/>
      </w:tblPr>
      <w:tblGrid>
        <w:gridCol w:w="3317"/>
        <w:gridCol w:w="2411"/>
        <w:gridCol w:w="3827"/>
      </w:tblGrid>
      <w:tr w:rsidR="00FF24AA" w:rsidRPr="00FF24AA" w14:paraId="53380B6C" w14:textId="77777777" w:rsidTr="005705C8">
        <w:tc>
          <w:tcPr>
            <w:tcW w:w="3317" w:type="dxa"/>
          </w:tcPr>
          <w:p w14:paraId="36BBEFB3" w14:textId="77777777" w:rsidR="00FF24AA" w:rsidRPr="00FF24AA" w:rsidRDefault="00FF24AA" w:rsidP="00FF24AA">
            <w:pPr>
              <w:shd w:val="clear" w:color="auto" w:fill="FFFFFF"/>
              <w:jc w:val="both"/>
              <w:rPr>
                <w:rFonts w:ascii="Arial" w:hAnsi="Arial" w:cs="Arial"/>
                <w:b/>
                <w:bCs/>
                <w:sz w:val="22"/>
                <w:szCs w:val="22"/>
              </w:rPr>
            </w:pPr>
            <w:r w:rsidRPr="00FF24AA">
              <w:rPr>
                <w:rFonts w:ascii="Arial" w:hAnsi="Arial" w:cs="Arial"/>
                <w:b/>
                <w:bCs/>
                <w:sz w:val="22"/>
                <w:szCs w:val="22"/>
              </w:rPr>
              <w:t>Policy Name</w:t>
            </w:r>
          </w:p>
        </w:tc>
        <w:tc>
          <w:tcPr>
            <w:tcW w:w="2411" w:type="dxa"/>
          </w:tcPr>
          <w:p w14:paraId="62E772AD" w14:textId="77777777" w:rsidR="00FF24AA" w:rsidRPr="00FF24AA" w:rsidRDefault="00FF24AA" w:rsidP="00FF24AA">
            <w:pPr>
              <w:shd w:val="clear" w:color="auto" w:fill="FFFFFF"/>
              <w:jc w:val="both"/>
              <w:rPr>
                <w:rFonts w:ascii="Arial" w:hAnsi="Arial" w:cs="Arial"/>
                <w:b/>
                <w:bCs/>
                <w:sz w:val="22"/>
                <w:szCs w:val="22"/>
              </w:rPr>
            </w:pPr>
            <w:r w:rsidRPr="00FF24AA">
              <w:rPr>
                <w:rFonts w:ascii="Arial" w:hAnsi="Arial" w:cs="Arial"/>
                <w:b/>
                <w:bCs/>
                <w:sz w:val="22"/>
                <w:szCs w:val="22"/>
              </w:rPr>
              <w:t>Extension requested to</w:t>
            </w:r>
          </w:p>
        </w:tc>
        <w:tc>
          <w:tcPr>
            <w:tcW w:w="3827" w:type="dxa"/>
          </w:tcPr>
          <w:p w14:paraId="64275014" w14:textId="77777777" w:rsidR="00FF24AA" w:rsidRPr="00FF24AA" w:rsidRDefault="00FF24AA" w:rsidP="00FF24AA">
            <w:pPr>
              <w:shd w:val="clear" w:color="auto" w:fill="FFFFFF"/>
              <w:jc w:val="both"/>
              <w:rPr>
                <w:rFonts w:ascii="Arial" w:hAnsi="Arial" w:cs="Arial"/>
                <w:b/>
                <w:bCs/>
                <w:sz w:val="22"/>
                <w:szCs w:val="22"/>
              </w:rPr>
            </w:pPr>
            <w:r w:rsidRPr="00FF24AA">
              <w:rPr>
                <w:rFonts w:ascii="Arial" w:hAnsi="Arial" w:cs="Arial"/>
                <w:b/>
                <w:bCs/>
                <w:sz w:val="22"/>
                <w:szCs w:val="22"/>
              </w:rPr>
              <w:t>Rationale</w:t>
            </w:r>
          </w:p>
        </w:tc>
      </w:tr>
      <w:tr w:rsidR="00FF24AA" w:rsidRPr="00FF24AA" w14:paraId="2464C9BE" w14:textId="77777777" w:rsidTr="005705C8">
        <w:tc>
          <w:tcPr>
            <w:tcW w:w="3317" w:type="dxa"/>
          </w:tcPr>
          <w:p w14:paraId="281B0740" w14:textId="77777777" w:rsidR="00FF24AA" w:rsidRPr="00FF24AA" w:rsidRDefault="00FF24AA" w:rsidP="00FF24AA">
            <w:pPr>
              <w:shd w:val="clear" w:color="auto" w:fill="FFFFFF"/>
              <w:rPr>
                <w:rFonts w:ascii="Arial" w:hAnsi="Arial" w:cs="Arial"/>
                <w:bCs/>
                <w:sz w:val="22"/>
                <w:szCs w:val="22"/>
              </w:rPr>
            </w:pPr>
            <w:bookmarkStart w:id="0" w:name="_Hlk219880434"/>
            <w:r w:rsidRPr="00FF24AA">
              <w:rPr>
                <w:rFonts w:ascii="Arial" w:hAnsi="Arial" w:cs="Arial"/>
                <w:bCs/>
                <w:sz w:val="22"/>
                <w:szCs w:val="22"/>
              </w:rPr>
              <w:t>Risk Management Framework</w:t>
            </w:r>
          </w:p>
        </w:tc>
        <w:tc>
          <w:tcPr>
            <w:tcW w:w="2411" w:type="dxa"/>
          </w:tcPr>
          <w:p w14:paraId="2FF1F400" w14:textId="77777777" w:rsidR="00FF24AA" w:rsidRPr="00FF24AA" w:rsidRDefault="00FF24AA" w:rsidP="00FF24AA">
            <w:pPr>
              <w:shd w:val="clear" w:color="auto" w:fill="FFFFFF"/>
              <w:jc w:val="both"/>
              <w:rPr>
                <w:rFonts w:ascii="Arial" w:hAnsi="Arial" w:cs="Arial"/>
                <w:bCs/>
                <w:sz w:val="22"/>
                <w:szCs w:val="22"/>
              </w:rPr>
            </w:pPr>
            <w:r w:rsidRPr="00FF24AA">
              <w:rPr>
                <w:rFonts w:ascii="Arial" w:hAnsi="Arial" w:cs="Arial"/>
                <w:bCs/>
                <w:sz w:val="22"/>
                <w:szCs w:val="22"/>
              </w:rPr>
              <w:t>May 2026</w:t>
            </w:r>
          </w:p>
        </w:tc>
        <w:tc>
          <w:tcPr>
            <w:tcW w:w="3827" w:type="dxa"/>
          </w:tcPr>
          <w:p w14:paraId="702A5DFE" w14:textId="77777777" w:rsidR="00FF24AA" w:rsidRPr="00FF24AA" w:rsidRDefault="00FF24AA" w:rsidP="00FF24AA">
            <w:pPr>
              <w:shd w:val="clear" w:color="auto" w:fill="FFFFFF"/>
              <w:rPr>
                <w:rFonts w:ascii="Arial" w:hAnsi="Arial" w:cs="Arial"/>
                <w:bCs/>
                <w:sz w:val="22"/>
                <w:szCs w:val="22"/>
              </w:rPr>
            </w:pPr>
            <w:r w:rsidRPr="00FF24AA">
              <w:rPr>
                <w:rFonts w:ascii="Arial" w:hAnsi="Arial" w:cs="Arial"/>
                <w:bCs/>
                <w:sz w:val="22"/>
                <w:szCs w:val="22"/>
              </w:rPr>
              <w:t>Extended whilst awaiting Trust risk appetite to be agreed by the Trust Board</w:t>
            </w:r>
          </w:p>
        </w:tc>
      </w:tr>
      <w:tr w:rsidR="00FF24AA" w:rsidRPr="00FF24AA" w14:paraId="59C59603" w14:textId="77777777" w:rsidTr="005705C8">
        <w:tc>
          <w:tcPr>
            <w:tcW w:w="3317" w:type="dxa"/>
          </w:tcPr>
          <w:p w14:paraId="499C4A3A" w14:textId="77777777" w:rsidR="00FF24AA" w:rsidRPr="00FF24AA" w:rsidRDefault="00FF24AA" w:rsidP="00FF24AA">
            <w:pPr>
              <w:shd w:val="clear" w:color="auto" w:fill="FFFFFF"/>
              <w:rPr>
                <w:rFonts w:ascii="Arial" w:hAnsi="Arial" w:cs="Arial"/>
                <w:bCs/>
                <w:sz w:val="22"/>
                <w:szCs w:val="22"/>
              </w:rPr>
            </w:pPr>
            <w:r w:rsidRPr="00FF24AA">
              <w:rPr>
                <w:rFonts w:ascii="Arial" w:hAnsi="Arial" w:cs="Arial"/>
                <w:bCs/>
                <w:sz w:val="22"/>
                <w:szCs w:val="22"/>
              </w:rPr>
              <w:t>Bedfordshire Mental Health Services Missing and Absent without Leave Policy</w:t>
            </w:r>
          </w:p>
        </w:tc>
        <w:tc>
          <w:tcPr>
            <w:tcW w:w="2411" w:type="dxa"/>
          </w:tcPr>
          <w:p w14:paraId="0BD8627F" w14:textId="77777777" w:rsidR="00FF24AA" w:rsidRPr="00FF24AA" w:rsidRDefault="00FF24AA" w:rsidP="00FF24AA">
            <w:pPr>
              <w:shd w:val="clear" w:color="auto" w:fill="FFFFFF"/>
              <w:jc w:val="both"/>
              <w:rPr>
                <w:rFonts w:ascii="Arial" w:hAnsi="Arial" w:cs="Arial"/>
                <w:bCs/>
                <w:sz w:val="22"/>
                <w:szCs w:val="22"/>
              </w:rPr>
            </w:pPr>
            <w:r w:rsidRPr="00FF24AA">
              <w:rPr>
                <w:rFonts w:ascii="Arial" w:hAnsi="Arial" w:cs="Arial"/>
                <w:bCs/>
                <w:sz w:val="22"/>
                <w:szCs w:val="22"/>
              </w:rPr>
              <w:t xml:space="preserve">May 2026 </w:t>
            </w:r>
          </w:p>
        </w:tc>
        <w:tc>
          <w:tcPr>
            <w:tcW w:w="3827" w:type="dxa"/>
          </w:tcPr>
          <w:p w14:paraId="07476A4C" w14:textId="77777777" w:rsidR="00FF24AA" w:rsidRPr="00FF24AA" w:rsidRDefault="00FF24AA" w:rsidP="00FF24AA">
            <w:pPr>
              <w:shd w:val="clear" w:color="auto" w:fill="FFFFFF"/>
              <w:rPr>
                <w:rFonts w:ascii="Arial" w:hAnsi="Arial" w:cs="Arial"/>
                <w:bCs/>
                <w:sz w:val="22"/>
                <w:szCs w:val="22"/>
              </w:rPr>
            </w:pPr>
            <w:r w:rsidRPr="00FF24AA">
              <w:rPr>
                <w:rFonts w:ascii="Arial" w:hAnsi="Arial" w:cs="Arial"/>
                <w:bCs/>
                <w:sz w:val="22"/>
                <w:szCs w:val="22"/>
              </w:rPr>
              <w:t xml:space="preserve">Policy has been reviewed and updated. To be presented to the Bedfordshire Police Liaison Committee for approval. </w:t>
            </w:r>
          </w:p>
        </w:tc>
      </w:tr>
      <w:bookmarkEnd w:id="0"/>
    </w:tbl>
    <w:p w14:paraId="62A226B2" w14:textId="77777777" w:rsidR="00FF24AA" w:rsidRPr="00FF24AA" w:rsidRDefault="00FF24AA" w:rsidP="00FF24AA">
      <w:pPr>
        <w:shd w:val="clear" w:color="auto" w:fill="FFFFFF"/>
        <w:spacing w:after="200" w:line="276" w:lineRule="auto"/>
        <w:jc w:val="both"/>
        <w:rPr>
          <w:rFonts w:ascii="Arial" w:eastAsia="Calibri" w:hAnsi="Arial" w:cs="Arial"/>
          <w:bCs/>
          <w:kern w:val="0"/>
          <w14:ligatures w14:val="none"/>
        </w:rPr>
      </w:pPr>
    </w:p>
    <w:p w14:paraId="193BA588" w14:textId="01B3540F" w:rsidR="00FF24AA" w:rsidRPr="00FF24AA" w:rsidRDefault="00FF24AA" w:rsidP="00FF24AA">
      <w:pPr>
        <w:shd w:val="clear" w:color="auto" w:fill="FFFFFF"/>
        <w:spacing w:after="200" w:line="276" w:lineRule="auto"/>
        <w:jc w:val="both"/>
        <w:rPr>
          <w:rFonts w:ascii="Arial" w:eastAsia="Calibri" w:hAnsi="Arial" w:cs="Arial"/>
          <w:b/>
          <w:kern w:val="0"/>
          <w:u w:val="single"/>
          <w14:ligatures w14:val="none"/>
        </w:rPr>
      </w:pPr>
      <w:r w:rsidRPr="00FF24AA">
        <w:rPr>
          <w:rFonts w:ascii="Arial" w:eastAsia="Calibri" w:hAnsi="Arial" w:cs="Arial"/>
          <w:b/>
          <w:kern w:val="0"/>
          <w:u w:val="single"/>
          <w14:ligatures w14:val="none"/>
        </w:rPr>
        <w:t>Additional Updates</w:t>
      </w:r>
    </w:p>
    <w:p w14:paraId="569C150F" w14:textId="57AC6B4F" w:rsidR="00FF24AA" w:rsidRPr="00FF24AA" w:rsidRDefault="00FF24AA" w:rsidP="00FF24AA">
      <w:pPr>
        <w:shd w:val="clear" w:color="auto" w:fill="FFFFFF"/>
        <w:spacing w:after="200" w:line="276" w:lineRule="auto"/>
        <w:jc w:val="both"/>
        <w:rPr>
          <w:rFonts w:ascii="Arial" w:eastAsia="Calibri" w:hAnsi="Arial" w:cs="Arial"/>
          <w:bCs/>
          <w:kern w:val="0"/>
          <w14:ligatures w14:val="none"/>
        </w:rPr>
      </w:pPr>
      <w:r w:rsidRPr="00FF24AA">
        <w:rPr>
          <w:rFonts w:ascii="Arial" w:eastAsia="Calibri" w:hAnsi="Arial" w:cs="Arial"/>
          <w:bCs/>
          <w:kern w:val="0"/>
          <w14:ligatures w14:val="none"/>
        </w:rPr>
        <w:t>The following are policies that were made redundant this month:</w:t>
      </w:r>
    </w:p>
    <w:tbl>
      <w:tblPr>
        <w:tblStyle w:val="TableGrid"/>
        <w:tblW w:w="0" w:type="auto"/>
        <w:tblLook w:val="04A0" w:firstRow="1" w:lastRow="0" w:firstColumn="1" w:lastColumn="0" w:noHBand="0" w:noVBand="1"/>
      </w:tblPr>
      <w:tblGrid>
        <w:gridCol w:w="4504"/>
        <w:gridCol w:w="4512"/>
      </w:tblGrid>
      <w:tr w:rsidR="00FF24AA" w:rsidRPr="00FF24AA" w14:paraId="16D5B59C" w14:textId="77777777" w:rsidTr="005705C8">
        <w:tc>
          <w:tcPr>
            <w:tcW w:w="4848" w:type="dxa"/>
          </w:tcPr>
          <w:p w14:paraId="3CE0D45D" w14:textId="77777777" w:rsidR="00FF24AA" w:rsidRPr="00FF24AA" w:rsidRDefault="00FF24AA" w:rsidP="00FF24AA">
            <w:pPr>
              <w:shd w:val="clear" w:color="auto" w:fill="FFFFFF"/>
              <w:jc w:val="both"/>
              <w:rPr>
                <w:rFonts w:ascii="Arial" w:hAnsi="Arial" w:cs="Arial"/>
                <w:b/>
                <w:bCs/>
                <w:sz w:val="22"/>
                <w:szCs w:val="22"/>
              </w:rPr>
            </w:pPr>
            <w:r w:rsidRPr="00FF24AA">
              <w:rPr>
                <w:rFonts w:ascii="Arial" w:hAnsi="Arial" w:cs="Arial"/>
                <w:b/>
                <w:bCs/>
                <w:sz w:val="22"/>
                <w:szCs w:val="22"/>
              </w:rPr>
              <w:t>Name of Policy</w:t>
            </w:r>
          </w:p>
          <w:p w14:paraId="183FCD8D" w14:textId="77777777" w:rsidR="00FF24AA" w:rsidRPr="00FF24AA" w:rsidRDefault="00FF24AA" w:rsidP="00FF24AA">
            <w:pPr>
              <w:shd w:val="clear" w:color="auto" w:fill="FFFFFF"/>
              <w:jc w:val="both"/>
              <w:rPr>
                <w:rFonts w:ascii="Arial" w:hAnsi="Arial" w:cs="Arial"/>
                <w:b/>
                <w:bCs/>
                <w:sz w:val="22"/>
                <w:szCs w:val="22"/>
              </w:rPr>
            </w:pPr>
          </w:p>
        </w:tc>
        <w:tc>
          <w:tcPr>
            <w:tcW w:w="4849" w:type="dxa"/>
          </w:tcPr>
          <w:p w14:paraId="62BD64ED" w14:textId="77777777" w:rsidR="00FF24AA" w:rsidRPr="00FF24AA" w:rsidRDefault="00FF24AA" w:rsidP="00FF24AA">
            <w:pPr>
              <w:shd w:val="clear" w:color="auto" w:fill="FFFFFF"/>
              <w:jc w:val="both"/>
              <w:rPr>
                <w:rFonts w:ascii="Arial" w:hAnsi="Arial" w:cs="Arial"/>
                <w:b/>
                <w:bCs/>
                <w:sz w:val="22"/>
                <w:szCs w:val="22"/>
              </w:rPr>
            </w:pPr>
            <w:r w:rsidRPr="00FF24AA">
              <w:rPr>
                <w:rFonts w:ascii="Arial" w:hAnsi="Arial" w:cs="Arial"/>
                <w:b/>
                <w:bCs/>
                <w:sz w:val="22"/>
                <w:szCs w:val="22"/>
              </w:rPr>
              <w:t>Rationale for being made redundant</w:t>
            </w:r>
          </w:p>
        </w:tc>
      </w:tr>
      <w:tr w:rsidR="00FF24AA" w:rsidRPr="00FF24AA" w14:paraId="3A2B5CB7" w14:textId="77777777" w:rsidTr="005705C8">
        <w:tc>
          <w:tcPr>
            <w:tcW w:w="4848" w:type="dxa"/>
          </w:tcPr>
          <w:p w14:paraId="1FA4EF86" w14:textId="77777777" w:rsidR="00FF24AA" w:rsidRPr="00FF24AA" w:rsidRDefault="00FF24AA" w:rsidP="00FF24AA">
            <w:pPr>
              <w:shd w:val="clear" w:color="auto" w:fill="FFFFFF"/>
              <w:jc w:val="both"/>
              <w:rPr>
                <w:rFonts w:ascii="Arial" w:hAnsi="Arial" w:cs="Arial"/>
                <w:bCs/>
                <w:sz w:val="22"/>
                <w:szCs w:val="22"/>
              </w:rPr>
            </w:pPr>
            <w:r w:rsidRPr="00FF24AA">
              <w:rPr>
                <w:rFonts w:ascii="Arial" w:hAnsi="Arial" w:cs="Arial"/>
                <w:bCs/>
                <w:sz w:val="22"/>
                <w:szCs w:val="22"/>
              </w:rPr>
              <w:t>Medicines Formulary Policy</w:t>
            </w:r>
          </w:p>
          <w:p w14:paraId="1585B6F5" w14:textId="77777777" w:rsidR="00FF24AA" w:rsidRPr="00FF24AA" w:rsidRDefault="00FF24AA" w:rsidP="00FF24AA">
            <w:pPr>
              <w:shd w:val="clear" w:color="auto" w:fill="FFFFFF"/>
              <w:jc w:val="both"/>
              <w:rPr>
                <w:rFonts w:ascii="Arial" w:hAnsi="Arial" w:cs="Arial"/>
                <w:bCs/>
                <w:sz w:val="22"/>
                <w:szCs w:val="22"/>
              </w:rPr>
            </w:pPr>
          </w:p>
        </w:tc>
        <w:tc>
          <w:tcPr>
            <w:tcW w:w="4849" w:type="dxa"/>
          </w:tcPr>
          <w:p w14:paraId="45C88F39" w14:textId="77777777" w:rsidR="00FF24AA" w:rsidRPr="00FF24AA" w:rsidRDefault="00FF24AA" w:rsidP="00FF24AA">
            <w:pPr>
              <w:rPr>
                <w:rFonts w:ascii="Arial" w:hAnsi="Arial" w:cs="Arial"/>
                <w:bCs/>
                <w:sz w:val="22"/>
                <w:szCs w:val="22"/>
              </w:rPr>
            </w:pPr>
            <w:r w:rsidRPr="00FF24AA">
              <w:rPr>
                <w:rFonts w:ascii="Arial" w:hAnsi="Arial" w:cs="Arial"/>
                <w:bCs/>
                <w:sz w:val="22"/>
                <w:szCs w:val="22"/>
              </w:rPr>
              <w:t>No longer active</w:t>
            </w:r>
          </w:p>
        </w:tc>
      </w:tr>
    </w:tbl>
    <w:p w14:paraId="09CC6DBA" w14:textId="77777777" w:rsidR="00844FBF" w:rsidRDefault="00844FBF" w:rsidP="002932AE">
      <w:pPr>
        <w:rPr>
          <w:rFonts w:ascii="Arial" w:hAnsi="Arial" w:cs="Arial"/>
          <w:b/>
          <w:bCs/>
        </w:rPr>
      </w:pPr>
    </w:p>
    <w:p w14:paraId="2F0390D8" w14:textId="72DF5C49" w:rsidR="00373A85" w:rsidRPr="00373A85" w:rsidRDefault="00373A85" w:rsidP="002932AE">
      <w:pPr>
        <w:rPr>
          <w:rFonts w:ascii="Arial" w:hAnsi="Arial" w:cs="Arial"/>
          <w:b/>
          <w:bCs/>
          <w:u w:val="single"/>
        </w:rPr>
      </w:pPr>
      <w:r w:rsidRPr="00373A85">
        <w:rPr>
          <w:rFonts w:ascii="Arial" w:hAnsi="Arial" w:cs="Arial"/>
          <w:b/>
          <w:bCs/>
          <w:u w:val="single"/>
        </w:rPr>
        <w:lastRenderedPageBreak/>
        <w:t>Other Trust Policies Ratified this month:</w:t>
      </w:r>
    </w:p>
    <w:p w14:paraId="35B22DF9" w14:textId="77B7C7CD" w:rsidR="00FF24AA" w:rsidRPr="00405242" w:rsidRDefault="00DE25EC" w:rsidP="00DE25EC">
      <w:pPr>
        <w:shd w:val="clear" w:color="auto" w:fill="FFFFFF"/>
        <w:spacing w:after="200" w:line="276" w:lineRule="auto"/>
        <w:contextualSpacing/>
        <w:jc w:val="both"/>
        <w:rPr>
          <w:rFonts w:ascii="Arial" w:eastAsia="Calibri" w:hAnsi="Arial" w:cs="Arial"/>
          <w:b/>
          <w:kern w:val="0"/>
          <w:u w:val="single"/>
          <w14:ligatures w14:val="none"/>
        </w:rPr>
      </w:pPr>
      <w:r w:rsidRPr="00405242">
        <w:rPr>
          <w:rFonts w:ascii="Arial" w:eastAsia="Calibri" w:hAnsi="Arial" w:cs="Arial"/>
          <w:b/>
          <w:kern w:val="0"/>
          <w:u w:val="single"/>
          <w14:ligatures w14:val="none"/>
        </w:rPr>
        <w:t>Medicines</w:t>
      </w:r>
      <w:r w:rsidR="00405242" w:rsidRPr="00405242">
        <w:rPr>
          <w:rFonts w:ascii="Arial" w:eastAsia="Calibri" w:hAnsi="Arial" w:cs="Arial"/>
          <w:b/>
          <w:kern w:val="0"/>
          <w:u w:val="single"/>
          <w14:ligatures w14:val="none"/>
        </w:rPr>
        <w:t xml:space="preserve"> Policies</w:t>
      </w:r>
    </w:p>
    <w:p w14:paraId="66077DD9" w14:textId="77777777" w:rsidR="008A53B3" w:rsidRDefault="008A53B3" w:rsidP="00DE25EC">
      <w:pPr>
        <w:shd w:val="clear" w:color="auto" w:fill="FFFFFF"/>
        <w:spacing w:after="200" w:line="276" w:lineRule="auto"/>
        <w:contextualSpacing/>
        <w:jc w:val="both"/>
        <w:rPr>
          <w:rFonts w:ascii="Arial" w:eastAsia="Calibri" w:hAnsi="Arial" w:cs="Arial"/>
          <w:bCs/>
          <w:kern w:val="0"/>
          <w14:ligatures w14:val="none"/>
        </w:rPr>
      </w:pPr>
    </w:p>
    <w:p w14:paraId="21043204" w14:textId="530EF917" w:rsidR="008A53B3" w:rsidRDefault="008A53B3" w:rsidP="00DE25EC">
      <w:pPr>
        <w:shd w:val="clear" w:color="auto" w:fill="FFFFFF"/>
        <w:spacing w:after="200" w:line="276" w:lineRule="auto"/>
        <w:contextualSpacing/>
        <w:jc w:val="both"/>
        <w:rPr>
          <w:rFonts w:ascii="Arial" w:eastAsia="Calibri" w:hAnsi="Arial" w:cs="Arial"/>
          <w:b/>
          <w:kern w:val="0"/>
          <w14:ligatures w14:val="none"/>
        </w:rPr>
      </w:pPr>
      <w:r w:rsidRPr="008A53B3">
        <w:rPr>
          <w:rFonts w:ascii="Arial" w:eastAsia="Calibri" w:hAnsi="Arial" w:cs="Arial"/>
          <w:b/>
          <w:kern w:val="0"/>
          <w14:ligatures w14:val="none"/>
        </w:rPr>
        <w:t>Valproate Policy</w:t>
      </w:r>
    </w:p>
    <w:p w14:paraId="6A8782AC" w14:textId="77777777" w:rsidR="008A53B3" w:rsidRDefault="008A53B3" w:rsidP="00DE25EC">
      <w:pPr>
        <w:shd w:val="clear" w:color="auto" w:fill="FFFFFF"/>
        <w:spacing w:after="200" w:line="276" w:lineRule="auto"/>
        <w:contextualSpacing/>
        <w:jc w:val="both"/>
        <w:rPr>
          <w:rFonts w:ascii="Arial" w:eastAsia="Calibri" w:hAnsi="Arial" w:cs="Arial"/>
          <w:b/>
          <w:kern w:val="0"/>
          <w14:ligatures w14:val="none"/>
        </w:rPr>
      </w:pPr>
    </w:p>
    <w:p w14:paraId="64295180" w14:textId="043531C4" w:rsidR="008A53B3" w:rsidRPr="008A53B3" w:rsidRDefault="008A53B3" w:rsidP="00DE25EC">
      <w:pPr>
        <w:shd w:val="clear" w:color="auto" w:fill="FFFFFF"/>
        <w:spacing w:after="200" w:line="276" w:lineRule="auto"/>
        <w:contextualSpacing/>
        <w:jc w:val="both"/>
        <w:rPr>
          <w:rFonts w:ascii="Arial" w:eastAsia="Calibri" w:hAnsi="Arial" w:cs="Arial"/>
          <w:bCs/>
          <w:kern w:val="0"/>
          <w14:ligatures w14:val="none"/>
        </w:rPr>
      </w:pPr>
      <w:r w:rsidRPr="008A53B3">
        <w:rPr>
          <w:rFonts w:ascii="Arial" w:eastAsia="Calibri" w:hAnsi="Arial" w:cs="Arial"/>
          <w:bCs/>
          <w:kern w:val="0"/>
          <w14:ligatures w14:val="none"/>
        </w:rPr>
        <w:t>This p</w:t>
      </w:r>
      <w:r w:rsidRPr="008A53B3">
        <w:rPr>
          <w:rFonts w:ascii="Arial" w:eastAsia="Calibri" w:hAnsi="Arial" w:cs="Arial"/>
          <w:bCs/>
          <w:kern w:val="0"/>
          <w14:ligatures w14:val="none"/>
        </w:rPr>
        <w:t>olicy provides guidance for the safe prescribing, monitoring, and use of valproate medicines within the Trust. Its purpose is to minimise the significant risks associated with valproate exposure during pregnancy, ensure patients are appropriately counselled about risks, and support compliance with national safety requirements, including completion of Risk Acknowledgement Forms (RAFs) and the PREVENT Pregnancy Prevention Programme (PPP) where applicable.</w:t>
      </w:r>
    </w:p>
    <w:p w14:paraId="1DAF17AB" w14:textId="77777777" w:rsidR="008A53B3" w:rsidRDefault="008A53B3" w:rsidP="00DE25EC">
      <w:pPr>
        <w:shd w:val="clear" w:color="auto" w:fill="FFFFFF"/>
        <w:spacing w:after="200" w:line="276" w:lineRule="auto"/>
        <w:contextualSpacing/>
        <w:jc w:val="both"/>
        <w:rPr>
          <w:rFonts w:ascii="Arial" w:eastAsia="Calibri" w:hAnsi="Arial" w:cs="Arial"/>
          <w:b/>
          <w:kern w:val="0"/>
          <w14:ligatures w14:val="none"/>
        </w:rPr>
      </w:pPr>
    </w:p>
    <w:p w14:paraId="66D23F24" w14:textId="0A98EE36" w:rsidR="008A53B3" w:rsidRDefault="008A53B3" w:rsidP="00DE25EC">
      <w:pPr>
        <w:shd w:val="clear" w:color="auto" w:fill="FFFFFF"/>
        <w:spacing w:after="200" w:line="276" w:lineRule="auto"/>
        <w:contextualSpacing/>
        <w:jc w:val="both"/>
        <w:rPr>
          <w:rFonts w:ascii="Arial" w:eastAsia="Calibri" w:hAnsi="Arial" w:cs="Arial"/>
          <w:bCs/>
          <w:kern w:val="0"/>
          <w14:ligatures w14:val="none"/>
        </w:rPr>
      </w:pPr>
      <w:r w:rsidRPr="008A53B3">
        <w:rPr>
          <w:rFonts w:ascii="Arial" w:eastAsia="Calibri" w:hAnsi="Arial" w:cs="Arial"/>
          <w:bCs/>
          <w:kern w:val="0"/>
          <w14:ligatures w14:val="none"/>
        </w:rPr>
        <w:t xml:space="preserve">The policy has been updated to extend completion of the Risk Acknowledgement Form (RAF) following emergency valproate initiation from 7 to 14 days, with RAF completion also required before patient transfer. A new digital </w:t>
      </w:r>
      <w:proofErr w:type="spellStart"/>
      <w:r w:rsidRPr="008A53B3">
        <w:rPr>
          <w:rFonts w:ascii="Arial" w:eastAsia="Calibri" w:hAnsi="Arial" w:cs="Arial"/>
          <w:bCs/>
          <w:kern w:val="0"/>
          <w14:ligatures w14:val="none"/>
        </w:rPr>
        <w:t>RiO</w:t>
      </w:r>
      <w:proofErr w:type="spellEnd"/>
      <w:r w:rsidRPr="008A53B3">
        <w:rPr>
          <w:rFonts w:ascii="Arial" w:eastAsia="Calibri" w:hAnsi="Arial" w:cs="Arial"/>
          <w:bCs/>
          <w:kern w:val="0"/>
          <w14:ligatures w14:val="none"/>
        </w:rPr>
        <w:t xml:space="preserve"> Valproate Male Counselling Checklist has been introduced, with clarification that a completed male RAF satisfies counselling documentation requirements. Additional updates clarify application of valproate avoidance, RAF, and PREVENT (PPP) requirements for patients lacking capacity, and Appendix 1 has been revised accordingly.</w:t>
      </w:r>
    </w:p>
    <w:p w14:paraId="57CFE19E" w14:textId="77777777" w:rsidR="008A53B3" w:rsidRDefault="008A53B3" w:rsidP="00DE25EC">
      <w:pPr>
        <w:shd w:val="clear" w:color="auto" w:fill="FFFFFF"/>
        <w:spacing w:after="200" w:line="276" w:lineRule="auto"/>
        <w:contextualSpacing/>
        <w:jc w:val="both"/>
        <w:rPr>
          <w:rFonts w:ascii="Arial" w:eastAsia="Calibri" w:hAnsi="Arial" w:cs="Arial"/>
          <w:bCs/>
          <w:kern w:val="0"/>
          <w14:ligatures w14:val="none"/>
        </w:rPr>
      </w:pPr>
    </w:p>
    <w:p w14:paraId="2FD331A6" w14:textId="1392AA8E" w:rsidR="008A53B3" w:rsidRPr="008A53B3" w:rsidRDefault="008A53B3" w:rsidP="00DE25EC">
      <w:pPr>
        <w:shd w:val="clear" w:color="auto" w:fill="FFFFFF"/>
        <w:spacing w:after="200" w:line="276" w:lineRule="auto"/>
        <w:contextualSpacing/>
        <w:jc w:val="both"/>
        <w:rPr>
          <w:rFonts w:ascii="Arial" w:eastAsia="Calibri" w:hAnsi="Arial" w:cs="Arial"/>
          <w:bCs/>
          <w:kern w:val="0"/>
          <w14:ligatures w14:val="none"/>
        </w:rPr>
      </w:pPr>
      <w:r>
        <w:rPr>
          <w:rFonts w:ascii="Arial" w:eastAsia="Calibri" w:hAnsi="Arial" w:cs="Arial"/>
          <w:bCs/>
          <w:kern w:val="0"/>
          <w14:ligatures w14:val="none"/>
        </w:rPr>
        <w:t>Other Medicines documents uploaded this month are:</w:t>
      </w:r>
    </w:p>
    <w:p w14:paraId="761BAD91" w14:textId="77777777" w:rsidR="00FF24AA" w:rsidRPr="00FF24AA" w:rsidRDefault="00FF24AA" w:rsidP="00FF24AA">
      <w:pPr>
        <w:pStyle w:val="ListParagraph"/>
        <w:numPr>
          <w:ilvl w:val="0"/>
          <w:numId w:val="4"/>
        </w:numPr>
        <w:rPr>
          <w:rFonts w:ascii="Arial" w:hAnsi="Arial" w:cs="Arial"/>
        </w:rPr>
      </w:pPr>
      <w:r w:rsidRPr="00FF24AA">
        <w:rPr>
          <w:rFonts w:ascii="Arial" w:hAnsi="Arial" w:cs="Arial"/>
        </w:rPr>
        <w:t>PGD for The Supply of Oral Flucloxacillin</w:t>
      </w:r>
    </w:p>
    <w:p w14:paraId="1EDE8951" w14:textId="77777777" w:rsidR="00FF24AA" w:rsidRPr="00FF24AA" w:rsidRDefault="00FF24AA" w:rsidP="00FF24AA">
      <w:pPr>
        <w:pStyle w:val="ListParagraph"/>
        <w:numPr>
          <w:ilvl w:val="0"/>
          <w:numId w:val="4"/>
        </w:numPr>
        <w:rPr>
          <w:rFonts w:ascii="Arial" w:hAnsi="Arial" w:cs="Arial"/>
        </w:rPr>
      </w:pPr>
      <w:r w:rsidRPr="00FF24AA">
        <w:rPr>
          <w:rFonts w:ascii="Arial" w:hAnsi="Arial" w:cs="Arial"/>
        </w:rPr>
        <w:t>PGD Vitamin K</w:t>
      </w:r>
    </w:p>
    <w:p w14:paraId="418077DB" w14:textId="7D26BC8A" w:rsidR="00FF24AA" w:rsidRPr="00FF24AA" w:rsidRDefault="00FF24AA" w:rsidP="008A53B3">
      <w:pPr>
        <w:pStyle w:val="ListParagraph"/>
        <w:rPr>
          <w:rFonts w:ascii="Arial" w:hAnsi="Arial" w:cs="Arial"/>
        </w:rPr>
      </w:pPr>
    </w:p>
    <w:p w14:paraId="31D8E0B8" w14:textId="36E0ED3C" w:rsidR="00DE25EC" w:rsidRPr="00DE25EC" w:rsidRDefault="00DE25EC" w:rsidP="00FF24AA">
      <w:pPr>
        <w:pStyle w:val="ListParagraph"/>
        <w:rPr>
          <w:rFonts w:ascii="Arial" w:hAnsi="Arial" w:cs="Arial"/>
        </w:rPr>
      </w:pPr>
    </w:p>
    <w:p w14:paraId="549F2B11" w14:textId="2C4F7763" w:rsidR="00FC0868" w:rsidRPr="004E39BE" w:rsidRDefault="00FC0868">
      <w:pPr>
        <w:rPr>
          <w:rFonts w:ascii="Arial" w:hAnsi="Arial" w:cs="Arial"/>
        </w:rPr>
      </w:pPr>
    </w:p>
    <w:sectPr w:rsidR="00FC0868" w:rsidRPr="004E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9399F"/>
    <w:multiLevelType w:val="hybridMultilevel"/>
    <w:tmpl w:val="9F72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B5494"/>
    <w:multiLevelType w:val="hybridMultilevel"/>
    <w:tmpl w:val="D662E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BF1FC5"/>
    <w:multiLevelType w:val="hybridMultilevel"/>
    <w:tmpl w:val="AD5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85CAC"/>
    <w:multiLevelType w:val="hybridMultilevel"/>
    <w:tmpl w:val="17E8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985459">
    <w:abstractNumId w:val="1"/>
  </w:num>
  <w:num w:numId="2" w16cid:durableId="1391226197">
    <w:abstractNumId w:val="0"/>
  </w:num>
  <w:num w:numId="3" w16cid:durableId="40639665">
    <w:abstractNumId w:val="2"/>
  </w:num>
  <w:num w:numId="4" w16cid:durableId="1372151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AE"/>
    <w:rsid w:val="0009384A"/>
    <w:rsid w:val="00142AE3"/>
    <w:rsid w:val="0014552A"/>
    <w:rsid w:val="001E1BFE"/>
    <w:rsid w:val="002010EB"/>
    <w:rsid w:val="002749EA"/>
    <w:rsid w:val="002932AE"/>
    <w:rsid w:val="00305F8F"/>
    <w:rsid w:val="003278C1"/>
    <w:rsid w:val="00332446"/>
    <w:rsid w:val="00373A85"/>
    <w:rsid w:val="003A4243"/>
    <w:rsid w:val="003F0D90"/>
    <w:rsid w:val="00405242"/>
    <w:rsid w:val="004206F9"/>
    <w:rsid w:val="004E39BE"/>
    <w:rsid w:val="004F1129"/>
    <w:rsid w:val="005F5B99"/>
    <w:rsid w:val="006B65C9"/>
    <w:rsid w:val="00844FBF"/>
    <w:rsid w:val="00855B11"/>
    <w:rsid w:val="008A53B3"/>
    <w:rsid w:val="008A5F92"/>
    <w:rsid w:val="008E5AB1"/>
    <w:rsid w:val="00920EA0"/>
    <w:rsid w:val="009D5F7E"/>
    <w:rsid w:val="00B81426"/>
    <w:rsid w:val="00BE3A04"/>
    <w:rsid w:val="00C41540"/>
    <w:rsid w:val="00C91F87"/>
    <w:rsid w:val="00CE6A69"/>
    <w:rsid w:val="00DD4016"/>
    <w:rsid w:val="00DE25EC"/>
    <w:rsid w:val="00E14BAF"/>
    <w:rsid w:val="00E27EB7"/>
    <w:rsid w:val="00E6405C"/>
    <w:rsid w:val="00F404B4"/>
    <w:rsid w:val="00FC0868"/>
    <w:rsid w:val="00FF2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50B9"/>
  <w15:chartTrackingRefBased/>
  <w15:docId w15:val="{E138F8A5-5A21-463A-A925-997DE451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2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932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932A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932A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932A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93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2A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932A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932A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932A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932A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93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2AE"/>
    <w:rPr>
      <w:rFonts w:eastAsiaTheme="majorEastAsia" w:cstheme="majorBidi"/>
      <w:color w:val="272727" w:themeColor="text1" w:themeTint="D8"/>
    </w:rPr>
  </w:style>
  <w:style w:type="paragraph" w:styleId="Title">
    <w:name w:val="Title"/>
    <w:basedOn w:val="Normal"/>
    <w:next w:val="Normal"/>
    <w:link w:val="TitleChar"/>
    <w:uiPriority w:val="10"/>
    <w:qFormat/>
    <w:rsid w:val="0029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2AE"/>
    <w:pPr>
      <w:spacing w:before="160"/>
      <w:jc w:val="center"/>
    </w:pPr>
    <w:rPr>
      <w:i/>
      <w:iCs/>
      <w:color w:val="404040" w:themeColor="text1" w:themeTint="BF"/>
    </w:rPr>
  </w:style>
  <w:style w:type="character" w:customStyle="1" w:styleId="QuoteChar">
    <w:name w:val="Quote Char"/>
    <w:basedOn w:val="DefaultParagraphFont"/>
    <w:link w:val="Quote"/>
    <w:uiPriority w:val="29"/>
    <w:rsid w:val="002932AE"/>
    <w:rPr>
      <w:i/>
      <w:iCs/>
      <w:color w:val="404040" w:themeColor="text1" w:themeTint="BF"/>
    </w:rPr>
  </w:style>
  <w:style w:type="paragraph" w:styleId="ListParagraph">
    <w:name w:val="List Paragraph"/>
    <w:basedOn w:val="Normal"/>
    <w:uiPriority w:val="34"/>
    <w:qFormat/>
    <w:rsid w:val="002932AE"/>
    <w:pPr>
      <w:ind w:left="720"/>
      <w:contextualSpacing/>
    </w:pPr>
  </w:style>
  <w:style w:type="character" w:styleId="IntenseEmphasis">
    <w:name w:val="Intense Emphasis"/>
    <w:basedOn w:val="DefaultParagraphFont"/>
    <w:uiPriority w:val="21"/>
    <w:qFormat/>
    <w:rsid w:val="002932AE"/>
    <w:rPr>
      <w:i/>
      <w:iCs/>
      <w:color w:val="2E74B5" w:themeColor="accent1" w:themeShade="BF"/>
    </w:rPr>
  </w:style>
  <w:style w:type="paragraph" w:styleId="IntenseQuote">
    <w:name w:val="Intense Quote"/>
    <w:basedOn w:val="Normal"/>
    <w:next w:val="Normal"/>
    <w:link w:val="IntenseQuoteChar"/>
    <w:uiPriority w:val="30"/>
    <w:qFormat/>
    <w:rsid w:val="002932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932AE"/>
    <w:rPr>
      <w:i/>
      <w:iCs/>
      <w:color w:val="2E74B5" w:themeColor="accent1" w:themeShade="BF"/>
    </w:rPr>
  </w:style>
  <w:style w:type="character" w:styleId="IntenseReference">
    <w:name w:val="Intense Reference"/>
    <w:basedOn w:val="DefaultParagraphFont"/>
    <w:uiPriority w:val="32"/>
    <w:qFormat/>
    <w:rsid w:val="002932AE"/>
    <w:rPr>
      <w:b/>
      <w:bCs/>
      <w:smallCaps/>
      <w:color w:val="2E74B5" w:themeColor="accent1" w:themeShade="BF"/>
      <w:spacing w:val="5"/>
    </w:rPr>
  </w:style>
  <w:style w:type="table" w:styleId="TableGrid">
    <w:name w:val="Table Grid"/>
    <w:basedOn w:val="TableNormal"/>
    <w:rsid w:val="004E39B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9BE"/>
    <w:rPr>
      <w:color w:val="0563C1" w:themeColor="hyperlink"/>
      <w:u w:val="single"/>
    </w:rPr>
  </w:style>
  <w:style w:type="character" w:styleId="UnresolvedMention">
    <w:name w:val="Unresolved Mention"/>
    <w:basedOn w:val="DefaultParagraphFont"/>
    <w:uiPriority w:val="99"/>
    <w:semiHidden/>
    <w:unhideWhenUsed/>
    <w:rsid w:val="004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ft.nhs.uk/intranet/documents/health-records-policy-210" TargetMode="External"/><Relationship Id="rId5" Type="http://schemas.openxmlformats.org/officeDocument/2006/relationships/hyperlink" Target="https://www.elft.nhs.uk/intranet/teams-support-me/governance-and-risk-management/policy-management/trus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 (EAST LONDON NHS FOUNDATION TRUST)</dc:creator>
  <cp:keywords/>
  <dc:description/>
  <cp:lastModifiedBy>KHATUN, Rashida (EAST LONDON NHS FOUNDATION TRUST)</cp:lastModifiedBy>
  <cp:revision>6</cp:revision>
  <dcterms:created xsi:type="dcterms:W3CDTF">2026-05-06T13:43:00Z</dcterms:created>
  <dcterms:modified xsi:type="dcterms:W3CDTF">2026-05-13T11:59:00Z</dcterms:modified>
</cp:coreProperties>
</file>