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07A6B" w14:textId="2CE0172A" w:rsidR="009F4C77" w:rsidRDefault="005122CE">
      <w:pPr>
        <w:pStyle w:val="Heading1"/>
        <w:jc w:val="center"/>
      </w:pPr>
      <w:r>
        <w:t xml:space="preserve">ACT </w:t>
      </w:r>
      <w:proofErr w:type="gramStart"/>
      <w:r>
        <w:t>NOW</w:t>
      </w:r>
      <w:r w:rsidR="00FA0C3F" w:rsidRPr="00FA0C3F">
        <w:t xml:space="preserve"> :</w:t>
      </w:r>
      <w:proofErr w:type="gramEnd"/>
      <w:r w:rsidR="00FA0C3F" w:rsidRPr="00FA0C3F">
        <w:t xml:space="preserve"> </w:t>
      </w:r>
      <w:r w:rsidR="00FA0C3F">
        <w:t>PROTECT OUR PRESENT, SECURE OUR FUTURE</w:t>
      </w:r>
    </w:p>
    <w:p w14:paraId="66A51144" w14:textId="77777777" w:rsidR="009F4C77" w:rsidRDefault="005122CE">
      <w:pPr>
        <w:jc w:val="center"/>
      </w:pPr>
      <w:r>
        <w:rPr>
          <w:b/>
        </w:rPr>
        <w:t>East London NHS Foundation Trust (ELFT)</w:t>
      </w:r>
      <w:r>
        <w:rPr>
          <w:b/>
        </w:rPr>
        <w:br/>
      </w:r>
      <w:r>
        <w:t>Antimicrobial Stewardship Improvement Strategy 2026–2027</w:t>
      </w:r>
    </w:p>
    <w:p w14:paraId="23F55E0A" w14:textId="77777777" w:rsidR="00731C79" w:rsidRDefault="00731C79">
      <w:pPr>
        <w:jc w:val="center"/>
      </w:pPr>
    </w:p>
    <w:p w14:paraId="659458F5" w14:textId="77777777" w:rsidR="009F4C77" w:rsidRDefault="005122CE" w:rsidP="00764F58">
      <w:pPr>
        <w:pStyle w:val="Heading2"/>
        <w:spacing w:line="360" w:lineRule="auto"/>
      </w:pPr>
      <w:r>
        <w:t>Call to Action</w:t>
      </w:r>
    </w:p>
    <w:p w14:paraId="1025C9D8" w14:textId="19AFD506" w:rsidR="00731C79" w:rsidRDefault="005122CE" w:rsidP="00764F58">
      <w:pPr>
        <w:spacing w:line="360" w:lineRule="auto"/>
        <w:jc w:val="both"/>
      </w:pPr>
      <w:r>
        <w:t>Antimicrobial resistance (AMR) remains one of the greatest threats to patient safety and the long-term sustainability of healthcare. Although ELFT demonstrates strong antimicrobial stewardship performance, every unnecessary or prolonged antimicrobial prescription contributes to the development of antimicrobial resistance. In response to the national 'Act Now' campaign and the UK National Action Plan on AMR, ELFT will build on its existing successes by embedding consistent prescribing standards, strengthenin</w:t>
      </w:r>
      <w:r>
        <w:t>g antimicrobial review, and using prescribing intelligence to drive continuous quality improvement across all services.</w:t>
      </w:r>
    </w:p>
    <w:p w14:paraId="4A97433F" w14:textId="77777777" w:rsidR="009F4C77" w:rsidRDefault="005122CE" w:rsidP="00764F58">
      <w:pPr>
        <w:pStyle w:val="Heading2"/>
        <w:spacing w:line="360" w:lineRule="auto"/>
      </w:pPr>
      <w:r>
        <w:t>ELFT's Progress to Date</w:t>
      </w:r>
    </w:p>
    <w:p w14:paraId="27FBA3C0" w14:textId="77777777" w:rsidR="009F4C77" w:rsidRDefault="005122CE" w:rsidP="00764F58">
      <w:pPr>
        <w:spacing w:line="360" w:lineRule="auto"/>
        <w:jc w:val="both"/>
      </w:pPr>
      <w:r>
        <w:t>ELFT has established a mature antimicrobial stewardship programme supported by quarterly prescribing audits, multidisciplinary collaboration between Pharmacy and Infection Prevention &amp; Control (IPC) teams, and regular reporting through Trust governance. These arrangements have enabled sustained improvements in antimicrobial prescribing quality across the Trust.</w:t>
      </w:r>
    </w:p>
    <w:p w14:paraId="7BC5CABF" w14:textId="77777777" w:rsidR="009F4C77" w:rsidRDefault="005122CE" w:rsidP="00764F58">
      <w:pPr>
        <w:spacing w:line="360" w:lineRule="auto"/>
        <w:jc w:val="both"/>
      </w:pPr>
      <w:r>
        <w:t>Over the past year, overall audit compliance has improved from 84.6% in June 2025, to 88.9% in October 2025 and 90.5% in February 2026, demonstrating the positive impact of targeted audit, education and feedback. Compliance with antimicrobial choice, allergy documentation and recording of clinical indications is consistently high across most services.</w:t>
      </w:r>
    </w:p>
    <w:p w14:paraId="6E0004F5" w14:textId="77777777" w:rsidR="009F4C77" w:rsidRDefault="005122CE" w:rsidP="00764F58">
      <w:pPr>
        <w:spacing w:line="360" w:lineRule="auto"/>
        <w:jc w:val="both"/>
      </w:pPr>
      <w:r>
        <w:t xml:space="preserve">Benchmarking also indicates that ELFT remains among the lower antimicrobial prescribing mental health trusts in London, reflecting prudent antimicrobial use. However, quarterly audits continue to identify recurring opportunities for improvement, particularly around </w:t>
      </w:r>
      <w:r>
        <w:lastRenderedPageBreak/>
        <w:t>documenting course length and stop/review dates, with some variation between services. Addressing these areas will further strengthen stewardship, reduce unnecessary antimicrobial exposure and support safe, evidence-based prescribing.</w:t>
      </w:r>
    </w:p>
    <w:p w14:paraId="7CEA7057" w14:textId="77777777" w:rsidR="00764F58" w:rsidRDefault="00764F58" w:rsidP="00764F58">
      <w:pPr>
        <w:pStyle w:val="Heading2"/>
        <w:spacing w:line="360" w:lineRule="auto"/>
      </w:pPr>
      <w:r>
        <w:t>Strategic Priorities for 2026–2027</w:t>
      </w:r>
    </w:p>
    <w:p w14:paraId="48E4C74B" w14:textId="77777777" w:rsidR="00764F58" w:rsidRDefault="00764F58" w:rsidP="0088023D">
      <w:pPr>
        <w:spacing w:line="360" w:lineRule="auto"/>
        <w:jc w:val="both"/>
      </w:pPr>
      <w:r>
        <w:t xml:space="preserve">Building on the significant progress achieved to date, ELFT has identified three strategic priorities that will guide the next phase of antimicrobial stewardship improvement across the Trust. These priorities have been informed by findings from the Trust's quarterly antimicrobial prescribing audits, national antimicrobial stewardship guidance, the UK National Action Plan on Antimicrobial Resistance (2024–2029), and the NHS England 'Act Now' campaign. Together, they provide a balanced approach that combines improvements in prescribing practice, clinical governance and </w:t>
      </w:r>
      <w:proofErr w:type="spellStart"/>
      <w:r>
        <w:t>organisational</w:t>
      </w:r>
      <w:proofErr w:type="spellEnd"/>
      <w:r>
        <w:t xml:space="preserve"> oversight to ensure antimicrobial stewardship becomes embedded within everyday clinical care.</w:t>
      </w:r>
    </w:p>
    <w:p w14:paraId="0BBE74AC" w14:textId="77777777" w:rsidR="00764F58" w:rsidRDefault="00764F58" w:rsidP="0088023D">
      <w:pPr>
        <w:spacing w:line="360" w:lineRule="auto"/>
        <w:jc w:val="both"/>
      </w:pPr>
      <w:r>
        <w:t>Rather than focusing solely on compliance with prescribing standards, the strategy seeks to strengthen the entire antimicrobial prescribing pathway—from the initial decision to prescribe, through regular clinical review, to the timely discontinuation of treatment. By improving consistency, strengthening accountability and making better use of prescribing intelligence, ELFT will continue to reduce unnecessary antimicrobial exposure while maintaining safe and effective patient care.</w:t>
      </w:r>
    </w:p>
    <w:p w14:paraId="248E9798" w14:textId="77777777" w:rsidR="00764F58" w:rsidRDefault="00764F58" w:rsidP="0088023D">
      <w:pPr>
        <w:spacing w:line="360" w:lineRule="auto"/>
        <w:jc w:val="both"/>
      </w:pPr>
      <w:r>
        <w:t xml:space="preserve">The three priorities are closely aligned and mutually </w:t>
      </w:r>
      <w:proofErr w:type="gramStart"/>
      <w:r>
        <w:t>reinforcing</w:t>
      </w:r>
      <w:proofErr w:type="gramEnd"/>
      <w:r>
        <w:t>. Improving prescribing quality provides clinicians with the foundation for safe and evidence-based antimicrobial use. Embedding routine review ensures antimicrobial therapy remains appropriate throughout treatment, while strengthened governance and prescribing intelligence enable the Trust to identify unwarranted variation, monitor performance and target quality improvement.</w:t>
      </w:r>
    </w:p>
    <w:p w14:paraId="0D5A6309" w14:textId="77777777" w:rsidR="00764F58" w:rsidRDefault="00764F58" w:rsidP="0088023D">
      <w:pPr>
        <w:spacing w:line="360" w:lineRule="auto"/>
        <w:jc w:val="both"/>
      </w:pPr>
      <w:r>
        <w:t>Collectively, these priorities support ELFT's ambition to move beyond achieving good compliance towards delivering excellence in antimicrobial stewardship. Success will depend on collaboration between clinical teams, Pharmacy, Infection Prevention and Control, divisional leadership and Trust governance committees.</w:t>
      </w:r>
    </w:p>
    <w:p w14:paraId="5F960850" w14:textId="77777777" w:rsidR="00764F58" w:rsidRPr="00FF380F" w:rsidRDefault="00764F58" w:rsidP="00764F58">
      <w:pPr>
        <w:pStyle w:val="Heading3"/>
        <w:spacing w:line="360" w:lineRule="auto"/>
        <w:rPr>
          <w:rFonts w:ascii="Arial" w:hAnsi="Arial" w:cs="Arial"/>
        </w:rPr>
      </w:pPr>
      <w:r w:rsidRPr="00FF380F">
        <w:rPr>
          <w:rFonts w:ascii="Arial" w:hAnsi="Arial" w:cs="Arial"/>
        </w:rPr>
        <w:lastRenderedPageBreak/>
        <w:t xml:space="preserve">Priority 1 – </w:t>
      </w:r>
      <w:proofErr w:type="spellStart"/>
      <w:r w:rsidRPr="00FF380F">
        <w:rPr>
          <w:rFonts w:ascii="Arial" w:hAnsi="Arial" w:cs="Arial"/>
        </w:rPr>
        <w:t>Optimise</w:t>
      </w:r>
      <w:proofErr w:type="spellEnd"/>
      <w:r w:rsidRPr="00FF380F">
        <w:rPr>
          <w:rFonts w:ascii="Arial" w:hAnsi="Arial" w:cs="Arial"/>
        </w:rPr>
        <w:t xml:space="preserve"> antimicrobial prescribing quality</w:t>
      </w:r>
    </w:p>
    <w:p w14:paraId="19C9E02C" w14:textId="77777777" w:rsidR="00764F58" w:rsidRDefault="00764F58" w:rsidP="00322E0B">
      <w:pPr>
        <w:spacing w:line="360" w:lineRule="auto"/>
        <w:jc w:val="both"/>
      </w:pPr>
      <w:r>
        <w:t xml:space="preserve">The </w:t>
      </w:r>
      <w:proofErr w:type="gramStart"/>
      <w:r>
        <w:t>first priority</w:t>
      </w:r>
      <w:proofErr w:type="gramEnd"/>
      <w:r>
        <w:t xml:space="preserve"> focuses on ensuring that every antimicrobial prescription is clinically appropriate, fully documented and aligned with national and local prescribing guidance. Continued improvement in documenting treatment duration and stop/review dates will reduce unnecessary antimicrobial exposure and improve patient safety.</w:t>
      </w:r>
    </w:p>
    <w:p w14:paraId="6B332E7E" w14:textId="77777777" w:rsidR="00322E0B" w:rsidRDefault="00322E0B" w:rsidP="00322E0B">
      <w:pPr>
        <w:spacing w:line="360" w:lineRule="auto"/>
        <w:jc w:val="both"/>
      </w:pPr>
    </w:p>
    <w:p w14:paraId="70A9BC2B" w14:textId="77777777" w:rsidR="00764F58" w:rsidRPr="00FF380F" w:rsidRDefault="00764F58" w:rsidP="00764F58">
      <w:pPr>
        <w:pStyle w:val="Heading3"/>
        <w:spacing w:line="360" w:lineRule="auto"/>
        <w:rPr>
          <w:rFonts w:ascii="Arial" w:hAnsi="Arial" w:cs="Arial"/>
        </w:rPr>
      </w:pPr>
      <w:r w:rsidRPr="00FF380F">
        <w:rPr>
          <w:rFonts w:ascii="Arial" w:hAnsi="Arial" w:cs="Arial"/>
        </w:rPr>
        <w:t>Priority 2 – Embed antimicrobial review into routine clinical practice</w:t>
      </w:r>
    </w:p>
    <w:p w14:paraId="3AA4A2B3" w14:textId="77777777" w:rsidR="00764F58" w:rsidRDefault="00764F58" w:rsidP="00322E0B">
      <w:pPr>
        <w:spacing w:line="360" w:lineRule="auto"/>
        <w:jc w:val="both"/>
      </w:pPr>
      <w:r>
        <w:t>Effective stewardship extends beyond selecting the correct antimicrobial. Routine multidisciplinary review will ensure treatment remains clinically appropriate, unnecessary courses are avoided and antimicrobial therapy is stopped promptly when no longer required.</w:t>
      </w:r>
    </w:p>
    <w:p w14:paraId="7224FF42" w14:textId="77777777" w:rsidR="00322E0B" w:rsidRDefault="00322E0B" w:rsidP="00322E0B">
      <w:pPr>
        <w:spacing w:line="360" w:lineRule="auto"/>
        <w:jc w:val="both"/>
      </w:pPr>
    </w:p>
    <w:p w14:paraId="59028837" w14:textId="77777777" w:rsidR="00764F58" w:rsidRPr="00FF380F" w:rsidRDefault="00764F58" w:rsidP="00764F58">
      <w:pPr>
        <w:pStyle w:val="Heading3"/>
        <w:spacing w:line="360" w:lineRule="auto"/>
        <w:rPr>
          <w:rFonts w:ascii="Arial" w:hAnsi="Arial" w:cs="Arial"/>
        </w:rPr>
      </w:pPr>
      <w:r w:rsidRPr="00FF380F">
        <w:rPr>
          <w:rFonts w:ascii="Arial" w:hAnsi="Arial" w:cs="Arial"/>
        </w:rPr>
        <w:t>Priority 3 – Strengthen stewardship governance and prescribing intelligence</w:t>
      </w:r>
    </w:p>
    <w:p w14:paraId="513081FE" w14:textId="77777777" w:rsidR="00764F58" w:rsidRDefault="00764F58" w:rsidP="00322E0B">
      <w:pPr>
        <w:spacing w:line="360" w:lineRule="auto"/>
        <w:jc w:val="both"/>
      </w:pPr>
      <w:r>
        <w:t>Long-term improvement requires robust governance supported by timely prescribing intelligence. Expanding the use of audit findings, Power BI dashboards and benchmarking will enable ELFT to identify unwarranted variation, monitor progress and support targeted quality improvement initiatives.</w:t>
      </w:r>
    </w:p>
    <w:p w14:paraId="3DF765DA" w14:textId="77777777" w:rsidR="00764F58" w:rsidRDefault="00764F58" w:rsidP="00764F58">
      <w:pPr>
        <w:spacing w:line="360" w:lineRule="auto"/>
      </w:pPr>
    </w:p>
    <w:p w14:paraId="07D0E9F1" w14:textId="77777777" w:rsidR="00322E0B" w:rsidRDefault="00322E0B" w:rsidP="00764F58">
      <w:pPr>
        <w:spacing w:line="360" w:lineRule="auto"/>
      </w:pPr>
    </w:p>
    <w:p w14:paraId="659D57FF" w14:textId="77777777" w:rsidR="00764F58" w:rsidRDefault="00764F58" w:rsidP="00764F58">
      <w:pPr>
        <w:spacing w:line="360" w:lineRule="auto"/>
      </w:pPr>
    </w:p>
    <w:p w14:paraId="3A0BE496" w14:textId="35274063" w:rsidR="009F4C77" w:rsidRDefault="005122CE">
      <w:pPr>
        <w:pStyle w:val="Heading2"/>
      </w:pPr>
      <w:r>
        <w:lastRenderedPageBreak/>
        <w:t>Strategic Priorities</w:t>
      </w:r>
      <w:r w:rsidR="00764F58">
        <w:t xml:space="preserve"> Delivery Plan</w:t>
      </w:r>
    </w:p>
    <w:tbl>
      <w:tblPr>
        <w:tblStyle w:val="TableGrid"/>
        <w:tblW w:w="13291" w:type="dxa"/>
        <w:tblLayout w:type="fixed"/>
        <w:tblLook w:val="04A0" w:firstRow="1" w:lastRow="0" w:firstColumn="1" w:lastColumn="0" w:noHBand="0" w:noVBand="1"/>
      </w:tblPr>
      <w:tblGrid>
        <w:gridCol w:w="2049"/>
        <w:gridCol w:w="1823"/>
        <w:gridCol w:w="1827"/>
        <w:gridCol w:w="2080"/>
        <w:gridCol w:w="1968"/>
        <w:gridCol w:w="1418"/>
        <w:gridCol w:w="1417"/>
        <w:gridCol w:w="709"/>
      </w:tblGrid>
      <w:tr w:rsidR="00052F7F" w14:paraId="1C60EB16" w14:textId="77777777" w:rsidTr="00322E0B">
        <w:tc>
          <w:tcPr>
            <w:tcW w:w="2049" w:type="dxa"/>
            <w:shd w:val="clear" w:color="auto" w:fill="D9D9D9" w:themeFill="background1" w:themeFillShade="D9"/>
          </w:tcPr>
          <w:p w14:paraId="754D348B" w14:textId="77777777" w:rsidR="009F4C77" w:rsidRPr="00052F7F" w:rsidRDefault="005122CE">
            <w:pPr>
              <w:rPr>
                <w:b/>
                <w:bCs/>
              </w:rPr>
            </w:pPr>
            <w:r w:rsidRPr="00052F7F">
              <w:rPr>
                <w:b/>
                <w:bCs/>
              </w:rPr>
              <w:t>Strategic Priority</w:t>
            </w:r>
          </w:p>
        </w:tc>
        <w:tc>
          <w:tcPr>
            <w:tcW w:w="1823" w:type="dxa"/>
            <w:shd w:val="clear" w:color="auto" w:fill="D9D9D9" w:themeFill="background1" w:themeFillShade="D9"/>
          </w:tcPr>
          <w:p w14:paraId="2DE5A179" w14:textId="77777777" w:rsidR="009F4C77" w:rsidRPr="00052F7F" w:rsidRDefault="005122CE">
            <w:pPr>
              <w:rPr>
                <w:b/>
                <w:bCs/>
              </w:rPr>
            </w:pPr>
            <w:r w:rsidRPr="00052F7F">
              <w:rPr>
                <w:b/>
                <w:bCs/>
              </w:rPr>
              <w:t>Objective</w:t>
            </w:r>
          </w:p>
        </w:tc>
        <w:tc>
          <w:tcPr>
            <w:tcW w:w="1827" w:type="dxa"/>
            <w:shd w:val="clear" w:color="auto" w:fill="D9D9D9" w:themeFill="background1" w:themeFillShade="D9"/>
          </w:tcPr>
          <w:p w14:paraId="5D7064DD" w14:textId="77777777" w:rsidR="009F4C77" w:rsidRPr="00052F7F" w:rsidRDefault="005122CE">
            <w:pPr>
              <w:rPr>
                <w:b/>
                <w:bCs/>
              </w:rPr>
            </w:pPr>
            <w:r w:rsidRPr="00052F7F">
              <w:rPr>
                <w:b/>
                <w:bCs/>
              </w:rPr>
              <w:t>Key Actions</w:t>
            </w:r>
          </w:p>
        </w:tc>
        <w:tc>
          <w:tcPr>
            <w:tcW w:w="2080" w:type="dxa"/>
            <w:shd w:val="clear" w:color="auto" w:fill="D9D9D9" w:themeFill="background1" w:themeFillShade="D9"/>
          </w:tcPr>
          <w:p w14:paraId="3BDA5E2F" w14:textId="77777777" w:rsidR="009F4C77" w:rsidRPr="00052F7F" w:rsidRDefault="005122CE">
            <w:pPr>
              <w:rPr>
                <w:b/>
                <w:bCs/>
              </w:rPr>
            </w:pPr>
            <w:r w:rsidRPr="00052F7F">
              <w:rPr>
                <w:b/>
                <w:bCs/>
              </w:rPr>
              <w:t>Success Measures</w:t>
            </w:r>
          </w:p>
        </w:tc>
        <w:tc>
          <w:tcPr>
            <w:tcW w:w="1968" w:type="dxa"/>
            <w:shd w:val="clear" w:color="auto" w:fill="D9D9D9" w:themeFill="background1" w:themeFillShade="D9"/>
          </w:tcPr>
          <w:p w14:paraId="435BFA21" w14:textId="77777777" w:rsidR="009F4C77" w:rsidRPr="00052F7F" w:rsidRDefault="005122CE">
            <w:pPr>
              <w:rPr>
                <w:b/>
                <w:bCs/>
              </w:rPr>
            </w:pPr>
            <w:r w:rsidRPr="00052F7F">
              <w:rPr>
                <w:b/>
                <w:bCs/>
              </w:rPr>
              <w:t>Executive Accountability</w:t>
            </w:r>
          </w:p>
        </w:tc>
        <w:tc>
          <w:tcPr>
            <w:tcW w:w="1418" w:type="dxa"/>
            <w:shd w:val="clear" w:color="auto" w:fill="D9D9D9" w:themeFill="background1" w:themeFillShade="D9"/>
          </w:tcPr>
          <w:p w14:paraId="3A97A1A6" w14:textId="77777777" w:rsidR="009F4C77" w:rsidRPr="00052F7F" w:rsidRDefault="005122CE">
            <w:pPr>
              <w:rPr>
                <w:b/>
                <w:bCs/>
              </w:rPr>
            </w:pPr>
            <w:r w:rsidRPr="00052F7F">
              <w:rPr>
                <w:b/>
                <w:bCs/>
              </w:rPr>
              <w:t>Timeline</w:t>
            </w:r>
          </w:p>
        </w:tc>
        <w:tc>
          <w:tcPr>
            <w:tcW w:w="1417" w:type="dxa"/>
            <w:shd w:val="clear" w:color="auto" w:fill="D9D9D9" w:themeFill="background1" w:themeFillShade="D9"/>
          </w:tcPr>
          <w:p w14:paraId="66213917" w14:textId="77777777" w:rsidR="009F4C77" w:rsidRPr="00052F7F" w:rsidRDefault="005122CE">
            <w:pPr>
              <w:rPr>
                <w:b/>
                <w:bCs/>
              </w:rPr>
            </w:pPr>
            <w:r w:rsidRPr="00052F7F">
              <w:rPr>
                <w:b/>
                <w:bCs/>
              </w:rPr>
              <w:t>Reporting</w:t>
            </w:r>
          </w:p>
        </w:tc>
        <w:tc>
          <w:tcPr>
            <w:tcW w:w="709" w:type="dxa"/>
            <w:shd w:val="clear" w:color="auto" w:fill="D9D9D9" w:themeFill="background1" w:themeFillShade="D9"/>
          </w:tcPr>
          <w:p w14:paraId="239814C1" w14:textId="77777777" w:rsidR="009F4C77" w:rsidRPr="00052F7F" w:rsidRDefault="005122CE">
            <w:pPr>
              <w:rPr>
                <w:b/>
                <w:bCs/>
              </w:rPr>
            </w:pPr>
            <w:r w:rsidRPr="00052F7F">
              <w:rPr>
                <w:b/>
                <w:bCs/>
              </w:rPr>
              <w:t>RAG</w:t>
            </w:r>
          </w:p>
        </w:tc>
      </w:tr>
      <w:tr w:rsidR="00052F7F" w14:paraId="2A27FCF3" w14:textId="77777777" w:rsidTr="00322E0B">
        <w:tc>
          <w:tcPr>
            <w:tcW w:w="2049" w:type="dxa"/>
          </w:tcPr>
          <w:p w14:paraId="4D275C98" w14:textId="77777777" w:rsidR="009F4C77" w:rsidRPr="00052F7F" w:rsidRDefault="005122CE">
            <w:pPr>
              <w:rPr>
                <w:b/>
                <w:bCs/>
              </w:rPr>
            </w:pPr>
            <w:r w:rsidRPr="00052F7F">
              <w:rPr>
                <w:b/>
                <w:bCs/>
              </w:rPr>
              <w:t xml:space="preserve">1. </w:t>
            </w:r>
            <w:proofErr w:type="spellStart"/>
            <w:r w:rsidRPr="00052F7F">
              <w:rPr>
                <w:b/>
                <w:bCs/>
              </w:rPr>
              <w:t>Optimise</w:t>
            </w:r>
            <w:proofErr w:type="spellEnd"/>
            <w:r w:rsidRPr="00052F7F">
              <w:rPr>
                <w:b/>
                <w:bCs/>
              </w:rPr>
              <w:t xml:space="preserve"> antimicrobial prescribing quality</w:t>
            </w:r>
          </w:p>
        </w:tc>
        <w:tc>
          <w:tcPr>
            <w:tcW w:w="1823" w:type="dxa"/>
          </w:tcPr>
          <w:p w14:paraId="7A18167F" w14:textId="77777777" w:rsidR="009F4C77" w:rsidRDefault="005122CE">
            <w:r>
              <w:t>Achieve consistently high compliance with prescribing standards by March 2027.</w:t>
            </w:r>
          </w:p>
        </w:tc>
        <w:tc>
          <w:tcPr>
            <w:tcW w:w="1827" w:type="dxa"/>
          </w:tcPr>
          <w:p w14:paraId="0923F9D4" w14:textId="77777777" w:rsidR="009F4C77" w:rsidRDefault="005122CE">
            <w:r>
              <w:t xml:space="preserve">• </w:t>
            </w:r>
            <w:proofErr w:type="spellStart"/>
            <w:r>
              <w:t>Standardise</w:t>
            </w:r>
            <w:proofErr w:type="spellEnd"/>
            <w:r>
              <w:t xml:space="preserve"> prescribing expectations</w:t>
            </w:r>
            <w:r>
              <w:br/>
              <w:t>• Ensure indication, duration, stop/review date and allergy documented</w:t>
            </w:r>
            <w:r>
              <w:br/>
              <w:t>• Targeted improvement plans</w:t>
            </w:r>
            <w:r>
              <w:br/>
              <w:t>• Prescribing guides</w:t>
            </w:r>
          </w:p>
        </w:tc>
        <w:tc>
          <w:tcPr>
            <w:tcW w:w="2080" w:type="dxa"/>
          </w:tcPr>
          <w:p w14:paraId="4433FEE0" w14:textId="77777777" w:rsidR="009F4C77" w:rsidRDefault="005122CE">
            <w:r>
              <w:t>Treatment choice &gt;95%</w:t>
            </w:r>
            <w:r>
              <w:br/>
              <w:t>Indication &gt;95%</w:t>
            </w:r>
            <w:r>
              <w:br/>
              <w:t>Course length &gt;95%</w:t>
            </w:r>
            <w:r>
              <w:br/>
              <w:t>Stop/review &gt;90%</w:t>
            </w:r>
            <w:r>
              <w:br/>
              <w:t>Allergy 100%</w:t>
            </w:r>
          </w:p>
        </w:tc>
        <w:tc>
          <w:tcPr>
            <w:tcW w:w="1968" w:type="dxa"/>
          </w:tcPr>
          <w:p w14:paraId="19C5AE72" w14:textId="77777777" w:rsidR="009F4C77" w:rsidRDefault="005122CE">
            <w:r>
              <w:t>Chief Medical Officer</w:t>
            </w:r>
            <w:r>
              <w:br/>
              <w:t>DIPC</w:t>
            </w:r>
            <w:r>
              <w:br/>
              <w:t>Lead Pharmacist (AMS)</w:t>
            </w:r>
            <w:r>
              <w:br/>
              <w:t>Clinical Directors</w:t>
            </w:r>
          </w:p>
        </w:tc>
        <w:tc>
          <w:tcPr>
            <w:tcW w:w="1418" w:type="dxa"/>
          </w:tcPr>
          <w:p w14:paraId="4FC20170" w14:textId="77777777" w:rsidR="009F4C77" w:rsidRDefault="005122CE">
            <w:r>
              <w:t>Q2: Standards</w:t>
            </w:r>
            <w:r>
              <w:br/>
              <w:t>Q3: Rollout</w:t>
            </w:r>
            <w:r>
              <w:br/>
              <w:t>Q4: Re-audit</w:t>
            </w:r>
            <w:r>
              <w:br/>
              <w:t>Q1 2027: Evaluation</w:t>
            </w:r>
          </w:p>
        </w:tc>
        <w:tc>
          <w:tcPr>
            <w:tcW w:w="1417" w:type="dxa"/>
          </w:tcPr>
          <w:p w14:paraId="60BDFE1A" w14:textId="03BFB6B8" w:rsidR="009F4C77" w:rsidRDefault="005122CE">
            <w:r>
              <w:t xml:space="preserve">Quarterly IPC Committee &amp; Medicines </w:t>
            </w:r>
            <w:r w:rsidR="00731C79">
              <w:t>Committee</w:t>
            </w:r>
            <w:r>
              <w:t xml:space="preserve"> reports</w:t>
            </w:r>
          </w:p>
        </w:tc>
        <w:tc>
          <w:tcPr>
            <w:tcW w:w="709" w:type="dxa"/>
          </w:tcPr>
          <w:p w14:paraId="73CA122B" w14:textId="77777777" w:rsidR="009F4C77" w:rsidRDefault="005122CE">
            <w:r>
              <w:t>🟠</w:t>
            </w:r>
          </w:p>
        </w:tc>
      </w:tr>
      <w:tr w:rsidR="00052F7F" w14:paraId="3F815C14" w14:textId="77777777" w:rsidTr="00322E0B">
        <w:trPr>
          <w:trHeight w:val="1799"/>
        </w:trPr>
        <w:tc>
          <w:tcPr>
            <w:tcW w:w="2049" w:type="dxa"/>
          </w:tcPr>
          <w:p w14:paraId="5B1FBD88" w14:textId="77777777" w:rsidR="009F4C77" w:rsidRPr="00052F7F" w:rsidRDefault="005122CE">
            <w:pPr>
              <w:rPr>
                <w:b/>
                <w:bCs/>
              </w:rPr>
            </w:pPr>
            <w:r w:rsidRPr="00052F7F">
              <w:rPr>
                <w:b/>
                <w:bCs/>
              </w:rPr>
              <w:t>2. Embed antimicrobial review into routine practice</w:t>
            </w:r>
          </w:p>
        </w:tc>
        <w:tc>
          <w:tcPr>
            <w:tcW w:w="1823" w:type="dxa"/>
          </w:tcPr>
          <w:p w14:paraId="6BB700A4" w14:textId="77777777" w:rsidR="009F4C77" w:rsidRDefault="005122CE">
            <w:r>
              <w:t xml:space="preserve">Ensure every antimicrobial is reviewed and </w:t>
            </w:r>
            <w:proofErr w:type="spellStart"/>
            <w:r>
              <w:t>optimised</w:t>
            </w:r>
            <w:proofErr w:type="spellEnd"/>
            <w:r>
              <w:t xml:space="preserve"> throughout treatment.</w:t>
            </w:r>
          </w:p>
        </w:tc>
        <w:tc>
          <w:tcPr>
            <w:tcW w:w="1827" w:type="dxa"/>
          </w:tcPr>
          <w:p w14:paraId="66A0858B" w14:textId="6AF1EDD4" w:rsidR="009F4C77" w:rsidRDefault="005122CE">
            <w:r>
              <w:t>• 48–72h review</w:t>
            </w:r>
            <w:r>
              <w:br/>
              <w:t>• MDT review</w:t>
            </w:r>
            <w:r>
              <w:br/>
              <w:t xml:space="preserve">• </w:t>
            </w:r>
            <w:r w:rsidR="00801C76">
              <w:t>EPMA/</w:t>
            </w:r>
            <w:r>
              <w:t>Rio prompts</w:t>
            </w:r>
            <w:r>
              <w:br/>
              <w:t>• Community &amp; forensic stewardship</w:t>
            </w:r>
          </w:p>
        </w:tc>
        <w:tc>
          <w:tcPr>
            <w:tcW w:w="2080" w:type="dxa"/>
          </w:tcPr>
          <w:p w14:paraId="373009FA" w14:textId="77777777" w:rsidR="009F4C77" w:rsidRDefault="005122CE">
            <w:r>
              <w:t>&gt;90% review documented</w:t>
            </w:r>
            <w:r>
              <w:br/>
              <w:t>20% reduction in prolonged courses</w:t>
            </w:r>
            <w:r>
              <w:br/>
              <w:t>100% quarterly reviews</w:t>
            </w:r>
          </w:p>
        </w:tc>
        <w:tc>
          <w:tcPr>
            <w:tcW w:w="1968" w:type="dxa"/>
          </w:tcPr>
          <w:p w14:paraId="48FB858D" w14:textId="77777777" w:rsidR="009F4C77" w:rsidRDefault="005122CE">
            <w:r>
              <w:t>Chief Pharmacist</w:t>
            </w:r>
            <w:r>
              <w:br/>
              <w:t>AMS Pharmacist</w:t>
            </w:r>
            <w:r>
              <w:br/>
              <w:t>Divisional Pharmacy Leads</w:t>
            </w:r>
          </w:p>
        </w:tc>
        <w:tc>
          <w:tcPr>
            <w:tcW w:w="1418" w:type="dxa"/>
          </w:tcPr>
          <w:p w14:paraId="743F41DE" w14:textId="77777777" w:rsidR="009F4C77" w:rsidRDefault="005122CE">
            <w:r>
              <w:t>Q2: Design</w:t>
            </w:r>
            <w:r>
              <w:br/>
              <w:t>Q3: Pilot</w:t>
            </w:r>
            <w:r>
              <w:br/>
              <w:t>Q4: Trust rollout</w:t>
            </w:r>
            <w:r>
              <w:br/>
              <w:t>Q1: Monitoring</w:t>
            </w:r>
          </w:p>
        </w:tc>
        <w:tc>
          <w:tcPr>
            <w:tcW w:w="1417" w:type="dxa"/>
          </w:tcPr>
          <w:p w14:paraId="39CEE513" w14:textId="77777777" w:rsidR="009F4C77" w:rsidRDefault="005122CE">
            <w:r>
              <w:t>Quarterly divisional dashboards and audit feedback</w:t>
            </w:r>
          </w:p>
        </w:tc>
        <w:tc>
          <w:tcPr>
            <w:tcW w:w="709" w:type="dxa"/>
          </w:tcPr>
          <w:p w14:paraId="5136D475" w14:textId="77777777" w:rsidR="009F4C77" w:rsidRDefault="005122CE">
            <w:r>
              <w:t>🟠</w:t>
            </w:r>
          </w:p>
        </w:tc>
      </w:tr>
      <w:tr w:rsidR="00052F7F" w14:paraId="143C0063" w14:textId="77777777" w:rsidTr="00322E0B">
        <w:tc>
          <w:tcPr>
            <w:tcW w:w="2049" w:type="dxa"/>
          </w:tcPr>
          <w:p w14:paraId="60B6415B" w14:textId="77777777" w:rsidR="009F4C77" w:rsidRPr="00052F7F" w:rsidRDefault="005122CE">
            <w:pPr>
              <w:rPr>
                <w:b/>
                <w:bCs/>
              </w:rPr>
            </w:pPr>
            <w:r w:rsidRPr="00052F7F">
              <w:rPr>
                <w:b/>
                <w:bCs/>
              </w:rPr>
              <w:t>3. Strengthen stewardship governance and prescribing intelligence</w:t>
            </w:r>
          </w:p>
        </w:tc>
        <w:tc>
          <w:tcPr>
            <w:tcW w:w="1823" w:type="dxa"/>
          </w:tcPr>
          <w:p w14:paraId="4AF634F2" w14:textId="77777777" w:rsidR="009F4C77" w:rsidRDefault="005122CE">
            <w:r>
              <w:t>Use prescribing intelligence to drive continuous improvement.</w:t>
            </w:r>
          </w:p>
        </w:tc>
        <w:tc>
          <w:tcPr>
            <w:tcW w:w="1827" w:type="dxa"/>
          </w:tcPr>
          <w:p w14:paraId="625A0F8A" w14:textId="77777777" w:rsidR="009F4C77" w:rsidRDefault="005122CE">
            <w:r>
              <w:t>• Power BI dashboards</w:t>
            </w:r>
            <w:r>
              <w:br/>
              <w:t>• Benchmarking</w:t>
            </w:r>
            <w:r>
              <w:br/>
              <w:t>• Quarterly reports</w:t>
            </w:r>
            <w:r>
              <w:br/>
              <w:t>• Local QI plans</w:t>
            </w:r>
          </w:p>
        </w:tc>
        <w:tc>
          <w:tcPr>
            <w:tcW w:w="2080" w:type="dxa"/>
          </w:tcPr>
          <w:p w14:paraId="341302FD" w14:textId="77777777" w:rsidR="009F4C77" w:rsidRDefault="005122CE">
            <w:r>
              <w:t>100% quarterly reports</w:t>
            </w:r>
            <w:r>
              <w:br/>
              <w:t>100% divisions receive feedback</w:t>
            </w:r>
            <w:r>
              <w:br/>
              <w:t>Reduced variation</w:t>
            </w:r>
          </w:p>
        </w:tc>
        <w:tc>
          <w:tcPr>
            <w:tcW w:w="1968" w:type="dxa"/>
          </w:tcPr>
          <w:p w14:paraId="5866864A" w14:textId="395FF25C" w:rsidR="009F4C77" w:rsidRDefault="005122CE">
            <w:r>
              <w:t>DIPC</w:t>
            </w:r>
            <w:r>
              <w:br/>
              <w:t>Chief Pharmacist</w:t>
            </w:r>
            <w:r>
              <w:br/>
              <w:t xml:space="preserve">Medicines </w:t>
            </w:r>
            <w:r w:rsidR="00052F7F">
              <w:t>Committee</w:t>
            </w:r>
          </w:p>
        </w:tc>
        <w:tc>
          <w:tcPr>
            <w:tcW w:w="1418" w:type="dxa"/>
          </w:tcPr>
          <w:p w14:paraId="703AB1AD" w14:textId="77777777" w:rsidR="009F4C77" w:rsidRDefault="005122CE">
            <w:r>
              <w:t>Q2: Dashboards</w:t>
            </w:r>
            <w:r>
              <w:br/>
              <w:t>Q3: Reporting</w:t>
            </w:r>
            <w:r>
              <w:br/>
              <w:t>Q4: QI projects</w:t>
            </w:r>
            <w:r>
              <w:br/>
              <w:t>Q1: Annual review</w:t>
            </w:r>
          </w:p>
        </w:tc>
        <w:tc>
          <w:tcPr>
            <w:tcW w:w="1417" w:type="dxa"/>
          </w:tcPr>
          <w:p w14:paraId="16BF302A" w14:textId="77777777" w:rsidR="009F4C77" w:rsidRDefault="005122CE">
            <w:r>
              <w:t>Quarterly reporting to IPC, MOG and annual Quality Committee assurance</w:t>
            </w:r>
          </w:p>
        </w:tc>
        <w:tc>
          <w:tcPr>
            <w:tcW w:w="709" w:type="dxa"/>
          </w:tcPr>
          <w:p w14:paraId="3FA7678A" w14:textId="77777777" w:rsidR="009F4C77" w:rsidRDefault="005122CE">
            <w:r>
              <w:t>🟢</w:t>
            </w:r>
          </w:p>
        </w:tc>
      </w:tr>
    </w:tbl>
    <w:p w14:paraId="1C3E9EFD" w14:textId="6CAF0005" w:rsidR="0090280C" w:rsidRDefault="0090280C" w:rsidP="0090280C">
      <w:pPr>
        <w:pStyle w:val="Heading2"/>
        <w:spacing w:line="360" w:lineRule="auto"/>
        <w:rPr>
          <w:lang w:val="en-GB"/>
        </w:rPr>
      </w:pPr>
      <w:r>
        <w:lastRenderedPageBreak/>
        <w:t>Alignment wit</w:t>
      </w:r>
      <w:r w:rsidRPr="0090280C">
        <w:rPr>
          <w:lang w:val="en-GB"/>
        </w:rPr>
        <w:t>h the Infection Prevention and Control Programme</w:t>
      </w:r>
    </w:p>
    <w:p w14:paraId="652DDB33" w14:textId="20542256" w:rsidR="0090280C" w:rsidRDefault="0090280C" w:rsidP="007E0C93">
      <w:pPr>
        <w:spacing w:after="0" w:line="360" w:lineRule="auto"/>
        <w:jc w:val="both"/>
        <w:rPr>
          <w:rFonts w:eastAsia="Times New Roman" w:cs="Arial"/>
          <w:color w:val="000000"/>
          <w:lang w:val="en-GB" w:eastAsia="en-GB"/>
        </w:rPr>
      </w:pPr>
      <w:r w:rsidRPr="0090280C">
        <w:rPr>
          <w:rFonts w:eastAsia="Times New Roman" w:cs="Arial"/>
          <w:color w:val="000000"/>
          <w:lang w:val="en-GB" w:eastAsia="en-GB"/>
        </w:rPr>
        <w:t xml:space="preserve">The delivery of this Antimicrobial Stewardship </w:t>
      </w:r>
      <w:r w:rsidR="003E2AED">
        <w:rPr>
          <w:rFonts w:eastAsia="Times New Roman" w:cs="Arial"/>
          <w:color w:val="000000"/>
          <w:lang w:val="en-GB" w:eastAsia="en-GB"/>
        </w:rPr>
        <w:t xml:space="preserve">Improvement </w:t>
      </w:r>
      <w:r w:rsidRPr="0090280C">
        <w:rPr>
          <w:rFonts w:eastAsia="Times New Roman" w:cs="Arial"/>
          <w:color w:val="000000"/>
          <w:lang w:val="en-GB" w:eastAsia="en-GB"/>
        </w:rPr>
        <w:t xml:space="preserve">Strategy </w:t>
      </w:r>
      <w:r w:rsidR="003E2AED">
        <w:rPr>
          <w:rFonts w:eastAsia="Times New Roman" w:cs="Arial"/>
          <w:color w:val="000000"/>
          <w:lang w:val="en-GB" w:eastAsia="en-GB"/>
        </w:rPr>
        <w:t xml:space="preserve">2026-2027 </w:t>
      </w:r>
      <w:r w:rsidRPr="0090280C">
        <w:rPr>
          <w:rFonts w:eastAsia="Times New Roman" w:cs="Arial"/>
          <w:color w:val="000000"/>
          <w:lang w:val="en-GB" w:eastAsia="en-GB"/>
        </w:rPr>
        <w:t xml:space="preserve">is intrinsically linked to the Trust's Annual Infection Prevention and Control (IPC) Programme. Effective infection prevention measures, including standard infection control precautions, surveillance, outbreak prevention and management, vaccination, environmental cleanliness and staff education, reduce the incidence of healthcare-associated infections and, consequently, the need for antimicrobial treatment. Together, the IPC Programme and Antimicrobial Stewardship </w:t>
      </w:r>
      <w:r w:rsidR="007E0C93">
        <w:rPr>
          <w:rFonts w:eastAsia="Times New Roman" w:cs="Arial"/>
          <w:color w:val="000000"/>
          <w:lang w:val="en-GB" w:eastAsia="en-GB"/>
        </w:rPr>
        <w:t xml:space="preserve">Improvement </w:t>
      </w:r>
      <w:r w:rsidRPr="0090280C">
        <w:rPr>
          <w:rFonts w:eastAsia="Times New Roman" w:cs="Arial"/>
          <w:color w:val="000000"/>
          <w:lang w:val="en-GB" w:eastAsia="en-GB"/>
        </w:rPr>
        <w:t>Strategy provide a coordinated approach to improving patient safety, reducing antimicrobial resistance and supporting the Trust's quality improvement objectives.</w:t>
      </w:r>
    </w:p>
    <w:p w14:paraId="3AF98CBD" w14:textId="77777777" w:rsidR="0090280C" w:rsidRPr="0090280C" w:rsidRDefault="0090280C" w:rsidP="0090280C">
      <w:pPr>
        <w:spacing w:after="0" w:line="360" w:lineRule="auto"/>
        <w:rPr>
          <w:rFonts w:eastAsia="Times New Roman" w:cs="Arial"/>
          <w:lang w:val="en-GB" w:eastAsia="en-GB"/>
        </w:rPr>
      </w:pPr>
    </w:p>
    <w:p w14:paraId="5CE794FA" w14:textId="3A518A27" w:rsidR="009F4C77" w:rsidRDefault="005122CE" w:rsidP="00FF380F">
      <w:pPr>
        <w:pStyle w:val="Heading2"/>
        <w:spacing w:line="360" w:lineRule="auto"/>
      </w:pPr>
      <w:r>
        <w:t>Governance</w:t>
      </w:r>
    </w:p>
    <w:p w14:paraId="3B4B31CF" w14:textId="3830B78D" w:rsidR="009F4C77" w:rsidRDefault="005122CE" w:rsidP="00FF380F">
      <w:pPr>
        <w:spacing w:line="360" w:lineRule="auto"/>
        <w:jc w:val="both"/>
      </w:pPr>
      <w:r>
        <w:t xml:space="preserve">Delivery of this strategy will be overseen by the </w:t>
      </w:r>
      <w:r w:rsidR="00FF380F">
        <w:t xml:space="preserve">Antimicrobial Stewardship Committee, </w:t>
      </w:r>
      <w:r>
        <w:t xml:space="preserve">Infection Prevention &amp; Control (IPC) Committee, supported by the Medicines </w:t>
      </w:r>
      <w:r w:rsidR="00FF380F">
        <w:t>Committee</w:t>
      </w:r>
      <w:r>
        <w:t>. Progress against each strategic priority will be reviewed quarterly using agreed key performance indices and RAG ratings. An annual summary of delivery, outcomes and future priorities will be presented to the Trust Quality Committee.</w:t>
      </w:r>
    </w:p>
    <w:sectPr w:rsidR="009F4C77" w:rsidSect="00052F7F">
      <w:headerReference w:type="even" r:id="rId8"/>
      <w:headerReference w:type="default" r:id="rId9"/>
      <w:footerReference w:type="even" r:id="rId10"/>
      <w:footerReference w:type="default" r:id="rId11"/>
      <w:headerReference w:type="first" r:id="rId12"/>
      <w:footerReference w:type="first" r:id="rId13"/>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CD176" w14:textId="77777777" w:rsidR="005122CE" w:rsidRDefault="005122CE" w:rsidP="00200F8F">
      <w:pPr>
        <w:spacing w:after="0" w:line="240" w:lineRule="auto"/>
      </w:pPr>
      <w:r>
        <w:separator/>
      </w:r>
    </w:p>
  </w:endnote>
  <w:endnote w:type="continuationSeparator" w:id="0">
    <w:p w14:paraId="2FCAB6D3" w14:textId="77777777" w:rsidR="005122CE" w:rsidRDefault="005122CE" w:rsidP="00200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42E62" w14:textId="77777777" w:rsidR="00200F8F" w:rsidRDefault="00200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CF8DD" w14:textId="77777777" w:rsidR="00200F8F" w:rsidRDefault="00200F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F48EE" w14:textId="77777777" w:rsidR="00200F8F" w:rsidRDefault="00200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79239" w14:textId="77777777" w:rsidR="005122CE" w:rsidRDefault="005122CE" w:rsidP="00200F8F">
      <w:pPr>
        <w:spacing w:after="0" w:line="240" w:lineRule="auto"/>
      </w:pPr>
      <w:r>
        <w:separator/>
      </w:r>
    </w:p>
  </w:footnote>
  <w:footnote w:type="continuationSeparator" w:id="0">
    <w:p w14:paraId="75EF1162" w14:textId="77777777" w:rsidR="005122CE" w:rsidRDefault="005122CE" w:rsidP="00200F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2CE1" w14:textId="695C6007" w:rsidR="00200F8F" w:rsidRDefault="00200F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5DB0A" w14:textId="17DCE99A" w:rsidR="00200F8F" w:rsidRDefault="00200F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42E04" w14:textId="20FEC871" w:rsidR="00200F8F" w:rsidRDefault="00200F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39965855">
    <w:abstractNumId w:val="8"/>
  </w:num>
  <w:num w:numId="2" w16cid:durableId="328605541">
    <w:abstractNumId w:val="6"/>
  </w:num>
  <w:num w:numId="3" w16cid:durableId="381175545">
    <w:abstractNumId w:val="5"/>
  </w:num>
  <w:num w:numId="4" w16cid:durableId="923421495">
    <w:abstractNumId w:val="4"/>
  </w:num>
  <w:num w:numId="5" w16cid:durableId="2104452296">
    <w:abstractNumId w:val="7"/>
  </w:num>
  <w:num w:numId="6" w16cid:durableId="93479872">
    <w:abstractNumId w:val="3"/>
  </w:num>
  <w:num w:numId="7" w16cid:durableId="1035929057">
    <w:abstractNumId w:val="2"/>
  </w:num>
  <w:num w:numId="8" w16cid:durableId="464085235">
    <w:abstractNumId w:val="1"/>
  </w:num>
  <w:num w:numId="9" w16cid:durableId="1497301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2F7F"/>
    <w:rsid w:val="0006063C"/>
    <w:rsid w:val="000D4AD0"/>
    <w:rsid w:val="0015074B"/>
    <w:rsid w:val="00200F8F"/>
    <w:rsid w:val="0029639D"/>
    <w:rsid w:val="00322E0B"/>
    <w:rsid w:val="00326F90"/>
    <w:rsid w:val="003E2AED"/>
    <w:rsid w:val="004E5427"/>
    <w:rsid w:val="005122CE"/>
    <w:rsid w:val="005A5CCA"/>
    <w:rsid w:val="005D6867"/>
    <w:rsid w:val="006F43D3"/>
    <w:rsid w:val="007025DC"/>
    <w:rsid w:val="00726620"/>
    <w:rsid w:val="00731C79"/>
    <w:rsid w:val="00764F58"/>
    <w:rsid w:val="007E0C93"/>
    <w:rsid w:val="00801C76"/>
    <w:rsid w:val="00807E12"/>
    <w:rsid w:val="0088023D"/>
    <w:rsid w:val="0090280C"/>
    <w:rsid w:val="009C6060"/>
    <w:rsid w:val="009F4C77"/>
    <w:rsid w:val="00AA1D8D"/>
    <w:rsid w:val="00AC29A1"/>
    <w:rsid w:val="00B47730"/>
    <w:rsid w:val="00C67182"/>
    <w:rsid w:val="00C85F01"/>
    <w:rsid w:val="00CB0664"/>
    <w:rsid w:val="00CE25AE"/>
    <w:rsid w:val="00E33964"/>
    <w:rsid w:val="00F71745"/>
    <w:rsid w:val="00F91C68"/>
    <w:rsid w:val="00FA0C3F"/>
    <w:rsid w:val="00FC693F"/>
    <w:rsid w:val="00FF38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0989C8"/>
  <w14:defaultImageDpi w14:val="300"/>
  <w15:docId w15:val="{7675A90D-6B4D-4BF8-9FDC-1F57FFD07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4977">
      <w:bodyDiv w:val="1"/>
      <w:marLeft w:val="0"/>
      <w:marRight w:val="0"/>
      <w:marTop w:val="0"/>
      <w:marBottom w:val="0"/>
      <w:divBdr>
        <w:top w:val="none" w:sz="0" w:space="0" w:color="auto"/>
        <w:left w:val="none" w:sz="0" w:space="0" w:color="auto"/>
        <w:bottom w:val="none" w:sz="0" w:space="0" w:color="auto"/>
        <w:right w:val="none" w:sz="0" w:space="0" w:color="auto"/>
      </w:divBdr>
    </w:div>
    <w:div w:id="444734693">
      <w:bodyDiv w:val="1"/>
      <w:marLeft w:val="0"/>
      <w:marRight w:val="0"/>
      <w:marTop w:val="0"/>
      <w:marBottom w:val="0"/>
      <w:divBdr>
        <w:top w:val="none" w:sz="0" w:space="0" w:color="auto"/>
        <w:left w:val="none" w:sz="0" w:space="0" w:color="auto"/>
        <w:bottom w:val="none" w:sz="0" w:space="0" w:color="auto"/>
        <w:right w:val="none" w:sz="0" w:space="0" w:color="auto"/>
      </w:divBdr>
    </w:div>
    <w:div w:id="1140805706">
      <w:bodyDiv w:val="1"/>
      <w:marLeft w:val="0"/>
      <w:marRight w:val="0"/>
      <w:marTop w:val="0"/>
      <w:marBottom w:val="0"/>
      <w:divBdr>
        <w:top w:val="none" w:sz="0" w:space="0" w:color="auto"/>
        <w:left w:val="none" w:sz="0" w:space="0" w:color="auto"/>
        <w:bottom w:val="none" w:sz="0" w:space="0" w:color="auto"/>
        <w:right w:val="none" w:sz="0" w:space="0" w:color="auto"/>
      </w:divBdr>
    </w:div>
    <w:div w:id="1286933206">
      <w:bodyDiv w:val="1"/>
      <w:marLeft w:val="0"/>
      <w:marRight w:val="0"/>
      <w:marTop w:val="0"/>
      <w:marBottom w:val="0"/>
      <w:divBdr>
        <w:top w:val="none" w:sz="0" w:space="0" w:color="auto"/>
        <w:left w:val="none" w:sz="0" w:space="0" w:color="auto"/>
        <w:bottom w:val="none" w:sz="0" w:space="0" w:color="auto"/>
        <w:right w:val="none" w:sz="0" w:space="0" w:color="auto"/>
      </w:divBdr>
    </w:div>
    <w:div w:id="16491677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1180</Words>
  <Characters>6731</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KHATUN, Rashida (EAST LONDON NHS FOUNDATION TRUST)</cp:lastModifiedBy>
  <cp:revision>2</cp:revision>
  <dcterms:created xsi:type="dcterms:W3CDTF">2026-07-24T13:17:00Z</dcterms:created>
  <dcterms:modified xsi:type="dcterms:W3CDTF">2026-07-24T13:17:00Z</dcterms:modified>
  <cp:category/>
</cp:coreProperties>
</file>