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C5358" w14:textId="0AD4C089" w:rsidR="004E39BE" w:rsidRPr="00332446" w:rsidRDefault="002932AE" w:rsidP="00332446">
      <w:pPr>
        <w:jc w:val="center"/>
        <w:rPr>
          <w:rFonts w:ascii="Arial" w:hAnsi="Arial" w:cs="Arial"/>
          <w:b/>
          <w:bCs/>
          <w:sz w:val="24"/>
          <w:szCs w:val="24"/>
        </w:rPr>
      </w:pPr>
      <w:r w:rsidRPr="00373A85">
        <w:rPr>
          <w:rFonts w:ascii="Arial" w:hAnsi="Arial" w:cs="Arial"/>
          <w:b/>
          <w:bCs/>
          <w:sz w:val="24"/>
          <w:szCs w:val="24"/>
        </w:rPr>
        <w:t>Policy in a Nutshell (</w:t>
      </w:r>
      <w:r w:rsidR="002A5B6C">
        <w:rPr>
          <w:rFonts w:ascii="Arial" w:hAnsi="Arial" w:cs="Arial"/>
          <w:b/>
          <w:bCs/>
          <w:sz w:val="24"/>
          <w:szCs w:val="24"/>
        </w:rPr>
        <w:t>June</w:t>
      </w:r>
      <w:r w:rsidRPr="00373A85">
        <w:rPr>
          <w:rFonts w:ascii="Arial" w:hAnsi="Arial" w:cs="Arial"/>
          <w:b/>
          <w:bCs/>
          <w:sz w:val="24"/>
          <w:szCs w:val="24"/>
        </w:rPr>
        <w:t xml:space="preserve"> 202</w:t>
      </w:r>
      <w:r w:rsidR="00B81426">
        <w:rPr>
          <w:rFonts w:ascii="Arial" w:hAnsi="Arial" w:cs="Arial"/>
          <w:b/>
          <w:bCs/>
          <w:sz w:val="24"/>
          <w:szCs w:val="24"/>
        </w:rPr>
        <w:t>6</w:t>
      </w:r>
      <w:r w:rsidRPr="00373A85">
        <w:rPr>
          <w:rFonts w:ascii="Arial" w:hAnsi="Arial" w:cs="Arial"/>
          <w:b/>
          <w:bCs/>
          <w:sz w:val="24"/>
          <w:szCs w:val="24"/>
        </w:rPr>
        <w:t>)</w:t>
      </w:r>
    </w:p>
    <w:p w14:paraId="6E05D309" w14:textId="77777777" w:rsidR="004E39BE" w:rsidRDefault="004E39BE" w:rsidP="004E39BE">
      <w:pPr>
        <w:rPr>
          <w:rFonts w:ascii="Arial" w:hAnsi="Arial" w:cs="Arial"/>
        </w:rPr>
      </w:pPr>
      <w:r w:rsidRPr="004E39BE">
        <w:rPr>
          <w:rFonts w:ascii="Arial" w:hAnsi="Arial" w:cs="Arial"/>
        </w:rPr>
        <w:t xml:space="preserve">All Trust wide policies are available on the ELFT intranet, </w:t>
      </w:r>
    </w:p>
    <w:p w14:paraId="17061249" w14:textId="15492BB2" w:rsidR="004E39BE" w:rsidRPr="004E39BE" w:rsidRDefault="004E39BE" w:rsidP="004E39BE">
      <w:pPr>
        <w:rPr>
          <w:rFonts w:ascii="Arial" w:hAnsi="Arial" w:cs="Arial"/>
        </w:rPr>
      </w:pPr>
      <w:hyperlink r:id="rId5" w:history="1">
        <w:r w:rsidRPr="004E39BE">
          <w:rPr>
            <w:rStyle w:val="Hyperlink"/>
            <w:rFonts w:ascii="Arial" w:hAnsi="Arial" w:cs="Arial"/>
          </w:rPr>
          <w:t>https://www.elft.nhs.uk/intranet/teams-support-me/governance-and-risk-management/policy-management/trust-policies</w:t>
        </w:r>
      </w:hyperlink>
    </w:p>
    <w:p w14:paraId="1E9BBEDE" w14:textId="0C73311D" w:rsidR="00332446" w:rsidRPr="00337DDD" w:rsidRDefault="004E39BE" w:rsidP="002932AE">
      <w:pPr>
        <w:rPr>
          <w:rFonts w:ascii="Arial" w:hAnsi="Arial" w:cs="Arial"/>
        </w:rPr>
      </w:pPr>
      <w:r w:rsidRPr="004E39BE">
        <w:rPr>
          <w:rFonts w:ascii="Arial" w:hAnsi="Arial" w:cs="Arial"/>
        </w:rPr>
        <w:t xml:space="preserve">As a polite reminder please do not search for policies on the internet as not all policies are published externally, and you may not find what you are looking for! </w:t>
      </w:r>
    </w:p>
    <w:p w14:paraId="4069F1AF" w14:textId="422F2920" w:rsidR="00FF24AA" w:rsidRDefault="002932AE" w:rsidP="00FF24AA">
      <w:pPr>
        <w:rPr>
          <w:rFonts w:ascii="Arial" w:hAnsi="Arial" w:cs="Arial"/>
        </w:rPr>
      </w:pPr>
      <w:r w:rsidRPr="002A5B6C">
        <w:rPr>
          <w:rFonts w:ascii="Arial" w:hAnsi="Arial" w:cs="Arial"/>
        </w:rPr>
        <w:t>The following polic</w:t>
      </w:r>
      <w:r w:rsidR="00332446" w:rsidRPr="002A5B6C">
        <w:rPr>
          <w:rFonts w:ascii="Arial" w:hAnsi="Arial" w:cs="Arial"/>
        </w:rPr>
        <w:t>ies</w:t>
      </w:r>
      <w:r w:rsidRPr="002A5B6C">
        <w:rPr>
          <w:rFonts w:ascii="Arial" w:hAnsi="Arial" w:cs="Arial"/>
        </w:rPr>
        <w:t xml:space="preserve"> were ratified or extended recently by the Quality Committee</w:t>
      </w:r>
      <w:r w:rsidR="00332446" w:rsidRPr="002A5B6C">
        <w:rPr>
          <w:rFonts w:ascii="Arial" w:hAnsi="Arial" w:cs="Arial"/>
        </w:rPr>
        <w:t>:</w:t>
      </w:r>
    </w:p>
    <w:p w14:paraId="592C33AF" w14:textId="77777777" w:rsidR="00337DDD" w:rsidRPr="002A5B6C" w:rsidRDefault="00337DDD" w:rsidP="00FF24AA">
      <w:pPr>
        <w:rPr>
          <w:rFonts w:ascii="Arial" w:hAnsi="Arial" w:cs="Arial"/>
        </w:rPr>
      </w:pPr>
    </w:p>
    <w:p w14:paraId="4454B1BD" w14:textId="607BE7A9" w:rsidR="002A5B6C" w:rsidRPr="002A5B6C" w:rsidRDefault="002A5B6C" w:rsidP="002A5B6C">
      <w:pPr>
        <w:rPr>
          <w:rFonts w:ascii="Arial" w:hAnsi="Arial" w:cs="Arial"/>
          <w:b/>
          <w:bCs/>
        </w:rPr>
      </w:pPr>
      <w:r w:rsidRPr="002A5B6C">
        <w:rPr>
          <w:rFonts w:ascii="Arial" w:hAnsi="Arial" w:cs="Arial"/>
          <w:b/>
          <w:bCs/>
        </w:rPr>
        <w:t>Management of Patients who are Absent Without Leave (AWOL) or Walk Out from Mental Health Inpatient Units (Luton &amp; Bedfordshire)</w:t>
      </w:r>
    </w:p>
    <w:p w14:paraId="52B78A70" w14:textId="67A5BB07" w:rsidR="002A5B6C" w:rsidRPr="002A5B6C" w:rsidRDefault="002A5B6C" w:rsidP="002A5B6C">
      <w:pPr>
        <w:rPr>
          <w:rFonts w:ascii="Arial" w:hAnsi="Arial" w:cs="Arial"/>
        </w:rPr>
      </w:pPr>
      <w:r w:rsidRPr="002A5B6C">
        <w:rPr>
          <w:rFonts w:ascii="Arial" w:hAnsi="Arial" w:cs="Arial"/>
        </w:rPr>
        <w:t>This policy sets out the arrangements for the management of patients who are Absent Without Leave (AWOL) or who walk out from mental health inpatient units within Luton &amp; Bedfordshire services of East London NHS Foundation Trust (ELFT).</w:t>
      </w:r>
    </w:p>
    <w:p w14:paraId="4458AA51" w14:textId="5C04FA18" w:rsidR="002A5B6C" w:rsidRPr="002A5B6C" w:rsidRDefault="002A5B6C" w:rsidP="002A5B6C">
      <w:pPr>
        <w:rPr>
          <w:rFonts w:ascii="Arial" w:hAnsi="Arial" w:cs="Arial"/>
        </w:rPr>
      </w:pPr>
      <w:r w:rsidRPr="002A5B6C">
        <w:rPr>
          <w:rFonts w:ascii="Arial" w:hAnsi="Arial" w:cs="Arial"/>
        </w:rPr>
        <w:t>The policy has been developed in collaboration with Bedfordshire Police and East of England Ambulance Service (EEAST) and reflects the principles of the Mental Health Act Code of Practice, College of Policing Authorised Professional Practice (APP), and the national Right Care Right Person (RCRP) approach.</w:t>
      </w:r>
    </w:p>
    <w:p w14:paraId="1D348CC0" w14:textId="4F6851A4" w:rsidR="002A5B6C" w:rsidRPr="002A5B6C" w:rsidRDefault="002A5B6C" w:rsidP="002A5B6C">
      <w:pPr>
        <w:rPr>
          <w:rFonts w:ascii="Arial" w:hAnsi="Arial" w:cs="Arial"/>
        </w:rPr>
      </w:pPr>
      <w:r w:rsidRPr="002A5B6C">
        <w:rPr>
          <w:rFonts w:ascii="Arial" w:hAnsi="Arial" w:cs="Arial"/>
        </w:rPr>
        <w:t>The policy applies to;</w:t>
      </w:r>
    </w:p>
    <w:p w14:paraId="04085980" w14:textId="1B90B078" w:rsidR="002A5B6C" w:rsidRPr="002A5B6C" w:rsidRDefault="002A5B6C" w:rsidP="002A5B6C">
      <w:pPr>
        <w:pStyle w:val="ListParagraph"/>
        <w:numPr>
          <w:ilvl w:val="0"/>
          <w:numId w:val="6"/>
        </w:numPr>
        <w:rPr>
          <w:rFonts w:ascii="Arial" w:hAnsi="Arial" w:cs="Arial"/>
        </w:rPr>
      </w:pPr>
      <w:r w:rsidRPr="002A5B6C">
        <w:rPr>
          <w:rFonts w:ascii="Arial" w:hAnsi="Arial" w:cs="Arial"/>
        </w:rPr>
        <w:t xml:space="preserve">detained adult mental health inpatients who are AWOL under Section 18 of the Mental Health Act 1983; and </w:t>
      </w:r>
    </w:p>
    <w:p w14:paraId="4F5E3C5F" w14:textId="24AD3E00" w:rsidR="002A5B6C" w:rsidRPr="002A5B6C" w:rsidRDefault="002A5B6C" w:rsidP="002A5B6C">
      <w:pPr>
        <w:pStyle w:val="ListParagraph"/>
        <w:numPr>
          <w:ilvl w:val="0"/>
          <w:numId w:val="6"/>
        </w:numPr>
        <w:rPr>
          <w:rFonts w:ascii="Arial" w:hAnsi="Arial" w:cs="Arial"/>
        </w:rPr>
      </w:pPr>
      <w:r w:rsidRPr="002A5B6C">
        <w:rPr>
          <w:rFonts w:ascii="Arial" w:hAnsi="Arial" w:cs="Arial"/>
        </w:rPr>
        <w:t xml:space="preserve">informally admitted adult mental health inpatients who leave the ward unexpectedly. </w:t>
      </w:r>
    </w:p>
    <w:p w14:paraId="6D3EDD2E" w14:textId="77777777" w:rsidR="002A5B6C" w:rsidRPr="002A5B6C" w:rsidRDefault="002A5B6C" w:rsidP="002A5B6C">
      <w:pPr>
        <w:rPr>
          <w:rFonts w:ascii="Arial" w:hAnsi="Arial" w:cs="Arial"/>
        </w:rPr>
      </w:pPr>
      <w:r w:rsidRPr="002A5B6C">
        <w:rPr>
          <w:rFonts w:ascii="Arial" w:hAnsi="Arial" w:cs="Arial"/>
        </w:rPr>
        <w:t>The policy clarifies:</w:t>
      </w:r>
    </w:p>
    <w:p w14:paraId="1FB8114B" w14:textId="0BD99CB0" w:rsidR="002A5B6C" w:rsidRPr="002A5B6C" w:rsidRDefault="002A5B6C" w:rsidP="002A5B6C">
      <w:pPr>
        <w:pStyle w:val="ListParagraph"/>
        <w:numPr>
          <w:ilvl w:val="0"/>
          <w:numId w:val="6"/>
        </w:numPr>
        <w:rPr>
          <w:rFonts w:ascii="Arial" w:hAnsi="Arial" w:cs="Arial"/>
        </w:rPr>
      </w:pPr>
      <w:r w:rsidRPr="002A5B6C">
        <w:rPr>
          <w:rFonts w:ascii="Arial" w:hAnsi="Arial" w:cs="Arial"/>
        </w:rPr>
        <w:t xml:space="preserve">the responsibilities of inpatient clinical teams; </w:t>
      </w:r>
    </w:p>
    <w:p w14:paraId="737C2D27" w14:textId="24E0CE8E" w:rsidR="002A5B6C" w:rsidRPr="002A5B6C" w:rsidRDefault="002A5B6C" w:rsidP="002A5B6C">
      <w:pPr>
        <w:pStyle w:val="ListParagraph"/>
        <w:numPr>
          <w:ilvl w:val="0"/>
          <w:numId w:val="6"/>
        </w:numPr>
        <w:rPr>
          <w:rFonts w:ascii="Arial" w:hAnsi="Arial" w:cs="Arial"/>
        </w:rPr>
      </w:pPr>
      <w:r w:rsidRPr="002A5B6C">
        <w:rPr>
          <w:rFonts w:ascii="Arial" w:hAnsi="Arial" w:cs="Arial"/>
        </w:rPr>
        <w:t xml:space="preserve">when police involvement should and should not be requested; </w:t>
      </w:r>
    </w:p>
    <w:p w14:paraId="7DDD393C" w14:textId="7BF447CF" w:rsidR="002A5B6C" w:rsidRPr="002A5B6C" w:rsidRDefault="002A5B6C" w:rsidP="002A5B6C">
      <w:pPr>
        <w:pStyle w:val="ListParagraph"/>
        <w:numPr>
          <w:ilvl w:val="0"/>
          <w:numId w:val="6"/>
        </w:numPr>
        <w:rPr>
          <w:rFonts w:ascii="Arial" w:hAnsi="Arial" w:cs="Arial"/>
        </w:rPr>
      </w:pPr>
      <w:r w:rsidRPr="002A5B6C">
        <w:rPr>
          <w:rFonts w:ascii="Arial" w:hAnsi="Arial" w:cs="Arial"/>
        </w:rPr>
        <w:t xml:space="preserve">the distinction between AWOL, walk-out, and missing person processes; </w:t>
      </w:r>
    </w:p>
    <w:p w14:paraId="2AE9AD9B" w14:textId="0C187565" w:rsidR="002A5B6C" w:rsidRPr="002A5B6C" w:rsidRDefault="002A5B6C" w:rsidP="002A5B6C">
      <w:pPr>
        <w:pStyle w:val="ListParagraph"/>
        <w:numPr>
          <w:ilvl w:val="0"/>
          <w:numId w:val="6"/>
        </w:numPr>
        <w:rPr>
          <w:rFonts w:ascii="Arial" w:hAnsi="Arial" w:cs="Arial"/>
        </w:rPr>
      </w:pPr>
      <w:r w:rsidRPr="002A5B6C">
        <w:rPr>
          <w:rFonts w:ascii="Arial" w:hAnsi="Arial" w:cs="Arial"/>
        </w:rPr>
        <w:t xml:space="preserve">expectations regarding conveyance and return of patients; </w:t>
      </w:r>
    </w:p>
    <w:p w14:paraId="19AE2F9F" w14:textId="52B04588" w:rsidR="002A5B6C" w:rsidRPr="002A5B6C" w:rsidRDefault="002A5B6C" w:rsidP="002A5B6C">
      <w:pPr>
        <w:pStyle w:val="ListParagraph"/>
        <w:numPr>
          <w:ilvl w:val="0"/>
          <w:numId w:val="6"/>
        </w:numPr>
        <w:rPr>
          <w:rFonts w:ascii="Arial" w:hAnsi="Arial" w:cs="Arial"/>
        </w:rPr>
      </w:pPr>
      <w:r w:rsidRPr="002A5B6C">
        <w:rPr>
          <w:rFonts w:ascii="Arial" w:hAnsi="Arial" w:cs="Arial"/>
        </w:rPr>
        <w:t>and the ongoing responsibilities of ELFT where police activity is reduced, delayed, or concluded.</w:t>
      </w:r>
    </w:p>
    <w:p w14:paraId="36342F55" w14:textId="3A82834C" w:rsidR="002A5B6C" w:rsidRPr="002A5B6C" w:rsidRDefault="002A5B6C" w:rsidP="002A5B6C">
      <w:pPr>
        <w:rPr>
          <w:rFonts w:ascii="Arial" w:hAnsi="Arial" w:cs="Arial"/>
        </w:rPr>
      </w:pPr>
      <w:r w:rsidRPr="002A5B6C">
        <w:rPr>
          <w:rFonts w:ascii="Arial" w:hAnsi="Arial" w:cs="Arial"/>
        </w:rPr>
        <w:t xml:space="preserve">This policy was reviewed following a Serious Incident involving a patient who was absent from an inpatient ward for a prolonged period, which highlighted unclear responsibilities and escalation processes once police involvement had reduced or ended. </w:t>
      </w:r>
    </w:p>
    <w:p w14:paraId="0B08B21D" w14:textId="77777777" w:rsidR="002A5B6C" w:rsidRPr="002A5B6C" w:rsidRDefault="002A5B6C" w:rsidP="002A5B6C">
      <w:pPr>
        <w:rPr>
          <w:rFonts w:ascii="Arial" w:hAnsi="Arial" w:cs="Arial"/>
        </w:rPr>
      </w:pPr>
      <w:r w:rsidRPr="002A5B6C">
        <w:rPr>
          <w:rFonts w:ascii="Arial" w:hAnsi="Arial" w:cs="Arial"/>
        </w:rPr>
        <w:t>The revised policy clarifies ongoing clinical ownership, review and escalation requirements, and safeguarding responsibilities to ensure patient safety and public protection remain actively managed until discharge or transfer of care.</w:t>
      </w:r>
    </w:p>
    <w:p w14:paraId="6E0B6181" w14:textId="0D323181" w:rsidR="00FF24AA" w:rsidRDefault="00337DDD" w:rsidP="002932AE">
      <w:pPr>
        <w:rPr>
          <w:rFonts w:ascii="Arial" w:hAnsi="Arial" w:cs="Arial"/>
        </w:rPr>
      </w:pPr>
      <w:hyperlink r:id="rId6" w:history="1">
        <w:r w:rsidRPr="00BB1FB0">
          <w:rPr>
            <w:rStyle w:val="Hyperlink"/>
            <w:rFonts w:ascii="Arial" w:hAnsi="Arial" w:cs="Arial"/>
          </w:rPr>
          <w:t>https://www.elft.nhs.uk/sites/default/files/202606/Management%20of%20AWOL%20Patients%20or%20who%20Walk%20Out%20from%20Mental%20Health%20Inpatient%20Units%20Luton%20%26%20Beds%201.0.docx</w:t>
        </w:r>
      </w:hyperlink>
      <w:r>
        <w:rPr>
          <w:rFonts w:ascii="Arial" w:hAnsi="Arial" w:cs="Arial"/>
        </w:rPr>
        <w:t xml:space="preserve"> </w:t>
      </w:r>
    </w:p>
    <w:p w14:paraId="77228A30" w14:textId="77777777" w:rsidR="00337DDD" w:rsidRDefault="00337DDD" w:rsidP="002932AE">
      <w:pPr>
        <w:rPr>
          <w:rFonts w:ascii="Arial" w:hAnsi="Arial" w:cs="Arial"/>
        </w:rPr>
      </w:pPr>
    </w:p>
    <w:p w14:paraId="6CD65988" w14:textId="77777777" w:rsidR="00337DDD" w:rsidRDefault="00337DDD" w:rsidP="002932AE">
      <w:pPr>
        <w:rPr>
          <w:rFonts w:ascii="Arial" w:hAnsi="Arial" w:cs="Arial"/>
        </w:rPr>
      </w:pPr>
    </w:p>
    <w:p w14:paraId="04C291E7" w14:textId="77777777" w:rsidR="00337DDD" w:rsidRDefault="00337DDD" w:rsidP="002932AE">
      <w:pPr>
        <w:rPr>
          <w:rFonts w:ascii="Arial" w:hAnsi="Arial" w:cs="Arial"/>
        </w:rPr>
      </w:pPr>
    </w:p>
    <w:p w14:paraId="4A952E09" w14:textId="26498B71" w:rsidR="00FF24AA" w:rsidRPr="00FF24AA" w:rsidRDefault="00FF24AA" w:rsidP="00FF24AA">
      <w:pPr>
        <w:shd w:val="clear" w:color="auto" w:fill="FFFFFF"/>
        <w:spacing w:after="200" w:line="276" w:lineRule="auto"/>
        <w:jc w:val="both"/>
        <w:rPr>
          <w:rFonts w:ascii="Arial" w:eastAsia="Calibri" w:hAnsi="Arial" w:cs="Arial"/>
          <w:b/>
          <w:bCs/>
          <w:kern w:val="0"/>
          <w:u w:val="single"/>
          <w14:ligatures w14:val="none"/>
        </w:rPr>
      </w:pPr>
      <w:r w:rsidRPr="00FF24AA">
        <w:rPr>
          <w:rFonts w:ascii="Arial" w:eastAsia="Calibri" w:hAnsi="Arial" w:cs="Arial"/>
          <w:b/>
          <w:bCs/>
          <w:kern w:val="0"/>
          <w:u w:val="single"/>
          <w14:ligatures w14:val="none"/>
        </w:rPr>
        <w:t>Policies for Extension</w:t>
      </w:r>
    </w:p>
    <w:p w14:paraId="5E5B5527" w14:textId="77777777" w:rsidR="00CC7AE6" w:rsidRPr="00976202" w:rsidRDefault="00CC7AE6" w:rsidP="00CC7AE6">
      <w:pPr>
        <w:shd w:val="clear" w:color="auto" w:fill="FFFFFF"/>
        <w:jc w:val="both"/>
        <w:rPr>
          <w:rFonts w:ascii="Arial" w:hAnsi="Arial" w:cs="Arial"/>
          <w:bCs/>
        </w:rPr>
      </w:pPr>
    </w:p>
    <w:tbl>
      <w:tblPr>
        <w:tblStyle w:val="TableGrid"/>
        <w:tblW w:w="9555" w:type="dxa"/>
        <w:tblLook w:val="04A0" w:firstRow="1" w:lastRow="0" w:firstColumn="1" w:lastColumn="0" w:noHBand="0" w:noVBand="1"/>
      </w:tblPr>
      <w:tblGrid>
        <w:gridCol w:w="3317"/>
        <w:gridCol w:w="2411"/>
        <w:gridCol w:w="3827"/>
      </w:tblGrid>
      <w:tr w:rsidR="00CC7AE6" w:rsidRPr="00FE79F3" w14:paraId="7B466722" w14:textId="77777777" w:rsidTr="00EA370B">
        <w:tc>
          <w:tcPr>
            <w:tcW w:w="3317" w:type="dxa"/>
          </w:tcPr>
          <w:p w14:paraId="70DE91CE" w14:textId="77777777" w:rsidR="00CC7AE6" w:rsidRPr="00FE79F3" w:rsidRDefault="00CC7AE6" w:rsidP="00EA370B">
            <w:pPr>
              <w:shd w:val="clear" w:color="auto" w:fill="FFFFFF"/>
              <w:jc w:val="both"/>
              <w:rPr>
                <w:rFonts w:ascii="Arial" w:hAnsi="Arial" w:cs="Arial"/>
                <w:b/>
                <w:bCs/>
                <w:sz w:val="22"/>
                <w:szCs w:val="22"/>
              </w:rPr>
            </w:pPr>
            <w:r w:rsidRPr="00FE79F3">
              <w:rPr>
                <w:rFonts w:ascii="Arial" w:hAnsi="Arial" w:cs="Arial"/>
                <w:b/>
                <w:bCs/>
                <w:sz w:val="22"/>
                <w:szCs w:val="22"/>
              </w:rPr>
              <w:t>Policy Name</w:t>
            </w:r>
          </w:p>
        </w:tc>
        <w:tc>
          <w:tcPr>
            <w:tcW w:w="2411" w:type="dxa"/>
          </w:tcPr>
          <w:p w14:paraId="258C8778" w14:textId="77777777" w:rsidR="00CC7AE6" w:rsidRPr="00FE79F3" w:rsidRDefault="00CC7AE6" w:rsidP="00EA370B">
            <w:pPr>
              <w:shd w:val="clear" w:color="auto" w:fill="FFFFFF"/>
              <w:jc w:val="both"/>
              <w:rPr>
                <w:rFonts w:ascii="Arial" w:hAnsi="Arial" w:cs="Arial"/>
                <w:b/>
                <w:bCs/>
                <w:sz w:val="22"/>
                <w:szCs w:val="22"/>
              </w:rPr>
            </w:pPr>
            <w:r w:rsidRPr="00FE79F3">
              <w:rPr>
                <w:rFonts w:ascii="Arial" w:hAnsi="Arial" w:cs="Arial"/>
                <w:b/>
                <w:bCs/>
                <w:sz w:val="22"/>
                <w:szCs w:val="22"/>
              </w:rPr>
              <w:t>Extension requested to</w:t>
            </w:r>
          </w:p>
        </w:tc>
        <w:tc>
          <w:tcPr>
            <w:tcW w:w="3827" w:type="dxa"/>
          </w:tcPr>
          <w:p w14:paraId="1B35D559" w14:textId="77777777" w:rsidR="00CC7AE6" w:rsidRPr="00FE79F3" w:rsidRDefault="00CC7AE6" w:rsidP="00EA370B">
            <w:pPr>
              <w:shd w:val="clear" w:color="auto" w:fill="FFFFFF"/>
              <w:jc w:val="both"/>
              <w:rPr>
                <w:rFonts w:ascii="Arial" w:hAnsi="Arial" w:cs="Arial"/>
                <w:b/>
                <w:bCs/>
                <w:sz w:val="22"/>
                <w:szCs w:val="22"/>
              </w:rPr>
            </w:pPr>
            <w:r w:rsidRPr="00FE79F3">
              <w:rPr>
                <w:rFonts w:ascii="Arial" w:hAnsi="Arial" w:cs="Arial"/>
                <w:b/>
                <w:bCs/>
                <w:sz w:val="22"/>
                <w:szCs w:val="22"/>
              </w:rPr>
              <w:t>Rationale</w:t>
            </w:r>
          </w:p>
        </w:tc>
      </w:tr>
      <w:tr w:rsidR="00CC7AE6" w:rsidRPr="00FE79F3" w14:paraId="6CA7FB80" w14:textId="77777777" w:rsidTr="00EA370B">
        <w:tc>
          <w:tcPr>
            <w:tcW w:w="3317" w:type="dxa"/>
          </w:tcPr>
          <w:p w14:paraId="56EF7F35" w14:textId="77777777" w:rsidR="00CC7AE6" w:rsidRPr="00810CD5" w:rsidRDefault="00CC7AE6" w:rsidP="00EA370B">
            <w:pPr>
              <w:shd w:val="clear" w:color="auto" w:fill="FFFFFF"/>
              <w:rPr>
                <w:rFonts w:ascii="Arial" w:hAnsi="Arial" w:cs="Arial"/>
                <w:bCs/>
                <w:sz w:val="22"/>
                <w:szCs w:val="22"/>
              </w:rPr>
            </w:pPr>
            <w:bookmarkStart w:id="0" w:name="_Hlk219880434"/>
            <w:r w:rsidRPr="00E8256F">
              <w:rPr>
                <w:rFonts w:ascii="Arial" w:hAnsi="Arial" w:cs="Arial"/>
                <w:bCs/>
                <w:sz w:val="22"/>
                <w:szCs w:val="22"/>
              </w:rPr>
              <w:t>Risk Management Framework</w:t>
            </w:r>
          </w:p>
        </w:tc>
        <w:tc>
          <w:tcPr>
            <w:tcW w:w="2411" w:type="dxa"/>
          </w:tcPr>
          <w:p w14:paraId="3CEFF7D6" w14:textId="77777777" w:rsidR="00CC7AE6" w:rsidRPr="00810CD5" w:rsidRDefault="00CC7AE6" w:rsidP="00EA370B">
            <w:pPr>
              <w:shd w:val="clear" w:color="auto" w:fill="FFFFFF"/>
              <w:jc w:val="both"/>
              <w:rPr>
                <w:rFonts w:ascii="Arial" w:hAnsi="Arial" w:cs="Arial"/>
                <w:bCs/>
                <w:sz w:val="22"/>
                <w:szCs w:val="22"/>
              </w:rPr>
            </w:pPr>
            <w:r>
              <w:rPr>
                <w:rFonts w:ascii="Arial" w:hAnsi="Arial" w:cs="Arial"/>
                <w:bCs/>
                <w:sz w:val="22"/>
                <w:szCs w:val="22"/>
              </w:rPr>
              <w:t>August</w:t>
            </w:r>
            <w:r w:rsidRPr="00810CD5">
              <w:rPr>
                <w:rFonts w:ascii="Arial" w:hAnsi="Arial" w:cs="Arial"/>
                <w:bCs/>
                <w:sz w:val="22"/>
                <w:szCs w:val="22"/>
              </w:rPr>
              <w:t xml:space="preserve"> 2026</w:t>
            </w:r>
          </w:p>
        </w:tc>
        <w:tc>
          <w:tcPr>
            <w:tcW w:w="3827" w:type="dxa"/>
          </w:tcPr>
          <w:p w14:paraId="5D038F94" w14:textId="77777777" w:rsidR="00CC7AE6" w:rsidRPr="00810CD5" w:rsidRDefault="00CC7AE6" w:rsidP="00EA370B">
            <w:pPr>
              <w:shd w:val="clear" w:color="auto" w:fill="FFFFFF"/>
              <w:rPr>
                <w:rFonts w:ascii="Arial" w:hAnsi="Arial" w:cs="Arial"/>
                <w:bCs/>
                <w:sz w:val="22"/>
                <w:szCs w:val="22"/>
              </w:rPr>
            </w:pPr>
            <w:r w:rsidRPr="00D91653">
              <w:rPr>
                <w:rFonts w:ascii="Arial" w:hAnsi="Arial" w:cs="Arial"/>
                <w:bCs/>
                <w:sz w:val="22"/>
                <w:szCs w:val="22"/>
              </w:rPr>
              <w:t xml:space="preserve">Extended </w:t>
            </w:r>
            <w:r>
              <w:rPr>
                <w:rFonts w:ascii="Arial" w:hAnsi="Arial" w:cs="Arial"/>
                <w:bCs/>
                <w:sz w:val="22"/>
                <w:szCs w:val="22"/>
              </w:rPr>
              <w:t xml:space="preserve">for 3 months </w:t>
            </w:r>
            <w:r w:rsidRPr="00D91653">
              <w:rPr>
                <w:rFonts w:ascii="Arial" w:hAnsi="Arial" w:cs="Arial"/>
                <w:bCs/>
                <w:sz w:val="22"/>
                <w:szCs w:val="22"/>
              </w:rPr>
              <w:t>whilst awaiting Trust risk appetite to be agreed by the Trust Board</w:t>
            </w:r>
          </w:p>
        </w:tc>
      </w:tr>
      <w:tr w:rsidR="00CC7AE6" w:rsidRPr="00FE79F3" w14:paraId="40433073" w14:textId="77777777" w:rsidTr="00EA370B">
        <w:tc>
          <w:tcPr>
            <w:tcW w:w="3317" w:type="dxa"/>
          </w:tcPr>
          <w:p w14:paraId="03685C6F" w14:textId="77777777" w:rsidR="00CC7AE6" w:rsidRDefault="00CC7AE6" w:rsidP="00EA370B">
            <w:pPr>
              <w:shd w:val="clear" w:color="auto" w:fill="FFFFFF"/>
              <w:rPr>
                <w:rFonts w:ascii="Arial" w:hAnsi="Arial" w:cs="Arial"/>
                <w:bCs/>
              </w:rPr>
            </w:pPr>
            <w:r w:rsidRPr="003B0EFE">
              <w:rPr>
                <w:rFonts w:ascii="Arial" w:hAnsi="Arial" w:cs="Arial"/>
                <w:bCs/>
                <w:sz w:val="22"/>
                <w:szCs w:val="22"/>
              </w:rPr>
              <w:t>Legal Claims Policy</w:t>
            </w:r>
          </w:p>
        </w:tc>
        <w:tc>
          <w:tcPr>
            <w:tcW w:w="2411" w:type="dxa"/>
          </w:tcPr>
          <w:p w14:paraId="55AEB669" w14:textId="77777777" w:rsidR="00CC7AE6" w:rsidRPr="00CE4518" w:rsidRDefault="00CC7AE6" w:rsidP="00EA370B">
            <w:pPr>
              <w:shd w:val="clear" w:color="auto" w:fill="FFFFFF"/>
              <w:jc w:val="both"/>
              <w:rPr>
                <w:rFonts w:ascii="Arial" w:hAnsi="Arial" w:cs="Arial"/>
                <w:bCs/>
                <w:sz w:val="22"/>
                <w:szCs w:val="22"/>
              </w:rPr>
            </w:pPr>
            <w:r w:rsidRPr="00CE4518">
              <w:rPr>
                <w:rFonts w:ascii="Arial" w:hAnsi="Arial" w:cs="Arial"/>
                <w:bCs/>
                <w:sz w:val="22"/>
                <w:szCs w:val="22"/>
              </w:rPr>
              <w:t>August 2026</w:t>
            </w:r>
          </w:p>
        </w:tc>
        <w:tc>
          <w:tcPr>
            <w:tcW w:w="3827" w:type="dxa"/>
          </w:tcPr>
          <w:p w14:paraId="2A98BACE" w14:textId="77777777" w:rsidR="00CC7AE6" w:rsidRPr="00CE4518" w:rsidRDefault="00CC7AE6" w:rsidP="00EA370B">
            <w:pPr>
              <w:shd w:val="clear" w:color="auto" w:fill="FFFFFF"/>
              <w:rPr>
                <w:rFonts w:ascii="Arial" w:hAnsi="Arial" w:cs="Arial"/>
                <w:bCs/>
                <w:sz w:val="22"/>
                <w:szCs w:val="22"/>
              </w:rPr>
            </w:pPr>
            <w:r w:rsidRPr="00CE4518">
              <w:rPr>
                <w:rFonts w:ascii="Arial" w:hAnsi="Arial" w:cs="Arial"/>
                <w:bCs/>
                <w:sz w:val="22"/>
                <w:szCs w:val="22"/>
              </w:rPr>
              <w:t xml:space="preserve">Extended for </w:t>
            </w:r>
            <w:r>
              <w:rPr>
                <w:rFonts w:ascii="Arial" w:hAnsi="Arial" w:cs="Arial"/>
                <w:bCs/>
                <w:sz w:val="22"/>
                <w:szCs w:val="22"/>
              </w:rPr>
              <w:t>3</w:t>
            </w:r>
            <w:r w:rsidRPr="00CE4518">
              <w:rPr>
                <w:rFonts w:ascii="Arial" w:hAnsi="Arial" w:cs="Arial"/>
                <w:bCs/>
                <w:sz w:val="22"/>
                <w:szCs w:val="22"/>
              </w:rPr>
              <w:t xml:space="preserve"> months to allow the policy to be reviewed and updated in respect to the NHS Resolution framework published recently</w:t>
            </w:r>
          </w:p>
        </w:tc>
      </w:tr>
      <w:tr w:rsidR="00CC7AE6" w:rsidRPr="00FE79F3" w14:paraId="678C13CD" w14:textId="77777777" w:rsidTr="00EA370B">
        <w:tc>
          <w:tcPr>
            <w:tcW w:w="3317" w:type="dxa"/>
          </w:tcPr>
          <w:p w14:paraId="6CA68DC8" w14:textId="77777777" w:rsidR="00CC7AE6" w:rsidRDefault="00CC7AE6" w:rsidP="00EA370B">
            <w:pPr>
              <w:shd w:val="clear" w:color="auto" w:fill="FFFFFF"/>
              <w:rPr>
                <w:rFonts w:ascii="Arial" w:hAnsi="Arial" w:cs="Arial"/>
                <w:bCs/>
                <w:sz w:val="22"/>
                <w:szCs w:val="22"/>
              </w:rPr>
            </w:pPr>
            <w:r w:rsidRPr="00D3191D">
              <w:rPr>
                <w:rFonts w:ascii="Arial" w:hAnsi="Arial" w:cs="Arial"/>
                <w:bCs/>
                <w:sz w:val="22"/>
                <w:szCs w:val="22"/>
              </w:rPr>
              <w:t>Transgender Inpatient Policy</w:t>
            </w:r>
          </w:p>
          <w:p w14:paraId="4C9A21F9" w14:textId="77777777" w:rsidR="00CC7AE6" w:rsidRPr="002C5B8F" w:rsidRDefault="00CC7AE6" w:rsidP="00EA370B">
            <w:pPr>
              <w:shd w:val="clear" w:color="auto" w:fill="FFFFFF"/>
              <w:rPr>
                <w:rFonts w:ascii="Arial" w:hAnsi="Arial" w:cs="Arial"/>
                <w:bCs/>
                <w:sz w:val="22"/>
                <w:szCs w:val="22"/>
              </w:rPr>
            </w:pPr>
          </w:p>
        </w:tc>
        <w:tc>
          <w:tcPr>
            <w:tcW w:w="2411" w:type="dxa"/>
          </w:tcPr>
          <w:p w14:paraId="50163216" w14:textId="77777777" w:rsidR="00CC7AE6" w:rsidRPr="002C5B8F" w:rsidRDefault="00CC7AE6" w:rsidP="00EA370B">
            <w:pPr>
              <w:shd w:val="clear" w:color="auto" w:fill="FFFFFF"/>
              <w:jc w:val="both"/>
              <w:rPr>
                <w:rFonts w:ascii="Arial" w:hAnsi="Arial" w:cs="Arial"/>
                <w:bCs/>
                <w:sz w:val="22"/>
                <w:szCs w:val="22"/>
              </w:rPr>
            </w:pPr>
            <w:r w:rsidRPr="002C5B8F">
              <w:rPr>
                <w:rFonts w:ascii="Arial" w:hAnsi="Arial" w:cs="Arial"/>
                <w:bCs/>
                <w:sz w:val="22"/>
                <w:szCs w:val="22"/>
              </w:rPr>
              <w:t>August 2026</w:t>
            </w:r>
          </w:p>
        </w:tc>
        <w:tc>
          <w:tcPr>
            <w:tcW w:w="3827" w:type="dxa"/>
          </w:tcPr>
          <w:p w14:paraId="7E8C4DA8" w14:textId="77777777" w:rsidR="00CC7AE6" w:rsidRPr="00CE4518" w:rsidRDefault="00CC7AE6" w:rsidP="00EA370B">
            <w:pPr>
              <w:shd w:val="clear" w:color="auto" w:fill="FFFFFF"/>
              <w:rPr>
                <w:rFonts w:ascii="Arial" w:hAnsi="Arial" w:cs="Arial"/>
                <w:bCs/>
              </w:rPr>
            </w:pPr>
            <w:r w:rsidRPr="002C5B8F">
              <w:rPr>
                <w:rFonts w:ascii="Arial" w:hAnsi="Arial" w:cs="Arial"/>
                <w:bCs/>
                <w:sz w:val="22"/>
                <w:szCs w:val="22"/>
              </w:rPr>
              <w:t>Extended for 3 months</w:t>
            </w:r>
          </w:p>
        </w:tc>
      </w:tr>
      <w:bookmarkEnd w:id="0"/>
    </w:tbl>
    <w:p w14:paraId="62A226B2" w14:textId="77777777" w:rsidR="00FF24AA" w:rsidRPr="00FF24AA" w:rsidRDefault="00FF24AA" w:rsidP="00FF24AA">
      <w:pPr>
        <w:shd w:val="clear" w:color="auto" w:fill="FFFFFF"/>
        <w:spacing w:after="200" w:line="276" w:lineRule="auto"/>
        <w:jc w:val="both"/>
        <w:rPr>
          <w:rFonts w:ascii="Arial" w:eastAsia="Calibri" w:hAnsi="Arial" w:cs="Arial"/>
          <w:bCs/>
          <w:kern w:val="0"/>
          <w14:ligatures w14:val="none"/>
        </w:rPr>
      </w:pPr>
    </w:p>
    <w:p w14:paraId="193BA588" w14:textId="01B3540F" w:rsidR="00FF24AA" w:rsidRPr="00FF24AA" w:rsidRDefault="00FF24AA" w:rsidP="00FF24AA">
      <w:pPr>
        <w:shd w:val="clear" w:color="auto" w:fill="FFFFFF"/>
        <w:spacing w:after="200" w:line="276" w:lineRule="auto"/>
        <w:jc w:val="both"/>
        <w:rPr>
          <w:rFonts w:ascii="Arial" w:eastAsia="Calibri" w:hAnsi="Arial" w:cs="Arial"/>
          <w:b/>
          <w:kern w:val="0"/>
          <w:u w:val="single"/>
          <w14:ligatures w14:val="none"/>
        </w:rPr>
      </w:pPr>
      <w:r w:rsidRPr="00FF24AA">
        <w:rPr>
          <w:rFonts w:ascii="Arial" w:eastAsia="Calibri" w:hAnsi="Arial" w:cs="Arial"/>
          <w:b/>
          <w:kern w:val="0"/>
          <w:u w:val="single"/>
          <w14:ligatures w14:val="none"/>
        </w:rPr>
        <w:t>Additional Updates</w:t>
      </w:r>
    </w:p>
    <w:p w14:paraId="669DEB03" w14:textId="6955F243" w:rsidR="004A2B9F" w:rsidRPr="004A2B9F" w:rsidRDefault="004A2B9F" w:rsidP="004A2B9F">
      <w:pPr>
        <w:rPr>
          <w:rFonts w:ascii="Arial" w:hAnsi="Arial" w:cs="Arial"/>
        </w:rPr>
      </w:pPr>
      <w:r w:rsidRPr="004A2B9F">
        <w:rPr>
          <w:rFonts w:ascii="Arial" w:hAnsi="Arial" w:cs="Arial"/>
        </w:rPr>
        <w:t xml:space="preserve">The </w:t>
      </w:r>
      <w:r w:rsidRPr="004A2B9F">
        <w:rPr>
          <w:rFonts w:ascii="Arial" w:hAnsi="Arial" w:cs="Arial"/>
          <w:b/>
          <w:bCs/>
        </w:rPr>
        <w:t>Respiratory Infections Policy</w:t>
      </w:r>
      <w:r w:rsidRPr="004A2B9F">
        <w:rPr>
          <w:rFonts w:ascii="Arial" w:hAnsi="Arial" w:cs="Arial"/>
        </w:rPr>
        <w:t xml:space="preserve"> was approved at the IPC Committee on 1 May 2026 and ratified via Chairs action on 5th May 2026 by the Chief Nurse. </w:t>
      </w:r>
    </w:p>
    <w:p w14:paraId="09CC6DBA" w14:textId="534DC39B" w:rsidR="00844FBF" w:rsidRDefault="004A2B9F" w:rsidP="004A2B9F">
      <w:pPr>
        <w:rPr>
          <w:rFonts w:ascii="Arial" w:hAnsi="Arial" w:cs="Arial"/>
        </w:rPr>
      </w:pPr>
      <w:r w:rsidRPr="004A2B9F">
        <w:rPr>
          <w:rFonts w:ascii="Arial" w:hAnsi="Arial" w:cs="Arial"/>
        </w:rPr>
        <w:t>The policy has been revised to remove specific COVID-19 measures (e.g., the two-metre distancing requirement) and adopt a more generalised approach to respiratory infection management. In addition, the pathway for managing symptomatic patients with flu and COVID-19 has been updated.</w:t>
      </w:r>
    </w:p>
    <w:p w14:paraId="27FE4528" w14:textId="77777777" w:rsidR="00214634" w:rsidRPr="004A2B9F" w:rsidRDefault="00214634" w:rsidP="004A2B9F">
      <w:pPr>
        <w:rPr>
          <w:rFonts w:ascii="Arial" w:hAnsi="Arial" w:cs="Arial"/>
        </w:rPr>
      </w:pPr>
    </w:p>
    <w:p w14:paraId="1832094B" w14:textId="4C14CC7B" w:rsidR="00214634" w:rsidRPr="00214634" w:rsidRDefault="00373A85" w:rsidP="00214634">
      <w:pPr>
        <w:rPr>
          <w:rFonts w:ascii="Arial" w:hAnsi="Arial" w:cs="Arial"/>
          <w:b/>
          <w:bCs/>
          <w:u w:val="single"/>
        </w:rPr>
      </w:pPr>
      <w:r w:rsidRPr="00373A85">
        <w:rPr>
          <w:rFonts w:ascii="Arial" w:hAnsi="Arial" w:cs="Arial"/>
          <w:b/>
          <w:bCs/>
          <w:u w:val="single"/>
        </w:rPr>
        <w:t>Other Trust Policies Ratified this month:</w:t>
      </w:r>
    </w:p>
    <w:p w14:paraId="5FD51AC5" w14:textId="71185940" w:rsidR="00214634" w:rsidRPr="00214634" w:rsidRDefault="00214634" w:rsidP="00214634">
      <w:pPr>
        <w:rPr>
          <w:rFonts w:ascii="Arial" w:hAnsi="Arial" w:cs="Arial"/>
          <w:b/>
          <w:bCs/>
        </w:rPr>
      </w:pPr>
      <w:r w:rsidRPr="00214634">
        <w:rPr>
          <w:rFonts w:ascii="Arial" w:hAnsi="Arial" w:cs="Arial"/>
          <w:b/>
          <w:bCs/>
        </w:rPr>
        <w:t>Transfers of Patients Across Male Psychiatric Intensive Care Units (PICUs) SOP</w:t>
      </w:r>
    </w:p>
    <w:p w14:paraId="68DF6D9E" w14:textId="475DB34B" w:rsidR="00DF142B" w:rsidRDefault="00214634" w:rsidP="00214634">
      <w:pPr>
        <w:rPr>
          <w:rFonts w:ascii="Arial" w:hAnsi="Arial" w:cs="Arial"/>
        </w:rPr>
      </w:pPr>
      <w:r w:rsidRPr="00214634">
        <w:rPr>
          <w:rFonts w:ascii="Arial" w:hAnsi="Arial" w:cs="Arial"/>
        </w:rPr>
        <w:t xml:space="preserve">This </w:t>
      </w:r>
      <w:r w:rsidR="00DF142B">
        <w:rPr>
          <w:rFonts w:ascii="Arial" w:hAnsi="Arial" w:cs="Arial"/>
        </w:rPr>
        <w:t xml:space="preserve">is a new </w:t>
      </w:r>
      <w:r w:rsidR="00DF142B" w:rsidRPr="00DF142B">
        <w:rPr>
          <w:rFonts w:ascii="Arial" w:hAnsi="Arial" w:cs="Arial"/>
        </w:rPr>
        <w:t>Standard Operating Procedure</w:t>
      </w:r>
      <w:r w:rsidR="00DF142B">
        <w:rPr>
          <w:rFonts w:ascii="Arial" w:hAnsi="Arial" w:cs="Arial"/>
        </w:rPr>
        <w:t xml:space="preserve"> which </w:t>
      </w:r>
      <w:r w:rsidRPr="00214634">
        <w:rPr>
          <w:rFonts w:ascii="Arial" w:hAnsi="Arial" w:cs="Arial"/>
        </w:rPr>
        <w:t xml:space="preserve">sets out the process for referring, assessing, and transferring patients between male Psychiatric Intensive Care Units (PICUs) within the Trust and between the Trust and external organisations. </w:t>
      </w:r>
    </w:p>
    <w:p w14:paraId="3C914F48" w14:textId="5790CB98" w:rsidR="00214634" w:rsidRPr="00214634" w:rsidRDefault="00214634" w:rsidP="00214634">
      <w:pPr>
        <w:rPr>
          <w:rFonts w:ascii="Arial" w:hAnsi="Arial" w:cs="Arial"/>
        </w:rPr>
      </w:pPr>
      <w:r w:rsidRPr="00214634">
        <w:rPr>
          <w:rFonts w:ascii="Arial" w:hAnsi="Arial" w:cs="Arial"/>
        </w:rPr>
        <w:t>Its purpose is to ensure that transfers are clinically appropriate, therapeutically beneficial, and made through transparent multidisciplinary decision-making, with clear accountability for patient care. The process also supports least restrictive practice, maintains safe ward environments, and aligns with national PICU standards.</w:t>
      </w:r>
    </w:p>
    <w:p w14:paraId="31D8E0B8" w14:textId="0855AC35" w:rsidR="00DE25EC" w:rsidRPr="00F90A7F" w:rsidRDefault="00F90A7F" w:rsidP="00F90A7F">
      <w:pPr>
        <w:rPr>
          <w:rFonts w:ascii="Arial" w:hAnsi="Arial" w:cs="Arial"/>
          <w:b/>
          <w:bCs/>
        </w:rPr>
      </w:pPr>
      <w:r w:rsidRPr="00F90A7F">
        <w:rPr>
          <w:rFonts w:ascii="Arial" w:hAnsi="Arial" w:cs="Arial"/>
          <w:b/>
          <w:bCs/>
        </w:rPr>
        <w:t>Medicines Policies:</w:t>
      </w:r>
    </w:p>
    <w:p w14:paraId="22D5C55F" w14:textId="4A7D904B" w:rsidR="00F90A7F" w:rsidRDefault="00F90A7F" w:rsidP="00F90A7F">
      <w:pPr>
        <w:rPr>
          <w:rFonts w:ascii="Arial" w:hAnsi="Arial" w:cs="Arial"/>
          <w:b/>
          <w:bCs/>
        </w:rPr>
      </w:pPr>
      <w:r w:rsidRPr="00F90A7F">
        <w:rPr>
          <w:rFonts w:ascii="Arial" w:hAnsi="Arial" w:cs="Arial"/>
          <w:b/>
          <w:bCs/>
        </w:rPr>
        <w:t>In-Patient Alcohol Detoxification Guidelines</w:t>
      </w:r>
    </w:p>
    <w:p w14:paraId="6CCB9BAC" w14:textId="4A20EF2B" w:rsidR="00F90A7F" w:rsidRPr="00F90A7F" w:rsidRDefault="00F90A7F" w:rsidP="00F90A7F">
      <w:pPr>
        <w:rPr>
          <w:rFonts w:ascii="Arial" w:hAnsi="Arial" w:cs="Arial"/>
        </w:rPr>
      </w:pPr>
      <w:r w:rsidRPr="00F90A7F">
        <w:rPr>
          <w:rFonts w:ascii="Arial" w:hAnsi="Arial" w:cs="Arial"/>
        </w:rPr>
        <w:t>These guidelines provide advice for managing inpatient alcohol detoxification for service users who require it. While they are broadly applicable, some aspects (such as pre-admission monitoring, post-discharge follow-up, and relapse prevention medication) may not be suitable for emergency mental health admissions.</w:t>
      </w:r>
    </w:p>
    <w:p w14:paraId="1A602489" w14:textId="6C841DC9" w:rsidR="00F90A7F" w:rsidRPr="00F90A7F" w:rsidRDefault="00F90A7F" w:rsidP="00F90A7F">
      <w:pPr>
        <w:rPr>
          <w:rFonts w:ascii="Arial" w:hAnsi="Arial" w:cs="Arial"/>
        </w:rPr>
      </w:pPr>
      <w:r w:rsidRPr="00F90A7F">
        <w:rPr>
          <w:rFonts w:ascii="Arial" w:hAnsi="Arial" w:cs="Arial"/>
        </w:rPr>
        <w:t>The guidelines also highlight that hospital admissions are an important opportunity to:</w:t>
      </w:r>
    </w:p>
    <w:p w14:paraId="75664F04" w14:textId="77777777" w:rsidR="00F90A7F" w:rsidRPr="00F90A7F" w:rsidRDefault="00F90A7F" w:rsidP="00F90A7F">
      <w:pPr>
        <w:pStyle w:val="ListParagraph"/>
        <w:numPr>
          <w:ilvl w:val="0"/>
          <w:numId w:val="7"/>
        </w:numPr>
        <w:rPr>
          <w:rFonts w:ascii="Arial" w:hAnsi="Arial" w:cs="Arial"/>
        </w:rPr>
      </w:pPr>
      <w:r w:rsidRPr="00F90A7F">
        <w:rPr>
          <w:rFonts w:ascii="Arial" w:hAnsi="Arial" w:cs="Arial"/>
        </w:rPr>
        <w:t>Discuss alcohol use and its effects on health.</w:t>
      </w:r>
    </w:p>
    <w:p w14:paraId="70F255F2" w14:textId="77777777" w:rsidR="00F90A7F" w:rsidRPr="00F90A7F" w:rsidRDefault="00F90A7F" w:rsidP="00F90A7F">
      <w:pPr>
        <w:pStyle w:val="ListParagraph"/>
        <w:numPr>
          <w:ilvl w:val="0"/>
          <w:numId w:val="7"/>
        </w:numPr>
        <w:rPr>
          <w:rFonts w:ascii="Arial" w:hAnsi="Arial" w:cs="Arial"/>
        </w:rPr>
      </w:pPr>
      <w:r w:rsidRPr="00F90A7F">
        <w:rPr>
          <w:rFonts w:ascii="Arial" w:hAnsi="Arial" w:cs="Arial"/>
        </w:rPr>
        <w:t>Encourage patients to consider changing their drinking habits.</w:t>
      </w:r>
    </w:p>
    <w:p w14:paraId="24156034" w14:textId="1BD80ABF" w:rsidR="00F90A7F" w:rsidRDefault="00F90A7F" w:rsidP="00F90A7F">
      <w:pPr>
        <w:pStyle w:val="ListParagraph"/>
        <w:numPr>
          <w:ilvl w:val="0"/>
          <w:numId w:val="7"/>
        </w:numPr>
        <w:rPr>
          <w:rFonts w:ascii="Arial" w:hAnsi="Arial" w:cs="Arial"/>
        </w:rPr>
      </w:pPr>
      <w:r w:rsidRPr="00F90A7F">
        <w:rPr>
          <w:rFonts w:ascii="Arial" w:hAnsi="Arial" w:cs="Arial"/>
        </w:rPr>
        <w:lastRenderedPageBreak/>
        <w:t>Provide education and resources to support behaviour change, including e-learning for healthcare staff and patient information.</w:t>
      </w:r>
    </w:p>
    <w:p w14:paraId="55A511E6" w14:textId="6CD605D9" w:rsidR="00F90A7F" w:rsidRDefault="00F90A7F" w:rsidP="00F90A7F">
      <w:pPr>
        <w:rPr>
          <w:rFonts w:ascii="Arial" w:hAnsi="Arial" w:cs="Arial"/>
        </w:rPr>
      </w:pPr>
      <w:hyperlink r:id="rId7" w:history="1">
        <w:r w:rsidRPr="00F910C2">
          <w:rPr>
            <w:rStyle w:val="Hyperlink"/>
            <w:rFonts w:ascii="Arial" w:hAnsi="Arial" w:cs="Arial"/>
          </w:rPr>
          <w:t>https://www.elft.nhs.uk/sites/default/files/202606/Guidelines%20for%20Inpatient%20Treatment%20of%20Alcohol%20Dependence%205.0.docx</w:t>
        </w:r>
      </w:hyperlink>
      <w:r>
        <w:rPr>
          <w:rFonts w:ascii="Arial" w:hAnsi="Arial" w:cs="Arial"/>
        </w:rPr>
        <w:t xml:space="preserve"> </w:t>
      </w:r>
    </w:p>
    <w:p w14:paraId="097CCDAA" w14:textId="77777777" w:rsidR="00F90A7F" w:rsidRPr="00F90A7F" w:rsidRDefault="00F90A7F" w:rsidP="00F90A7F">
      <w:pPr>
        <w:rPr>
          <w:rFonts w:ascii="Arial" w:hAnsi="Arial" w:cs="Arial"/>
        </w:rPr>
      </w:pPr>
    </w:p>
    <w:p w14:paraId="549F2B11" w14:textId="06D80E79" w:rsidR="00FC0868" w:rsidRDefault="00F90A7F">
      <w:pPr>
        <w:rPr>
          <w:rFonts w:ascii="Arial" w:hAnsi="Arial" w:cs="Arial"/>
          <w:b/>
          <w:bCs/>
        </w:rPr>
      </w:pPr>
      <w:r w:rsidRPr="00F90A7F">
        <w:rPr>
          <w:rFonts w:ascii="Arial" w:hAnsi="Arial" w:cs="Arial"/>
          <w:b/>
          <w:bCs/>
        </w:rPr>
        <w:t>Community Alcohol Detoxification Guidelines</w:t>
      </w:r>
    </w:p>
    <w:p w14:paraId="5D8BAB9F" w14:textId="06A91C86" w:rsidR="00F90A7F" w:rsidRDefault="00F90A7F">
      <w:pPr>
        <w:rPr>
          <w:rFonts w:ascii="Arial" w:hAnsi="Arial" w:cs="Arial"/>
        </w:rPr>
      </w:pPr>
      <w:r w:rsidRPr="00F90A7F">
        <w:rPr>
          <w:rFonts w:ascii="Arial" w:hAnsi="Arial" w:cs="Arial"/>
        </w:rPr>
        <w:t>This guideline outlines the community-based pharmacological management of alcohol withdrawal and the use of medication to support long-term abstinence. Treatment is delivered alongside appropriate psychosocial interventions, with further details available in the operational policy.</w:t>
      </w:r>
    </w:p>
    <w:p w14:paraId="62488759" w14:textId="52466CAA" w:rsidR="00F90A7F" w:rsidRPr="00F90A7F" w:rsidRDefault="00F90A7F">
      <w:pPr>
        <w:rPr>
          <w:rFonts w:ascii="Arial" w:hAnsi="Arial" w:cs="Arial"/>
        </w:rPr>
      </w:pPr>
      <w:hyperlink r:id="rId8" w:history="1">
        <w:r w:rsidRPr="00F910C2">
          <w:rPr>
            <w:rStyle w:val="Hyperlink"/>
            <w:rFonts w:ascii="Arial" w:hAnsi="Arial" w:cs="Arial"/>
          </w:rPr>
          <w:t>https://www.elft.nhs.uk/sites/default/files/202606/Community%20Alcohol%20Detox%20Guidelines%207.0%20.docx</w:t>
        </w:r>
      </w:hyperlink>
      <w:r>
        <w:rPr>
          <w:rFonts w:ascii="Arial" w:hAnsi="Arial" w:cs="Arial"/>
        </w:rPr>
        <w:t xml:space="preserve"> </w:t>
      </w:r>
    </w:p>
    <w:sectPr w:rsidR="00F90A7F" w:rsidRPr="00F90A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9399F"/>
    <w:multiLevelType w:val="hybridMultilevel"/>
    <w:tmpl w:val="9F725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D37F96"/>
    <w:multiLevelType w:val="hybridMultilevel"/>
    <w:tmpl w:val="F622FBE8"/>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9B5494"/>
    <w:multiLevelType w:val="hybridMultilevel"/>
    <w:tmpl w:val="D662E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BF1FC5"/>
    <w:multiLevelType w:val="hybridMultilevel"/>
    <w:tmpl w:val="AD5E5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4A1A74"/>
    <w:multiLevelType w:val="hybridMultilevel"/>
    <w:tmpl w:val="00A4C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2F21DA"/>
    <w:multiLevelType w:val="hybridMultilevel"/>
    <w:tmpl w:val="B6127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E85CAC"/>
    <w:multiLevelType w:val="hybridMultilevel"/>
    <w:tmpl w:val="17E8A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5985459">
    <w:abstractNumId w:val="2"/>
  </w:num>
  <w:num w:numId="2" w16cid:durableId="1391226197">
    <w:abstractNumId w:val="0"/>
  </w:num>
  <w:num w:numId="3" w16cid:durableId="40639665">
    <w:abstractNumId w:val="3"/>
  </w:num>
  <w:num w:numId="4" w16cid:durableId="1372151660">
    <w:abstractNumId w:val="6"/>
  </w:num>
  <w:num w:numId="5" w16cid:durableId="613906853">
    <w:abstractNumId w:val="5"/>
  </w:num>
  <w:num w:numId="6" w16cid:durableId="1145583810">
    <w:abstractNumId w:val="1"/>
  </w:num>
  <w:num w:numId="7" w16cid:durableId="2142455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2AE"/>
    <w:rsid w:val="0009384A"/>
    <w:rsid w:val="001000A7"/>
    <w:rsid w:val="00142AE3"/>
    <w:rsid w:val="0014552A"/>
    <w:rsid w:val="001E1BFE"/>
    <w:rsid w:val="002010EB"/>
    <w:rsid w:val="00214634"/>
    <w:rsid w:val="002749EA"/>
    <w:rsid w:val="002932AE"/>
    <w:rsid w:val="002A5B6C"/>
    <w:rsid w:val="00305F8F"/>
    <w:rsid w:val="003278C1"/>
    <w:rsid w:val="00332446"/>
    <w:rsid w:val="00337DDD"/>
    <w:rsid w:val="00373A85"/>
    <w:rsid w:val="00395131"/>
    <w:rsid w:val="003A4243"/>
    <w:rsid w:val="003F0D90"/>
    <w:rsid w:val="00405242"/>
    <w:rsid w:val="004206F9"/>
    <w:rsid w:val="004A2B9F"/>
    <w:rsid w:val="004E39BE"/>
    <w:rsid w:val="004F1129"/>
    <w:rsid w:val="005F5B99"/>
    <w:rsid w:val="006B65C9"/>
    <w:rsid w:val="00844FBF"/>
    <w:rsid w:val="00855B11"/>
    <w:rsid w:val="008A53B3"/>
    <w:rsid w:val="008A5F92"/>
    <w:rsid w:val="008E5AB1"/>
    <w:rsid w:val="00920EA0"/>
    <w:rsid w:val="009D5F7E"/>
    <w:rsid w:val="00B81426"/>
    <w:rsid w:val="00BE3A04"/>
    <w:rsid w:val="00C41540"/>
    <w:rsid w:val="00C91F87"/>
    <w:rsid w:val="00CC7AE6"/>
    <w:rsid w:val="00CE6A69"/>
    <w:rsid w:val="00DD4016"/>
    <w:rsid w:val="00DE25EC"/>
    <w:rsid w:val="00DF142B"/>
    <w:rsid w:val="00E14BAF"/>
    <w:rsid w:val="00E27EB7"/>
    <w:rsid w:val="00E6405C"/>
    <w:rsid w:val="00F404B4"/>
    <w:rsid w:val="00F72F3C"/>
    <w:rsid w:val="00F90A7F"/>
    <w:rsid w:val="00FC0868"/>
    <w:rsid w:val="00FF2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B50B9"/>
  <w15:chartTrackingRefBased/>
  <w15:docId w15:val="{E138F8A5-5A21-463A-A925-997DE4517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2A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932A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932A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932A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932A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932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2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2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2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2A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932A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932A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932A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932A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932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2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2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2AE"/>
    <w:rPr>
      <w:rFonts w:eastAsiaTheme="majorEastAsia" w:cstheme="majorBidi"/>
      <w:color w:val="272727" w:themeColor="text1" w:themeTint="D8"/>
    </w:rPr>
  </w:style>
  <w:style w:type="paragraph" w:styleId="Title">
    <w:name w:val="Title"/>
    <w:basedOn w:val="Normal"/>
    <w:next w:val="Normal"/>
    <w:link w:val="TitleChar"/>
    <w:uiPriority w:val="10"/>
    <w:qFormat/>
    <w:rsid w:val="00293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2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2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2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2AE"/>
    <w:pPr>
      <w:spacing w:before="160"/>
      <w:jc w:val="center"/>
    </w:pPr>
    <w:rPr>
      <w:i/>
      <w:iCs/>
      <w:color w:val="404040" w:themeColor="text1" w:themeTint="BF"/>
    </w:rPr>
  </w:style>
  <w:style w:type="character" w:customStyle="1" w:styleId="QuoteChar">
    <w:name w:val="Quote Char"/>
    <w:basedOn w:val="DefaultParagraphFont"/>
    <w:link w:val="Quote"/>
    <w:uiPriority w:val="29"/>
    <w:rsid w:val="002932AE"/>
    <w:rPr>
      <w:i/>
      <w:iCs/>
      <w:color w:val="404040" w:themeColor="text1" w:themeTint="BF"/>
    </w:rPr>
  </w:style>
  <w:style w:type="paragraph" w:styleId="ListParagraph">
    <w:name w:val="List Paragraph"/>
    <w:basedOn w:val="Normal"/>
    <w:uiPriority w:val="34"/>
    <w:qFormat/>
    <w:rsid w:val="002932AE"/>
    <w:pPr>
      <w:ind w:left="720"/>
      <w:contextualSpacing/>
    </w:pPr>
  </w:style>
  <w:style w:type="character" w:styleId="IntenseEmphasis">
    <w:name w:val="Intense Emphasis"/>
    <w:basedOn w:val="DefaultParagraphFont"/>
    <w:uiPriority w:val="21"/>
    <w:qFormat/>
    <w:rsid w:val="002932AE"/>
    <w:rPr>
      <w:i/>
      <w:iCs/>
      <w:color w:val="2E74B5" w:themeColor="accent1" w:themeShade="BF"/>
    </w:rPr>
  </w:style>
  <w:style w:type="paragraph" w:styleId="IntenseQuote">
    <w:name w:val="Intense Quote"/>
    <w:basedOn w:val="Normal"/>
    <w:next w:val="Normal"/>
    <w:link w:val="IntenseQuoteChar"/>
    <w:uiPriority w:val="30"/>
    <w:qFormat/>
    <w:rsid w:val="002932A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932AE"/>
    <w:rPr>
      <w:i/>
      <w:iCs/>
      <w:color w:val="2E74B5" w:themeColor="accent1" w:themeShade="BF"/>
    </w:rPr>
  </w:style>
  <w:style w:type="character" w:styleId="IntenseReference">
    <w:name w:val="Intense Reference"/>
    <w:basedOn w:val="DefaultParagraphFont"/>
    <w:uiPriority w:val="32"/>
    <w:qFormat/>
    <w:rsid w:val="002932AE"/>
    <w:rPr>
      <w:b/>
      <w:bCs/>
      <w:smallCaps/>
      <w:color w:val="2E74B5" w:themeColor="accent1" w:themeShade="BF"/>
      <w:spacing w:val="5"/>
    </w:rPr>
  </w:style>
  <w:style w:type="table" w:styleId="TableGrid">
    <w:name w:val="Table Grid"/>
    <w:basedOn w:val="TableNormal"/>
    <w:rsid w:val="004E39BE"/>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39BE"/>
    <w:rPr>
      <w:color w:val="0563C1" w:themeColor="hyperlink"/>
      <w:u w:val="single"/>
    </w:rPr>
  </w:style>
  <w:style w:type="character" w:styleId="UnresolvedMention">
    <w:name w:val="Unresolved Mention"/>
    <w:basedOn w:val="DefaultParagraphFont"/>
    <w:uiPriority w:val="99"/>
    <w:semiHidden/>
    <w:unhideWhenUsed/>
    <w:rsid w:val="004E39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ft.nhs.uk/sites/default/files/202606/Community%20Alcohol%20Detox%20Guidelines%207.0%20.docx" TargetMode="External"/><Relationship Id="rId3" Type="http://schemas.openxmlformats.org/officeDocument/2006/relationships/settings" Target="settings.xml"/><Relationship Id="rId7" Type="http://schemas.openxmlformats.org/officeDocument/2006/relationships/hyperlink" Target="https://www.elft.nhs.uk/sites/default/files/202606/Guidelines%20for%20Inpatient%20Treatment%20of%20Alcohol%20Dependence%205.0.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ft.nhs.uk/sites/default/files/202606/Management%20of%20AWOL%20Patients%20or%20who%20Walk%20Out%20from%20Mental%20Health%20Inpatient%20Units%20Luton%20%26%20Beds%201.0.docx" TargetMode="External"/><Relationship Id="rId5" Type="http://schemas.openxmlformats.org/officeDocument/2006/relationships/hyperlink" Target="https://www.elft.nhs.uk/intranet/teams-support-me/governance-and-risk-management/policy-management/trust-polici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870</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East London NHS Foundation Trust</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KHATUN, Rashida (EAST LONDON NHS FOUNDATION TRUST)</dc:creator>
  <cp:keywords/>
  <dc:description/>
  <cp:lastModifiedBy>KHATUN, Rashida (EAST LONDON NHS FOUNDATION TRUST)</cp:lastModifiedBy>
  <cp:revision>6</cp:revision>
  <dcterms:created xsi:type="dcterms:W3CDTF">2026-07-07T08:50:00Z</dcterms:created>
  <dcterms:modified xsi:type="dcterms:W3CDTF">2026-07-16T15:55:00Z</dcterms:modified>
</cp:coreProperties>
</file>