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EC51D" w14:textId="77777777" w:rsidR="0033169F" w:rsidRPr="007D730D" w:rsidRDefault="00373060" w:rsidP="00373060">
      <w:pPr>
        <w:ind w:left="7200"/>
        <w:jc w:val="center"/>
        <w:rPr>
          <w:rFonts w:ascii="Arial" w:hAnsi="Arial" w:cs="Arial"/>
          <w:b/>
          <w:lang w:val="en-US"/>
        </w:rPr>
      </w:pPr>
      <w:r w:rsidRPr="007D730D">
        <w:rPr>
          <w:rFonts w:ascii="Arial" w:hAnsi="Arial" w:cs="Arial"/>
          <w:noProof/>
          <w:lang w:eastAsia="en-GB"/>
        </w:rPr>
        <w:drawing>
          <wp:inline distT="0" distB="0" distL="0" distR="0" wp14:anchorId="19822878" wp14:editId="315749CE">
            <wp:extent cx="1458686" cy="827719"/>
            <wp:effectExtent l="0" t="0" r="8255" b="0"/>
            <wp:docPr id="1" name="Picture 1" descr="C:\Users\simsj\AppData\Local\Microsoft\Windows\Temporary Internet Files\Content.Word\ELFT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msj\AppData\Local\Microsoft\Windows\Temporary Internet Files\Content.Word\ELFT 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58686" cy="827719"/>
                    </a:xfrm>
                    <a:prstGeom prst="rect">
                      <a:avLst/>
                    </a:prstGeom>
                    <a:noFill/>
                    <a:ln>
                      <a:noFill/>
                    </a:ln>
                  </pic:spPr>
                </pic:pic>
              </a:graphicData>
            </a:graphic>
          </wp:inline>
        </w:drawing>
      </w:r>
    </w:p>
    <w:p w14:paraId="089CBFDB" w14:textId="77777777" w:rsidR="0033169F" w:rsidRPr="007D730D" w:rsidRDefault="0033169F" w:rsidP="0033169F">
      <w:pPr>
        <w:jc w:val="center"/>
        <w:rPr>
          <w:rFonts w:ascii="Arial" w:hAnsi="Arial" w:cs="Arial"/>
          <w:b/>
          <w:lang w:val="en-US"/>
        </w:rPr>
      </w:pPr>
    </w:p>
    <w:p w14:paraId="1F63F132" w14:textId="56D88C63" w:rsidR="00F246A5" w:rsidRDefault="0033169F" w:rsidP="54256580">
      <w:pPr>
        <w:jc w:val="center"/>
        <w:rPr>
          <w:rFonts w:ascii="Arial" w:hAnsi="Arial" w:cs="Arial"/>
          <w:sz w:val="40"/>
          <w:szCs w:val="40"/>
          <w:lang w:val="en-US"/>
        </w:rPr>
      </w:pPr>
      <w:r w:rsidRPr="007D730D">
        <w:rPr>
          <w:rFonts w:ascii="Arial" w:hAnsi="Arial" w:cs="Arial"/>
          <w:sz w:val="40"/>
          <w:szCs w:val="40"/>
          <w:lang w:val="en-US"/>
        </w:rPr>
        <w:t>Dual Diagnosis Policy</w:t>
      </w:r>
    </w:p>
    <w:p w14:paraId="18E8E08C" w14:textId="77777777" w:rsidR="00E22580" w:rsidRPr="007D730D" w:rsidRDefault="00E22580" w:rsidP="54256580">
      <w:pPr>
        <w:jc w:val="center"/>
        <w:rPr>
          <w:rFonts w:ascii="Arial" w:hAnsi="Arial" w:cs="Arial"/>
          <w:sz w:val="40"/>
          <w:szCs w:val="40"/>
          <w:lang w:val="en-US"/>
        </w:rPr>
      </w:pPr>
    </w:p>
    <w:tbl>
      <w:tblPr>
        <w:tblpPr w:leftFromText="180" w:rightFromText="180" w:vertAnchor="text" w:tblpY="-4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13"/>
        <w:gridCol w:w="4487"/>
      </w:tblGrid>
      <w:tr w:rsidR="00373060" w:rsidRPr="007D730D" w14:paraId="2FD203EB" w14:textId="77777777" w:rsidTr="54256580">
        <w:tc>
          <w:tcPr>
            <w:tcW w:w="4513" w:type="dxa"/>
          </w:tcPr>
          <w:p w14:paraId="5828D87D" w14:textId="7E90D2E7" w:rsidR="00373060" w:rsidRPr="007D730D" w:rsidRDefault="00373060" w:rsidP="00373060">
            <w:pPr>
              <w:spacing w:before="40" w:after="40"/>
              <w:rPr>
                <w:rFonts w:ascii="Arial" w:hAnsi="Arial" w:cs="Arial"/>
              </w:rPr>
            </w:pPr>
            <w:r w:rsidRPr="007D730D">
              <w:rPr>
                <w:rFonts w:ascii="Arial" w:hAnsi="Arial" w:cs="Arial"/>
              </w:rPr>
              <w:t xml:space="preserve">Version </w:t>
            </w:r>
            <w:r w:rsidR="00FC46F0" w:rsidRPr="007D730D">
              <w:rPr>
                <w:rFonts w:ascii="Arial" w:hAnsi="Arial" w:cs="Arial"/>
              </w:rPr>
              <w:t>number:</w:t>
            </w:r>
          </w:p>
        </w:tc>
        <w:tc>
          <w:tcPr>
            <w:tcW w:w="4487" w:type="dxa"/>
          </w:tcPr>
          <w:p w14:paraId="32061EA2" w14:textId="68DA659F" w:rsidR="00373060" w:rsidRPr="007D730D" w:rsidRDefault="007B37C6" w:rsidP="00373060">
            <w:pPr>
              <w:spacing w:before="40" w:after="40"/>
              <w:rPr>
                <w:rFonts w:ascii="Arial" w:hAnsi="Arial" w:cs="Arial"/>
              </w:rPr>
            </w:pPr>
            <w:r w:rsidRPr="007D730D">
              <w:rPr>
                <w:rFonts w:ascii="Arial" w:hAnsi="Arial" w:cs="Arial"/>
              </w:rPr>
              <w:t>4</w:t>
            </w:r>
            <w:r w:rsidR="00F246A5" w:rsidRPr="007D730D">
              <w:rPr>
                <w:rFonts w:ascii="Arial" w:hAnsi="Arial" w:cs="Arial"/>
              </w:rPr>
              <w:t>.0</w:t>
            </w:r>
          </w:p>
        </w:tc>
      </w:tr>
      <w:tr w:rsidR="00373060" w:rsidRPr="007D730D" w14:paraId="305D0D8E" w14:textId="77777777" w:rsidTr="54256580">
        <w:tc>
          <w:tcPr>
            <w:tcW w:w="4513" w:type="dxa"/>
          </w:tcPr>
          <w:p w14:paraId="26ED2AC2" w14:textId="77777777" w:rsidR="00373060" w:rsidRPr="007D730D" w:rsidRDefault="00373060" w:rsidP="00373060">
            <w:pPr>
              <w:spacing w:before="40" w:after="40"/>
              <w:rPr>
                <w:rFonts w:ascii="Arial" w:hAnsi="Arial" w:cs="Arial"/>
              </w:rPr>
            </w:pPr>
            <w:r w:rsidRPr="007D730D">
              <w:rPr>
                <w:rFonts w:ascii="Arial" w:hAnsi="Arial" w:cs="Arial"/>
              </w:rPr>
              <w:t xml:space="preserve">Consultation Groups </w:t>
            </w:r>
          </w:p>
        </w:tc>
        <w:tc>
          <w:tcPr>
            <w:tcW w:w="4487" w:type="dxa"/>
          </w:tcPr>
          <w:p w14:paraId="738E2CE4" w14:textId="22DA1B9D" w:rsidR="00373060" w:rsidRPr="007D730D" w:rsidRDefault="00373060" w:rsidP="00373060">
            <w:pPr>
              <w:spacing w:before="40" w:after="40"/>
              <w:rPr>
                <w:rFonts w:ascii="Arial" w:hAnsi="Arial" w:cs="Arial"/>
              </w:rPr>
            </w:pPr>
            <w:r w:rsidRPr="007D730D">
              <w:rPr>
                <w:rFonts w:ascii="Arial" w:hAnsi="Arial" w:cs="Arial"/>
              </w:rPr>
              <w:t xml:space="preserve">Lead </w:t>
            </w:r>
            <w:r w:rsidR="00F516DC" w:rsidRPr="007D730D">
              <w:rPr>
                <w:rFonts w:ascii="Arial" w:hAnsi="Arial" w:cs="Arial"/>
              </w:rPr>
              <w:t>Nurses,</w:t>
            </w:r>
            <w:r w:rsidRPr="007D730D">
              <w:rPr>
                <w:rFonts w:ascii="Arial" w:hAnsi="Arial" w:cs="Arial"/>
              </w:rPr>
              <w:t xml:space="preserve"> Clinical Directors</w:t>
            </w:r>
            <w:r w:rsidR="15C491BA" w:rsidRPr="007D730D">
              <w:rPr>
                <w:rFonts w:ascii="Arial" w:hAnsi="Arial" w:cs="Arial"/>
              </w:rPr>
              <w:t>; Borough Directors; Operational Leads</w:t>
            </w:r>
          </w:p>
        </w:tc>
      </w:tr>
      <w:tr w:rsidR="00373060" w:rsidRPr="007D730D" w14:paraId="270123DC" w14:textId="77777777" w:rsidTr="54256580">
        <w:tc>
          <w:tcPr>
            <w:tcW w:w="4513" w:type="dxa"/>
          </w:tcPr>
          <w:p w14:paraId="7CDDDB9F" w14:textId="77777777" w:rsidR="00373060" w:rsidRPr="007D730D" w:rsidRDefault="00373060" w:rsidP="00373060">
            <w:pPr>
              <w:spacing w:before="40" w:after="40"/>
              <w:rPr>
                <w:rFonts w:ascii="Arial" w:hAnsi="Arial" w:cs="Arial"/>
              </w:rPr>
            </w:pPr>
            <w:r w:rsidRPr="007D730D">
              <w:rPr>
                <w:rFonts w:ascii="Arial" w:hAnsi="Arial" w:cs="Arial"/>
              </w:rPr>
              <w:t>Approved by (Sponsor Group)</w:t>
            </w:r>
          </w:p>
        </w:tc>
        <w:tc>
          <w:tcPr>
            <w:tcW w:w="4487" w:type="dxa"/>
          </w:tcPr>
          <w:p w14:paraId="663F5733" w14:textId="249C0A72" w:rsidR="00373060" w:rsidRPr="007D730D" w:rsidRDefault="00373060" w:rsidP="00373060">
            <w:pPr>
              <w:spacing w:before="40" w:after="40"/>
              <w:rPr>
                <w:rFonts w:ascii="Arial" w:hAnsi="Arial" w:cs="Arial"/>
              </w:rPr>
            </w:pPr>
            <w:r w:rsidRPr="007D730D">
              <w:rPr>
                <w:rFonts w:ascii="Arial" w:hAnsi="Arial" w:cs="Arial"/>
              </w:rPr>
              <w:t xml:space="preserve">Lead Nurses </w:t>
            </w:r>
            <w:r w:rsidR="00F516DC">
              <w:rPr>
                <w:rFonts w:ascii="Arial" w:hAnsi="Arial" w:cs="Arial"/>
              </w:rPr>
              <w:t>Meeting</w:t>
            </w:r>
          </w:p>
        </w:tc>
      </w:tr>
      <w:tr w:rsidR="00F516DC" w:rsidRPr="007D730D" w14:paraId="1F4E88A9" w14:textId="77777777" w:rsidTr="54256580">
        <w:tc>
          <w:tcPr>
            <w:tcW w:w="4513" w:type="dxa"/>
          </w:tcPr>
          <w:p w14:paraId="55F63FDE" w14:textId="4408BE17" w:rsidR="00F516DC" w:rsidRPr="007D730D" w:rsidRDefault="00F516DC" w:rsidP="00373060">
            <w:pPr>
              <w:spacing w:before="40" w:after="40"/>
              <w:rPr>
                <w:rFonts w:ascii="Arial" w:hAnsi="Arial" w:cs="Arial"/>
              </w:rPr>
            </w:pPr>
            <w:r>
              <w:rPr>
                <w:rFonts w:ascii="Arial" w:hAnsi="Arial" w:cs="Arial"/>
              </w:rPr>
              <w:t xml:space="preserve">Date approved </w:t>
            </w:r>
          </w:p>
        </w:tc>
        <w:tc>
          <w:tcPr>
            <w:tcW w:w="4487" w:type="dxa"/>
          </w:tcPr>
          <w:p w14:paraId="62FD024F" w14:textId="2F7A2FB8" w:rsidR="00F516DC" w:rsidRPr="007D730D" w:rsidRDefault="00F516DC" w:rsidP="00373060">
            <w:pPr>
              <w:spacing w:before="40" w:after="40"/>
              <w:rPr>
                <w:rFonts w:ascii="Arial" w:hAnsi="Arial" w:cs="Arial"/>
              </w:rPr>
            </w:pPr>
            <w:r>
              <w:rPr>
                <w:rFonts w:ascii="Arial" w:hAnsi="Arial" w:cs="Arial"/>
              </w:rPr>
              <w:t>24 June 2026</w:t>
            </w:r>
          </w:p>
        </w:tc>
      </w:tr>
      <w:tr w:rsidR="00373060" w:rsidRPr="007D730D" w14:paraId="133A06E7" w14:textId="77777777" w:rsidTr="54256580">
        <w:tc>
          <w:tcPr>
            <w:tcW w:w="4513" w:type="dxa"/>
          </w:tcPr>
          <w:p w14:paraId="71C96AB6" w14:textId="77777777" w:rsidR="00373060" w:rsidRPr="007D730D" w:rsidRDefault="00373060" w:rsidP="00373060">
            <w:pPr>
              <w:spacing w:before="40" w:after="40"/>
              <w:rPr>
                <w:rFonts w:ascii="Arial" w:hAnsi="Arial" w:cs="Arial"/>
              </w:rPr>
            </w:pPr>
            <w:r w:rsidRPr="007D730D">
              <w:rPr>
                <w:rFonts w:ascii="Arial" w:hAnsi="Arial" w:cs="Arial"/>
              </w:rPr>
              <w:t>Ratified by:</w:t>
            </w:r>
          </w:p>
        </w:tc>
        <w:tc>
          <w:tcPr>
            <w:tcW w:w="4487" w:type="dxa"/>
          </w:tcPr>
          <w:p w14:paraId="570FC65F" w14:textId="7D069CEE" w:rsidR="00373060" w:rsidRPr="007D730D" w:rsidRDefault="00E5056B" w:rsidP="00373060">
            <w:pPr>
              <w:spacing w:before="40" w:after="40"/>
              <w:rPr>
                <w:rFonts w:ascii="Arial" w:hAnsi="Arial" w:cs="Arial"/>
              </w:rPr>
            </w:pPr>
            <w:r w:rsidRPr="007D730D">
              <w:rPr>
                <w:rFonts w:ascii="Arial" w:hAnsi="Arial" w:cs="Arial"/>
              </w:rPr>
              <w:t>Quality Committee</w:t>
            </w:r>
          </w:p>
        </w:tc>
      </w:tr>
      <w:tr w:rsidR="00373060" w:rsidRPr="007D730D" w14:paraId="48064840" w14:textId="77777777" w:rsidTr="54256580">
        <w:tc>
          <w:tcPr>
            <w:tcW w:w="4513" w:type="dxa"/>
          </w:tcPr>
          <w:p w14:paraId="34277DF9" w14:textId="77777777" w:rsidR="00373060" w:rsidRPr="007D730D" w:rsidRDefault="00373060" w:rsidP="00373060">
            <w:pPr>
              <w:spacing w:before="40" w:after="40"/>
              <w:rPr>
                <w:rFonts w:ascii="Arial" w:hAnsi="Arial" w:cs="Arial"/>
              </w:rPr>
            </w:pPr>
            <w:r w:rsidRPr="007D730D">
              <w:rPr>
                <w:rFonts w:ascii="Arial" w:hAnsi="Arial" w:cs="Arial"/>
              </w:rPr>
              <w:t>Date ratified:</w:t>
            </w:r>
          </w:p>
        </w:tc>
        <w:tc>
          <w:tcPr>
            <w:tcW w:w="4487" w:type="dxa"/>
          </w:tcPr>
          <w:p w14:paraId="6A1879D1" w14:textId="518C1616" w:rsidR="00373060" w:rsidRPr="007D730D" w:rsidRDefault="00F516DC" w:rsidP="00373060">
            <w:pPr>
              <w:spacing w:before="40" w:after="40"/>
              <w:rPr>
                <w:rFonts w:ascii="Arial" w:hAnsi="Arial" w:cs="Arial"/>
              </w:rPr>
            </w:pPr>
            <w:r>
              <w:rPr>
                <w:rFonts w:ascii="Arial" w:hAnsi="Arial" w:cs="Arial"/>
              </w:rPr>
              <w:t>02 September 2026</w:t>
            </w:r>
          </w:p>
        </w:tc>
      </w:tr>
      <w:tr w:rsidR="00373060" w:rsidRPr="007D730D" w14:paraId="038A1A4A" w14:textId="77777777" w:rsidTr="54256580">
        <w:tc>
          <w:tcPr>
            <w:tcW w:w="4513" w:type="dxa"/>
          </w:tcPr>
          <w:p w14:paraId="340EACB9" w14:textId="77777777" w:rsidR="00373060" w:rsidRPr="007D730D" w:rsidRDefault="00373060" w:rsidP="00373060">
            <w:pPr>
              <w:spacing w:before="40" w:after="40"/>
              <w:rPr>
                <w:rFonts w:ascii="Arial" w:hAnsi="Arial" w:cs="Arial"/>
              </w:rPr>
            </w:pPr>
            <w:r w:rsidRPr="007D730D">
              <w:rPr>
                <w:rFonts w:ascii="Arial" w:hAnsi="Arial" w:cs="Arial"/>
              </w:rPr>
              <w:t>Name of originator/author:</w:t>
            </w:r>
          </w:p>
        </w:tc>
        <w:tc>
          <w:tcPr>
            <w:tcW w:w="4487" w:type="dxa"/>
          </w:tcPr>
          <w:p w14:paraId="3204F725" w14:textId="45B8034C" w:rsidR="00373060" w:rsidRPr="007D730D" w:rsidRDefault="00F516DC" w:rsidP="00373060">
            <w:pPr>
              <w:spacing w:before="40" w:after="40"/>
              <w:rPr>
                <w:rFonts w:ascii="Arial" w:hAnsi="Arial" w:cs="Arial"/>
              </w:rPr>
            </w:pPr>
            <w:r>
              <w:rPr>
                <w:rFonts w:ascii="Arial" w:hAnsi="Arial" w:cs="Arial"/>
              </w:rPr>
              <w:t>Director of Nursing</w:t>
            </w:r>
          </w:p>
        </w:tc>
      </w:tr>
      <w:tr w:rsidR="00373060" w:rsidRPr="007D730D" w14:paraId="44970CC9" w14:textId="77777777" w:rsidTr="54256580">
        <w:tc>
          <w:tcPr>
            <w:tcW w:w="4513" w:type="dxa"/>
          </w:tcPr>
          <w:p w14:paraId="641F462C" w14:textId="6147616D" w:rsidR="00373060" w:rsidRPr="007D730D" w:rsidRDefault="00373060" w:rsidP="00373060">
            <w:pPr>
              <w:spacing w:before="40" w:after="40"/>
              <w:rPr>
                <w:rFonts w:ascii="Arial" w:hAnsi="Arial" w:cs="Arial"/>
              </w:rPr>
            </w:pPr>
            <w:r w:rsidRPr="007D730D">
              <w:rPr>
                <w:rFonts w:ascii="Arial" w:hAnsi="Arial" w:cs="Arial"/>
              </w:rPr>
              <w:t xml:space="preserve">Executive Director </w:t>
            </w:r>
            <w:r w:rsidR="00F516DC" w:rsidRPr="007D730D">
              <w:rPr>
                <w:rFonts w:ascii="Arial" w:hAnsi="Arial" w:cs="Arial"/>
              </w:rPr>
              <w:t>lead:</w:t>
            </w:r>
          </w:p>
        </w:tc>
        <w:tc>
          <w:tcPr>
            <w:tcW w:w="4487" w:type="dxa"/>
          </w:tcPr>
          <w:p w14:paraId="1ED3F628" w14:textId="25E39A31" w:rsidR="00373060" w:rsidRPr="007D730D" w:rsidRDefault="00C02EFA" w:rsidP="001577EA">
            <w:pPr>
              <w:spacing w:before="40" w:after="40"/>
              <w:rPr>
                <w:rFonts w:ascii="Arial" w:hAnsi="Arial" w:cs="Arial"/>
              </w:rPr>
            </w:pPr>
            <w:r w:rsidRPr="007D730D">
              <w:rPr>
                <w:rFonts w:ascii="Arial" w:hAnsi="Arial" w:cs="Arial"/>
              </w:rPr>
              <w:t>Chief Medical Officer</w:t>
            </w:r>
          </w:p>
        </w:tc>
      </w:tr>
      <w:tr w:rsidR="00373060" w:rsidRPr="007D730D" w14:paraId="6D76A311" w14:textId="77777777" w:rsidTr="54256580">
        <w:tc>
          <w:tcPr>
            <w:tcW w:w="4513" w:type="dxa"/>
          </w:tcPr>
          <w:p w14:paraId="71D253F5" w14:textId="3DD5454A" w:rsidR="00373060" w:rsidRPr="007D730D" w:rsidRDefault="00373060" w:rsidP="00373060">
            <w:pPr>
              <w:spacing w:before="40" w:after="40"/>
              <w:rPr>
                <w:rFonts w:ascii="Arial" w:hAnsi="Arial" w:cs="Arial"/>
              </w:rPr>
            </w:pPr>
            <w:r w:rsidRPr="007D730D">
              <w:rPr>
                <w:rFonts w:ascii="Arial" w:hAnsi="Arial" w:cs="Arial"/>
              </w:rPr>
              <w:t xml:space="preserve">Implementation </w:t>
            </w:r>
            <w:r w:rsidR="00F516DC" w:rsidRPr="007D730D">
              <w:rPr>
                <w:rFonts w:ascii="Arial" w:hAnsi="Arial" w:cs="Arial"/>
              </w:rPr>
              <w:t>Date:</w:t>
            </w:r>
          </w:p>
        </w:tc>
        <w:tc>
          <w:tcPr>
            <w:tcW w:w="4487" w:type="dxa"/>
          </w:tcPr>
          <w:p w14:paraId="2CEBCF26" w14:textId="0C23865E" w:rsidR="00373060" w:rsidRPr="007D730D" w:rsidRDefault="00F516DC" w:rsidP="00373060">
            <w:pPr>
              <w:spacing w:before="40" w:after="40"/>
              <w:rPr>
                <w:rFonts w:ascii="Arial" w:hAnsi="Arial" w:cs="Arial"/>
              </w:rPr>
            </w:pPr>
            <w:r w:rsidRPr="00F516DC">
              <w:rPr>
                <w:rFonts w:ascii="Arial" w:hAnsi="Arial" w:cs="Arial"/>
              </w:rPr>
              <w:t>September 2026</w:t>
            </w:r>
          </w:p>
        </w:tc>
      </w:tr>
      <w:tr w:rsidR="00373060" w:rsidRPr="007D730D" w14:paraId="5EC15205" w14:textId="77777777" w:rsidTr="54256580">
        <w:tc>
          <w:tcPr>
            <w:tcW w:w="4513" w:type="dxa"/>
          </w:tcPr>
          <w:p w14:paraId="7B5AC134" w14:textId="77777777" w:rsidR="00373060" w:rsidRPr="007D730D" w:rsidRDefault="00373060" w:rsidP="00373060">
            <w:pPr>
              <w:spacing w:before="40" w:after="40"/>
              <w:rPr>
                <w:rFonts w:ascii="Arial" w:hAnsi="Arial" w:cs="Arial"/>
              </w:rPr>
            </w:pPr>
            <w:r w:rsidRPr="007D730D">
              <w:rPr>
                <w:rFonts w:ascii="Arial" w:hAnsi="Arial" w:cs="Arial"/>
              </w:rPr>
              <w:t xml:space="preserve">Last Review Date </w:t>
            </w:r>
          </w:p>
        </w:tc>
        <w:tc>
          <w:tcPr>
            <w:tcW w:w="4487" w:type="dxa"/>
          </w:tcPr>
          <w:p w14:paraId="63B2D5CF" w14:textId="5DC09DD4" w:rsidR="00373060" w:rsidRPr="007D730D" w:rsidRDefault="00F516DC" w:rsidP="00373060">
            <w:pPr>
              <w:spacing w:before="40" w:after="40"/>
              <w:rPr>
                <w:rFonts w:ascii="Arial" w:hAnsi="Arial" w:cs="Arial"/>
              </w:rPr>
            </w:pPr>
            <w:r w:rsidRPr="00F516DC">
              <w:rPr>
                <w:rFonts w:ascii="Arial" w:hAnsi="Arial" w:cs="Arial"/>
              </w:rPr>
              <w:t>September 2026</w:t>
            </w:r>
          </w:p>
        </w:tc>
      </w:tr>
      <w:tr w:rsidR="00373060" w:rsidRPr="007D730D" w14:paraId="01C47C77" w14:textId="77777777" w:rsidTr="54256580">
        <w:tc>
          <w:tcPr>
            <w:tcW w:w="4513" w:type="dxa"/>
          </w:tcPr>
          <w:p w14:paraId="39747244" w14:textId="77777777" w:rsidR="00373060" w:rsidRPr="007D730D" w:rsidRDefault="00373060" w:rsidP="00373060">
            <w:pPr>
              <w:spacing w:before="40" w:after="40"/>
              <w:rPr>
                <w:rFonts w:ascii="Arial" w:hAnsi="Arial" w:cs="Arial"/>
              </w:rPr>
            </w:pPr>
            <w:r w:rsidRPr="007D730D">
              <w:rPr>
                <w:rFonts w:ascii="Arial" w:hAnsi="Arial" w:cs="Arial"/>
              </w:rPr>
              <w:t>Next Review date:</w:t>
            </w:r>
          </w:p>
        </w:tc>
        <w:tc>
          <w:tcPr>
            <w:tcW w:w="4487" w:type="dxa"/>
          </w:tcPr>
          <w:p w14:paraId="43507C7C" w14:textId="5BA3EA5F" w:rsidR="00373060" w:rsidRPr="007D730D" w:rsidRDefault="00F516DC" w:rsidP="00373060">
            <w:pPr>
              <w:spacing w:before="40" w:after="40"/>
              <w:rPr>
                <w:rFonts w:ascii="Arial" w:hAnsi="Arial" w:cs="Arial"/>
              </w:rPr>
            </w:pPr>
            <w:r w:rsidRPr="00F516DC">
              <w:rPr>
                <w:rFonts w:ascii="Arial" w:hAnsi="Arial" w:cs="Arial"/>
              </w:rPr>
              <w:t>September 202</w:t>
            </w:r>
            <w:r>
              <w:rPr>
                <w:rFonts w:ascii="Arial" w:hAnsi="Arial" w:cs="Arial"/>
              </w:rPr>
              <w:t>9</w:t>
            </w:r>
          </w:p>
        </w:tc>
      </w:tr>
    </w:tbl>
    <w:p w14:paraId="54744F7E" w14:textId="35AADB75" w:rsidR="0035529B" w:rsidRDefault="0035529B" w:rsidP="0033169F">
      <w:pPr>
        <w:jc w:val="center"/>
        <w:rPr>
          <w:rFonts w:ascii="Arial" w:hAnsi="Arial" w:cs="Arial"/>
          <w:b/>
          <w:lang w:val="en-US"/>
        </w:rPr>
      </w:pPr>
    </w:p>
    <w:p w14:paraId="76B1F204" w14:textId="77777777" w:rsidR="00E22580" w:rsidRPr="007D730D" w:rsidRDefault="00E22580" w:rsidP="0033169F">
      <w:pPr>
        <w:jc w:val="center"/>
        <w:rPr>
          <w:rFonts w:ascii="Arial" w:hAnsi="Arial" w:cs="Arial"/>
          <w:b/>
          <w:lang w:val="en-US"/>
        </w:rPr>
      </w:pPr>
    </w:p>
    <w:tbl>
      <w:tblPr>
        <w:tblStyle w:val="TableGrid"/>
        <w:tblW w:w="0" w:type="auto"/>
        <w:tblLook w:val="04A0" w:firstRow="1" w:lastRow="0" w:firstColumn="1" w:lastColumn="0" w:noHBand="0" w:noVBand="1"/>
      </w:tblPr>
      <w:tblGrid>
        <w:gridCol w:w="4510"/>
        <w:gridCol w:w="4506"/>
      </w:tblGrid>
      <w:tr w:rsidR="00E22580" w:rsidRPr="007D730D" w14:paraId="509D4662" w14:textId="77777777" w:rsidTr="006F1252">
        <w:tc>
          <w:tcPr>
            <w:tcW w:w="4621" w:type="dxa"/>
          </w:tcPr>
          <w:p w14:paraId="614BC270" w14:textId="77777777" w:rsidR="00E22580" w:rsidRPr="007D730D" w:rsidRDefault="00E22580" w:rsidP="006F1252">
            <w:pPr>
              <w:rPr>
                <w:rFonts w:ascii="Arial" w:hAnsi="Arial" w:cs="Arial"/>
              </w:rPr>
            </w:pPr>
            <w:r w:rsidRPr="007D730D">
              <w:rPr>
                <w:rFonts w:ascii="Arial" w:hAnsi="Arial" w:cs="Arial"/>
              </w:rPr>
              <w:t xml:space="preserve">Services </w:t>
            </w:r>
          </w:p>
          <w:p w14:paraId="326F3B9F" w14:textId="77777777" w:rsidR="00E22580" w:rsidRPr="007D730D" w:rsidRDefault="00E22580" w:rsidP="006F1252">
            <w:pPr>
              <w:rPr>
                <w:rFonts w:ascii="Arial" w:hAnsi="Arial" w:cs="Arial"/>
              </w:rPr>
            </w:pPr>
          </w:p>
        </w:tc>
        <w:tc>
          <w:tcPr>
            <w:tcW w:w="4621" w:type="dxa"/>
          </w:tcPr>
          <w:p w14:paraId="704F230B" w14:textId="77777777" w:rsidR="00E22580" w:rsidRPr="007D730D" w:rsidRDefault="00E22580" w:rsidP="006F1252">
            <w:pPr>
              <w:rPr>
                <w:rFonts w:ascii="Arial" w:hAnsi="Arial" w:cs="Arial"/>
              </w:rPr>
            </w:pPr>
            <w:r w:rsidRPr="007D730D">
              <w:rPr>
                <w:rFonts w:ascii="Arial" w:hAnsi="Arial" w:cs="Arial"/>
              </w:rPr>
              <w:t xml:space="preserve">Applicable </w:t>
            </w:r>
          </w:p>
          <w:p w14:paraId="2700467F" w14:textId="77777777" w:rsidR="00E22580" w:rsidRPr="007D730D" w:rsidRDefault="00E22580" w:rsidP="006F1252">
            <w:pPr>
              <w:rPr>
                <w:rFonts w:ascii="Arial" w:hAnsi="Arial" w:cs="Arial"/>
              </w:rPr>
            </w:pPr>
          </w:p>
        </w:tc>
      </w:tr>
      <w:tr w:rsidR="00E22580" w:rsidRPr="007D730D" w14:paraId="57C48091" w14:textId="77777777" w:rsidTr="006F1252">
        <w:tc>
          <w:tcPr>
            <w:tcW w:w="4621" w:type="dxa"/>
          </w:tcPr>
          <w:p w14:paraId="3CA20C0C" w14:textId="77777777" w:rsidR="00E22580" w:rsidRPr="007D730D" w:rsidRDefault="00E22580" w:rsidP="006F1252">
            <w:pPr>
              <w:rPr>
                <w:rFonts w:ascii="Arial" w:hAnsi="Arial" w:cs="Arial"/>
              </w:rPr>
            </w:pPr>
            <w:r w:rsidRPr="007D730D">
              <w:rPr>
                <w:rFonts w:ascii="Arial" w:hAnsi="Arial" w:cs="Arial"/>
              </w:rPr>
              <w:t>Trust wide</w:t>
            </w:r>
          </w:p>
          <w:p w14:paraId="2FB4F829" w14:textId="77777777" w:rsidR="00E22580" w:rsidRPr="007D730D" w:rsidRDefault="00E22580" w:rsidP="006F1252">
            <w:pPr>
              <w:rPr>
                <w:rFonts w:ascii="Arial" w:hAnsi="Arial" w:cs="Arial"/>
              </w:rPr>
            </w:pPr>
          </w:p>
        </w:tc>
        <w:tc>
          <w:tcPr>
            <w:tcW w:w="4621" w:type="dxa"/>
          </w:tcPr>
          <w:p w14:paraId="4CA10187" w14:textId="77777777" w:rsidR="00E22580" w:rsidRPr="007D730D" w:rsidRDefault="00E22580" w:rsidP="006F1252">
            <w:pPr>
              <w:rPr>
                <w:rFonts w:ascii="Arial" w:hAnsi="Arial" w:cs="Arial"/>
              </w:rPr>
            </w:pPr>
            <w:r w:rsidRPr="007D730D">
              <w:rPr>
                <w:rFonts w:ascii="Arial" w:hAnsi="Arial" w:cs="Arial"/>
              </w:rPr>
              <w:t>X</w:t>
            </w:r>
          </w:p>
        </w:tc>
      </w:tr>
      <w:tr w:rsidR="00E22580" w:rsidRPr="007D730D" w14:paraId="41EC1A87" w14:textId="77777777" w:rsidTr="006F1252">
        <w:tc>
          <w:tcPr>
            <w:tcW w:w="4621" w:type="dxa"/>
          </w:tcPr>
          <w:p w14:paraId="2885236D" w14:textId="77777777" w:rsidR="00E22580" w:rsidRPr="007D730D" w:rsidRDefault="00E22580" w:rsidP="006F1252">
            <w:pPr>
              <w:rPr>
                <w:rFonts w:ascii="Arial" w:hAnsi="Arial" w:cs="Arial"/>
              </w:rPr>
            </w:pPr>
            <w:r w:rsidRPr="007D730D">
              <w:rPr>
                <w:rFonts w:ascii="Arial" w:hAnsi="Arial" w:cs="Arial"/>
              </w:rPr>
              <w:t>Mental Health and LD</w:t>
            </w:r>
          </w:p>
          <w:p w14:paraId="16ACE3E4" w14:textId="77777777" w:rsidR="00E22580" w:rsidRPr="007D730D" w:rsidRDefault="00E22580" w:rsidP="006F1252">
            <w:pPr>
              <w:rPr>
                <w:rFonts w:ascii="Arial" w:hAnsi="Arial" w:cs="Arial"/>
              </w:rPr>
            </w:pPr>
            <w:r w:rsidRPr="007D730D">
              <w:rPr>
                <w:rFonts w:ascii="Arial" w:hAnsi="Arial" w:cs="Arial"/>
              </w:rPr>
              <w:t xml:space="preserve"> </w:t>
            </w:r>
          </w:p>
        </w:tc>
        <w:tc>
          <w:tcPr>
            <w:tcW w:w="4621" w:type="dxa"/>
          </w:tcPr>
          <w:p w14:paraId="01AF6CC3" w14:textId="77777777" w:rsidR="00E22580" w:rsidRPr="007D730D" w:rsidRDefault="00E22580" w:rsidP="006F1252">
            <w:pPr>
              <w:rPr>
                <w:rFonts w:ascii="Arial" w:hAnsi="Arial" w:cs="Arial"/>
              </w:rPr>
            </w:pPr>
          </w:p>
        </w:tc>
      </w:tr>
      <w:tr w:rsidR="00E22580" w:rsidRPr="007D730D" w14:paraId="3BD0005E" w14:textId="77777777" w:rsidTr="006F1252">
        <w:tc>
          <w:tcPr>
            <w:tcW w:w="4621" w:type="dxa"/>
          </w:tcPr>
          <w:p w14:paraId="19C294E6" w14:textId="77777777" w:rsidR="00E22580" w:rsidRPr="007D730D" w:rsidRDefault="00E22580" w:rsidP="006F1252">
            <w:pPr>
              <w:rPr>
                <w:rFonts w:ascii="Arial" w:hAnsi="Arial" w:cs="Arial"/>
              </w:rPr>
            </w:pPr>
            <w:r w:rsidRPr="007D730D">
              <w:rPr>
                <w:rFonts w:ascii="Arial" w:hAnsi="Arial" w:cs="Arial"/>
              </w:rPr>
              <w:t xml:space="preserve">Community Health Services </w:t>
            </w:r>
          </w:p>
          <w:p w14:paraId="58D6FC97" w14:textId="77777777" w:rsidR="00E22580" w:rsidRPr="007D730D" w:rsidRDefault="00E22580" w:rsidP="006F1252">
            <w:pPr>
              <w:rPr>
                <w:rFonts w:ascii="Arial" w:hAnsi="Arial" w:cs="Arial"/>
              </w:rPr>
            </w:pPr>
          </w:p>
        </w:tc>
        <w:tc>
          <w:tcPr>
            <w:tcW w:w="4621" w:type="dxa"/>
          </w:tcPr>
          <w:p w14:paraId="4AA5202B" w14:textId="77777777" w:rsidR="00E22580" w:rsidRPr="007D730D" w:rsidRDefault="00E22580" w:rsidP="006F1252">
            <w:pPr>
              <w:rPr>
                <w:rFonts w:ascii="Arial" w:hAnsi="Arial" w:cs="Arial"/>
              </w:rPr>
            </w:pPr>
          </w:p>
        </w:tc>
      </w:tr>
    </w:tbl>
    <w:p w14:paraId="0D1A7E5A" w14:textId="77777777" w:rsidR="0035529B" w:rsidRPr="007D730D" w:rsidRDefault="0035529B">
      <w:pPr>
        <w:rPr>
          <w:rFonts w:ascii="Arial" w:hAnsi="Arial" w:cs="Arial"/>
          <w:lang w:val="en-US"/>
        </w:rPr>
      </w:pPr>
      <w:r w:rsidRPr="007D730D">
        <w:rPr>
          <w:rFonts w:ascii="Arial" w:hAnsi="Arial" w:cs="Arial"/>
          <w:lang w:val="en-US"/>
        </w:rPr>
        <w:br w:type="page"/>
      </w:r>
    </w:p>
    <w:p w14:paraId="4C6DF38C" w14:textId="77777777" w:rsidR="00373060" w:rsidRPr="007D730D" w:rsidRDefault="00F246A5" w:rsidP="0033169F">
      <w:pPr>
        <w:jc w:val="center"/>
        <w:rPr>
          <w:rFonts w:ascii="Arial" w:hAnsi="Arial" w:cs="Arial"/>
          <w:sz w:val="24"/>
          <w:szCs w:val="24"/>
          <w:lang w:val="en-US"/>
        </w:rPr>
      </w:pPr>
      <w:r w:rsidRPr="007D730D">
        <w:rPr>
          <w:rFonts w:ascii="Arial" w:hAnsi="Arial" w:cs="Arial"/>
          <w:sz w:val="24"/>
          <w:szCs w:val="24"/>
          <w:lang w:val="en-US"/>
        </w:rPr>
        <w:lastRenderedPageBreak/>
        <w:t>Version Control Summary</w:t>
      </w:r>
    </w:p>
    <w:p w14:paraId="31252C2F" w14:textId="77777777" w:rsidR="00373060" w:rsidRPr="007D730D" w:rsidRDefault="00373060" w:rsidP="0033169F">
      <w:pPr>
        <w:jc w:val="center"/>
        <w:rPr>
          <w:rFonts w:ascii="Arial" w:hAnsi="Arial" w:cs="Arial"/>
          <w:b/>
          <w:lang w:val="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843"/>
        <w:gridCol w:w="2693"/>
        <w:gridCol w:w="1134"/>
        <w:gridCol w:w="2694"/>
      </w:tblGrid>
      <w:tr w:rsidR="0035529B" w:rsidRPr="007D730D" w14:paraId="70149EFB" w14:textId="77777777" w:rsidTr="007D730D">
        <w:tc>
          <w:tcPr>
            <w:tcW w:w="1134" w:type="dxa"/>
          </w:tcPr>
          <w:p w14:paraId="7A1CD73F" w14:textId="77777777" w:rsidR="0035529B" w:rsidRPr="007D730D" w:rsidRDefault="0035529B" w:rsidP="0035529B">
            <w:pPr>
              <w:spacing w:after="0" w:line="240" w:lineRule="auto"/>
              <w:rPr>
                <w:rFonts w:ascii="Arial" w:eastAsia="Times New Roman" w:hAnsi="Arial" w:cs="Arial"/>
                <w:b/>
                <w:lang w:eastAsia="en-GB"/>
              </w:rPr>
            </w:pPr>
            <w:r w:rsidRPr="007D730D">
              <w:rPr>
                <w:rFonts w:ascii="Arial" w:eastAsia="Times New Roman" w:hAnsi="Arial" w:cs="Arial"/>
                <w:b/>
                <w:lang w:eastAsia="en-GB"/>
              </w:rPr>
              <w:t>Version</w:t>
            </w:r>
          </w:p>
        </w:tc>
        <w:tc>
          <w:tcPr>
            <w:tcW w:w="1843" w:type="dxa"/>
          </w:tcPr>
          <w:p w14:paraId="3F7A735D" w14:textId="77777777" w:rsidR="0035529B" w:rsidRPr="007D730D" w:rsidRDefault="0035529B" w:rsidP="0035529B">
            <w:pPr>
              <w:spacing w:after="0" w:line="240" w:lineRule="auto"/>
              <w:rPr>
                <w:rFonts w:ascii="Arial" w:eastAsia="Times New Roman" w:hAnsi="Arial" w:cs="Arial"/>
                <w:b/>
                <w:lang w:eastAsia="en-GB"/>
              </w:rPr>
            </w:pPr>
            <w:r w:rsidRPr="007D730D">
              <w:rPr>
                <w:rFonts w:ascii="Arial" w:eastAsia="Times New Roman" w:hAnsi="Arial" w:cs="Arial"/>
                <w:b/>
                <w:lang w:eastAsia="en-GB"/>
              </w:rPr>
              <w:t>Date</w:t>
            </w:r>
          </w:p>
        </w:tc>
        <w:tc>
          <w:tcPr>
            <w:tcW w:w="2693" w:type="dxa"/>
          </w:tcPr>
          <w:p w14:paraId="57A88AC7" w14:textId="77777777" w:rsidR="0035529B" w:rsidRPr="007D730D" w:rsidRDefault="0035529B" w:rsidP="0035529B">
            <w:pPr>
              <w:spacing w:after="0" w:line="240" w:lineRule="auto"/>
              <w:rPr>
                <w:rFonts w:ascii="Arial" w:eastAsia="Times New Roman" w:hAnsi="Arial" w:cs="Arial"/>
                <w:b/>
                <w:lang w:eastAsia="en-GB"/>
              </w:rPr>
            </w:pPr>
            <w:r w:rsidRPr="007D730D">
              <w:rPr>
                <w:rFonts w:ascii="Arial" w:eastAsia="Times New Roman" w:hAnsi="Arial" w:cs="Arial"/>
                <w:b/>
                <w:lang w:eastAsia="en-GB"/>
              </w:rPr>
              <w:t>Author</w:t>
            </w:r>
          </w:p>
        </w:tc>
        <w:tc>
          <w:tcPr>
            <w:tcW w:w="1134" w:type="dxa"/>
          </w:tcPr>
          <w:p w14:paraId="77E0E5E2" w14:textId="77777777" w:rsidR="0035529B" w:rsidRPr="007D730D" w:rsidRDefault="0035529B" w:rsidP="0035529B">
            <w:pPr>
              <w:spacing w:after="0" w:line="240" w:lineRule="auto"/>
              <w:rPr>
                <w:rFonts w:ascii="Arial" w:eastAsia="Times New Roman" w:hAnsi="Arial" w:cs="Arial"/>
                <w:b/>
                <w:lang w:eastAsia="en-GB"/>
              </w:rPr>
            </w:pPr>
            <w:r w:rsidRPr="007D730D">
              <w:rPr>
                <w:rFonts w:ascii="Arial" w:eastAsia="Times New Roman" w:hAnsi="Arial" w:cs="Arial"/>
                <w:b/>
                <w:lang w:eastAsia="en-GB"/>
              </w:rPr>
              <w:t>Status</w:t>
            </w:r>
          </w:p>
        </w:tc>
        <w:tc>
          <w:tcPr>
            <w:tcW w:w="2694" w:type="dxa"/>
          </w:tcPr>
          <w:p w14:paraId="09DFF708" w14:textId="77777777" w:rsidR="0035529B" w:rsidRPr="007D730D" w:rsidRDefault="0035529B" w:rsidP="0035529B">
            <w:pPr>
              <w:spacing w:after="0" w:line="240" w:lineRule="auto"/>
              <w:rPr>
                <w:rFonts w:ascii="Arial" w:eastAsia="Times New Roman" w:hAnsi="Arial" w:cs="Arial"/>
                <w:b/>
                <w:lang w:eastAsia="en-GB"/>
              </w:rPr>
            </w:pPr>
            <w:r w:rsidRPr="007D730D">
              <w:rPr>
                <w:rFonts w:ascii="Arial" w:eastAsia="Times New Roman" w:hAnsi="Arial" w:cs="Arial"/>
                <w:b/>
                <w:lang w:eastAsia="en-GB"/>
              </w:rPr>
              <w:t>Comment</w:t>
            </w:r>
          </w:p>
        </w:tc>
      </w:tr>
      <w:tr w:rsidR="0035529B" w:rsidRPr="007D730D" w14:paraId="7B8A149C" w14:textId="77777777" w:rsidTr="007D730D">
        <w:tc>
          <w:tcPr>
            <w:tcW w:w="1134" w:type="dxa"/>
          </w:tcPr>
          <w:p w14:paraId="62240269"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1.0</w:t>
            </w:r>
          </w:p>
        </w:tc>
        <w:tc>
          <w:tcPr>
            <w:tcW w:w="1843" w:type="dxa"/>
          </w:tcPr>
          <w:p w14:paraId="1A7D6078"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1</w:t>
            </w:r>
            <w:r w:rsidRPr="007D730D">
              <w:rPr>
                <w:rFonts w:ascii="Arial" w:eastAsia="Times New Roman" w:hAnsi="Arial" w:cs="Arial"/>
                <w:vertAlign w:val="superscript"/>
                <w:lang w:eastAsia="en-GB"/>
              </w:rPr>
              <w:t>st</w:t>
            </w:r>
            <w:r w:rsidRPr="007D730D">
              <w:rPr>
                <w:rFonts w:ascii="Arial" w:eastAsia="Times New Roman" w:hAnsi="Arial" w:cs="Arial"/>
                <w:lang w:eastAsia="en-GB"/>
              </w:rPr>
              <w:t xml:space="preserve"> June 2008</w:t>
            </w:r>
          </w:p>
        </w:tc>
        <w:tc>
          <w:tcPr>
            <w:tcW w:w="2693" w:type="dxa"/>
          </w:tcPr>
          <w:p w14:paraId="56EAABC4"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Duncan Gilbert</w:t>
            </w:r>
          </w:p>
        </w:tc>
        <w:tc>
          <w:tcPr>
            <w:tcW w:w="1134" w:type="dxa"/>
          </w:tcPr>
          <w:p w14:paraId="03CC65AF"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 xml:space="preserve">Final </w:t>
            </w:r>
          </w:p>
        </w:tc>
        <w:tc>
          <w:tcPr>
            <w:tcW w:w="2694" w:type="dxa"/>
          </w:tcPr>
          <w:p w14:paraId="53659821" w14:textId="77777777" w:rsidR="0035529B" w:rsidRPr="007D730D" w:rsidRDefault="0035529B" w:rsidP="0035529B">
            <w:pPr>
              <w:spacing w:after="0" w:line="240" w:lineRule="auto"/>
              <w:rPr>
                <w:rFonts w:ascii="Arial" w:eastAsia="Times New Roman" w:hAnsi="Arial" w:cs="Arial"/>
                <w:i/>
                <w:lang w:eastAsia="en-GB"/>
              </w:rPr>
            </w:pPr>
          </w:p>
        </w:tc>
      </w:tr>
      <w:tr w:rsidR="0035529B" w:rsidRPr="007D730D" w14:paraId="369875A0" w14:textId="77777777" w:rsidTr="007D730D">
        <w:tc>
          <w:tcPr>
            <w:tcW w:w="1134" w:type="dxa"/>
          </w:tcPr>
          <w:p w14:paraId="7B4590B7"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2.0</w:t>
            </w:r>
          </w:p>
        </w:tc>
        <w:tc>
          <w:tcPr>
            <w:tcW w:w="1843" w:type="dxa"/>
          </w:tcPr>
          <w:p w14:paraId="36CDB9FC"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20</w:t>
            </w:r>
            <w:r w:rsidRPr="007D730D">
              <w:rPr>
                <w:rFonts w:ascii="Arial" w:eastAsia="Times New Roman" w:hAnsi="Arial" w:cs="Arial"/>
                <w:vertAlign w:val="superscript"/>
                <w:lang w:eastAsia="en-GB"/>
              </w:rPr>
              <w:t>th</w:t>
            </w:r>
            <w:r w:rsidRPr="007D730D">
              <w:rPr>
                <w:rFonts w:ascii="Arial" w:eastAsia="Times New Roman" w:hAnsi="Arial" w:cs="Arial"/>
                <w:lang w:eastAsia="en-GB"/>
              </w:rPr>
              <w:t xml:space="preserve"> September 2011</w:t>
            </w:r>
          </w:p>
        </w:tc>
        <w:tc>
          <w:tcPr>
            <w:tcW w:w="2693" w:type="dxa"/>
          </w:tcPr>
          <w:p w14:paraId="0D64DBFB" w14:textId="053D62D6" w:rsidR="0035529B" w:rsidRPr="007D730D" w:rsidRDefault="0035529B" w:rsidP="0035529B">
            <w:pPr>
              <w:spacing w:before="40" w:after="40" w:line="240" w:lineRule="auto"/>
              <w:rPr>
                <w:rFonts w:ascii="Arial" w:eastAsia="Times New Roman" w:hAnsi="Arial" w:cs="Arial"/>
                <w:lang w:eastAsia="en-GB"/>
              </w:rPr>
            </w:pPr>
            <w:r w:rsidRPr="007D730D">
              <w:rPr>
                <w:rFonts w:ascii="Arial" w:eastAsia="Times New Roman" w:hAnsi="Arial" w:cs="Arial"/>
                <w:lang w:eastAsia="en-GB"/>
              </w:rPr>
              <w:t xml:space="preserve">Jacki Butcher - Tower Hamlets Dual Diagnosis Service </w:t>
            </w:r>
            <w:r w:rsidR="00FC46F0" w:rsidRPr="007D730D">
              <w:rPr>
                <w:rFonts w:ascii="Arial" w:eastAsia="Times New Roman" w:hAnsi="Arial" w:cs="Arial"/>
                <w:lang w:eastAsia="en-GB"/>
              </w:rPr>
              <w:t>Manager and</w:t>
            </w:r>
            <w:r w:rsidRPr="007D730D">
              <w:rPr>
                <w:rFonts w:ascii="Arial" w:eastAsia="Times New Roman" w:hAnsi="Arial" w:cs="Arial"/>
                <w:lang w:eastAsia="en-GB"/>
              </w:rPr>
              <w:t xml:space="preserve"> </w:t>
            </w:r>
          </w:p>
          <w:p w14:paraId="7157E115"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Dr. Ron Alcorn – Consultant Psychiatrist, Newham Specialist Substance Misuse Services/Clinical Director, Specialist Addiction Services</w:t>
            </w:r>
          </w:p>
        </w:tc>
        <w:tc>
          <w:tcPr>
            <w:tcW w:w="1134" w:type="dxa"/>
          </w:tcPr>
          <w:p w14:paraId="5362C59C"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 xml:space="preserve">Final </w:t>
            </w:r>
          </w:p>
        </w:tc>
        <w:tc>
          <w:tcPr>
            <w:tcW w:w="2694" w:type="dxa"/>
          </w:tcPr>
          <w:p w14:paraId="0F43C991" w14:textId="2ED1BA1C" w:rsidR="0035529B" w:rsidRPr="007D730D" w:rsidDel="00E62401"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 xml:space="preserve">Scheduled </w:t>
            </w:r>
            <w:r w:rsidR="00FC46F0" w:rsidRPr="007D730D">
              <w:rPr>
                <w:rFonts w:ascii="Arial" w:eastAsia="Times New Roman" w:hAnsi="Arial" w:cs="Arial"/>
                <w:lang w:eastAsia="en-GB"/>
              </w:rPr>
              <w:t>three-year</w:t>
            </w:r>
            <w:r w:rsidRPr="007D730D">
              <w:rPr>
                <w:rFonts w:ascii="Arial" w:eastAsia="Times New Roman" w:hAnsi="Arial" w:cs="Arial"/>
                <w:lang w:eastAsia="en-GB"/>
              </w:rPr>
              <w:t xml:space="preserve"> review and update with clearer outline of duties and practice guidelines.</w:t>
            </w:r>
          </w:p>
        </w:tc>
      </w:tr>
      <w:tr w:rsidR="0035529B" w:rsidRPr="007D730D" w14:paraId="2335BC27" w14:textId="77777777" w:rsidTr="007D730D">
        <w:tc>
          <w:tcPr>
            <w:tcW w:w="1134" w:type="dxa"/>
          </w:tcPr>
          <w:p w14:paraId="11E54C93"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3.0</w:t>
            </w:r>
          </w:p>
        </w:tc>
        <w:tc>
          <w:tcPr>
            <w:tcW w:w="1843" w:type="dxa"/>
          </w:tcPr>
          <w:p w14:paraId="24B767E4"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November 2018</w:t>
            </w:r>
          </w:p>
        </w:tc>
        <w:tc>
          <w:tcPr>
            <w:tcW w:w="2693" w:type="dxa"/>
          </w:tcPr>
          <w:p w14:paraId="2B194A0E" w14:textId="77777777" w:rsidR="0035529B" w:rsidRPr="007D730D" w:rsidRDefault="0035529B" w:rsidP="0035529B">
            <w:pPr>
              <w:spacing w:before="40" w:after="40" w:line="240" w:lineRule="auto"/>
              <w:rPr>
                <w:rFonts w:ascii="Arial" w:eastAsia="Times New Roman" w:hAnsi="Arial" w:cs="Arial"/>
                <w:lang w:eastAsia="en-GB"/>
              </w:rPr>
            </w:pPr>
            <w:r w:rsidRPr="007D730D">
              <w:rPr>
                <w:rFonts w:ascii="Arial" w:eastAsia="Times New Roman" w:hAnsi="Arial" w:cs="Arial"/>
                <w:lang w:eastAsia="en-GB"/>
              </w:rPr>
              <w:t>Sharon Hawley</w:t>
            </w:r>
          </w:p>
        </w:tc>
        <w:tc>
          <w:tcPr>
            <w:tcW w:w="1134" w:type="dxa"/>
          </w:tcPr>
          <w:p w14:paraId="043AC5B8"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Final</w:t>
            </w:r>
          </w:p>
        </w:tc>
        <w:tc>
          <w:tcPr>
            <w:tcW w:w="2694" w:type="dxa"/>
          </w:tcPr>
          <w:p w14:paraId="5DBFD405" w14:textId="77777777" w:rsidR="0035529B" w:rsidRPr="007D730D" w:rsidRDefault="0035529B"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Policy updated to reflect best practice and current organisation structure</w:t>
            </w:r>
          </w:p>
        </w:tc>
      </w:tr>
      <w:tr w:rsidR="00EF7C63" w:rsidRPr="007D730D" w14:paraId="165CAB53" w14:textId="77777777" w:rsidTr="007D730D">
        <w:tc>
          <w:tcPr>
            <w:tcW w:w="1134" w:type="dxa"/>
          </w:tcPr>
          <w:p w14:paraId="00D9B7FD" w14:textId="5852A0E0" w:rsidR="00EF7C63" w:rsidRPr="007D730D" w:rsidRDefault="007B37C6"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4.0</w:t>
            </w:r>
          </w:p>
        </w:tc>
        <w:tc>
          <w:tcPr>
            <w:tcW w:w="1843" w:type="dxa"/>
          </w:tcPr>
          <w:p w14:paraId="3B7414DD" w14:textId="63A27DDD" w:rsidR="00EF7C63" w:rsidRPr="007D730D" w:rsidRDefault="000C25EA"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 xml:space="preserve">June </w:t>
            </w:r>
            <w:r w:rsidR="417C9AB4" w:rsidRPr="007D730D">
              <w:rPr>
                <w:rFonts w:ascii="Arial" w:eastAsia="Times New Roman" w:hAnsi="Arial" w:cs="Arial"/>
                <w:lang w:eastAsia="en-GB"/>
              </w:rPr>
              <w:t>2025</w:t>
            </w:r>
          </w:p>
        </w:tc>
        <w:tc>
          <w:tcPr>
            <w:tcW w:w="2693" w:type="dxa"/>
          </w:tcPr>
          <w:p w14:paraId="6F5145B7" w14:textId="6092891A" w:rsidR="00EF7C63" w:rsidRPr="007D730D" w:rsidRDefault="0FF0A32F" w:rsidP="54256580">
            <w:pPr>
              <w:spacing w:before="40" w:after="40" w:line="240" w:lineRule="auto"/>
              <w:rPr>
                <w:rFonts w:ascii="Arial" w:eastAsia="Times New Roman" w:hAnsi="Arial" w:cs="Arial"/>
                <w:lang w:eastAsia="en-GB"/>
              </w:rPr>
            </w:pPr>
            <w:r w:rsidRPr="007D730D">
              <w:rPr>
                <w:rFonts w:ascii="Arial" w:eastAsia="Times New Roman" w:hAnsi="Arial" w:cs="Arial"/>
                <w:lang w:eastAsia="en-GB"/>
              </w:rPr>
              <w:t xml:space="preserve"> </w:t>
            </w:r>
            <w:r w:rsidR="000C25EA" w:rsidRPr="007D730D">
              <w:rPr>
                <w:rFonts w:ascii="Arial" w:eastAsia="Times New Roman" w:hAnsi="Arial" w:cs="Arial"/>
                <w:lang w:eastAsia="en-GB"/>
              </w:rPr>
              <w:t xml:space="preserve">Evah Marufu – Director of Nursing </w:t>
            </w:r>
            <w:r w:rsidR="00F53F47" w:rsidRPr="007D730D">
              <w:rPr>
                <w:rFonts w:ascii="Arial" w:eastAsia="Times New Roman" w:hAnsi="Arial" w:cs="Arial"/>
                <w:lang w:eastAsia="en-GB"/>
              </w:rPr>
              <w:t xml:space="preserve">and Tawanda </w:t>
            </w:r>
            <w:proofErr w:type="spellStart"/>
            <w:r w:rsidR="00F53F47" w:rsidRPr="007D730D">
              <w:rPr>
                <w:rFonts w:ascii="Arial" w:eastAsia="Times New Roman" w:hAnsi="Arial" w:cs="Arial"/>
                <w:lang w:eastAsia="en-GB"/>
              </w:rPr>
              <w:t>Hakulandaba</w:t>
            </w:r>
            <w:proofErr w:type="spellEnd"/>
            <w:r w:rsidR="00D7068E" w:rsidRPr="007D730D">
              <w:rPr>
                <w:rFonts w:ascii="Arial" w:eastAsia="Times New Roman" w:hAnsi="Arial" w:cs="Arial"/>
                <w:lang w:eastAsia="en-GB"/>
              </w:rPr>
              <w:t xml:space="preserve"> – Service Manager</w:t>
            </w:r>
          </w:p>
        </w:tc>
        <w:tc>
          <w:tcPr>
            <w:tcW w:w="1134" w:type="dxa"/>
          </w:tcPr>
          <w:p w14:paraId="1BEC6436" w14:textId="315C1BAB" w:rsidR="00EF7C63" w:rsidRPr="007D730D" w:rsidRDefault="00D7068E"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Final</w:t>
            </w:r>
          </w:p>
        </w:tc>
        <w:tc>
          <w:tcPr>
            <w:tcW w:w="2694" w:type="dxa"/>
          </w:tcPr>
          <w:p w14:paraId="651501D5" w14:textId="77777777" w:rsidR="00EF7C63" w:rsidRPr="007D730D" w:rsidRDefault="00EF7C63" w:rsidP="0035529B">
            <w:pPr>
              <w:spacing w:after="0" w:line="240" w:lineRule="auto"/>
              <w:rPr>
                <w:rFonts w:ascii="Arial" w:eastAsia="Times New Roman" w:hAnsi="Arial" w:cs="Arial"/>
                <w:lang w:eastAsia="en-GB"/>
              </w:rPr>
            </w:pPr>
          </w:p>
          <w:p w14:paraId="40699224" w14:textId="76EB2DF6" w:rsidR="007B37C6" w:rsidRPr="007D730D" w:rsidRDefault="00A07F76" w:rsidP="0035529B">
            <w:pPr>
              <w:spacing w:after="0" w:line="240" w:lineRule="auto"/>
              <w:rPr>
                <w:rFonts w:ascii="Arial" w:eastAsia="Times New Roman" w:hAnsi="Arial" w:cs="Arial"/>
                <w:lang w:eastAsia="en-GB"/>
              </w:rPr>
            </w:pPr>
            <w:r w:rsidRPr="007D730D">
              <w:rPr>
                <w:rFonts w:ascii="Arial" w:eastAsia="Times New Roman" w:hAnsi="Arial" w:cs="Arial"/>
                <w:lang w:eastAsia="en-GB"/>
              </w:rPr>
              <w:t>Reviewed</w:t>
            </w:r>
            <w:r w:rsidR="00D7068E" w:rsidRPr="007D730D">
              <w:rPr>
                <w:rFonts w:ascii="Arial" w:eastAsia="Times New Roman" w:hAnsi="Arial" w:cs="Arial"/>
                <w:lang w:eastAsia="en-GB"/>
              </w:rPr>
              <w:t xml:space="preserve"> to reflect current practice.  </w:t>
            </w:r>
            <w:r w:rsidR="00B24F91" w:rsidRPr="007D730D">
              <w:rPr>
                <w:rFonts w:ascii="Arial" w:eastAsia="Times New Roman" w:hAnsi="Arial" w:cs="Arial"/>
                <w:lang w:eastAsia="en-GB"/>
              </w:rPr>
              <w:t>CAHMs now included</w:t>
            </w:r>
          </w:p>
          <w:p w14:paraId="18B4E568" w14:textId="77777777" w:rsidR="007B37C6" w:rsidRPr="007D730D" w:rsidRDefault="007B37C6" w:rsidP="0035529B">
            <w:pPr>
              <w:spacing w:after="0" w:line="240" w:lineRule="auto"/>
              <w:rPr>
                <w:rFonts w:ascii="Arial" w:eastAsia="Times New Roman" w:hAnsi="Arial" w:cs="Arial"/>
                <w:lang w:eastAsia="en-GB"/>
              </w:rPr>
            </w:pPr>
          </w:p>
          <w:p w14:paraId="56CD204A" w14:textId="74F28E35" w:rsidR="007B37C6" w:rsidRPr="007D730D" w:rsidRDefault="007B37C6" w:rsidP="0035529B">
            <w:pPr>
              <w:spacing w:after="0" w:line="240" w:lineRule="auto"/>
              <w:rPr>
                <w:rFonts w:ascii="Arial" w:eastAsia="Times New Roman" w:hAnsi="Arial" w:cs="Arial"/>
                <w:lang w:eastAsia="en-GB"/>
              </w:rPr>
            </w:pPr>
          </w:p>
        </w:tc>
      </w:tr>
    </w:tbl>
    <w:p w14:paraId="5F7FF311" w14:textId="77777777" w:rsidR="0035529B" w:rsidRPr="007D730D" w:rsidRDefault="0035529B" w:rsidP="0033169F">
      <w:pPr>
        <w:jc w:val="center"/>
        <w:rPr>
          <w:rFonts w:ascii="Arial" w:hAnsi="Arial" w:cs="Arial"/>
          <w:b/>
          <w:lang w:val="en-US"/>
        </w:rPr>
      </w:pPr>
    </w:p>
    <w:p w14:paraId="4A9CB748" w14:textId="2A71D8D5" w:rsidR="0035529B" w:rsidRDefault="003051FA">
      <w:pPr>
        <w:rPr>
          <w:rFonts w:ascii="Arial" w:hAnsi="Arial" w:cs="Arial"/>
          <w:b/>
          <w:bCs/>
          <w:lang w:val="en-US"/>
        </w:rPr>
      </w:pPr>
      <w:r>
        <w:rPr>
          <w:rFonts w:ascii="Arial" w:hAnsi="Arial" w:cs="Arial"/>
          <w:b/>
          <w:bCs/>
          <w:lang w:val="en-US"/>
        </w:rPr>
        <w:t xml:space="preserve">                                                         Executive summary</w:t>
      </w:r>
    </w:p>
    <w:p w14:paraId="53DC783C" w14:textId="77777777" w:rsidR="00E22580" w:rsidRPr="00E22580" w:rsidRDefault="00E22580" w:rsidP="00E22580">
      <w:pPr>
        <w:rPr>
          <w:rFonts w:ascii="Arial" w:hAnsi="Arial" w:cs="Arial"/>
        </w:rPr>
      </w:pPr>
      <w:r w:rsidRPr="00E22580">
        <w:rPr>
          <w:rFonts w:ascii="Arial" w:hAnsi="Arial" w:cs="Arial"/>
        </w:rPr>
        <w:t>This policy establishes East London NHS Foundation Trust's (ELFT) approach to safeguarding adults and outlines the responsibilities of all staff in preventing, identifying, reporting and responding to concerns of abuse and neglect. The policy is informed by the requirements of the Care Act 2014 and associated statutory guidance and supports the Trust's commitment to protecting the rights, safety, wellbeing and dignity of adults who have care and support needs.</w:t>
      </w:r>
    </w:p>
    <w:p w14:paraId="4BFD6898" w14:textId="77777777" w:rsidR="00E22580" w:rsidRPr="00E22580" w:rsidRDefault="00E22580" w:rsidP="00E22580">
      <w:pPr>
        <w:rPr>
          <w:rFonts w:ascii="Arial" w:hAnsi="Arial" w:cs="Arial"/>
        </w:rPr>
      </w:pPr>
      <w:r w:rsidRPr="00E22580">
        <w:rPr>
          <w:rFonts w:ascii="Arial" w:hAnsi="Arial" w:cs="Arial"/>
        </w:rPr>
        <w:t>The policy applies to all Trust employees, agency workers, volunteers and contractors and reinforces the principle that safeguarding is everyone's responsibility. It sets out the arrangements for effective partnership working with Local Authorities, Safeguarding Adult Boards, healthcare organisations, social care services, the police and other partner agencies to ensure a coordinated and person-centred approach to safeguarding.</w:t>
      </w:r>
    </w:p>
    <w:p w14:paraId="53A25E0B" w14:textId="77777777" w:rsidR="00E22580" w:rsidRPr="00E22580" w:rsidRDefault="00E22580" w:rsidP="00E22580">
      <w:pPr>
        <w:rPr>
          <w:rFonts w:ascii="Arial" w:hAnsi="Arial" w:cs="Arial"/>
        </w:rPr>
      </w:pPr>
      <w:r w:rsidRPr="00E22580">
        <w:rPr>
          <w:rFonts w:ascii="Arial" w:hAnsi="Arial" w:cs="Arial"/>
        </w:rPr>
        <w:t>The policy aims to promote the prevention of abuse and neglect, reduce the risk of harm, support individuals to make informed choices, and ensure that safeguarding interventions are proportionate and outcome-focused. It also clarifies the governance and accountability arrangements within the Trust, including the responsibilities of the Trust Board, Chief Executive, Chief Nurse, safeguarding leads, managers and frontline staff.</w:t>
      </w:r>
    </w:p>
    <w:p w14:paraId="28AC3117" w14:textId="43F906F6" w:rsidR="003051FA" w:rsidRPr="00E22580" w:rsidRDefault="00E22580">
      <w:pPr>
        <w:rPr>
          <w:rFonts w:ascii="Arial" w:hAnsi="Arial" w:cs="Arial"/>
        </w:rPr>
      </w:pPr>
      <w:r w:rsidRPr="00E22580">
        <w:rPr>
          <w:rFonts w:ascii="Arial" w:hAnsi="Arial" w:cs="Arial"/>
        </w:rPr>
        <w:t>Through the implementation of this policy, ELFT seeks to ensure compliance with statutory and regulatory requirements, strengthen safeguarding practice across all services, and provide assurance that adults at risk are protected through timely, effective and compassionate safeguarding responses.</w:t>
      </w:r>
    </w:p>
    <w:p w14:paraId="2BC4D590" w14:textId="71101687" w:rsidR="16EFA4C4" w:rsidRPr="007D730D" w:rsidRDefault="16EFA4C4" w:rsidP="54256580">
      <w:pPr>
        <w:pStyle w:val="Heading1"/>
        <w:spacing w:before="200" w:after="80" w:line="252" w:lineRule="auto"/>
        <w:jc w:val="center"/>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lastRenderedPageBreak/>
        <w:t>Contents</w:t>
      </w:r>
    </w:p>
    <w:p w14:paraId="39EA9BE0" w14:textId="036CC594" w:rsidR="16EFA4C4" w:rsidRPr="007D730D" w:rsidRDefault="16EFA4C4" w:rsidP="54256580">
      <w:pPr>
        <w:pStyle w:val="ListParagraph"/>
        <w:spacing w:after="0" w:line="360" w:lineRule="auto"/>
        <w:ind w:left="0"/>
        <w:rPr>
          <w:rFonts w:ascii="Arial" w:eastAsia="Arial" w:hAnsi="Arial" w:cs="Arial"/>
          <w:lang w:val="en-US"/>
        </w:rPr>
      </w:pPr>
      <w:r w:rsidRPr="007D730D">
        <w:rPr>
          <w:rFonts w:ascii="Arial" w:eastAsia="Arial" w:hAnsi="Arial" w:cs="Arial"/>
          <w:lang w:val="en-US"/>
        </w:rPr>
        <w:t>1. Summary</w:t>
      </w:r>
    </w:p>
    <w:p w14:paraId="3F8857E4" w14:textId="2D6BA6E8"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2. Purpose</w:t>
      </w:r>
    </w:p>
    <w:p w14:paraId="47DF3137" w14:textId="4E1822DB"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3. Scope</w:t>
      </w:r>
    </w:p>
    <w:p w14:paraId="637F85C3" w14:textId="36260C67"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4. Definitions</w:t>
      </w:r>
    </w:p>
    <w:p w14:paraId="7C6BF980" w14:textId="794515BE"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5. Policy Principles</w:t>
      </w:r>
    </w:p>
    <w:p w14:paraId="771B7DBB" w14:textId="0682BB6C"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6. Roles and Responsibilities</w:t>
      </w:r>
    </w:p>
    <w:p w14:paraId="22EE8CE5" w14:textId="5A2B96F3"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7. Access, Referral and Engagement</w:t>
      </w:r>
    </w:p>
    <w:p w14:paraId="186B2E79" w14:textId="0193EFD9"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8. Integrated Dual Diagnosis Pathways</w:t>
      </w:r>
    </w:p>
    <w:p w14:paraId="03C5EEF3" w14:textId="76453E32"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9. Assessment Standards</w:t>
      </w:r>
    </w:p>
    <w:p w14:paraId="36AFB0CB" w14:textId="3E6FD16E"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10. Diagnosis, Working Diagnosis, Formulation and Care Planning</w:t>
      </w:r>
    </w:p>
    <w:p w14:paraId="2736B89D" w14:textId="451AB62A"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11. Risk Management and Crisis Response</w:t>
      </w:r>
    </w:p>
    <w:p w14:paraId="2CA42A9C" w14:textId="2B104CC2"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12. Treatment and Interventions</w:t>
      </w:r>
    </w:p>
    <w:p w14:paraId="2B188D93" w14:textId="6C7555C6"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13. Inpatient, Crisis and Liaison Settings</w:t>
      </w:r>
    </w:p>
    <w:p w14:paraId="2B5C9706" w14:textId="79B707E4"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14. CAMHS Component: Children and Young People</w:t>
      </w:r>
    </w:p>
    <w:p w14:paraId="776B53BA" w14:textId="4B298711"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15. Safeguarding</w:t>
      </w:r>
    </w:p>
    <w:p w14:paraId="7AAA4AFF" w14:textId="1B556C61"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16. Partnership Working and Interface Arrangements</w:t>
      </w:r>
    </w:p>
    <w:p w14:paraId="7EC2167E" w14:textId="0A7DDAD0"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17. Electronic Records, Information Sharing and Communication</w:t>
      </w:r>
    </w:p>
    <w:p w14:paraId="3C458EFE" w14:textId="5718FD6D"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18. Documentation Standards</w:t>
      </w:r>
    </w:p>
    <w:p w14:paraId="341BC295" w14:textId="760E217B"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19. Training, Supervision and Competence</w:t>
      </w:r>
    </w:p>
    <w:p w14:paraId="7B442836" w14:textId="58CC7B55"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20. Monitoring, Audit and Governance</w:t>
      </w:r>
    </w:p>
    <w:p w14:paraId="28B39EF3" w14:textId="69475DFC"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21. Equality, Diversity and Inclusion</w:t>
      </w:r>
    </w:p>
    <w:p w14:paraId="5FC1A91E" w14:textId="0E2CE344" w:rsidR="16EFA4C4" w:rsidRPr="007D730D"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22. Implementation</w:t>
      </w:r>
    </w:p>
    <w:p w14:paraId="787F6A70" w14:textId="438CDB9E" w:rsidR="16EFA4C4" w:rsidRDefault="16EFA4C4" w:rsidP="54256580">
      <w:pPr>
        <w:pStyle w:val="ListParagraph"/>
        <w:spacing w:after="0" w:line="360" w:lineRule="auto"/>
        <w:ind w:left="360" w:hanging="360"/>
        <w:rPr>
          <w:rFonts w:ascii="Arial" w:eastAsia="Arial" w:hAnsi="Arial" w:cs="Arial"/>
          <w:lang w:val="en-US"/>
        </w:rPr>
      </w:pPr>
      <w:r w:rsidRPr="007D730D">
        <w:rPr>
          <w:rFonts w:ascii="Arial" w:eastAsia="Arial" w:hAnsi="Arial" w:cs="Arial"/>
          <w:lang w:val="en-US"/>
        </w:rPr>
        <w:t>23. Review</w:t>
      </w:r>
    </w:p>
    <w:p w14:paraId="0DD2047C" w14:textId="4D02B27B" w:rsidR="00E22580" w:rsidRDefault="00E22580" w:rsidP="54256580">
      <w:pPr>
        <w:pStyle w:val="ListParagraph"/>
        <w:spacing w:after="0" w:line="360" w:lineRule="auto"/>
        <w:ind w:left="360" w:hanging="360"/>
        <w:rPr>
          <w:rFonts w:ascii="Arial" w:eastAsia="Arial" w:hAnsi="Arial" w:cs="Arial"/>
          <w:lang w:val="en-US"/>
        </w:rPr>
      </w:pPr>
    </w:p>
    <w:p w14:paraId="7B8603AE" w14:textId="5F4812BC" w:rsidR="00E22580" w:rsidRDefault="00E22580" w:rsidP="54256580">
      <w:pPr>
        <w:pStyle w:val="ListParagraph"/>
        <w:spacing w:after="0" w:line="360" w:lineRule="auto"/>
        <w:ind w:left="360" w:hanging="360"/>
        <w:rPr>
          <w:rFonts w:ascii="Arial" w:eastAsia="Arial" w:hAnsi="Arial" w:cs="Arial"/>
          <w:lang w:val="en-US"/>
        </w:rPr>
      </w:pPr>
    </w:p>
    <w:p w14:paraId="6B039F1F" w14:textId="04FC4687" w:rsidR="00E22580" w:rsidRDefault="00E22580" w:rsidP="54256580">
      <w:pPr>
        <w:pStyle w:val="ListParagraph"/>
        <w:spacing w:after="0" w:line="360" w:lineRule="auto"/>
        <w:ind w:left="360" w:hanging="360"/>
        <w:rPr>
          <w:rFonts w:ascii="Arial" w:eastAsia="Arial" w:hAnsi="Arial" w:cs="Arial"/>
          <w:lang w:val="en-US"/>
        </w:rPr>
      </w:pPr>
    </w:p>
    <w:p w14:paraId="5D2A49A3" w14:textId="3A57CC94" w:rsidR="00E22580" w:rsidRDefault="00E22580" w:rsidP="54256580">
      <w:pPr>
        <w:pStyle w:val="ListParagraph"/>
        <w:spacing w:after="0" w:line="360" w:lineRule="auto"/>
        <w:ind w:left="360" w:hanging="360"/>
        <w:rPr>
          <w:rFonts w:ascii="Arial" w:eastAsia="Arial" w:hAnsi="Arial" w:cs="Arial"/>
          <w:lang w:val="en-US"/>
        </w:rPr>
      </w:pPr>
    </w:p>
    <w:p w14:paraId="555025DA" w14:textId="7EC8FF19" w:rsidR="00E22580" w:rsidRDefault="00E22580" w:rsidP="54256580">
      <w:pPr>
        <w:pStyle w:val="ListParagraph"/>
        <w:spacing w:after="0" w:line="360" w:lineRule="auto"/>
        <w:ind w:left="360" w:hanging="360"/>
        <w:rPr>
          <w:rFonts w:ascii="Arial" w:eastAsia="Arial" w:hAnsi="Arial" w:cs="Arial"/>
          <w:lang w:val="en-US"/>
        </w:rPr>
      </w:pPr>
    </w:p>
    <w:p w14:paraId="7FEF594A" w14:textId="1C416BCA" w:rsidR="00E22580" w:rsidRDefault="00E22580" w:rsidP="54256580">
      <w:pPr>
        <w:pStyle w:val="ListParagraph"/>
        <w:spacing w:after="0" w:line="360" w:lineRule="auto"/>
        <w:ind w:left="360" w:hanging="360"/>
        <w:rPr>
          <w:rFonts w:ascii="Arial" w:eastAsia="Arial" w:hAnsi="Arial" w:cs="Arial"/>
          <w:lang w:val="en-US"/>
        </w:rPr>
      </w:pPr>
    </w:p>
    <w:p w14:paraId="14D0DA42" w14:textId="2B51E075" w:rsidR="00E22580" w:rsidRDefault="00E22580" w:rsidP="54256580">
      <w:pPr>
        <w:pStyle w:val="ListParagraph"/>
        <w:spacing w:after="0" w:line="360" w:lineRule="auto"/>
        <w:ind w:left="360" w:hanging="360"/>
        <w:rPr>
          <w:rFonts w:ascii="Arial" w:eastAsia="Arial" w:hAnsi="Arial" w:cs="Arial"/>
          <w:lang w:val="en-US"/>
        </w:rPr>
      </w:pPr>
    </w:p>
    <w:p w14:paraId="7F1CB11B" w14:textId="0AC35964" w:rsidR="00E22580" w:rsidRDefault="00E22580" w:rsidP="54256580">
      <w:pPr>
        <w:pStyle w:val="ListParagraph"/>
        <w:spacing w:after="0" w:line="360" w:lineRule="auto"/>
        <w:ind w:left="360" w:hanging="360"/>
        <w:rPr>
          <w:rFonts w:ascii="Arial" w:eastAsia="Arial" w:hAnsi="Arial" w:cs="Arial"/>
          <w:lang w:val="en-US"/>
        </w:rPr>
      </w:pPr>
    </w:p>
    <w:p w14:paraId="0348F91E" w14:textId="2189B8AF" w:rsidR="00E22580" w:rsidRDefault="00E22580" w:rsidP="54256580">
      <w:pPr>
        <w:pStyle w:val="ListParagraph"/>
        <w:spacing w:after="0" w:line="360" w:lineRule="auto"/>
        <w:ind w:left="360" w:hanging="360"/>
        <w:rPr>
          <w:rFonts w:ascii="Arial" w:eastAsia="Arial" w:hAnsi="Arial" w:cs="Arial"/>
          <w:lang w:val="en-US"/>
        </w:rPr>
      </w:pPr>
    </w:p>
    <w:p w14:paraId="3B7EE1AD" w14:textId="77777777" w:rsidR="00E22580" w:rsidRPr="007D730D" w:rsidRDefault="00E22580" w:rsidP="54256580">
      <w:pPr>
        <w:pStyle w:val="ListParagraph"/>
        <w:spacing w:after="0" w:line="360" w:lineRule="auto"/>
        <w:ind w:left="360" w:hanging="360"/>
        <w:rPr>
          <w:rFonts w:ascii="Arial" w:eastAsia="Arial" w:hAnsi="Arial" w:cs="Arial"/>
          <w:lang w:val="en-US"/>
        </w:rPr>
      </w:pPr>
    </w:p>
    <w:p w14:paraId="48B22D19" w14:textId="5853A245"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lastRenderedPageBreak/>
        <w:t>1. Summary</w:t>
      </w:r>
    </w:p>
    <w:p w14:paraId="672372FC" w14:textId="0008A323"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This policy sets out ELFT’s expectations for safe, integrated and person-</w:t>
      </w:r>
      <w:proofErr w:type="spellStart"/>
      <w:r w:rsidRPr="007D730D">
        <w:rPr>
          <w:rFonts w:ascii="Arial" w:eastAsia="Arial" w:hAnsi="Arial" w:cs="Arial"/>
          <w:color w:val="000000" w:themeColor="text1"/>
          <w:lang w:val="en-US"/>
        </w:rPr>
        <w:t>centred</w:t>
      </w:r>
      <w:proofErr w:type="spellEnd"/>
      <w:r w:rsidRPr="007D730D">
        <w:rPr>
          <w:rFonts w:ascii="Arial" w:eastAsia="Arial" w:hAnsi="Arial" w:cs="Arial"/>
          <w:color w:val="000000" w:themeColor="text1"/>
          <w:lang w:val="en-US"/>
        </w:rPr>
        <w:t xml:space="preserve"> care for people who experience co-occurring mental health and substance use needs. It applies to adults, older adults, children and young people, and to all relevant Trust services, including community, inpatient, crisis, liaison, forensic, learning disability, primary care mental health and specialist pathways.</w:t>
      </w:r>
    </w:p>
    <w:p w14:paraId="3209BC68" w14:textId="1CE5E2E4"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policy uses a broad, inclusive definition of dual diagnosis: co-existing mental health and substance use difficulties, whether or not a formal diagnosis has yet been made. This includes severe mental illness, mood and anxiety disorders, personality disorder or complex emotional needs, trauma-related presentations, neurodevelopmental complexity and harmful or dependent alcohol or drug use.</w:t>
      </w:r>
    </w:p>
    <w:p w14:paraId="3928E643" w14:textId="4F0AD6D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policy is built around three practical pathways: High Risk, Joint Patient, and Discharge / Transfer. Each pathway requires a named lead team, a shared formulation, one integrated care plan, a joint risk assessment where multiple services are involved, and meaningful handover rather than signposting alone.</w:t>
      </w:r>
    </w:p>
    <w:p w14:paraId="19FCE250" w14:textId="7AC09909"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2. Purpose</w:t>
      </w:r>
    </w:p>
    <w:p w14:paraId="59976E0C" w14:textId="73FA825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purpose of this policy is to provide a Trust-wide framework for the assessment, care planning, treatment, risk management and review of people who experience co-occurring mental health and substance use needs.</w:t>
      </w:r>
    </w:p>
    <w:p w14:paraId="3C567747" w14:textId="1A648D30"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policy aims to ensure that services deliver evidence-informed care in a clinically coordinated and systematic manner, so that service users, children and young people, families and carers receive appropriate and effective support.</w:t>
      </w:r>
    </w:p>
    <w:p w14:paraId="439AB62F" w14:textId="0FC901AB"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policy aims to ensure that:</w:t>
      </w:r>
    </w:p>
    <w:p w14:paraId="6D68D458" w14:textId="6A92F22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people are not excluded, delayed or passed between services because of the presence of both mental health and substance use needs;</w:t>
      </w:r>
    </w:p>
    <w:p w14:paraId="7377A0F2" w14:textId="197B1FB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mental health, substance use, physical health, safeguarding and social needs are understood together rather than in isolation;</w:t>
      </w:r>
    </w:p>
    <w:p w14:paraId="7BB5EC60" w14:textId="1B3CA01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there is a clear pathway for high-risk presentations, joint work between services and safe discharge or transfer;</w:t>
      </w:r>
    </w:p>
    <w:p w14:paraId="00019328" w14:textId="5C66623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care is trauma-informed, recovery-oriented, culturally responsive and grounded in harm reduction;</w:t>
      </w:r>
    </w:p>
    <w:p w14:paraId="5A59F2CC" w14:textId="619464A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children and young people receive developmentally appropriate, safeguarding-led support through CAMHS and partner agencies;</w:t>
      </w:r>
    </w:p>
    <w:p w14:paraId="2D946046" w14:textId="2D75CFB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staff understand their responsibilities and have access to supervision, training and escalation routes.</w:t>
      </w:r>
    </w:p>
    <w:p w14:paraId="77D9FA54" w14:textId="3A84F0FD"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3. Scope</w:t>
      </w:r>
    </w:p>
    <w:p w14:paraId="032DA8AB" w14:textId="790B3253"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This policy applies to all ELFT staff, bank staff, students, trainees, volunteers and contracted staff working in or with Trust services. It applies across community, inpatient, crisis, liaison, forensic, learning disability, older adult, primary care mental health, CAMHS and specialist services.</w:t>
      </w:r>
    </w:p>
    <w:p w14:paraId="11A61850" w14:textId="17C0D0E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The policy covers people of all ages who present with actual or suspected co-occurring mental health and alcohol or drug use needs. This includes use of alcohol, illicit drugs, novel </w:t>
      </w:r>
      <w:r w:rsidRPr="007D730D">
        <w:rPr>
          <w:rFonts w:ascii="Arial" w:eastAsia="Arial" w:hAnsi="Arial" w:cs="Arial"/>
          <w:color w:val="000000" w:themeColor="text1"/>
          <w:lang w:val="en-US"/>
        </w:rPr>
        <w:lastRenderedPageBreak/>
        <w:t>psychoactive substances, volatile substances, misused prescribed medication, over-the-counter medication and poly-substance use.</w:t>
      </w:r>
    </w:p>
    <w:p w14:paraId="7F339DA7" w14:textId="4B80B19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This policy does not replace specialist substance misuse prescribing protocols, medicines management policies, safeguarding policies, Mental Health Act or Mental Capacity Act procedures, Children Act duties, consent and confidentiality guidance, risk management policy, local crisis pathways, or local commissioned service specifications. It should be read alongside these documents.</w:t>
      </w:r>
    </w:p>
    <w:p w14:paraId="351889FA" w14:textId="70DDC2BB"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4. Definitions</w:t>
      </w:r>
    </w:p>
    <w:tbl>
      <w:tblPr>
        <w:tblStyle w:val="TableGrid"/>
        <w:tblW w:w="0" w:type="auto"/>
        <w:tblLook w:val="04A0" w:firstRow="1" w:lastRow="0" w:firstColumn="1" w:lastColumn="0" w:noHBand="0" w:noVBand="1"/>
      </w:tblPr>
      <w:tblGrid>
        <w:gridCol w:w="4480"/>
        <w:gridCol w:w="4536"/>
      </w:tblGrid>
      <w:tr w:rsidR="54256580" w:rsidRPr="007D730D" w14:paraId="2584686B"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33548760" w14:textId="46446077"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Term</w:t>
            </w:r>
          </w:p>
        </w:tc>
        <w:tc>
          <w:tcPr>
            <w:tcW w:w="5040"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5FA2DCC1" w14:textId="657A6B85"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Definition</w:t>
            </w:r>
          </w:p>
        </w:tc>
      </w:tr>
      <w:tr w:rsidR="54256580" w:rsidRPr="007D730D" w14:paraId="1C68928F"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32A48877" w14:textId="16A701AF"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Dual diagnosis / co-occurring conditions</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2C8F1F33" w14:textId="54B5BA23"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The presence of both mental health needs and substance use needs, whether or not either has been formally diagnosed. The interaction between the two may vary over time and can affect risk, engagement, physical health, safeguarding, recovery and social functioning.</w:t>
            </w:r>
          </w:p>
        </w:tc>
      </w:tr>
      <w:tr w:rsidR="54256580" w:rsidRPr="007D730D" w14:paraId="71A49794"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07378481" w14:textId="37ECEBFB"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ELFT inclusive definition</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0E3B7A76" w14:textId="35ACB16B"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Co-existing mental health and substance use difficulties, including severe mental illness, personality disorder or complex emotional needs, anxiety and mood disorders, trauma-related presentations and other clinically significant mental health needs.</w:t>
            </w:r>
          </w:p>
        </w:tc>
      </w:tr>
      <w:tr w:rsidR="54256580" w:rsidRPr="007D730D" w14:paraId="678F6811"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63C61964" w14:textId="2324E075"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Substance use</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06283C27" w14:textId="6FCE8C9A"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Use of alcohol or psychoactive substances that may be experimental, recreational, hazardous, harmful or dependent. Substance use may include prescribed medication misuse, over-the-counter medication misuse and poly-substance use.</w:t>
            </w:r>
          </w:p>
        </w:tc>
      </w:tr>
      <w:tr w:rsidR="54256580" w:rsidRPr="007D730D" w14:paraId="591411BA"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7BF3D740" w14:textId="74CDB15A"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Integrated care</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6E8C05DD" w14:textId="458E64A7"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A coordinated approach in which mental health, substance use, physical health, safeguarding and social needs are assessed and addressed through one shared formulation, one integrated care plan and clear joint working arrangements.</w:t>
            </w:r>
          </w:p>
        </w:tc>
      </w:tr>
      <w:tr w:rsidR="54256580" w:rsidRPr="007D730D" w14:paraId="00457E20"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11827E3A" w14:textId="33901C7E"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Harm reduction</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6CA038B0" w14:textId="58C3DFB0"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Practical interventions that reduce immediate and longer-term risks, including overdose, infection, withdrawal, self-harm, exploitation, relapse and physical deterioration, while supporting engagement and recovery.</w:t>
            </w:r>
          </w:p>
        </w:tc>
      </w:tr>
      <w:tr w:rsidR="54256580" w:rsidRPr="007D730D" w14:paraId="152C3924"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30636933" w14:textId="7E0DBA08"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Working diagnosis</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5DF7E38E" w14:textId="7D6EBBF7"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A provisional clinical understanding used to support timely care planning when intoxication, withdrawal, complexity or incomplete information makes definitive diagnosis difficult.</w:t>
            </w:r>
          </w:p>
        </w:tc>
      </w:tr>
      <w:tr w:rsidR="54256580" w:rsidRPr="007D730D" w14:paraId="41DE204A" w14:textId="77777777" w:rsidTr="54256580">
        <w:trPr>
          <w:trHeight w:val="300"/>
        </w:trPr>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11B0BE13" w14:textId="3E047F91"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CAMHS</w:t>
            </w:r>
          </w:p>
        </w:tc>
        <w:tc>
          <w:tcPr>
            <w:tcW w:w="5040" w:type="dxa"/>
            <w:tcBorders>
              <w:top w:val="single" w:sz="4" w:space="0" w:color="auto"/>
              <w:left w:val="single" w:sz="4" w:space="0" w:color="auto"/>
              <w:bottom w:val="single" w:sz="4" w:space="0" w:color="auto"/>
              <w:right w:val="single" w:sz="4" w:space="0" w:color="auto"/>
            </w:tcBorders>
            <w:tcMar>
              <w:left w:w="108" w:type="dxa"/>
              <w:right w:w="108" w:type="dxa"/>
            </w:tcMar>
          </w:tcPr>
          <w:p w14:paraId="57B7E695" w14:textId="1046FD8F"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Child and Adolescent Mental Health Services, including specialist mental health provision for children and young people and interface work with families, schools, social care, youth justice and young people’s substance misuse services.</w:t>
            </w:r>
          </w:p>
        </w:tc>
      </w:tr>
    </w:tbl>
    <w:p w14:paraId="292A68BF" w14:textId="0F3BD758"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5. Policy Principles</w:t>
      </w:r>
    </w:p>
    <w:p w14:paraId="2CB0F31F" w14:textId="2B99397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No wrong door:</w:t>
      </w:r>
      <w:r w:rsidRPr="007D730D">
        <w:rPr>
          <w:rFonts w:ascii="Arial" w:eastAsia="Arial" w:hAnsi="Arial" w:cs="Arial"/>
          <w:color w:val="000000" w:themeColor="text1"/>
          <w:lang w:val="en-US"/>
        </w:rPr>
        <w:t xml:space="preserve"> The presence of substance use, intoxication, relapse, withdrawal risk or mental health symptoms must not be used as a reason to refuse assessment or discharge a person without an agreed safe plan.</w:t>
      </w:r>
    </w:p>
    <w:p w14:paraId="3262E3F2" w14:textId="1D28648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Do not exclude:</w:t>
      </w:r>
      <w:r w:rsidRPr="007D730D">
        <w:rPr>
          <w:rFonts w:ascii="Arial" w:eastAsia="Arial" w:hAnsi="Arial" w:cs="Arial"/>
          <w:color w:val="000000" w:themeColor="text1"/>
          <w:lang w:val="en-US"/>
        </w:rPr>
        <w:t xml:space="preserve"> Adults, children and young people must not be excluded from age-appropriate mental healthcare because of substance use, and must not be excluded from substance misuse support because of mental health needs.</w:t>
      </w:r>
    </w:p>
    <w:p w14:paraId="485D1006" w14:textId="7B08E9E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Integrated formulation:</w:t>
      </w:r>
      <w:r w:rsidRPr="007D730D">
        <w:rPr>
          <w:rFonts w:ascii="Arial" w:eastAsia="Arial" w:hAnsi="Arial" w:cs="Arial"/>
          <w:color w:val="000000" w:themeColor="text1"/>
          <w:lang w:val="en-US"/>
        </w:rPr>
        <w:t xml:space="preserve"> Staff must consider how mental health symptoms, substance use, trauma, social circumstances, physical health and safeguarding factors interact.</w:t>
      </w:r>
    </w:p>
    <w:p w14:paraId="4B562E6D" w14:textId="45D9D697"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Trauma-informed practice:</w:t>
      </w:r>
      <w:r w:rsidRPr="007D730D">
        <w:rPr>
          <w:rFonts w:ascii="Arial" w:eastAsia="Arial" w:hAnsi="Arial" w:cs="Arial"/>
          <w:color w:val="000000" w:themeColor="text1"/>
          <w:lang w:val="en-US"/>
        </w:rPr>
        <w:t xml:space="preserve"> Staff must recognise the high prevalence of trauma, adversity, stigma, discrimination and exclusion among people with co-occurring needs.</w:t>
      </w:r>
    </w:p>
    <w:p w14:paraId="62480D77" w14:textId="06A16D4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Harm reduction and recovery:</w:t>
      </w:r>
      <w:r w:rsidRPr="007D730D">
        <w:rPr>
          <w:rFonts w:ascii="Arial" w:eastAsia="Arial" w:hAnsi="Arial" w:cs="Arial"/>
          <w:color w:val="000000" w:themeColor="text1"/>
          <w:lang w:val="en-US"/>
        </w:rPr>
        <w:t xml:space="preserve"> Immediate safety and </w:t>
      </w:r>
      <w:proofErr w:type="spellStart"/>
      <w:r w:rsidRPr="007D730D">
        <w:rPr>
          <w:rFonts w:ascii="Arial" w:eastAsia="Arial" w:hAnsi="Arial" w:cs="Arial"/>
          <w:color w:val="000000" w:themeColor="text1"/>
          <w:lang w:val="en-US"/>
        </w:rPr>
        <w:t>stabilisation</w:t>
      </w:r>
      <w:proofErr w:type="spellEnd"/>
      <w:r w:rsidRPr="007D730D">
        <w:rPr>
          <w:rFonts w:ascii="Arial" w:eastAsia="Arial" w:hAnsi="Arial" w:cs="Arial"/>
          <w:color w:val="000000" w:themeColor="text1"/>
          <w:lang w:val="en-US"/>
        </w:rPr>
        <w:t xml:space="preserve"> are valid care goals. Abstinence may be a goal for some people, but it must not be a precondition for mental health care.</w:t>
      </w:r>
    </w:p>
    <w:p w14:paraId="69F5F171" w14:textId="7574D70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Equity and anti-stigma:</w:t>
      </w:r>
      <w:r w:rsidRPr="007D730D">
        <w:rPr>
          <w:rFonts w:ascii="Arial" w:eastAsia="Arial" w:hAnsi="Arial" w:cs="Arial"/>
          <w:color w:val="000000" w:themeColor="text1"/>
          <w:lang w:val="en-US"/>
        </w:rPr>
        <w:t xml:space="preserve"> Services must actively address barriers linked to race, culture, gender, sexuality, disability, neurodiversity, age, homelessness, poverty, offending history and immigration status.</w:t>
      </w:r>
    </w:p>
    <w:p w14:paraId="4EAAB672" w14:textId="2A2C5EE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Family and carer involvement:</w:t>
      </w:r>
      <w:r w:rsidRPr="007D730D">
        <w:rPr>
          <w:rFonts w:ascii="Arial" w:eastAsia="Arial" w:hAnsi="Arial" w:cs="Arial"/>
          <w:color w:val="000000" w:themeColor="text1"/>
          <w:lang w:val="en-US"/>
        </w:rPr>
        <w:t xml:space="preserve"> Families, carers and significant others should be involved where this is clinically appropriate, consented to and safe. For children and young people, family and network involvement must be considered as part of assessment and care planning.</w:t>
      </w:r>
    </w:p>
    <w:p w14:paraId="4112A1CC" w14:textId="69CEE15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Safeguarding first:</w:t>
      </w:r>
      <w:r w:rsidRPr="007D730D">
        <w:rPr>
          <w:rFonts w:ascii="Arial" w:eastAsia="Arial" w:hAnsi="Arial" w:cs="Arial"/>
          <w:color w:val="000000" w:themeColor="text1"/>
          <w:lang w:val="en-US"/>
        </w:rPr>
        <w:t xml:space="preserve"> Safeguarding risks to adults, children, unborn babies, dependents and carers must be recognised, recorded and escalated in line with Trust and local safeguarding procedures.</w:t>
      </w:r>
    </w:p>
    <w:p w14:paraId="18E45453" w14:textId="2EB33C90"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b/>
          <w:bCs/>
          <w:color w:val="000000" w:themeColor="text1"/>
          <w:lang w:val="en-US"/>
        </w:rPr>
        <w:t>Collaborative practice:</w:t>
      </w:r>
      <w:r w:rsidRPr="007D730D">
        <w:rPr>
          <w:rFonts w:ascii="Arial" w:eastAsia="Arial" w:hAnsi="Arial" w:cs="Arial"/>
          <w:color w:val="000000" w:themeColor="text1"/>
          <w:lang w:val="en-US"/>
        </w:rPr>
        <w:t xml:space="preserve"> ELFT teams must work with primary care, local authority substance misuse services, children’s services, education, social care, housing, police, probation, youth justice, voluntary sector and acute services where needed.</w:t>
      </w:r>
    </w:p>
    <w:p w14:paraId="5FCB2A35" w14:textId="43D1006B"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 Roles and Responsibilities</w:t>
      </w:r>
    </w:p>
    <w:p w14:paraId="69BEF0A8" w14:textId="38D10D27"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This section sets out the core responsibilities needed to make the policy work in practice. It is not intended to duplicate professional job descriptions or local operational procedures.</w:t>
      </w:r>
    </w:p>
    <w:p w14:paraId="6E383761" w14:textId="4601143C"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6.1 Trust Board and Executive Leads</w:t>
      </w:r>
    </w:p>
    <w:p w14:paraId="6A11D8F5" w14:textId="178683E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Maintain strategic oversight of safe, equitable and integrated care for people with co-occurring mental health and substance use needs.</w:t>
      </w:r>
    </w:p>
    <w:p w14:paraId="721F51CF" w14:textId="6D54B1B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Seek assurance that services apply the no wrong door principle and do not exclude or delay care because both needs are present.</w:t>
      </w:r>
    </w:p>
    <w:p w14:paraId="3CF0E520" w14:textId="6365697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Ensure learning from incidents, complaints, safeguarding reviews and deaths informs service improvement.</w:t>
      </w:r>
    </w:p>
    <w:p w14:paraId="227C02E5" w14:textId="348078E6"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6.2 Directorate, Service and Local Leadership Teams</w:t>
      </w:r>
    </w:p>
    <w:p w14:paraId="22ACFA40" w14:textId="2D73A35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 xml:space="preserve">Translate this policy into local pathway arrangements, including adult, CAMHS, crisis, </w:t>
      </w:r>
      <w:r w:rsidR="711F542D" w:rsidRPr="007D730D">
        <w:rPr>
          <w:rFonts w:ascii="Arial" w:eastAsia="Arial" w:hAnsi="Arial" w:cs="Arial"/>
          <w:color w:val="000000" w:themeColor="text1"/>
          <w:lang w:val="en-US"/>
        </w:rPr>
        <w:t xml:space="preserve">liaison, </w:t>
      </w:r>
      <w:r w:rsidRPr="007D730D">
        <w:rPr>
          <w:rFonts w:ascii="Arial" w:eastAsia="Arial" w:hAnsi="Arial" w:cs="Arial"/>
          <w:color w:val="000000" w:themeColor="text1"/>
          <w:lang w:val="en-US"/>
        </w:rPr>
        <w:t>inpatient, psychological therapy and substance misuse interfaces.</w:t>
      </w:r>
    </w:p>
    <w:p w14:paraId="2B6199DA" w14:textId="6BC7D4A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Agree local arrangements for lead responsibility, joint planning meetings, escalation, information sharing and communication where electronic records are not shared.</w:t>
      </w:r>
    </w:p>
    <w:p w14:paraId="4691C7C2" w14:textId="1EE4A19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Monitor service-level themes such as declined referrals, repeated crisis presentations, delayed discharge, fragmented care and gaps in partner working.</w:t>
      </w:r>
    </w:p>
    <w:p w14:paraId="485BDDBC" w14:textId="403B2D5E"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6.3 Team Managers and Clinical Leads</w:t>
      </w:r>
    </w:p>
    <w:p w14:paraId="61839EFB" w14:textId="4138C19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assessment, formulation, care planning, supervision, discharge and transfer processes consider both mental health and substance use needs.</w:t>
      </w:r>
    </w:p>
    <w:p w14:paraId="16B91C04" w14:textId="7DE2FB0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staff know how to access advice from substance misuse services, CAMHS specialists, prescribers, safeguarding leads and senior clinicians.</w:t>
      </w:r>
    </w:p>
    <w:p w14:paraId="4668BC18" w14:textId="25A89C9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high-risk or complex cases are reviewed through appropriate MDT, CPA, safety huddle, safeguarding or multi-agency forums.</w:t>
      </w:r>
    </w:p>
    <w:p w14:paraId="0A6391BB" w14:textId="2BCC13D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Support staff wellbeing and safety when work involves repeated crisis contact, intoxication, violence, exploitation, trauma or professional disagreement.</w:t>
      </w:r>
    </w:p>
    <w:p w14:paraId="4E8F7936" w14:textId="39916A1E"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6.4 Care Coordinators, Lead Professionals and Keyworkers</w:t>
      </w:r>
    </w:p>
    <w:p w14:paraId="054AE647" w14:textId="1D579A8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Coordinate one integrated formulation and care plan where more than one service is involved, with a clear lead team or lead professional recorded.</w:t>
      </w:r>
    </w:p>
    <w:p w14:paraId="17D9D70F" w14:textId="0672018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the plan includes mental health care, substance use interventions, harm reduction, physical health, safeguarding, family or carer</w:t>
      </w:r>
      <w:r w:rsidR="00C11C92" w:rsidRPr="007D730D">
        <w:rPr>
          <w:rFonts w:ascii="Arial" w:eastAsia="Arial" w:hAnsi="Arial" w:cs="Arial"/>
          <w:color w:val="000000" w:themeColor="text1"/>
          <w:lang w:val="en-US"/>
        </w:rPr>
        <w:t>s</w:t>
      </w:r>
      <w:r w:rsidRPr="007D730D">
        <w:rPr>
          <w:rFonts w:ascii="Arial" w:eastAsia="Arial" w:hAnsi="Arial" w:cs="Arial"/>
          <w:color w:val="000000" w:themeColor="text1"/>
          <w:lang w:val="en-US"/>
        </w:rPr>
        <w:t xml:space="preserve"> involvement and crisis arrangements.</w:t>
      </w:r>
    </w:p>
    <w:p w14:paraId="196AAAA9" w14:textId="21F4D82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Communicate significant changes in risk, engagement, medication, substance use, housing, safeguarding or discharge plans to relevant services.</w:t>
      </w:r>
    </w:p>
    <w:p w14:paraId="4249D910" w14:textId="1BD8929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discharge or transfer involves meaningful handover and follow-up, not signposting alone where risk or complexity remains.</w:t>
      </w:r>
    </w:p>
    <w:p w14:paraId="09D8F0A7" w14:textId="51E0567D"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6.5 All Clinical Staff</w:t>
      </w:r>
    </w:p>
    <w:p w14:paraId="6832397F" w14:textId="546146F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Ask about alcohol, drugs, prescribed medication use, over-the-counter medication use and poly-substance use where relevant to the presentation.</w:t>
      </w:r>
    </w:p>
    <w:p w14:paraId="5BC7D227" w14:textId="7378F668"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Consider how substance use and mental health symptoms interact, including intoxication, withdrawal, relapse, overdose, self-harm, violence, exploitation and safeguarding risks.</w:t>
      </w:r>
    </w:p>
    <w:p w14:paraId="4F78E36B" w14:textId="493D1C8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Offer brief advice, motivational support, harm reduction information and referral or liaison with specialist services within the limits of role and competence.</w:t>
      </w:r>
    </w:p>
    <w:p w14:paraId="75A7D284" w14:textId="4F4C263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Record assessment, formulation, risk, advice, consent, information sharing and follow-up actions clearly in the electronic patient record.</w:t>
      </w:r>
    </w:p>
    <w:p w14:paraId="4F270E17" w14:textId="00EB8C26"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6.6 Medical, Prescribing and Pharmacy Roles</w:t>
      </w:r>
    </w:p>
    <w:p w14:paraId="582A1310" w14:textId="24B1E7E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Ensure prescribing decisions take account of alcohol or drug use, dependency, intoxication, withdrawal, overdose risk, physical health and medication interactions.</w:t>
      </w:r>
    </w:p>
    <w:p w14:paraId="6D6F394A" w14:textId="0E57D94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Complete medicines reconciliation and communicate key medication decisions to the GP, community pharmacy, substance misuse prescriber and other involved services where appropriate.</w:t>
      </w:r>
    </w:p>
    <w:p w14:paraId="4A0A5EDC" w14:textId="128DAA1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Seek specialist advice for complex withdrawal, opioid or benzodiazepine dependence, pregnancy, severe liver disease, high overdose risk, clozapine, controlled drugs or significant polypharmacy.</w:t>
      </w:r>
    </w:p>
    <w:p w14:paraId="660C4BE8" w14:textId="3590D580"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6.7 CAMHS Responsibilities</w:t>
      </w:r>
    </w:p>
    <w:p w14:paraId="6A4E6E82" w14:textId="1363ACD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Apply this policy in a developmentally appropriate and safeguarding-led way for children and young people.</w:t>
      </w:r>
    </w:p>
    <w:p w14:paraId="4CE30376" w14:textId="38A0FC4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Do not exclude a child or young person from CAMHS assessment or treatment solely because substance use is present.</w:t>
      </w:r>
    </w:p>
    <w:p w14:paraId="78C99ED1" w14:textId="0EF4866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Assess family context, education, neurodevelopmental needs, trauma, exploitation, online risks, missing episodes, youth justice involvement and contextual safeguarding alongside mental health and substance use.</w:t>
      </w:r>
    </w:p>
    <w:p w14:paraId="5882C02E" w14:textId="51A953E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Work jointly with young people’s substance misuse services, children’s social care, schools or colleges, youth justice, paediatrics, GPs and voluntary sector partners where indicated.</w:t>
      </w:r>
    </w:p>
    <w:p w14:paraId="5F23E392" w14:textId="2998B84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Consider and record consent, confidentiality, parental responsibility, Gillick competence and information-sharing decisions.</w:t>
      </w:r>
    </w:p>
    <w:p w14:paraId="6A89370F" w14:textId="128D9AF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Plan transition early for young people approaching 18, including adult mental health, adult substance misuse, GP, safeguarding and crisis arrangements.</w:t>
      </w:r>
    </w:p>
    <w:p w14:paraId="304AB5A9" w14:textId="292BE07B"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6.8 Substance Misuse Services and Specialist Addiction Input</w:t>
      </w:r>
    </w:p>
    <w:p w14:paraId="615DDCB8" w14:textId="55DA9AF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Provide specialist assessment, psychosocial intervention, harm reduction, prescribing or prescribing advice, relapse prevention and recovery support within the scope of the service.</w:t>
      </w:r>
    </w:p>
    <w:p w14:paraId="556FD5CB" w14:textId="6246268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Contribute to joint formulation, joint risk assessment, care planning, crisis planning and discharge planning where a person is open to more than one service.</w:t>
      </w:r>
    </w:p>
    <w:p w14:paraId="1185B91B" w14:textId="322A987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Share relevant information lawfully and proportionately with mental health, CAMHS, primary care and partner agencies, particularly where risk is escalating.</w:t>
      </w:r>
    </w:p>
    <w:p w14:paraId="3A4D601B" w14:textId="7F3A922E"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7. Access, Referral and Engagement</w:t>
      </w:r>
    </w:p>
    <w:p w14:paraId="3D1FB5AE" w14:textId="135E898B"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Services must operate a no wrong door approach. A person must not be refused a mental health assessment solely because they are using substances, are not abstinent, are ambivalent about change, have relapsed, are intoxicated, or are already open to another agency.</w:t>
      </w:r>
    </w:p>
    <w:p w14:paraId="5349D89C" w14:textId="3C69E16E"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Where another service is better placed to meet the person’s needs, the referring or receiving team must support a safe handover rather than signposting alone. This may include joint assessment, a warm transfer, a shared plan, confirmation that the other service has accepted the referral, and interim risk management.</w:t>
      </w:r>
    </w:p>
    <w:p w14:paraId="2D99E62D" w14:textId="04ED4D0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Engagement should be active and flexible. Teams should consider assertive outreach, appointment reminders, family or carer involvement, culturally appropriate communication, interpreters, advocacy, peer support, digital or telephone contact, and practical support with transport or access where appropriate.</w:t>
      </w:r>
    </w:p>
    <w:p w14:paraId="2887D321" w14:textId="0851AE60"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lastRenderedPageBreak/>
        <w:t>8. Integrated Dual Diagnosis Pathways</w:t>
      </w:r>
    </w:p>
    <w:p w14:paraId="6FD2B7B5" w14:textId="18F3FE0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ELFT services will use three integrated pathways to support consistent decision-making and joint work. The pathways are not rigid service thresholds; they are practical routes for coordinating care when mental health and substance use needs interact.</w:t>
      </w:r>
    </w:p>
    <w:p w14:paraId="37E4BF72" w14:textId="086DAC6D"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senior clinician should identify the relevant pathway where complexity, risk or multi-service involvement requires formal coordination. The pathway decision, lead team, named clinician, agreed plan and review date must be recorded.</w:t>
      </w:r>
    </w:p>
    <w:p w14:paraId="794FE003" w14:textId="6502E96D"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8.1 Pathway overview</w:t>
      </w:r>
    </w:p>
    <w:tbl>
      <w:tblPr>
        <w:tblStyle w:val="TableGrid"/>
        <w:tblW w:w="0" w:type="auto"/>
        <w:tblLook w:val="04A0" w:firstRow="1" w:lastRow="0" w:firstColumn="1" w:lastColumn="0" w:noHBand="0" w:noVBand="1"/>
      </w:tblPr>
      <w:tblGrid>
        <w:gridCol w:w="1669"/>
        <w:gridCol w:w="1810"/>
        <w:gridCol w:w="1879"/>
        <w:gridCol w:w="1816"/>
        <w:gridCol w:w="1842"/>
      </w:tblGrid>
      <w:tr w:rsidR="54256580" w:rsidRPr="007D730D" w14:paraId="68A5BED7" w14:textId="77777777" w:rsidTr="54256580">
        <w:trPr>
          <w:trHeight w:val="300"/>
        </w:trPr>
        <w:tc>
          <w:tcPr>
            <w:tcW w:w="2016"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3C5A2A8E" w14:textId="347B686C"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Pathway</w:t>
            </w:r>
          </w:p>
        </w:tc>
        <w:tc>
          <w:tcPr>
            <w:tcW w:w="2016"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2DB57A55" w14:textId="20D841AE"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Typical presentation</w:t>
            </w:r>
          </w:p>
        </w:tc>
        <w:tc>
          <w:tcPr>
            <w:tcW w:w="2016"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503BBE83" w14:textId="7D610F5B"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Required outputs</w:t>
            </w:r>
          </w:p>
        </w:tc>
        <w:tc>
          <w:tcPr>
            <w:tcW w:w="2016"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2E86D665" w14:textId="635853BB"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Governance / review</w:t>
            </w:r>
          </w:p>
        </w:tc>
        <w:tc>
          <w:tcPr>
            <w:tcW w:w="2016" w:type="dxa"/>
            <w:tcBorders>
              <w:top w:val="single" w:sz="4" w:space="0" w:color="auto"/>
              <w:left w:val="single" w:sz="4" w:space="0" w:color="auto"/>
              <w:bottom w:val="single" w:sz="4" w:space="0" w:color="auto"/>
              <w:right w:val="single" w:sz="4" w:space="0" w:color="auto"/>
            </w:tcBorders>
            <w:shd w:val="clear" w:color="auto" w:fill="1F4E79"/>
            <w:tcMar>
              <w:left w:w="108" w:type="dxa"/>
              <w:right w:w="108" w:type="dxa"/>
            </w:tcMar>
          </w:tcPr>
          <w:p w14:paraId="698F1179" w14:textId="533CB72D" w:rsidR="54256580" w:rsidRPr="007D730D" w:rsidRDefault="54256580" w:rsidP="54256580">
            <w:pPr>
              <w:spacing w:line="276" w:lineRule="auto"/>
              <w:rPr>
                <w:rFonts w:ascii="Arial" w:eastAsia="Arial" w:hAnsi="Arial" w:cs="Arial"/>
                <w:b/>
                <w:bCs/>
                <w:color w:val="000000" w:themeColor="text1"/>
                <w:lang w:val="en-US"/>
              </w:rPr>
            </w:pPr>
            <w:r w:rsidRPr="007D730D">
              <w:rPr>
                <w:rFonts w:ascii="Arial" w:eastAsia="Arial" w:hAnsi="Arial" w:cs="Arial"/>
                <w:b/>
                <w:bCs/>
                <w:color w:val="000000" w:themeColor="text1"/>
                <w:lang w:val="en-US"/>
              </w:rPr>
              <w:t>Expected outcomes</w:t>
            </w:r>
          </w:p>
        </w:tc>
      </w:tr>
      <w:tr w:rsidR="54256580" w:rsidRPr="007D730D" w14:paraId="09BE1C1D" w14:textId="77777777" w:rsidTr="54256580">
        <w:trPr>
          <w:trHeight w:val="300"/>
        </w:trPr>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7BD2A307" w14:textId="47E942BC"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Pathway 1: High Risk</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508698C7" w14:textId="6567174C"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High risk of suicide, serious self-harm, overdose, significant harm to others, exploitation, severe neglect or repeated crisis presentations where mental health and substance use interact.</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362DA74B" w14:textId="0F83769E"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Named lead team; working diagnosis or diagnosis; one integrated care plan; joint risk assessment; crisis and contingency plan; family / carer support plan where appropriate; clear communication to involved services.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4C0504CE" w14:textId="0CB9B66E"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Senior clinical review; multi-agency risk meeting where required; safeguarding advice; regular review until risk reduces or pathway changes.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1BA76A51" w14:textId="4BD8D5E0"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Coordinated risk management, reduced duplication, safer crisis planning, improved family / carer support and clearer accountability.</w:t>
            </w:r>
          </w:p>
        </w:tc>
      </w:tr>
      <w:tr w:rsidR="54256580" w:rsidRPr="007D730D" w14:paraId="79527E2E" w14:textId="77777777" w:rsidTr="54256580">
        <w:trPr>
          <w:trHeight w:val="300"/>
        </w:trPr>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3EF99236" w14:textId="2F18DBD6"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Pathway 2: Joint Patient</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3E485906" w14:textId="54FD651C"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Person is attending, or needs input from, both mental health and substance misuse services, or from CAMHS and young people’s substance misuse services.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6FD0F395" w14:textId="62564298"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Named care coordinator or lead professional; shared formulation; one care plan matching need to the best service intervention; joint risk assessment; agreed review intervals; single clear communication plan.</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5570E180" w14:textId="009F6FA8"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Joint planning meeting; shared review at key points; senior advice if disagreement about lead responsibility or thresholds.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24989781" w14:textId="6899E1C2"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Seamless joint care, earlier interventions, simplified navigation and better use of specialist expertise.</w:t>
            </w:r>
          </w:p>
        </w:tc>
      </w:tr>
      <w:tr w:rsidR="54256580" w:rsidRPr="007D730D" w14:paraId="72F378F7" w14:textId="77777777" w:rsidTr="54256580">
        <w:trPr>
          <w:trHeight w:val="300"/>
        </w:trPr>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05FA62A3" w14:textId="525D64A3"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Pathway 3: Discharge / Transfer</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3ED0AA55" w14:textId="2456AB82"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Person is completing treatment in one service and needs safe transfer to another, or outstanding needs have emerged during treatment.</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487E826F" w14:textId="042870CA"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Meaningful handover; new or updated care plan; relapse and crisis plan; confirmed receiving service; no signposting or referral without follow-up where risk or complexity remains.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79298CF0" w14:textId="6BC7A0E5"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Discharge planning meeting or warm handover; post-transfer check where indicated; escalation if referral is declined and risk remains.</w:t>
            </w:r>
          </w:p>
        </w:tc>
        <w:tc>
          <w:tcPr>
            <w:tcW w:w="2016" w:type="dxa"/>
            <w:tcBorders>
              <w:top w:val="single" w:sz="4" w:space="0" w:color="auto"/>
              <w:left w:val="single" w:sz="4" w:space="0" w:color="auto"/>
              <w:bottom w:val="single" w:sz="4" w:space="0" w:color="auto"/>
              <w:right w:val="single" w:sz="4" w:space="0" w:color="auto"/>
            </w:tcBorders>
            <w:tcMar>
              <w:left w:w="108" w:type="dxa"/>
              <w:right w:w="108" w:type="dxa"/>
            </w:tcMar>
          </w:tcPr>
          <w:p w14:paraId="219E77E0" w14:textId="7680850A" w:rsidR="54256580" w:rsidRPr="007D730D" w:rsidRDefault="54256580" w:rsidP="54256580">
            <w:pPr>
              <w:spacing w:line="276" w:lineRule="auto"/>
              <w:rPr>
                <w:rFonts w:ascii="Arial" w:eastAsia="Arial" w:hAnsi="Arial" w:cs="Arial"/>
                <w:color w:val="000000" w:themeColor="text1"/>
                <w:lang w:val="en-US"/>
              </w:rPr>
            </w:pPr>
            <w:r w:rsidRPr="007D730D">
              <w:rPr>
                <w:rFonts w:ascii="Arial" w:eastAsia="Arial" w:hAnsi="Arial" w:cs="Arial"/>
                <w:color w:val="000000" w:themeColor="text1"/>
                <w:lang w:val="en-US"/>
              </w:rPr>
              <w:t>Reduced risk of people falling between services, improved continuity and avoidance of repeated ‘starting from scratch’.</w:t>
            </w:r>
          </w:p>
        </w:tc>
      </w:tr>
    </w:tbl>
    <w:p w14:paraId="363551BF" w14:textId="1A722054"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8.2 Pathway 1: High Risk Pathway</w:t>
      </w:r>
    </w:p>
    <w:p w14:paraId="0EE9EADF" w14:textId="7DF51FD8"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Pathway 1 applies where the person’s current presentation, lifestyle, environment or pattern of crisis contact indicates high risk linked to the interaction between mental health and substance use.</w:t>
      </w:r>
    </w:p>
    <w:p w14:paraId="5F68A301" w14:textId="1265AAD8"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Triggers may include:</w:t>
      </w:r>
    </w:p>
    <w:p w14:paraId="05E77015" w14:textId="6E6908C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multiple crisis presentations, including emergency department attendance, crisis line contact, police contact or repeated urgent referrals;</w:t>
      </w:r>
    </w:p>
    <w:p w14:paraId="4064784D" w14:textId="00C3C46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recent inpatient admission, crisis admission, home treatment involvement or discharge from acute care;</w:t>
      </w:r>
    </w:p>
    <w:p w14:paraId="2C85B490" w14:textId="310B94F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active suicidal ideation, recent self-harm, overdose, serious impulsivity, or recent harm to others;</w:t>
      </w:r>
    </w:p>
    <w:p w14:paraId="7C442315" w14:textId="078BD65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severe intoxication, withdrawal risk, high-risk poly-substance use, injecting risk, or repeated overdose;</w:t>
      </w:r>
    </w:p>
    <w:p w14:paraId="128E2AB0" w14:textId="7CFF1AD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poor engagement, loss of contact, ambivalence about support or repeated non-attendance where risk remains high;</w:t>
      </w:r>
    </w:p>
    <w:p w14:paraId="609DE4C0" w14:textId="4BAB1E0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multiple services involved without a clear lead professional or plan;</w:t>
      </w:r>
    </w:p>
    <w:p w14:paraId="7DECADA2" w14:textId="187C3D8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safeguarding concerns including domestic abuse, exploitation, self-neglect, cuckooing, county lines, homelessness or risk to dependents;</w:t>
      </w:r>
    </w:p>
    <w:p w14:paraId="5129B3D9" w14:textId="0E57842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high-risk CAMHS presentations such as exploitation, missing episodes, unsafe peer networks, severe self-harm, psychosis, significant family risk or youth justice involvement.</w:t>
      </w:r>
    </w:p>
    <w:p w14:paraId="0CBC6547" w14:textId="28057281"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Pathway 1 requires a named lead team and senior clinical oversight. A joint planning meeting should be held as soon as practicable, proportionate to risk. The meeting should agree the working diagnosis or diagnosis, lead professional, immediate safety plan, care plan, risk plan, crisis and contingency arrangements, review frequency and communication plan.</w:t>
      </w:r>
    </w:p>
    <w:p w14:paraId="200AB936" w14:textId="7D7654E7"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8.3 Pathway 2: Joint Patient Pathway</w:t>
      </w:r>
    </w:p>
    <w:p w14:paraId="1C5B9AEC" w14:textId="68998171"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Pathway 2 applies where a person is using or requires input from more than one service, such as adult mental health and substance misuse services, IAPT / NHS Talking Therapies </w:t>
      </w:r>
      <w:r w:rsidRPr="007D730D">
        <w:rPr>
          <w:rFonts w:ascii="Arial" w:eastAsia="Arial" w:hAnsi="Arial" w:cs="Arial"/>
          <w:color w:val="000000" w:themeColor="text1"/>
          <w:lang w:val="en-US"/>
        </w:rPr>
        <w:lastRenderedPageBreak/>
        <w:t>and substance misuse services, CAMHS and young people’s substance misuse services, or mental health services and acute / primary care.</w:t>
      </w:r>
    </w:p>
    <w:p w14:paraId="41B94DCF" w14:textId="08E1E58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service best placed to coordinate care should be agreed according to assessment of need, diagnosis or working diagnosis, risk, safeguarding and the person’s preferences. Where severe mental illness or psychosis is present, mental health services should normally retain responsibility for mental health care coordination while working jointly with substance misuse services.</w:t>
      </w:r>
    </w:p>
    <w:p w14:paraId="312472B7" w14:textId="79E25B0B"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joint planning meeting should agree:</w:t>
      </w:r>
    </w:p>
    <w:p w14:paraId="6F1492F6" w14:textId="0A50938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diagnosis or working diagnosis;</w:t>
      </w:r>
    </w:p>
    <w:p w14:paraId="01A970C2" w14:textId="367F0F1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lead team and named care coordinator / lead professional;</w:t>
      </w:r>
    </w:p>
    <w:p w14:paraId="549E452A" w14:textId="43F14F2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interventions to be delivered by each service;</w:t>
      </w:r>
    </w:p>
    <w:p w14:paraId="5850279B" w14:textId="5973F93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risk assessment and crisis plan;</w:t>
      </w:r>
    </w:p>
    <w:p w14:paraId="0DEB19D5" w14:textId="015F320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self-management and relapse prevention plan;</w:t>
      </w:r>
    </w:p>
    <w:p w14:paraId="61688250" w14:textId="1F6782F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family or carer support plan where appropriate and safe;</w:t>
      </w:r>
    </w:p>
    <w:p w14:paraId="56E605C2" w14:textId="478F00C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review intervals and escalation route if the plan is not working.</w:t>
      </w:r>
    </w:p>
    <w:p w14:paraId="7ACBBDB7" w14:textId="0333E3C7"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8.4 Pathway 3: Discharge / Transfer Pathway</w:t>
      </w:r>
    </w:p>
    <w:p w14:paraId="14FDF780" w14:textId="77C01BFD"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Pathway 3 applies when the person is not currently attending multiple services but is completing work in one service and would benefit from a seamless transition to another. Examples include alcohol use emerging during psychological therapy, abstinence or </w:t>
      </w:r>
      <w:proofErr w:type="spellStart"/>
      <w:r w:rsidRPr="007D730D">
        <w:rPr>
          <w:rFonts w:ascii="Arial" w:eastAsia="Arial" w:hAnsi="Arial" w:cs="Arial"/>
          <w:color w:val="000000" w:themeColor="text1"/>
          <w:lang w:val="en-US"/>
        </w:rPr>
        <w:t>stabilisation</w:t>
      </w:r>
      <w:proofErr w:type="spellEnd"/>
      <w:r w:rsidRPr="007D730D">
        <w:rPr>
          <w:rFonts w:ascii="Arial" w:eastAsia="Arial" w:hAnsi="Arial" w:cs="Arial"/>
          <w:color w:val="000000" w:themeColor="text1"/>
          <w:lang w:val="en-US"/>
        </w:rPr>
        <w:t xml:space="preserve"> in substance misuse treatment revealing mood, anxiety or trauma needs, or a young person approaching transition from CAMHS to adult services.</w:t>
      </w:r>
    </w:p>
    <w:p w14:paraId="19BF8E1B" w14:textId="178A40DB"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Discharge or transfer must be planned and documented. There must be meaningful handover and a new or updated treatment plan for outstanding needs. Signposting alone is not sufficient where risk, safeguarding concerns, medication issues, dependency, relapse risk or significant mental health symptoms remain.</w:t>
      </w:r>
    </w:p>
    <w:p w14:paraId="0068AB9B" w14:textId="20C0BFE3"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safe discharge or transfer plan should include:</w:t>
      </w:r>
    </w:p>
    <w:p w14:paraId="7B4ED7B5" w14:textId="11B1C23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reason for discharge or transfer;</w:t>
      </w:r>
    </w:p>
    <w:p w14:paraId="5C3D2BAB" w14:textId="5A690D0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current mental health and substance use formulation;</w:t>
      </w:r>
    </w:p>
    <w:p w14:paraId="3060663F" w14:textId="1BDCAE7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current risks, safeguarding concerns and protective factors;</w:t>
      </w:r>
    </w:p>
    <w:p w14:paraId="25501267" w14:textId="4DDAC5A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medication, prescribing or physical health actions;</w:t>
      </w:r>
    </w:p>
    <w:p w14:paraId="4FDE6414" w14:textId="7C30959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relapse prevention and crisis plan;</w:t>
      </w:r>
    </w:p>
    <w:p w14:paraId="2E95ABE9" w14:textId="071692F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receiving service contact details and appointment arrangements;</w:t>
      </w:r>
    </w:p>
    <w:p w14:paraId="4675846D" w14:textId="0610FF9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actions if the person does not attend the receiving service;</w:t>
      </w:r>
    </w:p>
    <w:p w14:paraId="3B9484AE" w14:textId="7F3D988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communication to GP, family or carers and partner agencies where appropriate.</w:t>
      </w:r>
    </w:p>
    <w:p w14:paraId="7736138E" w14:textId="2908A2E4"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8.5 Applying the pathways in CAMHS</w:t>
      </w:r>
    </w:p>
    <w:p w14:paraId="1D43E029" w14:textId="7A8BB598"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For children and young people, each pathway must be adapted for age, development, consent, confidentiality, family context and safeguarding. CAMHS should not discharge or redirect a child or young person solely because substance use is present. Where both CAMHS and young people’s substance misuse services are involved, the plan must identify the lead professional, the role of parents or carers where appropriate, and the role of school, social care, youth justice or other agencies.</w:t>
      </w:r>
    </w:p>
    <w:p w14:paraId="1EB9F37C" w14:textId="2DF2E39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Young people approaching 18 may need Pathway 3 transfer planning between CAMHS, adult mental health services and adult substance misuse services. Transition planning should start early and include contingency planning for relapse, disengagement, safeguarding and crisis.</w:t>
      </w:r>
    </w:p>
    <w:p w14:paraId="104D2209" w14:textId="3FBE6C81"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9. Assessment Standards</w:t>
      </w:r>
    </w:p>
    <w:p w14:paraId="750AF11A" w14:textId="1604381E"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Assessment must be proportionate to the presenting need and level of risk. It should not rely on the person being abstinent unless an immediate clinical assessment is impossible because of acute intoxication or medical instability. If assessment is limited, staff must document the reason, manage immediate safety, and arrange review.</w:t>
      </w:r>
    </w:p>
    <w:p w14:paraId="055B3F74" w14:textId="0DF1A6CE"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9.1 Minimum assessment areas</w:t>
      </w:r>
    </w:p>
    <w:p w14:paraId="31C6D3E6" w14:textId="637BB93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Presenting mental health needs, history, diagnosis, current symptoms, mental state and current treatment.</w:t>
      </w:r>
    </w:p>
    <w:p w14:paraId="3202D29D" w14:textId="043B948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Substance use history, including type of substances, quantity, frequency, route, duration, triggers, pattern of use, tolerance, withdrawal, overdose history, injecting history, use with others and periods of abstinence.</w:t>
      </w:r>
    </w:p>
    <w:p w14:paraId="6FCF0A01" w14:textId="5F30EF4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Relationship between substance use and mental health, including whether use appears to precede, worsen, mask or follow mental health symptoms.</w:t>
      </w:r>
    </w:p>
    <w:p w14:paraId="42AC0797" w14:textId="752C6A3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Physical health, including intoxication or withdrawal symptoms, pain, sleep, nutrition, infection, blood-borne virus risk, sexual health, pregnancy, medication adherence and long-term conditions.</w:t>
      </w:r>
    </w:p>
    <w:p w14:paraId="5CE937A0" w14:textId="3344EE7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Risk to self and others, including suicide, self-harm, overdose, violence, vulnerability, exploitation, domestic abuse, neglect, unsafe accommodation and risk to dependents.</w:t>
      </w:r>
    </w:p>
    <w:p w14:paraId="1033BFC5" w14:textId="2D6FE86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Safeguarding factors, including children, unborn babies, adults at risk, carers, domestic abuse, sexual or criminal exploitation, cuckooing, county lines, modern slavery and self-neglect.</w:t>
      </w:r>
    </w:p>
    <w:p w14:paraId="7EB8DE05" w14:textId="04BE787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Social context, including housing, finances, employment, education, immigration concerns, isolation, offending, probation, family relationships and community supports.</w:t>
      </w:r>
    </w:p>
    <w:p w14:paraId="78C587C7" w14:textId="624D50B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Protective factors, strengths, goals, cultural or spiritual resources, motivation for change and preferred approach to support.</w:t>
      </w:r>
    </w:p>
    <w:p w14:paraId="16E02A36" w14:textId="3641EB4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Capacity, consent, confidentiality and information-sharing needs, including advance statements or crisis preferences where relevant.</w:t>
      </w:r>
    </w:p>
    <w:p w14:paraId="47849E01" w14:textId="11D1EC66"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9.2 Screening and assessment tools</w:t>
      </w:r>
    </w:p>
    <w:p w14:paraId="5E0FECD9" w14:textId="1F7B2297"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Staff should use validated or locally agreed tools where appropriate, while recognising that tools support but do not replace clinical judgement. Depending on age and presentation, this may include alcohol screening, drug use screening, dependence and withdrawal assessment, risk assessment, mental health symptom measures and physical health screening. Tools should be selected in line with local pathway guidance.</w:t>
      </w:r>
    </w:p>
    <w:p w14:paraId="5A102986" w14:textId="302A57CA"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10. Diagnosis, Working Diagnosis, Formulation and Care Planning</w:t>
      </w:r>
    </w:p>
    <w:p w14:paraId="5E3E681E" w14:textId="706D528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clear diagnosis or working diagnosis is important because it enables meaningful care planning, lead responsibility and risk management. Substance intoxication, withdrawal and trauma-related symptoms can make diagnosis difficult; this must not delay safety planning, treatment or support.</w:t>
      </w:r>
    </w:p>
    <w:p w14:paraId="34886D43" w14:textId="0251174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Where a definitive diagnosis cannot yet be made, the team should agree and document a working diagnosis or formulation. The working diagnosis should be reviewed as further information becomes available, particularly after intoxication or withdrawal has resolved, following inpatient admission, or when collateral information is received.</w:t>
      </w:r>
    </w:p>
    <w:p w14:paraId="6E054B3B" w14:textId="704C1AA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diagnosis or working diagnosis should be clearly considered at inpatient discharge, crisis discharge and transfer between services.</w:t>
      </w:r>
    </w:p>
    <w:p w14:paraId="5405DEDB" w14:textId="54B008C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Each person with co-occurring needs should have one integrated formulation and care plan wherever possible. The plan should be developed with the person and, where appropriate and consented to, their family, carers or network. Where multiple agencies are involved, the plan must make clear who is responsible for each action.</w:t>
      </w:r>
    </w:p>
    <w:p w14:paraId="0F41364F" w14:textId="429129C7"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The care plan should include:</w:t>
      </w:r>
    </w:p>
    <w:p w14:paraId="34FDA001" w14:textId="496E43F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the person’s own goals and priorities;</w:t>
      </w:r>
    </w:p>
    <w:p w14:paraId="7ABD3495" w14:textId="6A9FFFC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shared formulation of how mental health, substance use, trauma, physical health and social stressors interact;</w:t>
      </w:r>
    </w:p>
    <w:p w14:paraId="45FEAFF0" w14:textId="2C14598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diagnosis or working diagnosis and key uncertainties;</w:t>
      </w:r>
    </w:p>
    <w:p w14:paraId="76168193" w14:textId="32BEE54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harm reduction advice and practical safety actions;</w:t>
      </w:r>
    </w:p>
    <w:p w14:paraId="4908A6AF" w14:textId="759F38D8"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mental health interventions and substance use interventions, including who will deliver each element;</w:t>
      </w:r>
    </w:p>
    <w:p w14:paraId="2B06F5D4" w14:textId="43C5FD8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relapse prevention, early warning signs, coping strategies and recovery supports;</w:t>
      </w:r>
    </w:p>
    <w:p w14:paraId="7534A75B" w14:textId="6B15249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crisis and contingency plans for intoxication, withdrawal, relapse, overdose, self-harm, violence, exploitation or disengagement;</w:t>
      </w:r>
    </w:p>
    <w:p w14:paraId="1C85F28A" w14:textId="57FEB9A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physical health monitoring and referrals;</w:t>
      </w:r>
    </w:p>
    <w:p w14:paraId="5BF919FB" w14:textId="453F409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safeguarding actions and multi-agency responsibilities;</w:t>
      </w:r>
    </w:p>
    <w:p w14:paraId="021BA458" w14:textId="18DF9A1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carer, family or network involvement;</w:t>
      </w:r>
    </w:p>
    <w:p w14:paraId="4E478244" w14:textId="3FD8E61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review dates and clear named accountability.</w:t>
      </w:r>
    </w:p>
    <w:p w14:paraId="020C66CC" w14:textId="4A6D07C3"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11. Risk Management and Crisis Response</w:t>
      </w:r>
    </w:p>
    <w:p w14:paraId="73467F2A" w14:textId="7469B778"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Risk assessment must be dynamic and must consider the interaction between mental health symptoms and substance use. Risks may change quickly during intoxication, withdrawal, relapse, medication changes, relationship breakdown, homelessness, discharge from inpatient care, release from custody, exploitation or loss of support.</w:t>
      </w:r>
    </w:p>
    <w:p w14:paraId="32564A75" w14:textId="2F2903F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Risk plans must include clear actions for:</w:t>
      </w:r>
    </w:p>
    <w:p w14:paraId="09E89D4B" w14:textId="1F032ED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acute intoxication, suspected overdose, alcohol poisoning, delirium, withdrawal, seizures or other medical emergencies;</w:t>
      </w:r>
    </w:p>
    <w:p w14:paraId="3DB42461" w14:textId="0DE7F21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suicidal ideation, self-harm, impulsivity, psychosis, severe mood symptoms or escalating distress;</w:t>
      </w:r>
    </w:p>
    <w:p w14:paraId="27AFA35A" w14:textId="3F4DAD3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violence, aggression, weapons, domestic abuse, exploitation or risk to others;</w:t>
      </w:r>
    </w:p>
    <w:p w14:paraId="200E63CD" w14:textId="773DC66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safeguarding concerns involving children, unborn babies, adults at risk, carers or dependents;</w:t>
      </w:r>
    </w:p>
    <w:p w14:paraId="77FCC9CD" w14:textId="6A2D01C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medication safety, including overdose risk, sedating medication and interactions with alcohol or drugs;</w:t>
      </w:r>
    </w:p>
    <w:p w14:paraId="5FB237A9" w14:textId="7242028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non-attendance, disengagement, loss of contact or repeated crisis presentation.</w:t>
      </w:r>
    </w:p>
    <w:p w14:paraId="4EEAD6D0" w14:textId="42B9D2C9"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Where risk is high, complex or multi-agency, teams should consider Pathway 1, enhanced review, senior clinical input, safeguarding consultation, multi-agency risk management </w:t>
      </w:r>
      <w:r w:rsidRPr="007D730D">
        <w:rPr>
          <w:rFonts w:ascii="Arial" w:eastAsia="Arial" w:hAnsi="Arial" w:cs="Arial"/>
          <w:color w:val="000000" w:themeColor="text1"/>
          <w:lang w:val="en-US"/>
        </w:rPr>
        <w:lastRenderedPageBreak/>
        <w:t>meetings, joint visits, crisis team involvement, inpatient assessment, or urgent medical assessment.</w:t>
      </w:r>
    </w:p>
    <w:p w14:paraId="4F94C8B9" w14:textId="37792A63"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12. Treatment and Interventions</w:t>
      </w:r>
    </w:p>
    <w:p w14:paraId="67B3B236" w14:textId="42216C92"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12.1 Psychological and psychosocial interventions</w:t>
      </w:r>
    </w:p>
    <w:p w14:paraId="10710B28" w14:textId="545A265C"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Interventions should match the person’s readiness, formulation, risk and preferences. Staff should use a </w:t>
      </w:r>
      <w:r w:rsidR="00C11C92" w:rsidRPr="007D730D">
        <w:rPr>
          <w:rFonts w:ascii="Arial" w:eastAsia="Arial" w:hAnsi="Arial" w:cs="Arial"/>
          <w:color w:val="000000" w:themeColor="text1"/>
          <w:lang w:val="en-US"/>
        </w:rPr>
        <w:t>non-judgmental</w:t>
      </w:r>
      <w:r w:rsidRPr="007D730D">
        <w:rPr>
          <w:rFonts w:ascii="Arial" w:eastAsia="Arial" w:hAnsi="Arial" w:cs="Arial"/>
          <w:color w:val="000000" w:themeColor="text1"/>
          <w:lang w:val="en-US"/>
        </w:rPr>
        <w:t>, motivational and strengths-based approach. Interventions may include:</w:t>
      </w:r>
    </w:p>
    <w:p w14:paraId="71850349" w14:textId="2F22B9F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brief alcohol or drug advice and motivational interviewing;</w:t>
      </w:r>
    </w:p>
    <w:p w14:paraId="05AF7170" w14:textId="72BFC7E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psychoeducation on the interaction between mental health and substance use;</w:t>
      </w:r>
    </w:p>
    <w:p w14:paraId="18947153" w14:textId="4BEBBE2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relapse prevention and coping skills;</w:t>
      </w:r>
    </w:p>
    <w:p w14:paraId="7DF7BB7D" w14:textId="22FFF55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 xml:space="preserve">CBT-informed interventions, DBT-informed skills, trauma-informed </w:t>
      </w:r>
      <w:proofErr w:type="spellStart"/>
      <w:r w:rsidRPr="007D730D">
        <w:rPr>
          <w:rFonts w:ascii="Arial" w:eastAsia="Arial" w:hAnsi="Arial" w:cs="Arial"/>
          <w:color w:val="000000" w:themeColor="text1"/>
          <w:lang w:val="en-US"/>
        </w:rPr>
        <w:t>stabilisation</w:t>
      </w:r>
      <w:proofErr w:type="spellEnd"/>
      <w:r w:rsidRPr="007D730D">
        <w:rPr>
          <w:rFonts w:ascii="Arial" w:eastAsia="Arial" w:hAnsi="Arial" w:cs="Arial"/>
          <w:color w:val="000000" w:themeColor="text1"/>
          <w:lang w:val="en-US"/>
        </w:rPr>
        <w:t xml:space="preserve"> and emotional regulation work;</w:t>
      </w:r>
    </w:p>
    <w:p w14:paraId="1E75D933" w14:textId="27E3EFA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family, carer or network interventions where appropriate;</w:t>
      </w:r>
    </w:p>
    <w:p w14:paraId="582B1168" w14:textId="5B658A3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peer support, recovery communities and culturally appropriate community resources;</w:t>
      </w:r>
    </w:p>
    <w:p w14:paraId="29BDF4D7" w14:textId="74C9C19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support for housing, benefits, employment, education, social inclusion and legal or probation issues.</w:t>
      </w:r>
    </w:p>
    <w:p w14:paraId="7867FAAA" w14:textId="639FDE00"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12.2 Pharmacological interventions and prescribing safety</w:t>
      </w:r>
    </w:p>
    <w:p w14:paraId="2380A8B1" w14:textId="0C457D09"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Prescribing must follow Trust medicines management procedures and relevant specialist guidance. Prescribers must consider intoxication, withdrawal, tolerance, dependence, adherence, overdose risk, drug interactions, hepatic or renal impairment, pregnancy, breastfeeding, physical health and safeguarding.</w:t>
      </w:r>
    </w:p>
    <w:p w14:paraId="7736212A" w14:textId="6973B2B4"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Medication decisions should be communicated clearly to the GP, community pharmacy, substance misuse prescribers and other relevant professionals. Where opioid substitution treatment, alcohol detoxification or specialist prescribing is required, teams should work with the relevant substance misuse or acute medical service.</w:t>
      </w:r>
    </w:p>
    <w:p w14:paraId="38CA6B1C" w14:textId="1AEEA320"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12.3 Harm reduction</w:t>
      </w:r>
    </w:p>
    <w:p w14:paraId="2F619F93" w14:textId="5A72FA6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Harm reduction should be offered at every stage of care, including when the person does not wish to reduce or stop use. Advice and interventions should be tailored to the person and may include:</w:t>
      </w:r>
    </w:p>
    <w:p w14:paraId="67A825CA" w14:textId="22A0047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overdose prevention, including risks of mixing substances, reduced tolerance and using alone;</w:t>
      </w:r>
    </w:p>
    <w:p w14:paraId="2432EEBB" w14:textId="666A902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naloxone information and supply or referral where locally available and clinically appropriate;</w:t>
      </w:r>
    </w:p>
    <w:p w14:paraId="0490A46F" w14:textId="1865BEB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safer injecting advice, needle exchange referral, wound care and blood-borne virus testing or vaccination pathways;</w:t>
      </w:r>
    </w:p>
    <w:p w14:paraId="08DE673A" w14:textId="7717E14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advice on alcohol withdrawal risk, safer reduction and when urgent medical help is needed;</w:t>
      </w:r>
    </w:p>
    <w:p w14:paraId="1DEC3CCF" w14:textId="19D01D7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sexual health, contraception, pregnancy and domestic abuse support;</w:t>
      </w:r>
    </w:p>
    <w:p w14:paraId="38CD7A34" w14:textId="361057D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sleep, nutrition, hydration and management of physical health problems;</w:t>
      </w:r>
    </w:p>
    <w:p w14:paraId="08A5A08C" w14:textId="57829D2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planning for high-risk times such as discharge, leave, homelessness, relationship breakdown, release from custody or relapse.</w:t>
      </w:r>
    </w:p>
    <w:p w14:paraId="7760B45C" w14:textId="6AA2C6DB"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lastRenderedPageBreak/>
        <w:t>13. Inpatient, Crisis and Liaison Settings</w:t>
      </w:r>
    </w:p>
    <w:p w14:paraId="052F6A11" w14:textId="1E39D211"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Inpatient, crisis and liaison teams must consider co-occurring needs at the point of assessment, admission, leave planning, discharge and follow-up. The presence of intoxication or substance use should trigger a safety response and formulation, not exclusion from mental health assessment.</w:t>
      </w:r>
    </w:p>
    <w:p w14:paraId="741E334C" w14:textId="067B902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Inpatient and crisis plans should include management of withdrawal risk, physical observations where indicated, prescribing review, safe storage and prohibited items procedures, leave risk, family or carer communication, safeguarding and follow-up with substance misuse services.</w:t>
      </w:r>
    </w:p>
    <w:p w14:paraId="344506BA" w14:textId="392BD74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Discharge from inpatient or crisis services should include diagnosis or working diagnosis, updated risk assessment, relapse and crisis plan, medication plan, physical health actions, and confirmed follow-up arrangements. Where co-occurring needs remain active, Pathway 2 or Pathway 3 should be considered.</w:t>
      </w:r>
    </w:p>
    <w:p w14:paraId="27F64DC0" w14:textId="3B95C40D"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 CAMHS Component: Children and Young People</w:t>
      </w:r>
    </w:p>
    <w:p w14:paraId="7E94FDF3" w14:textId="4E7F97A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Children and young people with co-occurring mental health and substance use needs require developmentally appropriate, safeguarding-led and family-inclusive care. Substance use in a child or young person may be a symptom of distress, trauma, neurodevelopmental need, exploitation, peer pressure, family difficulty, social exclusion, or emerging mental disorder.</w:t>
      </w:r>
    </w:p>
    <w:p w14:paraId="2ADC34E3" w14:textId="43C15327"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14.1 CAMHS access and referral</w:t>
      </w:r>
    </w:p>
    <w:p w14:paraId="5752244B" w14:textId="196A4BD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CAMHS referrals involving substance use must be screened for mental health need, risk and safeguarding rather than redirected without assessment.</w:t>
      </w:r>
    </w:p>
    <w:p w14:paraId="4D9992E4" w14:textId="55B3236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 xml:space="preserve">Where a young person’s primary need appears to be substance misuse, CAMHS should still consider whether there </w:t>
      </w:r>
      <w:proofErr w:type="gramStart"/>
      <w:r w:rsidRPr="007D730D">
        <w:rPr>
          <w:rFonts w:ascii="Arial" w:eastAsia="Arial" w:hAnsi="Arial" w:cs="Arial"/>
          <w:color w:val="000000" w:themeColor="text1"/>
          <w:lang w:val="en-US"/>
        </w:rPr>
        <w:t>are</w:t>
      </w:r>
      <w:proofErr w:type="gramEnd"/>
      <w:r w:rsidRPr="007D730D">
        <w:rPr>
          <w:rFonts w:ascii="Arial" w:eastAsia="Arial" w:hAnsi="Arial" w:cs="Arial"/>
          <w:color w:val="000000" w:themeColor="text1"/>
          <w:lang w:val="en-US"/>
        </w:rPr>
        <w:t xml:space="preserve"> mental health, neurodevelopmental, trauma, self-harm, eating disorder, psychosis, mood, anxiety, attachment or safeguarding needs requiring CAMHS input.</w:t>
      </w:r>
    </w:p>
    <w:p w14:paraId="1F42C372" w14:textId="62073E4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CAMHS and young people’s substance misuse services should offer joint assessment or joint care planning where needs overlap.</w:t>
      </w:r>
    </w:p>
    <w:p w14:paraId="1C99DDA8" w14:textId="319B89A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Where psychosis, severe mood disorder, high-risk self-harm or other severe mental health need is present, CAMHS should retain responsibility for mental health care coordination while working jointly with young people’s substance misuse services.</w:t>
      </w:r>
    </w:p>
    <w:p w14:paraId="5F7D4679" w14:textId="3A2C2F2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Urgent medical concerns such as suspected overdose, severe intoxication, alcohol withdrawal, seizures, delirium, collapse or acute confusion require urgent medical assessment through emergency or acute pathways.</w:t>
      </w:r>
    </w:p>
    <w:p w14:paraId="37CD1ACC" w14:textId="43299A19"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14.2 CAMHS assessment standards</w:t>
      </w:r>
    </w:p>
    <w:p w14:paraId="1E47AFFC" w14:textId="6A2DD73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CAMHS assessment should include the minimum assessment areas in Section 9, adapted for age, development, communication and family context. CAMHS staff should additionally consider:</w:t>
      </w:r>
    </w:p>
    <w:p w14:paraId="62EBDD7F" w14:textId="6F40A3F0" w:rsidR="16EFA4C4" w:rsidRPr="007D730D" w:rsidRDefault="00E22580" w:rsidP="54256580">
      <w:pPr>
        <w:pStyle w:val="ListParagraph"/>
        <w:numPr>
          <w:ilvl w:val="0"/>
          <w:numId w:val="1"/>
        </w:numPr>
        <w:spacing w:after="0"/>
        <w:ind w:left="360"/>
        <w:rPr>
          <w:rFonts w:ascii="Arial" w:eastAsia="Arial" w:hAnsi="Arial" w:cs="Arial"/>
          <w:color w:val="000000" w:themeColor="text1"/>
          <w:lang w:val="en-US"/>
        </w:rPr>
      </w:pPr>
      <w:r>
        <w:rPr>
          <w:rFonts w:ascii="Arial" w:eastAsia="Arial" w:hAnsi="Arial" w:cs="Arial"/>
          <w:color w:val="000000" w:themeColor="text1"/>
          <w:lang w:val="en-US"/>
        </w:rPr>
        <w:t>A</w:t>
      </w:r>
      <w:r w:rsidR="16EFA4C4" w:rsidRPr="007D730D">
        <w:rPr>
          <w:rFonts w:ascii="Arial" w:eastAsia="Arial" w:hAnsi="Arial" w:cs="Arial"/>
          <w:color w:val="000000" w:themeColor="text1"/>
          <w:lang w:val="en-US"/>
        </w:rPr>
        <w:t>ge of first use, pattern of use, source of substances, peer group, online influences, vaping, alcohol, cannabis, novel psychoactive substances, volatile substances and medication misuse;</w:t>
      </w:r>
    </w:p>
    <w:p w14:paraId="204F1C94" w14:textId="28E625BD"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school or college attendance, exclusion, educational needs, bullying, special educational needs and disability, and trusted adults;</w:t>
      </w:r>
    </w:p>
    <w:p w14:paraId="4A4F3E61" w14:textId="0B75043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family functioning, parental or carer substance use, domestic abuse, bereavement, trauma, attachment disruption and caring responsibilities;</w:t>
      </w:r>
    </w:p>
    <w:p w14:paraId="5E774DE0" w14:textId="2AEA2D0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contextual safeguarding, including child sexual exploitation, child criminal exploitation, county lines, gang affiliation, coercion, trafficking, modern slavery, exchange of sex for substances, and unsafe adults or locations;</w:t>
      </w:r>
    </w:p>
    <w:p w14:paraId="61FCCF91" w14:textId="47714CC0" w:rsidR="16EFA4C4" w:rsidRPr="007D730D" w:rsidRDefault="00E22580" w:rsidP="54256580">
      <w:pPr>
        <w:pStyle w:val="ListParagraph"/>
        <w:numPr>
          <w:ilvl w:val="0"/>
          <w:numId w:val="1"/>
        </w:numPr>
        <w:spacing w:after="0"/>
        <w:ind w:left="360"/>
        <w:rPr>
          <w:rFonts w:ascii="Arial" w:eastAsia="Arial" w:hAnsi="Arial" w:cs="Arial"/>
          <w:color w:val="000000" w:themeColor="text1"/>
          <w:lang w:val="en-US"/>
        </w:rPr>
      </w:pPr>
      <w:r>
        <w:rPr>
          <w:rFonts w:ascii="Arial" w:eastAsia="Arial" w:hAnsi="Arial" w:cs="Arial"/>
          <w:color w:val="000000" w:themeColor="text1"/>
          <w:lang w:val="en-US"/>
        </w:rPr>
        <w:t>S</w:t>
      </w:r>
      <w:r w:rsidR="16EFA4C4" w:rsidRPr="007D730D">
        <w:rPr>
          <w:rFonts w:ascii="Arial" w:eastAsia="Arial" w:hAnsi="Arial" w:cs="Arial"/>
          <w:color w:val="000000" w:themeColor="text1"/>
          <w:lang w:val="en-US"/>
        </w:rPr>
        <w:t>elf-harm, suicidal ideation, impulsivity, risky sexual behaviour, eating concerns, psychosis-like experiences, mood symptoms, anxiety, trauma symptoms and neurodevelopmental factors;</w:t>
      </w:r>
    </w:p>
    <w:p w14:paraId="195705EF" w14:textId="7F4F13A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capacity and consent issues, including Gillick competence, parental responsibility, confidentiality and when information must be shared to prevent significant harm;</w:t>
      </w:r>
    </w:p>
    <w:p w14:paraId="15CD0408" w14:textId="609A404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w:t>
      </w:r>
      <w:r w:rsidR="00E22580">
        <w:rPr>
          <w:rFonts w:ascii="Arial" w:eastAsia="Arial" w:hAnsi="Arial" w:cs="Arial"/>
          <w:color w:val="000000" w:themeColor="text1"/>
          <w:lang w:val="en-US"/>
        </w:rPr>
        <w:t>i</w:t>
      </w:r>
      <w:r w:rsidRPr="007D730D">
        <w:rPr>
          <w:rFonts w:ascii="Arial" w:eastAsia="Arial" w:hAnsi="Arial" w:cs="Arial"/>
          <w:color w:val="000000" w:themeColor="text1"/>
          <w:lang w:val="en-US"/>
        </w:rPr>
        <w:t>sk to siblings, peers, unborn babies or other children in the household.</w:t>
      </w:r>
    </w:p>
    <w:p w14:paraId="585E0619" w14:textId="04CA579D"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14.3 CAMHS care planning</w:t>
      </w:r>
    </w:p>
    <w:p w14:paraId="54B58717" w14:textId="1087D434"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 child or young person’s plan should be clear, practical and shared with the young person and, where appropriate and safe, parents or carers. The plan should include:</w:t>
      </w:r>
    </w:p>
    <w:p w14:paraId="17EA8943" w14:textId="6F97321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the young person’s own goals and views, recorded in their words where possible;</w:t>
      </w:r>
    </w:p>
    <w:p w14:paraId="5242E2F6" w14:textId="42D17808"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family or carer involvement, unless this would increase risk or is not consented to by a competent young person;</w:t>
      </w:r>
    </w:p>
    <w:p w14:paraId="02EDB804" w14:textId="269DA99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harm reduction advice that is age-appropriate and avoids normalising substance use;</w:t>
      </w:r>
    </w:p>
    <w:p w14:paraId="7DE7B32D" w14:textId="3189B26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safety planning for intoxication, overdose, self-harm, exploitation, missing episodes, unsafe peers or locations, and online risks;</w:t>
      </w:r>
    </w:p>
    <w:p w14:paraId="3AD723FB" w14:textId="6B724DB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clear responsibilities between CAMHS, young people’s substance misuse services, GP, school or college, social care, youth justice and voluntary sector partners;</w:t>
      </w:r>
    </w:p>
    <w:p w14:paraId="5BE6E457" w14:textId="3F68BC2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physical health checks and referral to sexual health, paediatrics, emergency care or primary care where needed;</w:t>
      </w:r>
    </w:p>
    <w:p w14:paraId="792BB306" w14:textId="059B5C0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safeguarding actions, including early help, child in need, child protection or strategy discussion processes where thresholds are met.</w:t>
      </w:r>
    </w:p>
    <w:p w14:paraId="31B6F6A8" w14:textId="50FB44E2"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14.4 Consent, confidentiality and information sharing in CAMHS</w:t>
      </w:r>
    </w:p>
    <w:p w14:paraId="1F0FC6F5" w14:textId="00B2A9C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CAMHS staff must explain confidentiality and its limits in a way the child or young person can understand. Where the young person has sufficient understanding and intelligence to make the relevant decision, their consent should be sought for information sharing, unless there is a lawful basis to share without consent, such as risk of significant harm.</w:t>
      </w:r>
    </w:p>
    <w:p w14:paraId="77FAF2B4" w14:textId="1F578141"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Parents or carers should be involved where appropriate and safe, but the young person’s rights, wishes, safety and developmental stage must be considered. Where there is disagreement between the young person, parents or carers, and professionals, staff should seek senior clinical advice and safeguarding advice. Decisions must be documented clearly, including the rationale for sharing or withholding information.</w:t>
      </w:r>
    </w:p>
    <w:p w14:paraId="30E360F1" w14:textId="6C831D1D" w:rsidR="16EFA4C4" w:rsidRPr="007D730D" w:rsidRDefault="16EFA4C4" w:rsidP="54256580">
      <w:pPr>
        <w:pStyle w:val="Heading2"/>
        <w:spacing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14.5 Transition from CAMHS to adult services</w:t>
      </w:r>
    </w:p>
    <w:p w14:paraId="2B959964" w14:textId="6057875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Transition planning should begin early, normally by age 17½ or earlier where complexity indicates. Planning should include the young person, family or carers where appropriate, CAMHS, adult mental health services, adult or young people’s substance misuse services, GP and other relevant agencies.</w:t>
      </w:r>
    </w:p>
    <w:p w14:paraId="598F1AEE" w14:textId="54F014A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The transition plan should clarify eligibility, ongoing risks, medication, physical health, safeguarding, crisis arrangements, relapse prevention, substance misuse support and </w:t>
      </w:r>
      <w:r w:rsidRPr="007D730D">
        <w:rPr>
          <w:rFonts w:ascii="Arial" w:eastAsia="Arial" w:hAnsi="Arial" w:cs="Arial"/>
          <w:color w:val="000000" w:themeColor="text1"/>
          <w:lang w:val="en-US"/>
        </w:rPr>
        <w:lastRenderedPageBreak/>
        <w:t>named contacts. Young people should not be discharged from CAMHS solely because they are approaching 18 if there is no safe transition plan and significant risk remains.</w:t>
      </w:r>
    </w:p>
    <w:p w14:paraId="37044A50" w14:textId="3B403238"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15. Safeguarding</w:t>
      </w:r>
    </w:p>
    <w:p w14:paraId="6A656A76" w14:textId="73568743"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Co-occurring mental health and substance use needs may increase vulnerability to abuse, neglect, exploitation and self-neglect. Staff must follow Trust safeguarding policies and local multi-agency procedures. Safeguarding considerations must be actively reviewed rather than treated as a one-off screening question.</w:t>
      </w:r>
    </w:p>
    <w:p w14:paraId="230DE178" w14:textId="3A2E506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Particular attention should be paid to domestic abuse, sexual exploitation, criminal exploitation, cuckooing, trafficking, modern slavery, county lines, dependent children, unborn babies, carers under strain, adults at risk, homelessness, rough sleeping, self-neglect and unsafe accommodation.</w:t>
      </w:r>
    </w:p>
    <w:p w14:paraId="1D11C3CE" w14:textId="33C32E0D"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Safeguarding referrals, advice, decisions and outcomes must be documented in the electronic patient record and reflected in the care plan and risk plan.</w:t>
      </w:r>
    </w:p>
    <w:p w14:paraId="0179012A" w14:textId="45600611"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16. Partnership Working and Interface Arrangements</w:t>
      </w:r>
    </w:p>
    <w:p w14:paraId="24E94D52" w14:textId="1E29C4C4"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Effective care for co-occurring needs usually requires shared responsibility. ELFT teams must work collaboratively with:</w:t>
      </w:r>
    </w:p>
    <w:p w14:paraId="53416CB8" w14:textId="2DFB1C5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local authority commissioned adult and young people’s substance misuse services;</w:t>
      </w:r>
    </w:p>
    <w:p w14:paraId="19F5AF78" w14:textId="4805FE8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GPs, community pharmacies, acute hospitals, emergency departments and ambulance services;</w:t>
      </w:r>
    </w:p>
    <w:p w14:paraId="555DB31D" w14:textId="79EA023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children’s social care, adult social care, safeguarding partnerships and early help services;</w:t>
      </w:r>
    </w:p>
    <w:p w14:paraId="254406BE" w14:textId="530FBBB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schools, colleges, education welfare and special educational needs services;</w:t>
      </w:r>
    </w:p>
    <w:p w14:paraId="77E668C9" w14:textId="3484D03C"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housing, homelessness outreach, domestic abuse services and voluntary sector organisations;</w:t>
      </w:r>
    </w:p>
    <w:p w14:paraId="5AA34A8B" w14:textId="4038D2C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police, probation, youth justice, prisons and liaison and diversion services where relevant.</w:t>
      </w:r>
    </w:p>
    <w:p w14:paraId="67D100BD" w14:textId="16143003"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Joint working should include clear communication, shared formulation, agreed roles, information sharing within lawful limits, joint meetings for high-risk cases, and coordinated discharge or transfer planning.</w:t>
      </w:r>
    </w:p>
    <w:p w14:paraId="49398BD5" w14:textId="10B9F7F5"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17. Electronic Records, Information Sharing and Communication</w:t>
      </w:r>
    </w:p>
    <w:p w14:paraId="5EB3AE25" w14:textId="3C3CA11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Different services and partner organisations may use different electronic record systems. Staff must not assume that relevant information recorded in one system will be visible to another service. Local teams must agree practical arrangements for checking, sharing and updating information in line with confidentiality, consent, safeguarding and information governance requirements.</w:t>
      </w:r>
    </w:p>
    <w:p w14:paraId="1A0E31C1" w14:textId="7A9E4542"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Local operational procedures should specify:</w:t>
      </w:r>
    </w:p>
    <w:p w14:paraId="0C93E29A" w14:textId="705962C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how new referrals are checked against relevant Trust and partner records where lawful and proportionate;</w:t>
      </w:r>
    </w:p>
    <w:p w14:paraId="0E05C819" w14:textId="628FE011"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how joint patients are identified across adult mental health, CAMHS, psychological therapies and substance misuse services;</w:t>
      </w:r>
    </w:p>
    <w:p w14:paraId="29C72CF7" w14:textId="3E151B2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how key updates are shared after assessment, CPA or care review, risk escalation, crisis contact, admission, discharge or missed appointment;</w:t>
      </w:r>
    </w:p>
    <w:p w14:paraId="2EBDE236" w14:textId="53940D7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lastRenderedPageBreak/>
        <w:t>how alerts are communicated when a person may present to emergency, crisis, liaison, inpatient or substance misuse services;</w:t>
      </w:r>
    </w:p>
    <w:p w14:paraId="37B50AEE" w14:textId="079CA4FF"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how partner agencies will be informed of changes in risk, safeguarding concerns or discharge plans;</w:t>
      </w:r>
    </w:p>
    <w:p w14:paraId="165F8131" w14:textId="6935D05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how disagreements or barriers to information sharing will be escalated.</w:t>
      </w:r>
    </w:p>
    <w:p w14:paraId="70EECDE1" w14:textId="4DC5F339"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18. Documentation Standards</w:t>
      </w:r>
    </w:p>
    <w:p w14:paraId="1180A09A" w14:textId="70B7F791"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Staff must record all relevant information in the Trust electronic patient record in a timely and accurate way. Records should include:</w:t>
      </w:r>
    </w:p>
    <w:p w14:paraId="3E5B9A9F" w14:textId="0388B149"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substance use assessment, screening scores where used, mental state, physical health, safeguarding and risk assessment;</w:t>
      </w:r>
    </w:p>
    <w:p w14:paraId="1822938E" w14:textId="3B95BCD3"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integrated formulation linking mental health, substance use and social context;</w:t>
      </w:r>
    </w:p>
    <w:p w14:paraId="15A02F25" w14:textId="131733F8"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diagnosis or working diagnosis and rationale;</w:t>
      </w:r>
    </w:p>
    <w:p w14:paraId="65D00E13" w14:textId="1401D114"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identified pathway, lead team and named professional where applicable;</w:t>
      </w:r>
    </w:p>
    <w:p w14:paraId="4B01A88A" w14:textId="1ABFE407"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care plan, harm reduction advice, crisis plan and relapse prevention plan;</w:t>
      </w:r>
    </w:p>
    <w:p w14:paraId="38E93BF2" w14:textId="5F24600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capacity or consent decisions and information-sharing decisions;</w:t>
      </w:r>
    </w:p>
    <w:p w14:paraId="42556AE3" w14:textId="03E667B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family or carer involvement and the person’s preferences;</w:t>
      </w:r>
    </w:p>
    <w:p w14:paraId="289A9E54" w14:textId="5091E1EA"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multi-agency contacts, referrals, meetings and agreed actions;</w:t>
      </w:r>
    </w:p>
    <w:p w14:paraId="1BB045E2" w14:textId="451D376E"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rationale for any decision not to refer, not to share information, or not to offer a specific intervention.</w:t>
      </w:r>
    </w:p>
    <w:p w14:paraId="7B9A597D" w14:textId="107BDA48"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19. Training, Supervision and Competence</w:t>
      </w:r>
    </w:p>
    <w:p w14:paraId="43C027F5" w14:textId="36521277"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All clinical staff should complete Trust-approved dual diagnosis or co-occurring needs awareness training appropriate to their role. Teams with frequent contact with co-occurring needs should have access to enhanced training, reflective practice and specialist advice.</w:t>
      </w:r>
    </w:p>
    <w:p w14:paraId="5CF0989C" w14:textId="7F48820D"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Training should cover:</w:t>
      </w:r>
    </w:p>
    <w:p w14:paraId="1DB1C82A" w14:textId="11437C46"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recognition of common substances, patterns of use, intoxication and withdrawal risks;</w:t>
      </w:r>
    </w:p>
    <w:p w14:paraId="1AD450E0" w14:textId="2283E460"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motivational interviewing and brief interventions;</w:t>
      </w:r>
    </w:p>
    <w:p w14:paraId="1D9D309A" w14:textId="3F6827A2"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harm reduction, overdose prevention and naloxone pathways;</w:t>
      </w:r>
    </w:p>
    <w:p w14:paraId="5E50A033" w14:textId="1AEF3995"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trauma-informed and culturally responsive practice;</w:t>
      </w:r>
    </w:p>
    <w:p w14:paraId="64722AAF" w14:textId="508F2578"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risk formulation, safeguarding and domestic abuse;</w:t>
      </w:r>
    </w:p>
    <w:p w14:paraId="4147F981" w14:textId="522627D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CAMHS-specific substance use, contextual safeguarding, exploitation and transition;</w:t>
      </w:r>
    </w:p>
    <w:p w14:paraId="387E5FEE" w14:textId="75F9B41B" w:rsidR="16EFA4C4" w:rsidRPr="007D730D" w:rsidRDefault="16EFA4C4" w:rsidP="54256580">
      <w:pPr>
        <w:pStyle w:val="ListParagraph"/>
        <w:numPr>
          <w:ilvl w:val="0"/>
          <w:numId w:val="1"/>
        </w:numPr>
        <w:spacing w:after="0"/>
        <w:ind w:left="360"/>
        <w:rPr>
          <w:rFonts w:ascii="Arial" w:eastAsia="Arial" w:hAnsi="Arial" w:cs="Arial"/>
          <w:color w:val="000000" w:themeColor="text1"/>
          <w:lang w:val="en-US"/>
        </w:rPr>
      </w:pPr>
      <w:r w:rsidRPr="007D730D">
        <w:rPr>
          <w:rFonts w:ascii="Arial" w:eastAsia="Arial" w:hAnsi="Arial" w:cs="Arial"/>
          <w:color w:val="000000" w:themeColor="text1"/>
          <w:lang w:val="en-US"/>
        </w:rPr>
        <w:t>prescribing safety and medication interactions for relevant professional groups.</w:t>
      </w:r>
    </w:p>
    <w:p w14:paraId="2F70ABEB" w14:textId="2CFA6F2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Supervision should include discussion of complex dual diagnosis cases, stuck or repeated crisis presentations, safeguarding concerns, professional boundaries, stigma, countertransference and multi-agency barriers.</w:t>
      </w:r>
    </w:p>
    <w:p w14:paraId="10226A4E" w14:textId="03E19E94"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20. Monitoring, Audit and Governance</w:t>
      </w:r>
    </w:p>
    <w:p w14:paraId="3911A824" w14:textId="63AC840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Compliance with this policy will be monitored through existing clinical governance, quality, safety and safeguarding structures. Services should use audit, incident review, complaints, serious incident learning, training data and service user feedback to identify strengths and gaps.</w:t>
      </w:r>
    </w:p>
    <w:p w14:paraId="7369625A" w14:textId="24DDD50F"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21. Equality, Diversity and Inclusion</w:t>
      </w:r>
    </w:p>
    <w:p w14:paraId="6916F5B0" w14:textId="2E019FAA"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 xml:space="preserve">People with co-occurring needs may experience stigma, exclusion and unequal access to care. Staff must make reasonable adjustments and provide accessible communication, </w:t>
      </w:r>
      <w:r w:rsidRPr="007D730D">
        <w:rPr>
          <w:rFonts w:ascii="Arial" w:eastAsia="Arial" w:hAnsi="Arial" w:cs="Arial"/>
          <w:color w:val="000000" w:themeColor="text1"/>
          <w:lang w:val="en-US"/>
        </w:rPr>
        <w:lastRenderedPageBreak/>
        <w:t>interpreters, advocacy and culturally appropriate care. Services must consider the impact of racism, poverty, homelessness, disability, neurodiversity, trauma, gender-based violence, LGBTQ+ discrimination, immigration status and involvement with the criminal justice system.</w:t>
      </w:r>
    </w:p>
    <w:p w14:paraId="43D9E375" w14:textId="3712B4B5"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Teams should actively monitor whether groups experience delays, exclusions, restrictive practice, repeated crisis care or poorer outcomes, and should use quality improvement methods to address identified inequalities.</w:t>
      </w:r>
    </w:p>
    <w:p w14:paraId="6E98F610" w14:textId="0116F046"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22. Implementation</w:t>
      </w:r>
    </w:p>
    <w:p w14:paraId="66166B48" w14:textId="406352E6"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Following approval, services should communicate this policy through team meetings, clinical governance structures, induction, training programmes and supervision. Local teams should map their interface arrangements with adult and young people’s substance misuse providers, CAMHS, adult mental health, acute care, primary care, safeguarding and local authority partners.</w:t>
      </w:r>
    </w:p>
    <w:p w14:paraId="30E1CC1D" w14:textId="7754922F"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Directorates should identify any local pathway gaps, including CAMHS interface arrangements, inpatient withdrawal management, naloxone access, specialist advice, communication across record systems and transition from CAMHS to adult services.</w:t>
      </w:r>
    </w:p>
    <w:p w14:paraId="574486AC" w14:textId="2C609263" w:rsidR="16EFA4C4" w:rsidRPr="007D730D" w:rsidRDefault="16EFA4C4" w:rsidP="54256580">
      <w:pPr>
        <w:pStyle w:val="Heading1"/>
        <w:spacing w:before="200" w:after="80"/>
        <w:rPr>
          <w:rFonts w:ascii="Arial" w:eastAsia="Calibri" w:hAnsi="Arial" w:cs="Arial"/>
          <w:color w:val="000000" w:themeColor="text1"/>
          <w:sz w:val="22"/>
          <w:szCs w:val="22"/>
          <w:lang w:val="en-US"/>
        </w:rPr>
      </w:pPr>
      <w:r w:rsidRPr="007D730D">
        <w:rPr>
          <w:rFonts w:ascii="Arial" w:eastAsia="Calibri" w:hAnsi="Arial" w:cs="Arial"/>
          <w:color w:val="000000" w:themeColor="text1"/>
          <w:sz w:val="22"/>
          <w:szCs w:val="22"/>
          <w:lang w:val="en-US"/>
        </w:rPr>
        <w:t>23. Review</w:t>
      </w:r>
    </w:p>
    <w:p w14:paraId="1601D4BB" w14:textId="68221EA8" w:rsidR="16EFA4C4" w:rsidRPr="007D730D" w:rsidRDefault="16EFA4C4" w:rsidP="54256580">
      <w:pPr>
        <w:spacing w:after="120"/>
        <w:rPr>
          <w:rFonts w:ascii="Arial" w:eastAsia="Arial" w:hAnsi="Arial" w:cs="Arial"/>
          <w:color w:val="000000" w:themeColor="text1"/>
          <w:lang w:val="en-US"/>
        </w:rPr>
      </w:pPr>
      <w:r w:rsidRPr="007D730D">
        <w:rPr>
          <w:rFonts w:ascii="Arial" w:eastAsia="Arial" w:hAnsi="Arial" w:cs="Arial"/>
          <w:color w:val="000000" w:themeColor="text1"/>
          <w:lang w:val="en-US"/>
        </w:rPr>
        <w:t>This policy will be reviewed every three years, or earlier if there are changes to national guidance, legislation, commissioned substance misuse pathways, Trust policy, safeguarding requirements, or significant learning from incidents or audits.</w:t>
      </w:r>
    </w:p>
    <w:p w14:paraId="7E7B1F48" w14:textId="77777777" w:rsidR="004939A1" w:rsidRPr="007D730D" w:rsidRDefault="004939A1" w:rsidP="54256580">
      <w:pPr>
        <w:autoSpaceDE w:val="0"/>
        <w:autoSpaceDN w:val="0"/>
        <w:adjustRightInd w:val="0"/>
        <w:spacing w:after="0"/>
        <w:jc w:val="both"/>
        <w:rPr>
          <w:rFonts w:ascii="Arial" w:hAnsi="Arial" w:cs="Arial"/>
          <w:b/>
          <w:bCs/>
        </w:rPr>
      </w:pPr>
    </w:p>
    <w:p w14:paraId="00D1A467" w14:textId="77777777" w:rsidR="00B24F47" w:rsidRPr="007D730D" w:rsidRDefault="00B24F47" w:rsidP="54256580">
      <w:pPr>
        <w:autoSpaceDE w:val="0"/>
        <w:autoSpaceDN w:val="0"/>
        <w:adjustRightInd w:val="0"/>
        <w:spacing w:after="0"/>
        <w:jc w:val="both"/>
        <w:rPr>
          <w:rFonts w:ascii="Arial" w:hAnsi="Arial" w:cs="Arial"/>
          <w:b/>
          <w:bCs/>
        </w:rPr>
      </w:pPr>
    </w:p>
    <w:p w14:paraId="059CA12B" w14:textId="45B7EB0F" w:rsidR="00CD414E" w:rsidRPr="007D730D" w:rsidRDefault="00CD414E" w:rsidP="54256580">
      <w:pPr>
        <w:autoSpaceDE w:val="0"/>
        <w:autoSpaceDN w:val="0"/>
        <w:adjustRightInd w:val="0"/>
        <w:spacing w:after="0"/>
        <w:jc w:val="both"/>
        <w:rPr>
          <w:rFonts w:ascii="Arial" w:hAnsi="Arial" w:cs="Arial"/>
        </w:rPr>
      </w:pPr>
    </w:p>
    <w:p w14:paraId="64DFA65E" w14:textId="77777777" w:rsidR="00154FA5" w:rsidRPr="007D730D" w:rsidRDefault="00154FA5" w:rsidP="54256580">
      <w:pPr>
        <w:rPr>
          <w:rFonts w:ascii="Arial" w:hAnsi="Arial" w:cs="Arial"/>
        </w:rPr>
      </w:pPr>
    </w:p>
    <w:p w14:paraId="4D455C6C" w14:textId="77777777" w:rsidR="00B958CF" w:rsidRPr="007D730D" w:rsidRDefault="00B958CF" w:rsidP="54256580">
      <w:pPr>
        <w:rPr>
          <w:rFonts w:ascii="Arial" w:hAnsi="Arial" w:cs="Arial"/>
        </w:rPr>
      </w:pPr>
    </w:p>
    <w:sectPr w:rsidR="00B958CF" w:rsidRPr="007D730D">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B8DF19" w14:textId="77777777" w:rsidR="000D1EA3" w:rsidRDefault="000D1EA3" w:rsidP="00E67118">
      <w:pPr>
        <w:spacing w:after="0" w:line="240" w:lineRule="auto"/>
      </w:pPr>
      <w:r>
        <w:separator/>
      </w:r>
    </w:p>
  </w:endnote>
  <w:endnote w:type="continuationSeparator" w:id="0">
    <w:p w14:paraId="6C7D0870" w14:textId="77777777" w:rsidR="000D1EA3" w:rsidRDefault="000D1EA3" w:rsidP="00E67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6242578"/>
      <w:docPartObj>
        <w:docPartGallery w:val="Page Numbers (Bottom of Page)"/>
        <w:docPartUnique/>
      </w:docPartObj>
    </w:sdtPr>
    <w:sdtEndPr>
      <w:rPr>
        <w:rFonts w:asciiTheme="minorHAnsi" w:hAnsiTheme="minorHAnsi"/>
        <w:noProof/>
        <w:sz w:val="18"/>
        <w:szCs w:val="18"/>
      </w:rPr>
    </w:sdtEndPr>
    <w:sdtContent>
      <w:p w14:paraId="1C7B73B2" w14:textId="77777777" w:rsidR="00373060" w:rsidRPr="0033169F" w:rsidRDefault="00373060">
        <w:pPr>
          <w:pStyle w:val="Footer"/>
          <w:jc w:val="right"/>
          <w:rPr>
            <w:rFonts w:asciiTheme="minorHAnsi" w:hAnsiTheme="minorHAnsi"/>
            <w:sz w:val="18"/>
            <w:szCs w:val="18"/>
          </w:rPr>
        </w:pPr>
        <w:r w:rsidRPr="0033169F">
          <w:rPr>
            <w:rFonts w:asciiTheme="minorHAnsi" w:hAnsiTheme="minorHAnsi"/>
            <w:sz w:val="18"/>
            <w:szCs w:val="18"/>
          </w:rPr>
          <w:fldChar w:fldCharType="begin"/>
        </w:r>
        <w:r w:rsidRPr="0033169F">
          <w:rPr>
            <w:rFonts w:asciiTheme="minorHAnsi" w:hAnsiTheme="minorHAnsi"/>
            <w:sz w:val="18"/>
            <w:szCs w:val="18"/>
          </w:rPr>
          <w:instrText xml:space="preserve"> PAGE   \* MERGEFORMAT </w:instrText>
        </w:r>
        <w:r w:rsidRPr="0033169F">
          <w:rPr>
            <w:rFonts w:asciiTheme="minorHAnsi" w:hAnsiTheme="minorHAnsi"/>
            <w:sz w:val="18"/>
            <w:szCs w:val="18"/>
          </w:rPr>
          <w:fldChar w:fldCharType="separate"/>
        </w:r>
        <w:r w:rsidR="00D16334">
          <w:rPr>
            <w:rFonts w:asciiTheme="minorHAnsi" w:hAnsiTheme="minorHAnsi"/>
            <w:noProof/>
            <w:sz w:val="18"/>
            <w:szCs w:val="18"/>
          </w:rPr>
          <w:t>1</w:t>
        </w:r>
        <w:r w:rsidRPr="0033169F">
          <w:rPr>
            <w:rFonts w:asciiTheme="minorHAnsi" w:hAnsiTheme="minorHAnsi"/>
            <w:noProof/>
            <w:sz w:val="18"/>
            <w:szCs w:val="18"/>
          </w:rPr>
          <w:fldChar w:fldCharType="end"/>
        </w:r>
      </w:p>
    </w:sdtContent>
  </w:sdt>
  <w:p w14:paraId="471238AC" w14:textId="77777777" w:rsidR="00373060" w:rsidRDefault="00373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637FB" w14:textId="77777777" w:rsidR="000D1EA3" w:rsidRDefault="000D1EA3" w:rsidP="00E67118">
      <w:pPr>
        <w:spacing w:after="0" w:line="240" w:lineRule="auto"/>
      </w:pPr>
      <w:r>
        <w:separator/>
      </w:r>
    </w:p>
  </w:footnote>
  <w:footnote w:type="continuationSeparator" w:id="0">
    <w:p w14:paraId="7E478D81" w14:textId="77777777" w:rsidR="000D1EA3" w:rsidRDefault="000D1EA3" w:rsidP="00E671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BB973" w14:textId="77777777" w:rsidR="00373060" w:rsidRDefault="003730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60C85CF6"/>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C65241"/>
    <w:multiLevelType w:val="hybridMultilevel"/>
    <w:tmpl w:val="7C52C7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3AA3728"/>
    <w:multiLevelType w:val="hybridMultilevel"/>
    <w:tmpl w:val="73E81AC2"/>
    <w:lvl w:ilvl="0" w:tplc="C6D679E6">
      <w:start w:val="1"/>
      <w:numFmt w:val="decimal"/>
      <w:lvlText w:val="%1."/>
      <w:lvlJc w:val="left"/>
      <w:pPr>
        <w:ind w:left="216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06604282"/>
    <w:multiLevelType w:val="hybridMultilevel"/>
    <w:tmpl w:val="73FAB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F84898"/>
    <w:multiLevelType w:val="multilevel"/>
    <w:tmpl w:val="51A81958"/>
    <w:lvl w:ilvl="0">
      <w:start w:val="1"/>
      <w:numFmt w:val="bullet"/>
      <w:lvlText w:val="o"/>
      <w:lvlJc w:val="left"/>
      <w:pPr>
        <w:tabs>
          <w:tab w:val="num" w:pos="1080"/>
        </w:tabs>
        <w:ind w:left="1080" w:hanging="360"/>
      </w:pPr>
      <w:rPr>
        <w:rFonts w:ascii="Courier New" w:hAnsi="Courier New" w:cs="Courier New"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 w15:restartNumberingAfterBreak="0">
    <w:nsid w:val="0D3F1B5B"/>
    <w:multiLevelType w:val="hybridMultilevel"/>
    <w:tmpl w:val="73C0FBFC"/>
    <w:lvl w:ilvl="0" w:tplc="A40CF6FA">
      <w:start w:val="1"/>
      <w:numFmt w:val="bullet"/>
      <w:lvlText w:val="·"/>
      <w:lvlJc w:val="left"/>
      <w:pPr>
        <w:ind w:left="720" w:hanging="360"/>
      </w:pPr>
      <w:rPr>
        <w:rFonts w:ascii="Symbol" w:hAnsi="Symbol" w:hint="default"/>
      </w:rPr>
    </w:lvl>
    <w:lvl w:ilvl="1" w:tplc="5EFEBB0A">
      <w:start w:val="1"/>
      <w:numFmt w:val="bullet"/>
      <w:lvlText w:val="o"/>
      <w:lvlJc w:val="left"/>
      <w:pPr>
        <w:ind w:left="1440" w:hanging="360"/>
      </w:pPr>
      <w:rPr>
        <w:rFonts w:ascii="Courier New" w:hAnsi="Courier New" w:hint="default"/>
      </w:rPr>
    </w:lvl>
    <w:lvl w:ilvl="2" w:tplc="0722F47C">
      <w:start w:val="1"/>
      <w:numFmt w:val="bullet"/>
      <w:lvlText w:val=""/>
      <w:lvlJc w:val="left"/>
      <w:pPr>
        <w:ind w:left="2160" w:hanging="360"/>
      </w:pPr>
      <w:rPr>
        <w:rFonts w:ascii="Wingdings" w:hAnsi="Wingdings" w:hint="default"/>
      </w:rPr>
    </w:lvl>
    <w:lvl w:ilvl="3" w:tplc="F2FE9FD8">
      <w:start w:val="1"/>
      <w:numFmt w:val="bullet"/>
      <w:lvlText w:val=""/>
      <w:lvlJc w:val="left"/>
      <w:pPr>
        <w:ind w:left="2880" w:hanging="360"/>
      </w:pPr>
      <w:rPr>
        <w:rFonts w:ascii="Symbol" w:hAnsi="Symbol" w:hint="default"/>
      </w:rPr>
    </w:lvl>
    <w:lvl w:ilvl="4" w:tplc="D108997C">
      <w:start w:val="1"/>
      <w:numFmt w:val="bullet"/>
      <w:lvlText w:val="o"/>
      <w:lvlJc w:val="left"/>
      <w:pPr>
        <w:ind w:left="3600" w:hanging="360"/>
      </w:pPr>
      <w:rPr>
        <w:rFonts w:ascii="Courier New" w:hAnsi="Courier New" w:hint="default"/>
      </w:rPr>
    </w:lvl>
    <w:lvl w:ilvl="5" w:tplc="B05E89DC">
      <w:start w:val="1"/>
      <w:numFmt w:val="bullet"/>
      <w:lvlText w:val=""/>
      <w:lvlJc w:val="left"/>
      <w:pPr>
        <w:ind w:left="4320" w:hanging="360"/>
      </w:pPr>
      <w:rPr>
        <w:rFonts w:ascii="Wingdings" w:hAnsi="Wingdings" w:hint="default"/>
      </w:rPr>
    </w:lvl>
    <w:lvl w:ilvl="6" w:tplc="472E36EA">
      <w:start w:val="1"/>
      <w:numFmt w:val="bullet"/>
      <w:lvlText w:val=""/>
      <w:lvlJc w:val="left"/>
      <w:pPr>
        <w:ind w:left="5040" w:hanging="360"/>
      </w:pPr>
      <w:rPr>
        <w:rFonts w:ascii="Symbol" w:hAnsi="Symbol" w:hint="default"/>
      </w:rPr>
    </w:lvl>
    <w:lvl w:ilvl="7" w:tplc="279CF648">
      <w:start w:val="1"/>
      <w:numFmt w:val="bullet"/>
      <w:lvlText w:val="o"/>
      <w:lvlJc w:val="left"/>
      <w:pPr>
        <w:ind w:left="5760" w:hanging="360"/>
      </w:pPr>
      <w:rPr>
        <w:rFonts w:ascii="Courier New" w:hAnsi="Courier New" w:hint="default"/>
      </w:rPr>
    </w:lvl>
    <w:lvl w:ilvl="8" w:tplc="ABB267E4">
      <w:start w:val="1"/>
      <w:numFmt w:val="bullet"/>
      <w:lvlText w:val=""/>
      <w:lvlJc w:val="left"/>
      <w:pPr>
        <w:ind w:left="6480" w:hanging="360"/>
      </w:pPr>
      <w:rPr>
        <w:rFonts w:ascii="Wingdings" w:hAnsi="Wingdings" w:hint="default"/>
      </w:rPr>
    </w:lvl>
  </w:abstractNum>
  <w:abstractNum w:abstractNumId="6" w15:restartNumberingAfterBreak="0">
    <w:nsid w:val="16A86B95"/>
    <w:multiLevelType w:val="hybridMultilevel"/>
    <w:tmpl w:val="178A6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CE1C9E"/>
    <w:multiLevelType w:val="multilevel"/>
    <w:tmpl w:val="2B442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1531BA"/>
    <w:multiLevelType w:val="hybridMultilevel"/>
    <w:tmpl w:val="F3023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4A1F60"/>
    <w:multiLevelType w:val="hybridMultilevel"/>
    <w:tmpl w:val="C5D2B4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DF2F78"/>
    <w:multiLevelType w:val="hybridMultilevel"/>
    <w:tmpl w:val="BAEC8984"/>
    <w:lvl w:ilvl="0" w:tplc="130AC05A">
      <w:start w:val="1"/>
      <w:numFmt w:val="bullet"/>
      <w:lvlText w:val="•"/>
      <w:lvlJc w:val="left"/>
      <w:pPr>
        <w:tabs>
          <w:tab w:val="num" w:pos="720"/>
        </w:tabs>
        <w:ind w:left="720" w:hanging="360"/>
      </w:pPr>
      <w:rPr>
        <w:rFonts w:ascii="Arial" w:hAnsi="Arial" w:hint="default"/>
      </w:rPr>
    </w:lvl>
    <w:lvl w:ilvl="1" w:tplc="B1D2357E" w:tentative="1">
      <w:start w:val="1"/>
      <w:numFmt w:val="bullet"/>
      <w:lvlText w:val="•"/>
      <w:lvlJc w:val="left"/>
      <w:pPr>
        <w:tabs>
          <w:tab w:val="num" w:pos="1440"/>
        </w:tabs>
        <w:ind w:left="1440" w:hanging="360"/>
      </w:pPr>
      <w:rPr>
        <w:rFonts w:ascii="Arial" w:hAnsi="Arial" w:hint="default"/>
      </w:rPr>
    </w:lvl>
    <w:lvl w:ilvl="2" w:tplc="B50C31B6" w:tentative="1">
      <w:start w:val="1"/>
      <w:numFmt w:val="bullet"/>
      <w:lvlText w:val="•"/>
      <w:lvlJc w:val="left"/>
      <w:pPr>
        <w:tabs>
          <w:tab w:val="num" w:pos="2160"/>
        </w:tabs>
        <w:ind w:left="2160" w:hanging="360"/>
      </w:pPr>
      <w:rPr>
        <w:rFonts w:ascii="Arial" w:hAnsi="Arial" w:hint="default"/>
      </w:rPr>
    </w:lvl>
    <w:lvl w:ilvl="3" w:tplc="9CD40F88" w:tentative="1">
      <w:start w:val="1"/>
      <w:numFmt w:val="bullet"/>
      <w:lvlText w:val="•"/>
      <w:lvlJc w:val="left"/>
      <w:pPr>
        <w:tabs>
          <w:tab w:val="num" w:pos="2880"/>
        </w:tabs>
        <w:ind w:left="2880" w:hanging="360"/>
      </w:pPr>
      <w:rPr>
        <w:rFonts w:ascii="Arial" w:hAnsi="Arial" w:hint="default"/>
      </w:rPr>
    </w:lvl>
    <w:lvl w:ilvl="4" w:tplc="3D4C1C4E" w:tentative="1">
      <w:start w:val="1"/>
      <w:numFmt w:val="bullet"/>
      <w:lvlText w:val="•"/>
      <w:lvlJc w:val="left"/>
      <w:pPr>
        <w:tabs>
          <w:tab w:val="num" w:pos="3600"/>
        </w:tabs>
        <w:ind w:left="3600" w:hanging="360"/>
      </w:pPr>
      <w:rPr>
        <w:rFonts w:ascii="Arial" w:hAnsi="Arial" w:hint="default"/>
      </w:rPr>
    </w:lvl>
    <w:lvl w:ilvl="5" w:tplc="44700AEA" w:tentative="1">
      <w:start w:val="1"/>
      <w:numFmt w:val="bullet"/>
      <w:lvlText w:val="•"/>
      <w:lvlJc w:val="left"/>
      <w:pPr>
        <w:tabs>
          <w:tab w:val="num" w:pos="4320"/>
        </w:tabs>
        <w:ind w:left="4320" w:hanging="360"/>
      </w:pPr>
      <w:rPr>
        <w:rFonts w:ascii="Arial" w:hAnsi="Arial" w:hint="default"/>
      </w:rPr>
    </w:lvl>
    <w:lvl w:ilvl="6" w:tplc="237211BC" w:tentative="1">
      <w:start w:val="1"/>
      <w:numFmt w:val="bullet"/>
      <w:lvlText w:val="•"/>
      <w:lvlJc w:val="left"/>
      <w:pPr>
        <w:tabs>
          <w:tab w:val="num" w:pos="5040"/>
        </w:tabs>
        <w:ind w:left="5040" w:hanging="360"/>
      </w:pPr>
      <w:rPr>
        <w:rFonts w:ascii="Arial" w:hAnsi="Arial" w:hint="default"/>
      </w:rPr>
    </w:lvl>
    <w:lvl w:ilvl="7" w:tplc="B6C8B550" w:tentative="1">
      <w:start w:val="1"/>
      <w:numFmt w:val="bullet"/>
      <w:lvlText w:val="•"/>
      <w:lvlJc w:val="left"/>
      <w:pPr>
        <w:tabs>
          <w:tab w:val="num" w:pos="5760"/>
        </w:tabs>
        <w:ind w:left="5760" w:hanging="360"/>
      </w:pPr>
      <w:rPr>
        <w:rFonts w:ascii="Arial" w:hAnsi="Arial" w:hint="default"/>
      </w:rPr>
    </w:lvl>
    <w:lvl w:ilvl="8" w:tplc="68A60E2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F177CAC"/>
    <w:multiLevelType w:val="hybridMultilevel"/>
    <w:tmpl w:val="5FD26312"/>
    <w:lvl w:ilvl="0" w:tplc="08090001">
      <w:start w:val="1"/>
      <w:numFmt w:val="bullet"/>
      <w:lvlText w:val=""/>
      <w:lvlJc w:val="left"/>
      <w:pPr>
        <w:ind w:left="765" w:hanging="360"/>
      </w:pPr>
      <w:rPr>
        <w:rFonts w:ascii="Symbol" w:hAnsi="Symbol" w:hint="default"/>
      </w:rPr>
    </w:lvl>
    <w:lvl w:ilvl="1" w:tplc="08090003">
      <w:start w:val="1"/>
      <w:numFmt w:val="bullet"/>
      <w:lvlText w:val="o"/>
      <w:lvlJc w:val="left"/>
      <w:pPr>
        <w:ind w:left="1485" w:hanging="360"/>
      </w:pPr>
      <w:rPr>
        <w:rFonts w:ascii="Courier New" w:hAnsi="Courier New" w:cs="Courier New" w:hint="default"/>
      </w:rPr>
    </w:lvl>
    <w:lvl w:ilvl="2" w:tplc="08090005">
      <w:start w:val="1"/>
      <w:numFmt w:val="bullet"/>
      <w:lvlText w:val=""/>
      <w:lvlJc w:val="left"/>
      <w:pPr>
        <w:ind w:left="2205" w:hanging="360"/>
      </w:pPr>
      <w:rPr>
        <w:rFonts w:ascii="Wingdings" w:hAnsi="Wingdings" w:hint="default"/>
      </w:rPr>
    </w:lvl>
    <w:lvl w:ilvl="3" w:tplc="08090001">
      <w:start w:val="1"/>
      <w:numFmt w:val="bullet"/>
      <w:lvlText w:val=""/>
      <w:lvlJc w:val="left"/>
      <w:pPr>
        <w:ind w:left="2925" w:hanging="360"/>
      </w:pPr>
      <w:rPr>
        <w:rFonts w:ascii="Symbol" w:hAnsi="Symbol" w:hint="default"/>
      </w:rPr>
    </w:lvl>
    <w:lvl w:ilvl="4" w:tplc="08090003">
      <w:start w:val="1"/>
      <w:numFmt w:val="bullet"/>
      <w:lvlText w:val="o"/>
      <w:lvlJc w:val="left"/>
      <w:pPr>
        <w:ind w:left="3645" w:hanging="360"/>
      </w:pPr>
      <w:rPr>
        <w:rFonts w:ascii="Courier New" w:hAnsi="Courier New" w:cs="Courier New" w:hint="default"/>
      </w:rPr>
    </w:lvl>
    <w:lvl w:ilvl="5" w:tplc="08090005">
      <w:start w:val="1"/>
      <w:numFmt w:val="bullet"/>
      <w:lvlText w:val=""/>
      <w:lvlJc w:val="left"/>
      <w:pPr>
        <w:ind w:left="4365" w:hanging="360"/>
      </w:pPr>
      <w:rPr>
        <w:rFonts w:ascii="Wingdings" w:hAnsi="Wingdings" w:hint="default"/>
      </w:rPr>
    </w:lvl>
    <w:lvl w:ilvl="6" w:tplc="08090001">
      <w:start w:val="1"/>
      <w:numFmt w:val="bullet"/>
      <w:lvlText w:val=""/>
      <w:lvlJc w:val="left"/>
      <w:pPr>
        <w:ind w:left="5085" w:hanging="360"/>
      </w:pPr>
      <w:rPr>
        <w:rFonts w:ascii="Symbol" w:hAnsi="Symbol" w:hint="default"/>
      </w:rPr>
    </w:lvl>
    <w:lvl w:ilvl="7" w:tplc="08090003">
      <w:start w:val="1"/>
      <w:numFmt w:val="bullet"/>
      <w:lvlText w:val="o"/>
      <w:lvlJc w:val="left"/>
      <w:pPr>
        <w:ind w:left="5805" w:hanging="360"/>
      </w:pPr>
      <w:rPr>
        <w:rFonts w:ascii="Courier New" w:hAnsi="Courier New" w:cs="Courier New" w:hint="default"/>
      </w:rPr>
    </w:lvl>
    <w:lvl w:ilvl="8" w:tplc="08090005">
      <w:start w:val="1"/>
      <w:numFmt w:val="bullet"/>
      <w:lvlText w:val=""/>
      <w:lvlJc w:val="left"/>
      <w:pPr>
        <w:ind w:left="6525" w:hanging="360"/>
      </w:pPr>
      <w:rPr>
        <w:rFonts w:ascii="Wingdings" w:hAnsi="Wingdings" w:hint="default"/>
      </w:rPr>
    </w:lvl>
  </w:abstractNum>
  <w:abstractNum w:abstractNumId="12" w15:restartNumberingAfterBreak="0">
    <w:nsid w:val="2ED6737B"/>
    <w:multiLevelType w:val="hybridMultilevel"/>
    <w:tmpl w:val="F522B18C"/>
    <w:lvl w:ilvl="0" w:tplc="130AC05A">
      <w:start w:val="1"/>
      <w:numFmt w:val="bullet"/>
      <w:lvlText w:val="•"/>
      <w:lvlJc w:val="left"/>
      <w:pPr>
        <w:ind w:left="1440" w:hanging="360"/>
      </w:pPr>
      <w:rPr>
        <w:rFonts w:ascii="Arial" w:hAnsi="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35E838C0"/>
    <w:multiLevelType w:val="hybridMultilevel"/>
    <w:tmpl w:val="B2C261D8"/>
    <w:lvl w:ilvl="0" w:tplc="130AC05A">
      <w:start w:val="1"/>
      <w:numFmt w:val="bullet"/>
      <w:lvlText w:val="•"/>
      <w:lvlJc w:val="left"/>
      <w:pPr>
        <w:tabs>
          <w:tab w:val="num" w:pos="1080"/>
        </w:tabs>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D2A3B94"/>
    <w:multiLevelType w:val="hybridMultilevel"/>
    <w:tmpl w:val="24B241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3D8967E4"/>
    <w:multiLevelType w:val="hybridMultilevel"/>
    <w:tmpl w:val="AB788692"/>
    <w:lvl w:ilvl="0" w:tplc="130AC05A">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47794293"/>
    <w:multiLevelType w:val="multilevel"/>
    <w:tmpl w:val="7B3AF7D6"/>
    <w:lvl w:ilvl="0">
      <w:start w:val="1"/>
      <w:numFmt w:val="bullet"/>
      <w:lvlText w:val="o"/>
      <w:lvlJc w:val="left"/>
      <w:pPr>
        <w:tabs>
          <w:tab w:val="num" w:pos="1440"/>
        </w:tabs>
        <w:ind w:left="1440" w:hanging="360"/>
      </w:pPr>
      <w:rPr>
        <w:rFonts w:ascii="Courier New" w:hAnsi="Courier New" w:cs="Courier New" w:hint="default"/>
        <w:sz w:val="20"/>
      </w:rPr>
    </w:lvl>
    <w:lvl w:ilvl="1">
      <w:start w:val="1"/>
      <w:numFmt w:val="bullet"/>
      <w:lvlText w:val="o"/>
      <w:lvlJc w:val="left"/>
      <w:pPr>
        <w:tabs>
          <w:tab w:val="num" w:pos="2160"/>
        </w:tabs>
        <w:ind w:left="2160" w:hanging="360"/>
      </w:pPr>
      <w:rPr>
        <w:rFonts w:ascii="Courier New" w:hAnsi="Courier New" w:cs="Times New Roman" w:hint="default"/>
        <w:sz w:val="20"/>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start w:val="1"/>
      <w:numFmt w:val="bullet"/>
      <w:lvlText w:val=""/>
      <w:lvlJc w:val="left"/>
      <w:pPr>
        <w:tabs>
          <w:tab w:val="num" w:pos="4320"/>
        </w:tabs>
        <w:ind w:left="4320" w:hanging="360"/>
      </w:pPr>
      <w:rPr>
        <w:rFonts w:ascii="Wingdings" w:hAnsi="Wingdings" w:hint="default"/>
        <w:sz w:val="20"/>
      </w:rPr>
    </w:lvl>
    <w:lvl w:ilvl="5">
      <w:start w:val="1"/>
      <w:numFmt w:val="bullet"/>
      <w:lvlText w:val=""/>
      <w:lvlJc w:val="left"/>
      <w:pPr>
        <w:tabs>
          <w:tab w:val="num" w:pos="5040"/>
        </w:tabs>
        <w:ind w:left="5040" w:hanging="360"/>
      </w:pPr>
      <w:rPr>
        <w:rFonts w:ascii="Wingdings" w:hAnsi="Wingdings" w:hint="default"/>
        <w:sz w:val="20"/>
      </w:rPr>
    </w:lvl>
    <w:lvl w:ilvl="6">
      <w:start w:val="1"/>
      <w:numFmt w:val="bullet"/>
      <w:lvlText w:val=""/>
      <w:lvlJc w:val="left"/>
      <w:pPr>
        <w:tabs>
          <w:tab w:val="num" w:pos="5760"/>
        </w:tabs>
        <w:ind w:left="5760" w:hanging="360"/>
      </w:pPr>
      <w:rPr>
        <w:rFonts w:ascii="Wingdings" w:hAnsi="Wingdings" w:hint="default"/>
        <w:sz w:val="20"/>
      </w:rPr>
    </w:lvl>
    <w:lvl w:ilvl="7">
      <w:start w:val="1"/>
      <w:numFmt w:val="bullet"/>
      <w:lvlText w:val=""/>
      <w:lvlJc w:val="left"/>
      <w:pPr>
        <w:tabs>
          <w:tab w:val="num" w:pos="6480"/>
        </w:tabs>
        <w:ind w:left="6480" w:hanging="360"/>
      </w:pPr>
      <w:rPr>
        <w:rFonts w:ascii="Wingdings" w:hAnsi="Wingdings" w:hint="default"/>
        <w:sz w:val="20"/>
      </w:rPr>
    </w:lvl>
    <w:lvl w:ilvl="8">
      <w:start w:val="1"/>
      <w:numFmt w:val="bullet"/>
      <w:lvlText w:val=""/>
      <w:lvlJc w:val="left"/>
      <w:pPr>
        <w:tabs>
          <w:tab w:val="num" w:pos="7200"/>
        </w:tabs>
        <w:ind w:left="7200" w:hanging="360"/>
      </w:pPr>
      <w:rPr>
        <w:rFonts w:ascii="Wingdings" w:hAnsi="Wingdings" w:hint="default"/>
        <w:sz w:val="20"/>
      </w:rPr>
    </w:lvl>
  </w:abstractNum>
  <w:abstractNum w:abstractNumId="17" w15:restartNumberingAfterBreak="0">
    <w:nsid w:val="4BE9000A"/>
    <w:multiLevelType w:val="multilevel"/>
    <w:tmpl w:val="6BFAF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FD5582A"/>
    <w:multiLevelType w:val="hybridMultilevel"/>
    <w:tmpl w:val="AA80975C"/>
    <w:lvl w:ilvl="0" w:tplc="C6D679E6">
      <w:start w:val="1"/>
      <w:numFmt w:val="decimal"/>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1BC5156"/>
    <w:multiLevelType w:val="hybridMultilevel"/>
    <w:tmpl w:val="400C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CE21D9"/>
    <w:multiLevelType w:val="hybridMultilevel"/>
    <w:tmpl w:val="5D782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2037997"/>
    <w:multiLevelType w:val="multilevel"/>
    <w:tmpl w:val="E50A4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B4013D"/>
    <w:multiLevelType w:val="hybridMultilevel"/>
    <w:tmpl w:val="59E41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B01417"/>
    <w:multiLevelType w:val="hybridMultilevel"/>
    <w:tmpl w:val="C6DC6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40674DB"/>
    <w:multiLevelType w:val="multilevel"/>
    <w:tmpl w:val="6908F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62A0418"/>
    <w:multiLevelType w:val="hybridMultilevel"/>
    <w:tmpl w:val="55B8E618"/>
    <w:lvl w:ilvl="0" w:tplc="08090001">
      <w:start w:val="1"/>
      <w:numFmt w:val="bullet"/>
      <w:lvlText w:val=""/>
      <w:lvlJc w:val="left"/>
      <w:pPr>
        <w:ind w:left="1570" w:hanging="360"/>
      </w:pPr>
      <w:rPr>
        <w:rFonts w:ascii="Symbol" w:hAnsi="Symbol" w:hint="default"/>
      </w:rPr>
    </w:lvl>
    <w:lvl w:ilvl="1" w:tplc="08090003" w:tentative="1">
      <w:start w:val="1"/>
      <w:numFmt w:val="bullet"/>
      <w:lvlText w:val="o"/>
      <w:lvlJc w:val="left"/>
      <w:pPr>
        <w:ind w:left="2290" w:hanging="360"/>
      </w:pPr>
      <w:rPr>
        <w:rFonts w:ascii="Courier New" w:hAnsi="Courier New" w:cs="Courier New" w:hint="default"/>
      </w:rPr>
    </w:lvl>
    <w:lvl w:ilvl="2" w:tplc="08090005" w:tentative="1">
      <w:start w:val="1"/>
      <w:numFmt w:val="bullet"/>
      <w:lvlText w:val=""/>
      <w:lvlJc w:val="left"/>
      <w:pPr>
        <w:ind w:left="3010" w:hanging="360"/>
      </w:pPr>
      <w:rPr>
        <w:rFonts w:ascii="Wingdings" w:hAnsi="Wingdings" w:hint="default"/>
      </w:rPr>
    </w:lvl>
    <w:lvl w:ilvl="3" w:tplc="08090001" w:tentative="1">
      <w:start w:val="1"/>
      <w:numFmt w:val="bullet"/>
      <w:lvlText w:val=""/>
      <w:lvlJc w:val="left"/>
      <w:pPr>
        <w:ind w:left="3730" w:hanging="360"/>
      </w:pPr>
      <w:rPr>
        <w:rFonts w:ascii="Symbol" w:hAnsi="Symbol" w:hint="default"/>
      </w:rPr>
    </w:lvl>
    <w:lvl w:ilvl="4" w:tplc="08090003" w:tentative="1">
      <w:start w:val="1"/>
      <w:numFmt w:val="bullet"/>
      <w:lvlText w:val="o"/>
      <w:lvlJc w:val="left"/>
      <w:pPr>
        <w:ind w:left="4450" w:hanging="360"/>
      </w:pPr>
      <w:rPr>
        <w:rFonts w:ascii="Courier New" w:hAnsi="Courier New" w:cs="Courier New" w:hint="default"/>
      </w:rPr>
    </w:lvl>
    <w:lvl w:ilvl="5" w:tplc="08090005" w:tentative="1">
      <w:start w:val="1"/>
      <w:numFmt w:val="bullet"/>
      <w:lvlText w:val=""/>
      <w:lvlJc w:val="left"/>
      <w:pPr>
        <w:ind w:left="5170" w:hanging="360"/>
      </w:pPr>
      <w:rPr>
        <w:rFonts w:ascii="Wingdings" w:hAnsi="Wingdings" w:hint="default"/>
      </w:rPr>
    </w:lvl>
    <w:lvl w:ilvl="6" w:tplc="08090001" w:tentative="1">
      <w:start w:val="1"/>
      <w:numFmt w:val="bullet"/>
      <w:lvlText w:val=""/>
      <w:lvlJc w:val="left"/>
      <w:pPr>
        <w:ind w:left="5890" w:hanging="360"/>
      </w:pPr>
      <w:rPr>
        <w:rFonts w:ascii="Symbol" w:hAnsi="Symbol" w:hint="default"/>
      </w:rPr>
    </w:lvl>
    <w:lvl w:ilvl="7" w:tplc="08090003" w:tentative="1">
      <w:start w:val="1"/>
      <w:numFmt w:val="bullet"/>
      <w:lvlText w:val="o"/>
      <w:lvlJc w:val="left"/>
      <w:pPr>
        <w:ind w:left="6610" w:hanging="360"/>
      </w:pPr>
      <w:rPr>
        <w:rFonts w:ascii="Courier New" w:hAnsi="Courier New" w:cs="Courier New" w:hint="default"/>
      </w:rPr>
    </w:lvl>
    <w:lvl w:ilvl="8" w:tplc="08090005" w:tentative="1">
      <w:start w:val="1"/>
      <w:numFmt w:val="bullet"/>
      <w:lvlText w:val=""/>
      <w:lvlJc w:val="left"/>
      <w:pPr>
        <w:ind w:left="7330" w:hanging="360"/>
      </w:pPr>
      <w:rPr>
        <w:rFonts w:ascii="Wingdings" w:hAnsi="Wingdings" w:hint="default"/>
      </w:rPr>
    </w:lvl>
  </w:abstractNum>
  <w:abstractNum w:abstractNumId="26" w15:restartNumberingAfterBreak="0">
    <w:nsid w:val="77C928C3"/>
    <w:multiLevelType w:val="hybridMultilevel"/>
    <w:tmpl w:val="D884FEA8"/>
    <w:lvl w:ilvl="0" w:tplc="130AC05A">
      <w:start w:val="1"/>
      <w:numFmt w:val="bullet"/>
      <w:lvlText w:val="•"/>
      <w:lvlJc w:val="left"/>
      <w:pPr>
        <w:ind w:left="1080" w:hanging="360"/>
      </w:pPr>
      <w:rPr>
        <w:rFonts w:ascii="Arial" w:hAnsi="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23446087">
    <w:abstractNumId w:val="5"/>
  </w:num>
  <w:num w:numId="2" w16cid:durableId="989794780">
    <w:abstractNumId w:val="8"/>
  </w:num>
  <w:num w:numId="3" w16cid:durableId="225262878">
    <w:abstractNumId w:val="10"/>
  </w:num>
  <w:num w:numId="4" w16cid:durableId="1053625678">
    <w:abstractNumId w:val="9"/>
  </w:num>
  <w:num w:numId="5" w16cid:durableId="958991765">
    <w:abstractNumId w:val="22"/>
  </w:num>
  <w:num w:numId="6" w16cid:durableId="1542666998">
    <w:abstractNumId w:val="19"/>
  </w:num>
  <w:num w:numId="7" w16cid:durableId="1482817656">
    <w:abstractNumId w:val="23"/>
  </w:num>
  <w:num w:numId="8" w16cid:durableId="146552342">
    <w:abstractNumId w:val="3"/>
  </w:num>
  <w:num w:numId="9" w16cid:durableId="236550274">
    <w:abstractNumId w:val="20"/>
  </w:num>
  <w:num w:numId="10" w16cid:durableId="1782728212">
    <w:abstractNumId w:val="11"/>
  </w:num>
  <w:num w:numId="11" w16cid:durableId="518854744">
    <w:abstractNumId w:val="1"/>
  </w:num>
  <w:num w:numId="12" w16cid:durableId="1840654854">
    <w:abstractNumId w:val="6"/>
  </w:num>
  <w:num w:numId="13" w16cid:durableId="2062438784">
    <w:abstractNumId w:val="16"/>
  </w:num>
  <w:num w:numId="14" w16cid:durableId="1851287980">
    <w:abstractNumId w:val="4"/>
  </w:num>
  <w:num w:numId="15" w16cid:durableId="771626457">
    <w:abstractNumId w:val="0"/>
  </w:num>
  <w:num w:numId="16" w16cid:durableId="2009431985">
    <w:abstractNumId w:val="25"/>
  </w:num>
  <w:num w:numId="17" w16cid:durableId="1868836482">
    <w:abstractNumId w:val="13"/>
  </w:num>
  <w:num w:numId="18" w16cid:durableId="175115840">
    <w:abstractNumId w:val="2"/>
  </w:num>
  <w:num w:numId="19" w16cid:durableId="468665363">
    <w:abstractNumId w:val="18"/>
  </w:num>
  <w:num w:numId="20" w16cid:durableId="1110319541">
    <w:abstractNumId w:val="7"/>
  </w:num>
  <w:num w:numId="21" w16cid:durableId="1071469426">
    <w:abstractNumId w:val="14"/>
  </w:num>
  <w:num w:numId="22" w16cid:durableId="1700354573">
    <w:abstractNumId w:val="17"/>
  </w:num>
  <w:num w:numId="23" w16cid:durableId="1936474075">
    <w:abstractNumId w:val="24"/>
  </w:num>
  <w:num w:numId="24" w16cid:durableId="1810857939">
    <w:abstractNumId w:val="21"/>
  </w:num>
  <w:num w:numId="25" w16cid:durableId="1984120236">
    <w:abstractNumId w:val="26"/>
  </w:num>
  <w:num w:numId="26" w16cid:durableId="1354772282">
    <w:abstractNumId w:val="12"/>
  </w:num>
  <w:num w:numId="27" w16cid:durableId="343358868">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C07"/>
    <w:rsid w:val="00026B6C"/>
    <w:rsid w:val="000343E9"/>
    <w:rsid w:val="00035F0A"/>
    <w:rsid w:val="00046180"/>
    <w:rsid w:val="000553E2"/>
    <w:rsid w:val="00064FFD"/>
    <w:rsid w:val="000726F4"/>
    <w:rsid w:val="00093D82"/>
    <w:rsid w:val="00096C2A"/>
    <w:rsid w:val="000A0B70"/>
    <w:rsid w:val="000A165A"/>
    <w:rsid w:val="000A3315"/>
    <w:rsid w:val="000A3AA8"/>
    <w:rsid w:val="000B6326"/>
    <w:rsid w:val="000C25EA"/>
    <w:rsid w:val="000C56F9"/>
    <w:rsid w:val="000D1EA3"/>
    <w:rsid w:val="000D3823"/>
    <w:rsid w:val="000D64B6"/>
    <w:rsid w:val="0010162E"/>
    <w:rsid w:val="0010208A"/>
    <w:rsid w:val="00115E3B"/>
    <w:rsid w:val="00117EE4"/>
    <w:rsid w:val="0012028C"/>
    <w:rsid w:val="00121802"/>
    <w:rsid w:val="00125ADA"/>
    <w:rsid w:val="00126D66"/>
    <w:rsid w:val="00127C48"/>
    <w:rsid w:val="00133ADB"/>
    <w:rsid w:val="00135A02"/>
    <w:rsid w:val="001433DA"/>
    <w:rsid w:val="00151E69"/>
    <w:rsid w:val="00154FA5"/>
    <w:rsid w:val="001550E8"/>
    <w:rsid w:val="0015576D"/>
    <w:rsid w:val="001577EA"/>
    <w:rsid w:val="00165090"/>
    <w:rsid w:val="00166327"/>
    <w:rsid w:val="0018101B"/>
    <w:rsid w:val="00184586"/>
    <w:rsid w:val="00185A71"/>
    <w:rsid w:val="00185F14"/>
    <w:rsid w:val="00197A2F"/>
    <w:rsid w:val="001A143D"/>
    <w:rsid w:val="001B3450"/>
    <w:rsid w:val="001D2874"/>
    <w:rsid w:val="001F0631"/>
    <w:rsid w:val="001F343B"/>
    <w:rsid w:val="0020119C"/>
    <w:rsid w:val="00216432"/>
    <w:rsid w:val="002311BF"/>
    <w:rsid w:val="0023291D"/>
    <w:rsid w:val="00233A54"/>
    <w:rsid w:val="0023651A"/>
    <w:rsid w:val="00241EEA"/>
    <w:rsid w:val="002505D5"/>
    <w:rsid w:val="002700F9"/>
    <w:rsid w:val="0027094B"/>
    <w:rsid w:val="002725FC"/>
    <w:rsid w:val="002850E7"/>
    <w:rsid w:val="00285516"/>
    <w:rsid w:val="00287B5F"/>
    <w:rsid w:val="002A7065"/>
    <w:rsid w:val="002D041F"/>
    <w:rsid w:val="002D5437"/>
    <w:rsid w:val="002D6085"/>
    <w:rsid w:val="002E51AF"/>
    <w:rsid w:val="002F05DA"/>
    <w:rsid w:val="002F4F77"/>
    <w:rsid w:val="00302967"/>
    <w:rsid w:val="003051FA"/>
    <w:rsid w:val="00305BF8"/>
    <w:rsid w:val="00306C82"/>
    <w:rsid w:val="00311C59"/>
    <w:rsid w:val="00314CE6"/>
    <w:rsid w:val="00315739"/>
    <w:rsid w:val="00315EB1"/>
    <w:rsid w:val="00322CA6"/>
    <w:rsid w:val="003301D7"/>
    <w:rsid w:val="0033169F"/>
    <w:rsid w:val="00333462"/>
    <w:rsid w:val="00341C80"/>
    <w:rsid w:val="0034216D"/>
    <w:rsid w:val="0035529B"/>
    <w:rsid w:val="003666CD"/>
    <w:rsid w:val="00372F86"/>
    <w:rsid w:val="00373060"/>
    <w:rsid w:val="00380ACB"/>
    <w:rsid w:val="003826C1"/>
    <w:rsid w:val="003871E8"/>
    <w:rsid w:val="00394B8D"/>
    <w:rsid w:val="003A355E"/>
    <w:rsid w:val="003A7DE4"/>
    <w:rsid w:val="003C0821"/>
    <w:rsid w:val="003D3A47"/>
    <w:rsid w:val="003D4D85"/>
    <w:rsid w:val="003D7A1D"/>
    <w:rsid w:val="003E50A1"/>
    <w:rsid w:val="003F16F0"/>
    <w:rsid w:val="003F3509"/>
    <w:rsid w:val="003F7461"/>
    <w:rsid w:val="00402F68"/>
    <w:rsid w:val="004110C1"/>
    <w:rsid w:val="004121F4"/>
    <w:rsid w:val="00416C4D"/>
    <w:rsid w:val="004240C1"/>
    <w:rsid w:val="00432771"/>
    <w:rsid w:val="00442D95"/>
    <w:rsid w:val="00453247"/>
    <w:rsid w:val="00453FF9"/>
    <w:rsid w:val="004545F8"/>
    <w:rsid w:val="00460A4A"/>
    <w:rsid w:val="004618FC"/>
    <w:rsid w:val="004639AC"/>
    <w:rsid w:val="004707FD"/>
    <w:rsid w:val="00472367"/>
    <w:rsid w:val="00492A67"/>
    <w:rsid w:val="004939A1"/>
    <w:rsid w:val="004B02E7"/>
    <w:rsid w:val="004B3E65"/>
    <w:rsid w:val="004B7373"/>
    <w:rsid w:val="004D7C85"/>
    <w:rsid w:val="004E17ED"/>
    <w:rsid w:val="004E3EAF"/>
    <w:rsid w:val="004F6C47"/>
    <w:rsid w:val="00513D36"/>
    <w:rsid w:val="005171A9"/>
    <w:rsid w:val="00521ED2"/>
    <w:rsid w:val="0052315A"/>
    <w:rsid w:val="0052431B"/>
    <w:rsid w:val="00552438"/>
    <w:rsid w:val="00554EFB"/>
    <w:rsid w:val="005645DD"/>
    <w:rsid w:val="005648CB"/>
    <w:rsid w:val="00570E3F"/>
    <w:rsid w:val="00571CF3"/>
    <w:rsid w:val="00590F49"/>
    <w:rsid w:val="00591BC8"/>
    <w:rsid w:val="005A0FE6"/>
    <w:rsid w:val="005A44E9"/>
    <w:rsid w:val="005A472D"/>
    <w:rsid w:val="005B51AC"/>
    <w:rsid w:val="005B5AC1"/>
    <w:rsid w:val="005B6015"/>
    <w:rsid w:val="005C15EC"/>
    <w:rsid w:val="005C1D9C"/>
    <w:rsid w:val="005D55CD"/>
    <w:rsid w:val="005D749D"/>
    <w:rsid w:val="005E32B8"/>
    <w:rsid w:val="005E566D"/>
    <w:rsid w:val="005E7D9D"/>
    <w:rsid w:val="005F1DDF"/>
    <w:rsid w:val="005F3A05"/>
    <w:rsid w:val="005F5AEB"/>
    <w:rsid w:val="0060510A"/>
    <w:rsid w:val="00605B50"/>
    <w:rsid w:val="006163C8"/>
    <w:rsid w:val="0062130C"/>
    <w:rsid w:val="0062142A"/>
    <w:rsid w:val="00631BE8"/>
    <w:rsid w:val="0063351D"/>
    <w:rsid w:val="00654186"/>
    <w:rsid w:val="0065522B"/>
    <w:rsid w:val="00655A13"/>
    <w:rsid w:val="00657878"/>
    <w:rsid w:val="00667D4D"/>
    <w:rsid w:val="006814EF"/>
    <w:rsid w:val="00686D7C"/>
    <w:rsid w:val="0069511D"/>
    <w:rsid w:val="006A4ACF"/>
    <w:rsid w:val="006B27DF"/>
    <w:rsid w:val="006B765B"/>
    <w:rsid w:val="006C2B3A"/>
    <w:rsid w:val="006D5B74"/>
    <w:rsid w:val="006E2887"/>
    <w:rsid w:val="006F2930"/>
    <w:rsid w:val="006F3BED"/>
    <w:rsid w:val="006F6104"/>
    <w:rsid w:val="0070021E"/>
    <w:rsid w:val="00704877"/>
    <w:rsid w:val="00710FDB"/>
    <w:rsid w:val="00732E95"/>
    <w:rsid w:val="00742386"/>
    <w:rsid w:val="00745817"/>
    <w:rsid w:val="00753195"/>
    <w:rsid w:val="007711BD"/>
    <w:rsid w:val="00772BAC"/>
    <w:rsid w:val="00784B12"/>
    <w:rsid w:val="00786627"/>
    <w:rsid w:val="00791B0E"/>
    <w:rsid w:val="0079314F"/>
    <w:rsid w:val="00794592"/>
    <w:rsid w:val="007A0090"/>
    <w:rsid w:val="007A134A"/>
    <w:rsid w:val="007A375C"/>
    <w:rsid w:val="007A3B9F"/>
    <w:rsid w:val="007A6FE8"/>
    <w:rsid w:val="007B37C6"/>
    <w:rsid w:val="007C7854"/>
    <w:rsid w:val="007D2BC0"/>
    <w:rsid w:val="007D730D"/>
    <w:rsid w:val="007E1071"/>
    <w:rsid w:val="007E5C33"/>
    <w:rsid w:val="007F200D"/>
    <w:rsid w:val="008049F9"/>
    <w:rsid w:val="00812BF3"/>
    <w:rsid w:val="0082333F"/>
    <w:rsid w:val="008270F2"/>
    <w:rsid w:val="008343D2"/>
    <w:rsid w:val="00842B11"/>
    <w:rsid w:val="008549D2"/>
    <w:rsid w:val="008553B8"/>
    <w:rsid w:val="00866601"/>
    <w:rsid w:val="00866EEC"/>
    <w:rsid w:val="00867310"/>
    <w:rsid w:val="008708FA"/>
    <w:rsid w:val="008952D4"/>
    <w:rsid w:val="008A301B"/>
    <w:rsid w:val="008A699F"/>
    <w:rsid w:val="008D24CA"/>
    <w:rsid w:val="008D4AC7"/>
    <w:rsid w:val="008E1740"/>
    <w:rsid w:val="008E6C4D"/>
    <w:rsid w:val="008E7421"/>
    <w:rsid w:val="008F0D89"/>
    <w:rsid w:val="008F2C82"/>
    <w:rsid w:val="008F5081"/>
    <w:rsid w:val="009019B8"/>
    <w:rsid w:val="009042DA"/>
    <w:rsid w:val="00913FC6"/>
    <w:rsid w:val="00924664"/>
    <w:rsid w:val="00933616"/>
    <w:rsid w:val="0094486C"/>
    <w:rsid w:val="00945A2C"/>
    <w:rsid w:val="00954C37"/>
    <w:rsid w:val="00956924"/>
    <w:rsid w:val="00962220"/>
    <w:rsid w:val="00977B3F"/>
    <w:rsid w:val="00980DAC"/>
    <w:rsid w:val="00991775"/>
    <w:rsid w:val="009A0930"/>
    <w:rsid w:val="009A6155"/>
    <w:rsid w:val="009B2087"/>
    <w:rsid w:val="009C0A79"/>
    <w:rsid w:val="009C4756"/>
    <w:rsid w:val="009C6159"/>
    <w:rsid w:val="009D5EB0"/>
    <w:rsid w:val="009D60E9"/>
    <w:rsid w:val="009E7A7A"/>
    <w:rsid w:val="009F03EA"/>
    <w:rsid w:val="00A0325C"/>
    <w:rsid w:val="00A05AD9"/>
    <w:rsid w:val="00A07F76"/>
    <w:rsid w:val="00A40763"/>
    <w:rsid w:val="00A419E4"/>
    <w:rsid w:val="00A53800"/>
    <w:rsid w:val="00A64779"/>
    <w:rsid w:val="00A96869"/>
    <w:rsid w:val="00AA668C"/>
    <w:rsid w:val="00AA6F3D"/>
    <w:rsid w:val="00AB17C5"/>
    <w:rsid w:val="00AB48CA"/>
    <w:rsid w:val="00AB4F41"/>
    <w:rsid w:val="00AB55BA"/>
    <w:rsid w:val="00AC2299"/>
    <w:rsid w:val="00AC3F1D"/>
    <w:rsid w:val="00AE66DD"/>
    <w:rsid w:val="00AF4646"/>
    <w:rsid w:val="00AF53E2"/>
    <w:rsid w:val="00B05D3E"/>
    <w:rsid w:val="00B128D2"/>
    <w:rsid w:val="00B24F47"/>
    <w:rsid w:val="00B24F91"/>
    <w:rsid w:val="00B47176"/>
    <w:rsid w:val="00B67B4E"/>
    <w:rsid w:val="00B7470B"/>
    <w:rsid w:val="00B77229"/>
    <w:rsid w:val="00B82415"/>
    <w:rsid w:val="00B8281B"/>
    <w:rsid w:val="00B82C98"/>
    <w:rsid w:val="00B86674"/>
    <w:rsid w:val="00B958CF"/>
    <w:rsid w:val="00BB28F2"/>
    <w:rsid w:val="00BB3887"/>
    <w:rsid w:val="00BC545A"/>
    <w:rsid w:val="00BE0461"/>
    <w:rsid w:val="00BF515C"/>
    <w:rsid w:val="00C00825"/>
    <w:rsid w:val="00C011FF"/>
    <w:rsid w:val="00C020EE"/>
    <w:rsid w:val="00C02EFA"/>
    <w:rsid w:val="00C03F6B"/>
    <w:rsid w:val="00C06E55"/>
    <w:rsid w:val="00C108F7"/>
    <w:rsid w:val="00C11C92"/>
    <w:rsid w:val="00C145F6"/>
    <w:rsid w:val="00C2321B"/>
    <w:rsid w:val="00C33ED7"/>
    <w:rsid w:val="00C51FC9"/>
    <w:rsid w:val="00C57CD8"/>
    <w:rsid w:val="00C65865"/>
    <w:rsid w:val="00C66E68"/>
    <w:rsid w:val="00C67135"/>
    <w:rsid w:val="00C70735"/>
    <w:rsid w:val="00CA512D"/>
    <w:rsid w:val="00CB5BB8"/>
    <w:rsid w:val="00CC25F4"/>
    <w:rsid w:val="00CD414E"/>
    <w:rsid w:val="00CE0B14"/>
    <w:rsid w:val="00CE2916"/>
    <w:rsid w:val="00CE6C07"/>
    <w:rsid w:val="00CF02BE"/>
    <w:rsid w:val="00D00210"/>
    <w:rsid w:val="00D057D5"/>
    <w:rsid w:val="00D16334"/>
    <w:rsid w:val="00D21BF0"/>
    <w:rsid w:val="00D32581"/>
    <w:rsid w:val="00D33D4E"/>
    <w:rsid w:val="00D33E28"/>
    <w:rsid w:val="00D55731"/>
    <w:rsid w:val="00D63BD1"/>
    <w:rsid w:val="00D677DB"/>
    <w:rsid w:val="00D7068E"/>
    <w:rsid w:val="00D83823"/>
    <w:rsid w:val="00D86C23"/>
    <w:rsid w:val="00DA5254"/>
    <w:rsid w:val="00DB0B78"/>
    <w:rsid w:val="00DB57DA"/>
    <w:rsid w:val="00DC0945"/>
    <w:rsid w:val="00DC712B"/>
    <w:rsid w:val="00DF6985"/>
    <w:rsid w:val="00E0444B"/>
    <w:rsid w:val="00E05F35"/>
    <w:rsid w:val="00E16A50"/>
    <w:rsid w:val="00E22580"/>
    <w:rsid w:val="00E343C5"/>
    <w:rsid w:val="00E36A3C"/>
    <w:rsid w:val="00E36FA6"/>
    <w:rsid w:val="00E402F1"/>
    <w:rsid w:val="00E469B3"/>
    <w:rsid w:val="00E5056B"/>
    <w:rsid w:val="00E617F4"/>
    <w:rsid w:val="00E67118"/>
    <w:rsid w:val="00E7449D"/>
    <w:rsid w:val="00E77CCD"/>
    <w:rsid w:val="00E84B76"/>
    <w:rsid w:val="00E93272"/>
    <w:rsid w:val="00EA3440"/>
    <w:rsid w:val="00EA4773"/>
    <w:rsid w:val="00EC2C28"/>
    <w:rsid w:val="00ED157E"/>
    <w:rsid w:val="00EE1991"/>
    <w:rsid w:val="00EE238E"/>
    <w:rsid w:val="00EF285A"/>
    <w:rsid w:val="00EF7C63"/>
    <w:rsid w:val="00F202B5"/>
    <w:rsid w:val="00F246A5"/>
    <w:rsid w:val="00F33A0F"/>
    <w:rsid w:val="00F4150C"/>
    <w:rsid w:val="00F43C30"/>
    <w:rsid w:val="00F43FD5"/>
    <w:rsid w:val="00F516DC"/>
    <w:rsid w:val="00F53F47"/>
    <w:rsid w:val="00F604AA"/>
    <w:rsid w:val="00F63FAC"/>
    <w:rsid w:val="00F94686"/>
    <w:rsid w:val="00F9645F"/>
    <w:rsid w:val="00FA511D"/>
    <w:rsid w:val="00FB6549"/>
    <w:rsid w:val="00FB77E6"/>
    <w:rsid w:val="00FC3E3E"/>
    <w:rsid w:val="00FC46F0"/>
    <w:rsid w:val="00FD4F53"/>
    <w:rsid w:val="00FE762B"/>
    <w:rsid w:val="00FF1CEC"/>
    <w:rsid w:val="00FF521D"/>
    <w:rsid w:val="0FF0A32F"/>
    <w:rsid w:val="15C491BA"/>
    <w:rsid w:val="16EFA4C4"/>
    <w:rsid w:val="2637539B"/>
    <w:rsid w:val="2BA30BD9"/>
    <w:rsid w:val="3050749F"/>
    <w:rsid w:val="417C9AB4"/>
    <w:rsid w:val="48DB19CD"/>
    <w:rsid w:val="54256580"/>
    <w:rsid w:val="59DC78D7"/>
    <w:rsid w:val="60C234D6"/>
    <w:rsid w:val="6943D3E5"/>
    <w:rsid w:val="69CD39A0"/>
    <w:rsid w:val="6B71E81A"/>
    <w:rsid w:val="6F1AF637"/>
    <w:rsid w:val="6F2F529F"/>
    <w:rsid w:val="711F542D"/>
    <w:rsid w:val="783D7A64"/>
    <w:rsid w:val="7C8E35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A9B6F"/>
  <w15:docId w15:val="{402AD7A6-D598-46A4-B8E9-23E11C42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549"/>
  </w:style>
  <w:style w:type="paragraph" w:styleId="Heading1">
    <w:name w:val="heading 1"/>
    <w:basedOn w:val="Normal"/>
    <w:next w:val="Normal"/>
    <w:link w:val="Heading1Char"/>
    <w:uiPriority w:val="9"/>
    <w:qFormat/>
    <w:rsid w:val="00CE6C0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E6C0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CE6C0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semiHidden/>
    <w:unhideWhenUsed/>
    <w:qFormat/>
    <w:rsid w:val="00CE6C07"/>
    <w:pPr>
      <w:keepNext/>
      <w:spacing w:after="0" w:line="240" w:lineRule="auto"/>
      <w:jc w:val="both"/>
      <w:outlineLvl w:val="3"/>
    </w:pPr>
    <w:rPr>
      <w:rFonts w:ascii="Arial" w:eastAsia="Times New Roman" w:hAnsi="Arial" w:cs="Times New Roman"/>
      <w:b/>
      <w:bCs/>
      <w:sz w:val="24"/>
      <w:szCs w:val="24"/>
    </w:rPr>
  </w:style>
  <w:style w:type="paragraph" w:styleId="Heading5">
    <w:name w:val="heading 5"/>
    <w:basedOn w:val="Normal"/>
    <w:next w:val="Normal"/>
    <w:link w:val="Heading5Char"/>
    <w:uiPriority w:val="9"/>
    <w:semiHidden/>
    <w:unhideWhenUsed/>
    <w:qFormat/>
    <w:rsid w:val="00CE6C0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CE6C0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iPriority w:val="9"/>
    <w:unhideWhenUsed/>
    <w:qFormat/>
    <w:rsid w:val="00CE6C0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CE6C07"/>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E6C07"/>
    <w:rPr>
      <w:rFonts w:ascii="Times New Roman" w:eastAsia="Times New Roman" w:hAnsi="Times New Roman" w:cs="Times New Roman"/>
      <w:sz w:val="24"/>
      <w:szCs w:val="24"/>
    </w:rPr>
  </w:style>
  <w:style w:type="character" w:customStyle="1" w:styleId="Heading4Char">
    <w:name w:val="Heading 4 Char"/>
    <w:basedOn w:val="DefaultParagraphFont"/>
    <w:link w:val="Heading4"/>
    <w:semiHidden/>
    <w:rsid w:val="00CE6C07"/>
    <w:rPr>
      <w:rFonts w:ascii="Arial" w:eastAsia="Times New Roman" w:hAnsi="Arial" w:cs="Times New Roman"/>
      <w:b/>
      <w:bCs/>
      <w:sz w:val="24"/>
      <w:szCs w:val="24"/>
    </w:rPr>
  </w:style>
  <w:style w:type="paragraph" w:styleId="NormalWeb">
    <w:name w:val="Normal (Web)"/>
    <w:basedOn w:val="Normal"/>
    <w:uiPriority w:val="99"/>
    <w:unhideWhenUsed/>
    <w:rsid w:val="00CE6C07"/>
    <w:pPr>
      <w:spacing w:before="100" w:beforeAutospacing="1" w:after="100" w:afterAutospacing="1" w:line="240" w:lineRule="auto"/>
    </w:pPr>
    <w:rPr>
      <w:rFonts w:ascii="Arial Unicode MS" w:eastAsia="Arial Unicode MS" w:hAnsi="Arial Unicode MS" w:cs="Arial Unicode MS"/>
      <w:sz w:val="24"/>
      <w:szCs w:val="24"/>
    </w:rPr>
  </w:style>
  <w:style w:type="paragraph" w:styleId="BodyText">
    <w:name w:val="Body Text"/>
    <w:basedOn w:val="Normal"/>
    <w:link w:val="BodyTextChar"/>
    <w:unhideWhenUsed/>
    <w:rsid w:val="00CE6C07"/>
    <w:pPr>
      <w:autoSpaceDE w:val="0"/>
      <w:autoSpaceDN w:val="0"/>
      <w:adjustRightInd w:val="0"/>
      <w:spacing w:after="0" w:line="240" w:lineRule="auto"/>
      <w:jc w:val="both"/>
    </w:pPr>
    <w:rPr>
      <w:rFonts w:ascii="Arial" w:eastAsia="Times New Roman" w:hAnsi="Arial" w:cs="Arial"/>
      <w:sz w:val="24"/>
      <w:szCs w:val="20"/>
      <w:lang w:val="en-US"/>
    </w:rPr>
  </w:style>
  <w:style w:type="character" w:customStyle="1" w:styleId="BodyTextChar">
    <w:name w:val="Body Text Char"/>
    <w:basedOn w:val="DefaultParagraphFont"/>
    <w:link w:val="BodyText"/>
    <w:rsid w:val="00CE6C07"/>
    <w:rPr>
      <w:rFonts w:ascii="Arial" w:eastAsia="Times New Roman" w:hAnsi="Arial" w:cs="Arial"/>
      <w:sz w:val="24"/>
      <w:szCs w:val="20"/>
      <w:lang w:val="en-US"/>
    </w:rPr>
  </w:style>
  <w:style w:type="character" w:customStyle="1" w:styleId="Heading1Char">
    <w:name w:val="Heading 1 Char"/>
    <w:basedOn w:val="DefaultParagraphFont"/>
    <w:link w:val="Heading1"/>
    <w:uiPriority w:val="9"/>
    <w:rsid w:val="00CE6C0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CE6C0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CE6C07"/>
    <w:rPr>
      <w:rFonts w:asciiTheme="majorHAnsi" w:eastAsiaTheme="majorEastAsia" w:hAnsiTheme="majorHAnsi" w:cstheme="majorBidi"/>
      <w:b/>
      <w:bCs/>
      <w:color w:val="4F81BD" w:themeColor="accent1"/>
    </w:rPr>
  </w:style>
  <w:style w:type="character" w:customStyle="1" w:styleId="Heading5Char">
    <w:name w:val="Heading 5 Char"/>
    <w:basedOn w:val="DefaultParagraphFont"/>
    <w:link w:val="Heading5"/>
    <w:uiPriority w:val="9"/>
    <w:semiHidden/>
    <w:rsid w:val="00CE6C0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CE6C07"/>
    <w:rPr>
      <w:rFonts w:asciiTheme="majorHAnsi" w:eastAsiaTheme="majorEastAsia" w:hAnsiTheme="majorHAnsi" w:cstheme="majorBidi"/>
      <w:i/>
      <w:iCs/>
      <w:color w:val="243F60" w:themeColor="accent1" w:themeShade="7F"/>
    </w:rPr>
  </w:style>
  <w:style w:type="character" w:customStyle="1" w:styleId="Heading9Char">
    <w:name w:val="Heading 9 Char"/>
    <w:basedOn w:val="DefaultParagraphFont"/>
    <w:link w:val="Heading9"/>
    <w:uiPriority w:val="9"/>
    <w:rsid w:val="00CE6C07"/>
    <w:rPr>
      <w:rFonts w:asciiTheme="majorHAnsi" w:eastAsiaTheme="majorEastAsia" w:hAnsiTheme="majorHAnsi" w:cstheme="majorBidi"/>
      <w:i/>
      <w:iCs/>
      <w:color w:val="404040" w:themeColor="text1" w:themeTint="BF"/>
      <w:sz w:val="20"/>
      <w:szCs w:val="20"/>
    </w:rPr>
  </w:style>
  <w:style w:type="paragraph" w:styleId="BodyTextIndent">
    <w:name w:val="Body Text Indent"/>
    <w:basedOn w:val="Normal"/>
    <w:link w:val="BodyTextIndentChar"/>
    <w:uiPriority w:val="99"/>
    <w:semiHidden/>
    <w:unhideWhenUsed/>
    <w:rsid w:val="00CE6C07"/>
    <w:pPr>
      <w:spacing w:after="120"/>
      <w:ind w:left="283"/>
    </w:pPr>
  </w:style>
  <w:style w:type="character" w:customStyle="1" w:styleId="BodyTextIndentChar">
    <w:name w:val="Body Text Indent Char"/>
    <w:basedOn w:val="DefaultParagraphFont"/>
    <w:link w:val="BodyTextIndent"/>
    <w:uiPriority w:val="99"/>
    <w:semiHidden/>
    <w:rsid w:val="00CE6C07"/>
  </w:style>
  <w:style w:type="paragraph" w:styleId="BodyText2">
    <w:name w:val="Body Text 2"/>
    <w:basedOn w:val="Normal"/>
    <w:link w:val="BodyText2Char"/>
    <w:uiPriority w:val="99"/>
    <w:semiHidden/>
    <w:unhideWhenUsed/>
    <w:rsid w:val="00CE6C07"/>
    <w:pPr>
      <w:spacing w:after="120" w:line="480" w:lineRule="auto"/>
    </w:pPr>
  </w:style>
  <w:style w:type="character" w:customStyle="1" w:styleId="BodyText2Char">
    <w:name w:val="Body Text 2 Char"/>
    <w:basedOn w:val="DefaultParagraphFont"/>
    <w:link w:val="BodyText2"/>
    <w:uiPriority w:val="99"/>
    <w:semiHidden/>
    <w:rsid w:val="00CE6C07"/>
  </w:style>
  <w:style w:type="paragraph" w:styleId="BodyText3">
    <w:name w:val="Body Text 3"/>
    <w:basedOn w:val="Normal"/>
    <w:link w:val="BodyText3Char"/>
    <w:uiPriority w:val="99"/>
    <w:semiHidden/>
    <w:unhideWhenUsed/>
    <w:rsid w:val="00CE6C07"/>
    <w:pPr>
      <w:spacing w:after="120"/>
    </w:pPr>
    <w:rPr>
      <w:sz w:val="16"/>
      <w:szCs w:val="16"/>
    </w:rPr>
  </w:style>
  <w:style w:type="character" w:customStyle="1" w:styleId="BodyText3Char">
    <w:name w:val="Body Text 3 Char"/>
    <w:basedOn w:val="DefaultParagraphFont"/>
    <w:link w:val="BodyText3"/>
    <w:uiPriority w:val="99"/>
    <w:semiHidden/>
    <w:rsid w:val="00CE6C07"/>
    <w:rPr>
      <w:sz w:val="16"/>
      <w:szCs w:val="16"/>
    </w:rPr>
  </w:style>
  <w:style w:type="character" w:styleId="Hyperlink">
    <w:name w:val="Hyperlink"/>
    <w:basedOn w:val="DefaultParagraphFont"/>
    <w:unhideWhenUsed/>
    <w:rsid w:val="00CE6C07"/>
    <w:rPr>
      <w:color w:val="0000FF"/>
      <w:u w:val="single"/>
    </w:rPr>
  </w:style>
  <w:style w:type="paragraph" w:styleId="Title">
    <w:name w:val="Title"/>
    <w:basedOn w:val="Normal"/>
    <w:link w:val="TitleChar"/>
    <w:qFormat/>
    <w:rsid w:val="00CE6C07"/>
    <w:pPr>
      <w:spacing w:after="0" w:line="240" w:lineRule="auto"/>
      <w:jc w:val="center"/>
    </w:pPr>
    <w:rPr>
      <w:rFonts w:ascii="Arial" w:eastAsia="Times New Roman" w:hAnsi="Arial" w:cs="Arial"/>
      <w:b/>
      <w:bCs/>
      <w:sz w:val="28"/>
      <w:szCs w:val="24"/>
      <w:u w:val="single"/>
    </w:rPr>
  </w:style>
  <w:style w:type="character" w:customStyle="1" w:styleId="TitleChar">
    <w:name w:val="Title Char"/>
    <w:basedOn w:val="DefaultParagraphFont"/>
    <w:link w:val="Title"/>
    <w:rsid w:val="00CE6C07"/>
    <w:rPr>
      <w:rFonts w:ascii="Arial" w:eastAsia="Times New Roman" w:hAnsi="Arial" w:cs="Arial"/>
      <w:b/>
      <w:bCs/>
      <w:sz w:val="28"/>
      <w:szCs w:val="24"/>
      <w:u w:val="single"/>
    </w:rPr>
  </w:style>
  <w:style w:type="paragraph" w:styleId="ListParagraph">
    <w:name w:val="List Paragraph"/>
    <w:basedOn w:val="Normal"/>
    <w:uiPriority w:val="34"/>
    <w:qFormat/>
    <w:rsid w:val="008553B8"/>
    <w:pPr>
      <w:ind w:left="720"/>
      <w:contextualSpacing/>
    </w:pPr>
  </w:style>
  <w:style w:type="paragraph" w:styleId="BodyTextIndent2">
    <w:name w:val="Body Text Indent 2"/>
    <w:basedOn w:val="Normal"/>
    <w:link w:val="BodyTextIndent2Char"/>
    <w:uiPriority w:val="99"/>
    <w:semiHidden/>
    <w:unhideWhenUsed/>
    <w:rsid w:val="00E67118"/>
    <w:pPr>
      <w:spacing w:after="120" w:line="480" w:lineRule="auto"/>
      <w:ind w:left="283"/>
    </w:pPr>
  </w:style>
  <w:style w:type="character" w:customStyle="1" w:styleId="BodyTextIndent2Char">
    <w:name w:val="Body Text Indent 2 Char"/>
    <w:basedOn w:val="DefaultParagraphFont"/>
    <w:link w:val="BodyTextIndent2"/>
    <w:uiPriority w:val="99"/>
    <w:semiHidden/>
    <w:rsid w:val="00E67118"/>
  </w:style>
  <w:style w:type="paragraph" w:styleId="FootnoteText">
    <w:name w:val="footnote text"/>
    <w:basedOn w:val="Normal"/>
    <w:link w:val="FootnoteTextChar"/>
    <w:uiPriority w:val="99"/>
    <w:semiHidden/>
    <w:unhideWhenUsed/>
    <w:rsid w:val="00E671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67118"/>
    <w:rPr>
      <w:sz w:val="20"/>
      <w:szCs w:val="20"/>
    </w:rPr>
  </w:style>
  <w:style w:type="character" w:styleId="FootnoteReference">
    <w:name w:val="footnote reference"/>
    <w:uiPriority w:val="99"/>
    <w:unhideWhenUsed/>
    <w:rsid w:val="00E67118"/>
    <w:rPr>
      <w:vertAlign w:val="superscript"/>
    </w:rPr>
  </w:style>
  <w:style w:type="paragraph" w:styleId="Header">
    <w:name w:val="header"/>
    <w:basedOn w:val="Normal"/>
    <w:link w:val="HeaderChar"/>
    <w:uiPriority w:val="99"/>
    <w:unhideWhenUsed/>
    <w:rsid w:val="0028551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5516"/>
  </w:style>
  <w:style w:type="table" w:styleId="TableGrid">
    <w:name w:val="Table Grid"/>
    <w:basedOn w:val="TableNormal"/>
    <w:uiPriority w:val="59"/>
    <w:rsid w:val="005A4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F0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631"/>
    <w:rPr>
      <w:rFonts w:ascii="Tahoma" w:hAnsi="Tahoma" w:cs="Tahoma"/>
      <w:sz w:val="16"/>
      <w:szCs w:val="16"/>
    </w:rPr>
  </w:style>
  <w:style w:type="character" w:customStyle="1" w:styleId="apple-converted-space">
    <w:name w:val="apple-converted-space"/>
    <w:basedOn w:val="DefaultParagraphFont"/>
    <w:rsid w:val="00554EFB"/>
  </w:style>
  <w:style w:type="character" w:styleId="CommentReference">
    <w:name w:val="annotation reference"/>
    <w:basedOn w:val="DefaultParagraphFont"/>
    <w:uiPriority w:val="99"/>
    <w:semiHidden/>
    <w:unhideWhenUsed/>
    <w:rsid w:val="00472367"/>
    <w:rPr>
      <w:sz w:val="16"/>
      <w:szCs w:val="16"/>
    </w:rPr>
  </w:style>
  <w:style w:type="paragraph" w:styleId="CommentText">
    <w:name w:val="annotation text"/>
    <w:basedOn w:val="Normal"/>
    <w:link w:val="CommentTextChar"/>
    <w:uiPriority w:val="99"/>
    <w:semiHidden/>
    <w:unhideWhenUsed/>
    <w:rsid w:val="00472367"/>
    <w:pPr>
      <w:spacing w:line="240" w:lineRule="auto"/>
    </w:pPr>
    <w:rPr>
      <w:sz w:val="20"/>
      <w:szCs w:val="20"/>
    </w:rPr>
  </w:style>
  <w:style w:type="character" w:customStyle="1" w:styleId="CommentTextChar">
    <w:name w:val="Comment Text Char"/>
    <w:basedOn w:val="DefaultParagraphFont"/>
    <w:link w:val="CommentText"/>
    <w:uiPriority w:val="99"/>
    <w:semiHidden/>
    <w:rsid w:val="00472367"/>
    <w:rPr>
      <w:sz w:val="20"/>
      <w:szCs w:val="20"/>
    </w:rPr>
  </w:style>
  <w:style w:type="paragraph" w:styleId="CommentSubject">
    <w:name w:val="annotation subject"/>
    <w:basedOn w:val="CommentText"/>
    <w:next w:val="CommentText"/>
    <w:link w:val="CommentSubjectChar"/>
    <w:uiPriority w:val="99"/>
    <w:semiHidden/>
    <w:unhideWhenUsed/>
    <w:rsid w:val="00472367"/>
    <w:rPr>
      <w:b/>
      <w:bCs/>
    </w:rPr>
  </w:style>
  <w:style w:type="character" w:customStyle="1" w:styleId="CommentSubjectChar">
    <w:name w:val="Comment Subject Char"/>
    <w:basedOn w:val="CommentTextChar"/>
    <w:link w:val="CommentSubject"/>
    <w:uiPriority w:val="99"/>
    <w:semiHidden/>
    <w:rsid w:val="00472367"/>
    <w:rPr>
      <w:b/>
      <w:bCs/>
      <w:sz w:val="20"/>
      <w:szCs w:val="20"/>
    </w:rPr>
  </w:style>
  <w:style w:type="table" w:customStyle="1" w:styleId="TableGrid1">
    <w:name w:val="Table Grid1"/>
    <w:basedOn w:val="TableNormal"/>
    <w:next w:val="TableGrid"/>
    <w:uiPriority w:val="59"/>
    <w:rsid w:val="00F60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Paragraph">
    <w:name w:val="First Paragraph"/>
    <w:basedOn w:val="BodyText"/>
    <w:next w:val="BodyText"/>
    <w:qFormat/>
    <w:rsid w:val="00570E3F"/>
    <w:pPr>
      <w:autoSpaceDE/>
      <w:autoSpaceDN/>
      <w:adjustRightInd/>
      <w:spacing w:before="180" w:after="180"/>
      <w:jc w:val="left"/>
    </w:pPr>
    <w:rPr>
      <w:rFonts w:asciiTheme="minorHAnsi" w:eastAsiaTheme="minorHAnsi" w:hAnsiTheme="minorHAnsi" w:cstheme="minorBidi"/>
      <w:szCs w:val="24"/>
    </w:rPr>
  </w:style>
  <w:style w:type="paragraph" w:customStyle="1" w:styleId="Compact">
    <w:name w:val="Compact"/>
    <w:basedOn w:val="BodyText"/>
    <w:qFormat/>
    <w:rsid w:val="00570E3F"/>
    <w:pPr>
      <w:autoSpaceDE/>
      <w:autoSpaceDN/>
      <w:adjustRightInd/>
      <w:spacing w:before="36" w:after="36"/>
      <w:jc w:val="left"/>
    </w:pPr>
    <w:rPr>
      <w:rFonts w:asciiTheme="minorHAnsi" w:eastAsiaTheme="minorHAnsi" w:hAnsiTheme="minorHAnsi" w:cstheme="minorBidi"/>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372823">
      <w:bodyDiv w:val="1"/>
      <w:marLeft w:val="0"/>
      <w:marRight w:val="0"/>
      <w:marTop w:val="0"/>
      <w:marBottom w:val="0"/>
      <w:divBdr>
        <w:top w:val="none" w:sz="0" w:space="0" w:color="auto"/>
        <w:left w:val="none" w:sz="0" w:space="0" w:color="auto"/>
        <w:bottom w:val="none" w:sz="0" w:space="0" w:color="auto"/>
        <w:right w:val="none" w:sz="0" w:space="0" w:color="auto"/>
      </w:divBdr>
    </w:div>
    <w:div w:id="403450389">
      <w:bodyDiv w:val="1"/>
      <w:marLeft w:val="0"/>
      <w:marRight w:val="0"/>
      <w:marTop w:val="0"/>
      <w:marBottom w:val="0"/>
      <w:divBdr>
        <w:top w:val="none" w:sz="0" w:space="0" w:color="auto"/>
        <w:left w:val="none" w:sz="0" w:space="0" w:color="auto"/>
        <w:bottom w:val="none" w:sz="0" w:space="0" w:color="auto"/>
        <w:right w:val="none" w:sz="0" w:space="0" w:color="auto"/>
      </w:divBdr>
      <w:divsChild>
        <w:div w:id="1636641609">
          <w:marLeft w:val="0"/>
          <w:marRight w:val="0"/>
          <w:marTop w:val="0"/>
          <w:marBottom w:val="0"/>
          <w:divBdr>
            <w:top w:val="none" w:sz="0" w:space="0" w:color="auto"/>
            <w:left w:val="none" w:sz="0" w:space="0" w:color="auto"/>
            <w:bottom w:val="none" w:sz="0" w:space="0" w:color="auto"/>
            <w:right w:val="none" w:sz="0" w:space="0" w:color="auto"/>
          </w:divBdr>
        </w:div>
      </w:divsChild>
    </w:div>
    <w:div w:id="407307877">
      <w:bodyDiv w:val="1"/>
      <w:marLeft w:val="0"/>
      <w:marRight w:val="0"/>
      <w:marTop w:val="0"/>
      <w:marBottom w:val="0"/>
      <w:divBdr>
        <w:top w:val="none" w:sz="0" w:space="0" w:color="auto"/>
        <w:left w:val="none" w:sz="0" w:space="0" w:color="auto"/>
        <w:bottom w:val="none" w:sz="0" w:space="0" w:color="auto"/>
        <w:right w:val="none" w:sz="0" w:space="0" w:color="auto"/>
      </w:divBdr>
    </w:div>
    <w:div w:id="435296498">
      <w:bodyDiv w:val="1"/>
      <w:marLeft w:val="0"/>
      <w:marRight w:val="0"/>
      <w:marTop w:val="0"/>
      <w:marBottom w:val="0"/>
      <w:divBdr>
        <w:top w:val="none" w:sz="0" w:space="0" w:color="auto"/>
        <w:left w:val="none" w:sz="0" w:space="0" w:color="auto"/>
        <w:bottom w:val="none" w:sz="0" w:space="0" w:color="auto"/>
        <w:right w:val="none" w:sz="0" w:space="0" w:color="auto"/>
      </w:divBdr>
    </w:div>
    <w:div w:id="1142818693">
      <w:bodyDiv w:val="1"/>
      <w:marLeft w:val="0"/>
      <w:marRight w:val="0"/>
      <w:marTop w:val="0"/>
      <w:marBottom w:val="0"/>
      <w:divBdr>
        <w:top w:val="none" w:sz="0" w:space="0" w:color="auto"/>
        <w:left w:val="none" w:sz="0" w:space="0" w:color="auto"/>
        <w:bottom w:val="none" w:sz="0" w:space="0" w:color="auto"/>
        <w:right w:val="none" w:sz="0" w:space="0" w:color="auto"/>
      </w:divBdr>
    </w:div>
    <w:div w:id="1175000105">
      <w:bodyDiv w:val="1"/>
      <w:marLeft w:val="0"/>
      <w:marRight w:val="0"/>
      <w:marTop w:val="0"/>
      <w:marBottom w:val="0"/>
      <w:divBdr>
        <w:top w:val="none" w:sz="0" w:space="0" w:color="auto"/>
        <w:left w:val="none" w:sz="0" w:space="0" w:color="auto"/>
        <w:bottom w:val="none" w:sz="0" w:space="0" w:color="auto"/>
        <w:right w:val="none" w:sz="0" w:space="0" w:color="auto"/>
      </w:divBdr>
      <w:divsChild>
        <w:div w:id="561986203">
          <w:marLeft w:val="547"/>
          <w:marRight w:val="0"/>
          <w:marTop w:val="110"/>
          <w:marBottom w:val="0"/>
          <w:divBdr>
            <w:top w:val="none" w:sz="0" w:space="0" w:color="auto"/>
            <w:left w:val="none" w:sz="0" w:space="0" w:color="auto"/>
            <w:bottom w:val="none" w:sz="0" w:space="0" w:color="auto"/>
            <w:right w:val="none" w:sz="0" w:space="0" w:color="auto"/>
          </w:divBdr>
        </w:div>
        <w:div w:id="904998382">
          <w:marLeft w:val="547"/>
          <w:marRight w:val="0"/>
          <w:marTop w:val="110"/>
          <w:marBottom w:val="0"/>
          <w:divBdr>
            <w:top w:val="none" w:sz="0" w:space="0" w:color="auto"/>
            <w:left w:val="none" w:sz="0" w:space="0" w:color="auto"/>
            <w:bottom w:val="none" w:sz="0" w:space="0" w:color="auto"/>
            <w:right w:val="none" w:sz="0" w:space="0" w:color="auto"/>
          </w:divBdr>
        </w:div>
        <w:div w:id="1421947331">
          <w:marLeft w:val="547"/>
          <w:marRight w:val="0"/>
          <w:marTop w:val="110"/>
          <w:marBottom w:val="0"/>
          <w:divBdr>
            <w:top w:val="none" w:sz="0" w:space="0" w:color="auto"/>
            <w:left w:val="none" w:sz="0" w:space="0" w:color="auto"/>
            <w:bottom w:val="none" w:sz="0" w:space="0" w:color="auto"/>
            <w:right w:val="none" w:sz="0" w:space="0" w:color="auto"/>
          </w:divBdr>
        </w:div>
        <w:div w:id="443312110">
          <w:marLeft w:val="547"/>
          <w:marRight w:val="0"/>
          <w:marTop w:val="110"/>
          <w:marBottom w:val="0"/>
          <w:divBdr>
            <w:top w:val="none" w:sz="0" w:space="0" w:color="auto"/>
            <w:left w:val="none" w:sz="0" w:space="0" w:color="auto"/>
            <w:bottom w:val="none" w:sz="0" w:space="0" w:color="auto"/>
            <w:right w:val="none" w:sz="0" w:space="0" w:color="auto"/>
          </w:divBdr>
        </w:div>
        <w:div w:id="67922549">
          <w:marLeft w:val="547"/>
          <w:marRight w:val="0"/>
          <w:marTop w:val="110"/>
          <w:marBottom w:val="0"/>
          <w:divBdr>
            <w:top w:val="none" w:sz="0" w:space="0" w:color="auto"/>
            <w:left w:val="none" w:sz="0" w:space="0" w:color="auto"/>
            <w:bottom w:val="none" w:sz="0" w:space="0" w:color="auto"/>
            <w:right w:val="none" w:sz="0" w:space="0" w:color="auto"/>
          </w:divBdr>
        </w:div>
        <w:div w:id="75907395">
          <w:marLeft w:val="547"/>
          <w:marRight w:val="0"/>
          <w:marTop w:val="110"/>
          <w:marBottom w:val="0"/>
          <w:divBdr>
            <w:top w:val="none" w:sz="0" w:space="0" w:color="auto"/>
            <w:left w:val="none" w:sz="0" w:space="0" w:color="auto"/>
            <w:bottom w:val="none" w:sz="0" w:space="0" w:color="auto"/>
            <w:right w:val="none" w:sz="0" w:space="0" w:color="auto"/>
          </w:divBdr>
        </w:div>
      </w:divsChild>
    </w:div>
    <w:div w:id="1199662580">
      <w:bodyDiv w:val="1"/>
      <w:marLeft w:val="0"/>
      <w:marRight w:val="0"/>
      <w:marTop w:val="0"/>
      <w:marBottom w:val="0"/>
      <w:divBdr>
        <w:top w:val="none" w:sz="0" w:space="0" w:color="auto"/>
        <w:left w:val="none" w:sz="0" w:space="0" w:color="auto"/>
        <w:bottom w:val="none" w:sz="0" w:space="0" w:color="auto"/>
        <w:right w:val="none" w:sz="0" w:space="0" w:color="auto"/>
      </w:divBdr>
      <w:divsChild>
        <w:div w:id="384060371">
          <w:marLeft w:val="547"/>
          <w:marRight w:val="0"/>
          <w:marTop w:val="0"/>
          <w:marBottom w:val="0"/>
          <w:divBdr>
            <w:top w:val="none" w:sz="0" w:space="0" w:color="auto"/>
            <w:left w:val="none" w:sz="0" w:space="0" w:color="auto"/>
            <w:bottom w:val="none" w:sz="0" w:space="0" w:color="auto"/>
            <w:right w:val="none" w:sz="0" w:space="0" w:color="auto"/>
          </w:divBdr>
        </w:div>
        <w:div w:id="145754261">
          <w:marLeft w:val="547"/>
          <w:marRight w:val="0"/>
          <w:marTop w:val="0"/>
          <w:marBottom w:val="0"/>
          <w:divBdr>
            <w:top w:val="none" w:sz="0" w:space="0" w:color="auto"/>
            <w:left w:val="none" w:sz="0" w:space="0" w:color="auto"/>
            <w:bottom w:val="none" w:sz="0" w:space="0" w:color="auto"/>
            <w:right w:val="none" w:sz="0" w:space="0" w:color="auto"/>
          </w:divBdr>
        </w:div>
        <w:div w:id="166605320">
          <w:marLeft w:val="547"/>
          <w:marRight w:val="0"/>
          <w:marTop w:val="0"/>
          <w:marBottom w:val="0"/>
          <w:divBdr>
            <w:top w:val="none" w:sz="0" w:space="0" w:color="auto"/>
            <w:left w:val="none" w:sz="0" w:space="0" w:color="auto"/>
            <w:bottom w:val="none" w:sz="0" w:space="0" w:color="auto"/>
            <w:right w:val="none" w:sz="0" w:space="0" w:color="auto"/>
          </w:divBdr>
        </w:div>
        <w:div w:id="52239780">
          <w:marLeft w:val="547"/>
          <w:marRight w:val="0"/>
          <w:marTop w:val="0"/>
          <w:marBottom w:val="0"/>
          <w:divBdr>
            <w:top w:val="none" w:sz="0" w:space="0" w:color="auto"/>
            <w:left w:val="none" w:sz="0" w:space="0" w:color="auto"/>
            <w:bottom w:val="none" w:sz="0" w:space="0" w:color="auto"/>
            <w:right w:val="none" w:sz="0" w:space="0" w:color="auto"/>
          </w:divBdr>
        </w:div>
        <w:div w:id="472673416">
          <w:marLeft w:val="547"/>
          <w:marRight w:val="0"/>
          <w:marTop w:val="0"/>
          <w:marBottom w:val="0"/>
          <w:divBdr>
            <w:top w:val="none" w:sz="0" w:space="0" w:color="auto"/>
            <w:left w:val="none" w:sz="0" w:space="0" w:color="auto"/>
            <w:bottom w:val="none" w:sz="0" w:space="0" w:color="auto"/>
            <w:right w:val="none" w:sz="0" w:space="0" w:color="auto"/>
          </w:divBdr>
        </w:div>
      </w:divsChild>
    </w:div>
    <w:div w:id="1199975416">
      <w:bodyDiv w:val="1"/>
      <w:marLeft w:val="0"/>
      <w:marRight w:val="0"/>
      <w:marTop w:val="0"/>
      <w:marBottom w:val="0"/>
      <w:divBdr>
        <w:top w:val="none" w:sz="0" w:space="0" w:color="auto"/>
        <w:left w:val="none" w:sz="0" w:space="0" w:color="auto"/>
        <w:bottom w:val="none" w:sz="0" w:space="0" w:color="auto"/>
        <w:right w:val="none" w:sz="0" w:space="0" w:color="auto"/>
      </w:divBdr>
    </w:div>
    <w:div w:id="1201672993">
      <w:bodyDiv w:val="1"/>
      <w:marLeft w:val="0"/>
      <w:marRight w:val="0"/>
      <w:marTop w:val="0"/>
      <w:marBottom w:val="0"/>
      <w:divBdr>
        <w:top w:val="none" w:sz="0" w:space="0" w:color="auto"/>
        <w:left w:val="none" w:sz="0" w:space="0" w:color="auto"/>
        <w:bottom w:val="none" w:sz="0" w:space="0" w:color="auto"/>
        <w:right w:val="none" w:sz="0" w:space="0" w:color="auto"/>
      </w:divBdr>
      <w:divsChild>
        <w:div w:id="1566840181">
          <w:marLeft w:val="547"/>
          <w:marRight w:val="0"/>
          <w:marTop w:val="115"/>
          <w:marBottom w:val="0"/>
          <w:divBdr>
            <w:top w:val="none" w:sz="0" w:space="0" w:color="auto"/>
            <w:left w:val="none" w:sz="0" w:space="0" w:color="auto"/>
            <w:bottom w:val="none" w:sz="0" w:space="0" w:color="auto"/>
            <w:right w:val="none" w:sz="0" w:space="0" w:color="auto"/>
          </w:divBdr>
        </w:div>
        <w:div w:id="1782920287">
          <w:marLeft w:val="547"/>
          <w:marRight w:val="0"/>
          <w:marTop w:val="115"/>
          <w:marBottom w:val="0"/>
          <w:divBdr>
            <w:top w:val="none" w:sz="0" w:space="0" w:color="auto"/>
            <w:left w:val="none" w:sz="0" w:space="0" w:color="auto"/>
            <w:bottom w:val="none" w:sz="0" w:space="0" w:color="auto"/>
            <w:right w:val="none" w:sz="0" w:space="0" w:color="auto"/>
          </w:divBdr>
        </w:div>
        <w:div w:id="2051563243">
          <w:marLeft w:val="547"/>
          <w:marRight w:val="0"/>
          <w:marTop w:val="115"/>
          <w:marBottom w:val="0"/>
          <w:divBdr>
            <w:top w:val="none" w:sz="0" w:space="0" w:color="auto"/>
            <w:left w:val="none" w:sz="0" w:space="0" w:color="auto"/>
            <w:bottom w:val="none" w:sz="0" w:space="0" w:color="auto"/>
            <w:right w:val="none" w:sz="0" w:space="0" w:color="auto"/>
          </w:divBdr>
        </w:div>
        <w:div w:id="978150883">
          <w:marLeft w:val="547"/>
          <w:marRight w:val="0"/>
          <w:marTop w:val="115"/>
          <w:marBottom w:val="0"/>
          <w:divBdr>
            <w:top w:val="none" w:sz="0" w:space="0" w:color="auto"/>
            <w:left w:val="none" w:sz="0" w:space="0" w:color="auto"/>
            <w:bottom w:val="none" w:sz="0" w:space="0" w:color="auto"/>
            <w:right w:val="none" w:sz="0" w:space="0" w:color="auto"/>
          </w:divBdr>
        </w:div>
        <w:div w:id="1650473218">
          <w:marLeft w:val="547"/>
          <w:marRight w:val="0"/>
          <w:marTop w:val="115"/>
          <w:marBottom w:val="0"/>
          <w:divBdr>
            <w:top w:val="none" w:sz="0" w:space="0" w:color="auto"/>
            <w:left w:val="none" w:sz="0" w:space="0" w:color="auto"/>
            <w:bottom w:val="none" w:sz="0" w:space="0" w:color="auto"/>
            <w:right w:val="none" w:sz="0" w:space="0" w:color="auto"/>
          </w:divBdr>
        </w:div>
        <w:div w:id="1399747080">
          <w:marLeft w:val="547"/>
          <w:marRight w:val="0"/>
          <w:marTop w:val="115"/>
          <w:marBottom w:val="0"/>
          <w:divBdr>
            <w:top w:val="none" w:sz="0" w:space="0" w:color="auto"/>
            <w:left w:val="none" w:sz="0" w:space="0" w:color="auto"/>
            <w:bottom w:val="none" w:sz="0" w:space="0" w:color="auto"/>
            <w:right w:val="none" w:sz="0" w:space="0" w:color="auto"/>
          </w:divBdr>
        </w:div>
      </w:divsChild>
    </w:div>
    <w:div w:id="1264142791">
      <w:bodyDiv w:val="1"/>
      <w:marLeft w:val="0"/>
      <w:marRight w:val="0"/>
      <w:marTop w:val="0"/>
      <w:marBottom w:val="0"/>
      <w:divBdr>
        <w:top w:val="none" w:sz="0" w:space="0" w:color="auto"/>
        <w:left w:val="none" w:sz="0" w:space="0" w:color="auto"/>
        <w:bottom w:val="none" w:sz="0" w:space="0" w:color="auto"/>
        <w:right w:val="none" w:sz="0" w:space="0" w:color="auto"/>
      </w:divBdr>
    </w:div>
    <w:div w:id="1495023492">
      <w:bodyDiv w:val="1"/>
      <w:marLeft w:val="0"/>
      <w:marRight w:val="0"/>
      <w:marTop w:val="0"/>
      <w:marBottom w:val="0"/>
      <w:divBdr>
        <w:top w:val="none" w:sz="0" w:space="0" w:color="auto"/>
        <w:left w:val="none" w:sz="0" w:space="0" w:color="auto"/>
        <w:bottom w:val="none" w:sz="0" w:space="0" w:color="auto"/>
        <w:right w:val="none" w:sz="0" w:space="0" w:color="auto"/>
      </w:divBdr>
      <w:divsChild>
        <w:div w:id="1403287754">
          <w:marLeft w:val="547"/>
          <w:marRight w:val="0"/>
          <w:marTop w:val="0"/>
          <w:marBottom w:val="0"/>
          <w:divBdr>
            <w:top w:val="none" w:sz="0" w:space="0" w:color="auto"/>
            <w:left w:val="none" w:sz="0" w:space="0" w:color="auto"/>
            <w:bottom w:val="none" w:sz="0" w:space="0" w:color="auto"/>
            <w:right w:val="none" w:sz="0" w:space="0" w:color="auto"/>
          </w:divBdr>
        </w:div>
        <w:div w:id="1911308445">
          <w:marLeft w:val="547"/>
          <w:marRight w:val="0"/>
          <w:marTop w:val="0"/>
          <w:marBottom w:val="0"/>
          <w:divBdr>
            <w:top w:val="none" w:sz="0" w:space="0" w:color="auto"/>
            <w:left w:val="none" w:sz="0" w:space="0" w:color="auto"/>
            <w:bottom w:val="none" w:sz="0" w:space="0" w:color="auto"/>
            <w:right w:val="none" w:sz="0" w:space="0" w:color="auto"/>
          </w:divBdr>
        </w:div>
        <w:div w:id="238053092">
          <w:marLeft w:val="547"/>
          <w:marRight w:val="0"/>
          <w:marTop w:val="0"/>
          <w:marBottom w:val="0"/>
          <w:divBdr>
            <w:top w:val="none" w:sz="0" w:space="0" w:color="auto"/>
            <w:left w:val="none" w:sz="0" w:space="0" w:color="auto"/>
            <w:bottom w:val="none" w:sz="0" w:space="0" w:color="auto"/>
            <w:right w:val="none" w:sz="0" w:space="0" w:color="auto"/>
          </w:divBdr>
        </w:div>
        <w:div w:id="1574660654">
          <w:marLeft w:val="547"/>
          <w:marRight w:val="0"/>
          <w:marTop w:val="0"/>
          <w:marBottom w:val="0"/>
          <w:divBdr>
            <w:top w:val="none" w:sz="0" w:space="0" w:color="auto"/>
            <w:left w:val="none" w:sz="0" w:space="0" w:color="auto"/>
            <w:bottom w:val="none" w:sz="0" w:space="0" w:color="auto"/>
            <w:right w:val="none" w:sz="0" w:space="0" w:color="auto"/>
          </w:divBdr>
        </w:div>
        <w:div w:id="1546481858">
          <w:marLeft w:val="547"/>
          <w:marRight w:val="0"/>
          <w:marTop w:val="0"/>
          <w:marBottom w:val="0"/>
          <w:divBdr>
            <w:top w:val="none" w:sz="0" w:space="0" w:color="auto"/>
            <w:left w:val="none" w:sz="0" w:space="0" w:color="auto"/>
            <w:bottom w:val="none" w:sz="0" w:space="0" w:color="auto"/>
            <w:right w:val="none" w:sz="0" w:space="0" w:color="auto"/>
          </w:divBdr>
        </w:div>
      </w:divsChild>
    </w:div>
    <w:div w:id="1518498719">
      <w:bodyDiv w:val="1"/>
      <w:marLeft w:val="0"/>
      <w:marRight w:val="0"/>
      <w:marTop w:val="0"/>
      <w:marBottom w:val="0"/>
      <w:divBdr>
        <w:top w:val="none" w:sz="0" w:space="0" w:color="auto"/>
        <w:left w:val="none" w:sz="0" w:space="0" w:color="auto"/>
        <w:bottom w:val="none" w:sz="0" w:space="0" w:color="auto"/>
        <w:right w:val="none" w:sz="0" w:space="0" w:color="auto"/>
      </w:divBdr>
    </w:div>
    <w:div w:id="1618174808">
      <w:bodyDiv w:val="1"/>
      <w:marLeft w:val="0"/>
      <w:marRight w:val="0"/>
      <w:marTop w:val="0"/>
      <w:marBottom w:val="0"/>
      <w:divBdr>
        <w:top w:val="none" w:sz="0" w:space="0" w:color="auto"/>
        <w:left w:val="none" w:sz="0" w:space="0" w:color="auto"/>
        <w:bottom w:val="none" w:sz="0" w:space="0" w:color="auto"/>
        <w:right w:val="none" w:sz="0" w:space="0" w:color="auto"/>
      </w:divBdr>
      <w:divsChild>
        <w:div w:id="742289492">
          <w:marLeft w:val="806"/>
          <w:marRight w:val="0"/>
          <w:marTop w:val="154"/>
          <w:marBottom w:val="0"/>
          <w:divBdr>
            <w:top w:val="none" w:sz="0" w:space="0" w:color="auto"/>
            <w:left w:val="none" w:sz="0" w:space="0" w:color="auto"/>
            <w:bottom w:val="none" w:sz="0" w:space="0" w:color="auto"/>
            <w:right w:val="none" w:sz="0" w:space="0" w:color="auto"/>
          </w:divBdr>
        </w:div>
        <w:div w:id="1510950305">
          <w:marLeft w:val="806"/>
          <w:marRight w:val="0"/>
          <w:marTop w:val="154"/>
          <w:marBottom w:val="0"/>
          <w:divBdr>
            <w:top w:val="none" w:sz="0" w:space="0" w:color="auto"/>
            <w:left w:val="none" w:sz="0" w:space="0" w:color="auto"/>
            <w:bottom w:val="none" w:sz="0" w:space="0" w:color="auto"/>
            <w:right w:val="none" w:sz="0" w:space="0" w:color="auto"/>
          </w:divBdr>
        </w:div>
      </w:divsChild>
    </w:div>
    <w:div w:id="1823505450">
      <w:bodyDiv w:val="1"/>
      <w:marLeft w:val="0"/>
      <w:marRight w:val="0"/>
      <w:marTop w:val="0"/>
      <w:marBottom w:val="0"/>
      <w:divBdr>
        <w:top w:val="none" w:sz="0" w:space="0" w:color="auto"/>
        <w:left w:val="none" w:sz="0" w:space="0" w:color="auto"/>
        <w:bottom w:val="none" w:sz="0" w:space="0" w:color="auto"/>
        <w:right w:val="none" w:sz="0" w:space="0" w:color="auto"/>
      </w:divBdr>
      <w:divsChild>
        <w:div w:id="1907183426">
          <w:marLeft w:val="806"/>
          <w:marRight w:val="0"/>
          <w:marTop w:val="154"/>
          <w:marBottom w:val="0"/>
          <w:divBdr>
            <w:top w:val="none" w:sz="0" w:space="0" w:color="auto"/>
            <w:left w:val="none" w:sz="0" w:space="0" w:color="auto"/>
            <w:bottom w:val="none" w:sz="0" w:space="0" w:color="auto"/>
            <w:right w:val="none" w:sz="0" w:space="0" w:color="auto"/>
          </w:divBdr>
        </w:div>
        <w:div w:id="365911466">
          <w:marLeft w:val="806"/>
          <w:marRight w:val="0"/>
          <w:marTop w:val="154"/>
          <w:marBottom w:val="0"/>
          <w:divBdr>
            <w:top w:val="none" w:sz="0" w:space="0" w:color="auto"/>
            <w:left w:val="none" w:sz="0" w:space="0" w:color="auto"/>
            <w:bottom w:val="none" w:sz="0" w:space="0" w:color="auto"/>
            <w:right w:val="none" w:sz="0" w:space="0" w:color="auto"/>
          </w:divBdr>
        </w:div>
      </w:divsChild>
    </w:div>
    <w:div w:id="1891840030">
      <w:bodyDiv w:val="1"/>
      <w:marLeft w:val="0"/>
      <w:marRight w:val="0"/>
      <w:marTop w:val="0"/>
      <w:marBottom w:val="0"/>
      <w:divBdr>
        <w:top w:val="none" w:sz="0" w:space="0" w:color="auto"/>
        <w:left w:val="none" w:sz="0" w:space="0" w:color="auto"/>
        <w:bottom w:val="none" w:sz="0" w:space="0" w:color="auto"/>
        <w:right w:val="none" w:sz="0" w:space="0" w:color="auto"/>
      </w:divBdr>
    </w:div>
    <w:div w:id="1892307387">
      <w:bodyDiv w:val="1"/>
      <w:marLeft w:val="0"/>
      <w:marRight w:val="0"/>
      <w:marTop w:val="0"/>
      <w:marBottom w:val="0"/>
      <w:divBdr>
        <w:top w:val="none" w:sz="0" w:space="0" w:color="auto"/>
        <w:left w:val="none" w:sz="0" w:space="0" w:color="auto"/>
        <w:bottom w:val="none" w:sz="0" w:space="0" w:color="auto"/>
        <w:right w:val="none" w:sz="0" w:space="0" w:color="auto"/>
      </w:divBdr>
      <w:divsChild>
        <w:div w:id="736975911">
          <w:marLeft w:val="0"/>
          <w:marRight w:val="0"/>
          <w:marTop w:val="0"/>
          <w:marBottom w:val="0"/>
          <w:divBdr>
            <w:top w:val="none" w:sz="0" w:space="0" w:color="auto"/>
            <w:left w:val="none" w:sz="0" w:space="0" w:color="auto"/>
            <w:bottom w:val="none" w:sz="0" w:space="0" w:color="auto"/>
            <w:right w:val="none" w:sz="0" w:space="0" w:color="auto"/>
          </w:divBdr>
          <w:divsChild>
            <w:div w:id="513416982">
              <w:marLeft w:val="-225"/>
              <w:marRight w:val="-225"/>
              <w:marTop w:val="0"/>
              <w:marBottom w:val="0"/>
              <w:divBdr>
                <w:top w:val="none" w:sz="0" w:space="0" w:color="auto"/>
                <w:left w:val="none" w:sz="0" w:space="0" w:color="auto"/>
                <w:bottom w:val="none" w:sz="0" w:space="0" w:color="auto"/>
                <w:right w:val="none" w:sz="0" w:space="0" w:color="auto"/>
              </w:divBdr>
              <w:divsChild>
                <w:div w:id="279148887">
                  <w:marLeft w:val="0"/>
                  <w:marRight w:val="0"/>
                  <w:marTop w:val="0"/>
                  <w:marBottom w:val="0"/>
                  <w:divBdr>
                    <w:top w:val="none" w:sz="0" w:space="0" w:color="auto"/>
                    <w:left w:val="none" w:sz="0" w:space="0" w:color="auto"/>
                    <w:bottom w:val="none" w:sz="0" w:space="0" w:color="auto"/>
                    <w:right w:val="none" w:sz="0" w:space="0" w:color="auto"/>
                  </w:divBdr>
                  <w:divsChild>
                    <w:div w:id="1759398884">
                      <w:marLeft w:val="0"/>
                      <w:marRight w:val="0"/>
                      <w:marTop w:val="0"/>
                      <w:marBottom w:val="0"/>
                      <w:divBdr>
                        <w:top w:val="none" w:sz="0" w:space="0" w:color="auto"/>
                        <w:left w:val="none" w:sz="0" w:space="0" w:color="auto"/>
                        <w:bottom w:val="none" w:sz="0" w:space="0" w:color="auto"/>
                        <w:right w:val="none" w:sz="0" w:space="0" w:color="auto"/>
                      </w:divBdr>
                      <w:divsChild>
                        <w:div w:id="1511870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8198992">
      <w:bodyDiv w:val="1"/>
      <w:marLeft w:val="0"/>
      <w:marRight w:val="0"/>
      <w:marTop w:val="0"/>
      <w:marBottom w:val="0"/>
      <w:divBdr>
        <w:top w:val="none" w:sz="0" w:space="0" w:color="auto"/>
        <w:left w:val="none" w:sz="0" w:space="0" w:color="auto"/>
        <w:bottom w:val="none" w:sz="0" w:space="0" w:color="auto"/>
        <w:right w:val="none" w:sz="0" w:space="0" w:color="auto"/>
      </w:divBdr>
      <w:divsChild>
        <w:div w:id="1773939050">
          <w:marLeft w:val="547"/>
          <w:marRight w:val="0"/>
          <w:marTop w:val="0"/>
          <w:marBottom w:val="0"/>
          <w:divBdr>
            <w:top w:val="none" w:sz="0" w:space="0" w:color="auto"/>
            <w:left w:val="none" w:sz="0" w:space="0" w:color="auto"/>
            <w:bottom w:val="none" w:sz="0" w:space="0" w:color="auto"/>
            <w:right w:val="none" w:sz="0" w:space="0" w:color="auto"/>
          </w:divBdr>
        </w:div>
        <w:div w:id="781537993">
          <w:marLeft w:val="547"/>
          <w:marRight w:val="0"/>
          <w:marTop w:val="0"/>
          <w:marBottom w:val="0"/>
          <w:divBdr>
            <w:top w:val="none" w:sz="0" w:space="0" w:color="auto"/>
            <w:left w:val="none" w:sz="0" w:space="0" w:color="auto"/>
            <w:bottom w:val="none" w:sz="0" w:space="0" w:color="auto"/>
            <w:right w:val="none" w:sz="0" w:space="0" w:color="auto"/>
          </w:divBdr>
        </w:div>
        <w:div w:id="149760704">
          <w:marLeft w:val="547"/>
          <w:marRight w:val="0"/>
          <w:marTop w:val="0"/>
          <w:marBottom w:val="0"/>
          <w:divBdr>
            <w:top w:val="none" w:sz="0" w:space="0" w:color="auto"/>
            <w:left w:val="none" w:sz="0" w:space="0" w:color="auto"/>
            <w:bottom w:val="none" w:sz="0" w:space="0" w:color="auto"/>
            <w:right w:val="none" w:sz="0" w:space="0" w:color="auto"/>
          </w:divBdr>
        </w:div>
        <w:div w:id="1548374234">
          <w:marLeft w:val="547"/>
          <w:marRight w:val="0"/>
          <w:marTop w:val="0"/>
          <w:marBottom w:val="0"/>
          <w:divBdr>
            <w:top w:val="none" w:sz="0" w:space="0" w:color="auto"/>
            <w:left w:val="none" w:sz="0" w:space="0" w:color="auto"/>
            <w:bottom w:val="none" w:sz="0" w:space="0" w:color="auto"/>
            <w:right w:val="none" w:sz="0" w:space="0" w:color="auto"/>
          </w:divBdr>
        </w:div>
        <w:div w:id="1771272097">
          <w:marLeft w:val="547"/>
          <w:marRight w:val="0"/>
          <w:marTop w:val="0"/>
          <w:marBottom w:val="0"/>
          <w:divBdr>
            <w:top w:val="none" w:sz="0" w:space="0" w:color="auto"/>
            <w:left w:val="none" w:sz="0" w:space="0" w:color="auto"/>
            <w:bottom w:val="none" w:sz="0" w:space="0" w:color="auto"/>
            <w:right w:val="none" w:sz="0" w:space="0" w:color="auto"/>
          </w:divBdr>
        </w:div>
        <w:div w:id="152335866">
          <w:marLeft w:val="547"/>
          <w:marRight w:val="0"/>
          <w:marTop w:val="0"/>
          <w:marBottom w:val="0"/>
          <w:divBdr>
            <w:top w:val="none" w:sz="0" w:space="0" w:color="auto"/>
            <w:left w:val="none" w:sz="0" w:space="0" w:color="auto"/>
            <w:bottom w:val="none" w:sz="0" w:space="0" w:color="auto"/>
            <w:right w:val="none" w:sz="0" w:space="0" w:color="auto"/>
          </w:divBdr>
        </w:div>
        <w:div w:id="1204557692">
          <w:marLeft w:val="547"/>
          <w:marRight w:val="0"/>
          <w:marTop w:val="0"/>
          <w:marBottom w:val="0"/>
          <w:divBdr>
            <w:top w:val="none" w:sz="0" w:space="0" w:color="auto"/>
            <w:left w:val="none" w:sz="0" w:space="0" w:color="auto"/>
            <w:bottom w:val="none" w:sz="0" w:space="0" w:color="auto"/>
            <w:right w:val="none" w:sz="0" w:space="0" w:color="auto"/>
          </w:divBdr>
        </w:div>
        <w:div w:id="70468908">
          <w:marLeft w:val="547"/>
          <w:marRight w:val="0"/>
          <w:marTop w:val="0"/>
          <w:marBottom w:val="0"/>
          <w:divBdr>
            <w:top w:val="none" w:sz="0" w:space="0" w:color="auto"/>
            <w:left w:val="none" w:sz="0" w:space="0" w:color="auto"/>
            <w:bottom w:val="none" w:sz="0" w:space="0" w:color="auto"/>
            <w:right w:val="none" w:sz="0" w:space="0" w:color="auto"/>
          </w:divBdr>
        </w:div>
        <w:div w:id="600139887">
          <w:marLeft w:val="547"/>
          <w:marRight w:val="0"/>
          <w:marTop w:val="0"/>
          <w:marBottom w:val="0"/>
          <w:divBdr>
            <w:top w:val="none" w:sz="0" w:space="0" w:color="auto"/>
            <w:left w:val="none" w:sz="0" w:space="0" w:color="auto"/>
            <w:bottom w:val="none" w:sz="0" w:space="0" w:color="auto"/>
            <w:right w:val="none" w:sz="0" w:space="0" w:color="auto"/>
          </w:divBdr>
        </w:div>
        <w:div w:id="899511615">
          <w:marLeft w:val="547"/>
          <w:marRight w:val="0"/>
          <w:marTop w:val="0"/>
          <w:marBottom w:val="0"/>
          <w:divBdr>
            <w:top w:val="none" w:sz="0" w:space="0" w:color="auto"/>
            <w:left w:val="none" w:sz="0" w:space="0" w:color="auto"/>
            <w:bottom w:val="none" w:sz="0" w:space="0" w:color="auto"/>
            <w:right w:val="none" w:sz="0" w:space="0" w:color="auto"/>
          </w:divBdr>
        </w:div>
      </w:divsChild>
    </w:div>
    <w:div w:id="1978413144">
      <w:bodyDiv w:val="1"/>
      <w:marLeft w:val="0"/>
      <w:marRight w:val="0"/>
      <w:marTop w:val="0"/>
      <w:marBottom w:val="0"/>
      <w:divBdr>
        <w:top w:val="none" w:sz="0" w:space="0" w:color="auto"/>
        <w:left w:val="none" w:sz="0" w:space="0" w:color="auto"/>
        <w:bottom w:val="none" w:sz="0" w:space="0" w:color="auto"/>
        <w:right w:val="none" w:sz="0" w:space="0" w:color="auto"/>
      </w:divBdr>
    </w:div>
    <w:div w:id="2038576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5E441-1269-416A-837E-8042132D51F6}">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6671</Words>
  <Characters>38026</Characters>
  <Application>Microsoft Office Word</Application>
  <DocSecurity>4</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East London NHS Foundation Trust</Company>
  <LinksUpToDate>false</LinksUpToDate>
  <CharactersWithSpaces>44608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Hawley Sharon</dc:creator>
  <cp:lastModifiedBy>KHATUN, Rashida (EAST LONDON NHS FOUNDATION TRUST)</cp:lastModifiedBy>
  <cp:revision>2</cp:revision>
  <dcterms:created xsi:type="dcterms:W3CDTF">2026-09-02T14:37:00Z</dcterms:created>
  <dcterms:modified xsi:type="dcterms:W3CDTF">2026-09-02T14:37:00Z</dcterms:modified>
</cp:coreProperties>
</file>