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5E" w:rsidRDefault="0075655E">
      <w:r>
        <w:rPr>
          <w:noProof/>
          <w:lang w:eastAsia="en-GB"/>
        </w:rPr>
        <w:drawing>
          <wp:anchor distT="0" distB="0" distL="114300" distR="114300" simplePos="0" relativeHeight="251659264" behindDoc="0" locked="0" layoutInCell="1" allowOverlap="1" wp14:anchorId="63BE9893" wp14:editId="21F02C33">
            <wp:simplePos x="0" y="0"/>
            <wp:positionH relativeFrom="column">
              <wp:posOffset>-431800</wp:posOffset>
            </wp:positionH>
            <wp:positionV relativeFrom="paragraph">
              <wp:posOffset>-628650</wp:posOffset>
            </wp:positionV>
            <wp:extent cx="1479550" cy="9144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extLst>
                        <a:ext uri="{28A0092B-C50C-407E-A947-70E740481C1C}">
                          <a14:useLocalDpi xmlns:a14="http://schemas.microsoft.com/office/drawing/2010/main" val="0"/>
                        </a:ext>
                      </a:extLst>
                    </a:blip>
                    <a:stretch>
                      <a:fillRect/>
                    </a:stretch>
                  </pic:blipFill>
                  <pic:spPr>
                    <a:xfrm>
                      <a:off x="0" y="0"/>
                      <a:ext cx="1479550" cy="9144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0A40000C" wp14:editId="544E87DA">
            <wp:simplePos x="0" y="0"/>
            <wp:positionH relativeFrom="column">
              <wp:posOffset>4171950</wp:posOffset>
            </wp:positionH>
            <wp:positionV relativeFrom="paragraph">
              <wp:posOffset>-355600</wp:posOffset>
            </wp:positionV>
            <wp:extent cx="1998527" cy="424073"/>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FT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0994" cy="424597"/>
                    </a:xfrm>
                    <a:prstGeom prst="rect">
                      <a:avLst/>
                    </a:prstGeom>
                  </pic:spPr>
                </pic:pic>
              </a:graphicData>
            </a:graphic>
            <wp14:sizeRelH relativeFrom="page">
              <wp14:pctWidth>0</wp14:pctWidth>
            </wp14:sizeRelH>
            <wp14:sizeRelV relativeFrom="page">
              <wp14:pctHeight>0</wp14:pctHeight>
            </wp14:sizeRelV>
          </wp:anchor>
        </w:drawing>
      </w:r>
    </w:p>
    <w:p w:rsidR="0075655E" w:rsidRPr="005F6DBF" w:rsidRDefault="002A64D6" w:rsidP="005F6DBF">
      <w:pPr>
        <w:jc w:val="center"/>
        <w:rPr>
          <w:b/>
          <w:sz w:val="30"/>
        </w:rPr>
      </w:pPr>
      <w:r>
        <w:rPr>
          <w:b/>
          <w:sz w:val="30"/>
        </w:rPr>
        <w:t xml:space="preserve">ELFT QI </w:t>
      </w:r>
      <w:r w:rsidR="00906DB9">
        <w:rPr>
          <w:b/>
          <w:sz w:val="30"/>
        </w:rPr>
        <w:t xml:space="preserve">Scale Up &amp; </w:t>
      </w:r>
      <w:bookmarkStart w:id="0" w:name="_GoBack"/>
      <w:bookmarkEnd w:id="0"/>
      <w:r>
        <w:rPr>
          <w:b/>
          <w:sz w:val="30"/>
        </w:rPr>
        <w:t xml:space="preserve">Spread Checklist </w:t>
      </w:r>
      <w:r w:rsidRPr="002A64D6">
        <w:rPr>
          <w:sz w:val="30"/>
        </w:rPr>
        <w:t xml:space="preserve">- </w:t>
      </w:r>
      <w:r w:rsidR="005F6DBF" w:rsidRPr="002A64D6">
        <w:rPr>
          <w:sz w:val="30"/>
        </w:rPr>
        <w:t>Are you ready to spread?</w:t>
      </w:r>
    </w:p>
    <w:p w:rsidR="005F6DBF" w:rsidRDefault="005F6DBF">
      <w:r>
        <w:t>As more of our teams use QI and see improvement in outcomes, the question of ‘spread’ is coming up frequently.</w:t>
      </w:r>
      <w:r w:rsidR="002A64D6">
        <w:t xml:space="preserve"> </w:t>
      </w:r>
      <w:r>
        <w:t>It is difficult to spread successful improvement initiatives and maintain the effect size in other settings. Without careful thought and planning, the gains made in the test ward/team will not be replicated.</w:t>
      </w:r>
    </w:p>
    <w:p w:rsidR="005F6DBF" w:rsidRDefault="005F6DBF">
      <w:r>
        <w:t>What do we mean by ‘s</w:t>
      </w:r>
      <w:r w:rsidR="0004510F">
        <w:t>ustainability</w:t>
      </w:r>
      <w:r>
        <w:t>’</w:t>
      </w:r>
      <w:r w:rsidR="00906DB9">
        <w:t>, ‘scale up’</w:t>
      </w:r>
      <w:r w:rsidR="001362A7">
        <w:t xml:space="preserve"> and </w:t>
      </w:r>
      <w:r>
        <w:t>‘spread’?</w:t>
      </w:r>
    </w:p>
    <w:tbl>
      <w:tblPr>
        <w:tblStyle w:val="TableGrid"/>
        <w:tblW w:w="9242" w:type="dxa"/>
        <w:tblLook w:val="04A0" w:firstRow="1" w:lastRow="0" w:firstColumn="1" w:lastColumn="0" w:noHBand="0" w:noVBand="1"/>
      </w:tblPr>
      <w:tblGrid>
        <w:gridCol w:w="2985"/>
        <w:gridCol w:w="3000"/>
        <w:gridCol w:w="3257"/>
      </w:tblGrid>
      <w:tr w:rsidR="00D46AD7" w:rsidTr="00D46AD7">
        <w:tc>
          <w:tcPr>
            <w:tcW w:w="2985" w:type="dxa"/>
            <w:shd w:val="clear" w:color="auto" w:fill="DBE5F1" w:themeFill="accent1" w:themeFillTint="33"/>
          </w:tcPr>
          <w:p w:rsidR="00D46AD7" w:rsidRPr="001362A7" w:rsidRDefault="00D46AD7" w:rsidP="001362A7">
            <w:r w:rsidRPr="001362A7">
              <w:rPr>
                <w:rFonts w:cs="GT Walsheim Bold"/>
                <w:b/>
                <w:bCs/>
                <w:color w:val="000000"/>
                <w:sz w:val="20"/>
                <w:szCs w:val="23"/>
              </w:rPr>
              <w:t xml:space="preserve">Sustainability </w:t>
            </w:r>
            <w:r w:rsidRPr="001362A7">
              <w:rPr>
                <w:rFonts w:cs="GT Walsheim Regular"/>
                <w:color w:val="000000"/>
                <w:sz w:val="20"/>
                <w:szCs w:val="23"/>
              </w:rPr>
              <w:t>is ‘when new ways of working and improved outcomes become the norm.’ In other words, it is when an improvement has become an integrated and the mainstream way of working. It should withstand challenge and variation over time, through a process of continuous improvement’.</w:t>
            </w:r>
          </w:p>
        </w:tc>
        <w:tc>
          <w:tcPr>
            <w:tcW w:w="3000" w:type="dxa"/>
            <w:shd w:val="clear" w:color="auto" w:fill="EAF1DD" w:themeFill="accent3" w:themeFillTint="33"/>
          </w:tcPr>
          <w:p w:rsidR="00906DB9" w:rsidRDefault="00906DB9" w:rsidP="00906DB9">
            <w:pPr>
              <w:rPr>
                <w:sz w:val="20"/>
                <w:szCs w:val="20"/>
              </w:rPr>
            </w:pPr>
            <w:r w:rsidRPr="00D46AD7">
              <w:rPr>
                <w:b/>
                <w:sz w:val="20"/>
                <w:szCs w:val="20"/>
              </w:rPr>
              <w:t>Scale Up</w:t>
            </w:r>
            <w:r w:rsidRPr="00D46AD7">
              <w:rPr>
                <w:sz w:val="20"/>
                <w:szCs w:val="20"/>
              </w:rPr>
              <w:t xml:space="preserve"> is the process by which new working methods are tested by an increased number of teams, to increase degree of belief they work, </w:t>
            </w:r>
            <w:r w:rsidRPr="00D46AD7">
              <w:rPr>
                <w:b/>
                <w:bCs/>
                <w:sz w:val="20"/>
                <w:szCs w:val="20"/>
              </w:rPr>
              <w:t xml:space="preserve">overcoming system/infrastructure issues </w:t>
            </w:r>
            <w:r w:rsidRPr="00D46AD7">
              <w:rPr>
                <w:sz w:val="20"/>
                <w:szCs w:val="20"/>
              </w:rPr>
              <w:t>that arise.</w:t>
            </w:r>
          </w:p>
          <w:p w:rsidR="00D46AD7" w:rsidRPr="001362A7" w:rsidRDefault="00D46AD7" w:rsidP="00906DB9">
            <w:pPr>
              <w:rPr>
                <w:rFonts w:cs="GT Walsheim Bold"/>
                <w:b/>
                <w:bCs/>
                <w:color w:val="000000"/>
                <w:sz w:val="20"/>
                <w:szCs w:val="23"/>
              </w:rPr>
            </w:pPr>
          </w:p>
        </w:tc>
        <w:tc>
          <w:tcPr>
            <w:tcW w:w="3257" w:type="dxa"/>
            <w:shd w:val="clear" w:color="auto" w:fill="E5DFEC" w:themeFill="accent4" w:themeFillTint="33"/>
          </w:tcPr>
          <w:p w:rsidR="00906DB9" w:rsidRPr="001362A7" w:rsidRDefault="00906DB9" w:rsidP="00906DB9">
            <w:pPr>
              <w:rPr>
                <w:sz w:val="18"/>
              </w:rPr>
            </w:pPr>
            <w:r w:rsidRPr="001362A7">
              <w:rPr>
                <w:rFonts w:cs="GT Walsheim Bold"/>
                <w:b/>
                <w:bCs/>
                <w:color w:val="000000"/>
                <w:sz w:val="20"/>
                <w:szCs w:val="23"/>
              </w:rPr>
              <w:t xml:space="preserve">Spread </w:t>
            </w:r>
            <w:r w:rsidRPr="001362A7">
              <w:rPr>
                <w:rFonts w:cs="GT Walsheim Regular"/>
                <w:color w:val="000000"/>
                <w:sz w:val="20"/>
                <w:szCs w:val="23"/>
              </w:rPr>
              <w:t>is ‘when best practice is disseminated consistently and reliably across a whole system and involves the implementation of proven interventions in each applicable care setting’</w:t>
            </w:r>
            <w:r>
              <w:rPr>
                <w:rFonts w:cs="GT Walsheim Regular"/>
                <w:color w:val="000000"/>
                <w:sz w:val="20"/>
                <w:szCs w:val="23"/>
              </w:rPr>
              <w:t>.</w:t>
            </w:r>
          </w:p>
          <w:p w:rsidR="00906DB9" w:rsidRPr="00D46AD7" w:rsidRDefault="00906DB9" w:rsidP="00D46AD7">
            <w:pPr>
              <w:rPr>
                <w:sz w:val="20"/>
                <w:szCs w:val="20"/>
              </w:rPr>
            </w:pPr>
          </w:p>
          <w:p w:rsidR="00D46AD7" w:rsidRDefault="00D46AD7" w:rsidP="00D46AD7"/>
        </w:tc>
      </w:tr>
    </w:tbl>
    <w:p w:rsidR="0004510F" w:rsidRDefault="0004510F">
      <w:pPr>
        <w:rPr>
          <w:sz w:val="20"/>
        </w:rPr>
      </w:pPr>
    </w:p>
    <w:p w:rsidR="005F6DBF" w:rsidRPr="00754FBB" w:rsidRDefault="005F6DBF">
      <w:pPr>
        <w:rPr>
          <w:sz w:val="20"/>
        </w:rPr>
      </w:pPr>
      <w:r w:rsidRPr="00754FBB">
        <w:rPr>
          <w:sz w:val="20"/>
        </w:rPr>
        <w:t>Below is a checklist to see if you’re ready to think about scale up or spread:</w:t>
      </w:r>
    </w:p>
    <w:tbl>
      <w:tblPr>
        <w:tblStyle w:val="MediumGrid1"/>
        <w:tblW w:w="0" w:type="auto"/>
        <w:tblLook w:val="04A0" w:firstRow="1" w:lastRow="0" w:firstColumn="1" w:lastColumn="0" w:noHBand="0" w:noVBand="1"/>
      </w:tblPr>
      <w:tblGrid>
        <w:gridCol w:w="7621"/>
        <w:gridCol w:w="851"/>
        <w:gridCol w:w="770"/>
      </w:tblGrid>
      <w:tr w:rsidR="00C31EED" w:rsidTr="000451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tcPr>
          <w:p w:rsidR="00C31EED" w:rsidRDefault="00C31EED" w:rsidP="00C31EED">
            <w:r>
              <w:t>Are you seeing sustained improvement in your test unit?</w:t>
            </w:r>
          </w:p>
          <w:p w:rsidR="00C31EED" w:rsidRDefault="00C31EED" w:rsidP="000B5E2B">
            <w:r>
              <w:br/>
            </w:r>
            <w:r w:rsidRPr="00C31EED">
              <w:rPr>
                <w:sz w:val="18"/>
              </w:rPr>
              <w:t>(improvement in your outcome measure that has been sustained</w:t>
            </w:r>
            <w:r w:rsidR="000B5E2B">
              <w:rPr>
                <w:sz w:val="18"/>
              </w:rPr>
              <w:t>, the changes have become ‘business as usual’ and no further tweaks are being made</w:t>
            </w:r>
            <w:r>
              <w:rPr>
                <w:sz w:val="18"/>
              </w:rPr>
              <w:t>)</w:t>
            </w:r>
            <w:r>
              <w:rPr>
                <w:sz w:val="18"/>
              </w:rPr>
              <w:br/>
            </w:r>
          </w:p>
        </w:tc>
        <w:tc>
          <w:tcPr>
            <w:tcW w:w="851" w:type="dxa"/>
          </w:tcPr>
          <w:p w:rsidR="00C31EED" w:rsidRDefault="00C31EED" w:rsidP="00C31EED">
            <w:pPr>
              <w:cnfStyle w:val="100000000000" w:firstRow="1" w:lastRow="0" w:firstColumn="0" w:lastColumn="0" w:oddVBand="0" w:evenVBand="0" w:oddHBand="0" w:evenHBand="0" w:firstRowFirstColumn="0" w:firstRowLastColumn="0" w:lastRowFirstColumn="0" w:lastRowLastColumn="0"/>
            </w:pPr>
            <w:r>
              <w:t xml:space="preserve">Yes </w:t>
            </w:r>
            <w:r>
              <w:sym w:font="Wingdings" w:char="F06F"/>
            </w:r>
          </w:p>
        </w:tc>
        <w:tc>
          <w:tcPr>
            <w:tcW w:w="770" w:type="dxa"/>
          </w:tcPr>
          <w:p w:rsidR="00C31EED" w:rsidRDefault="00C31EED" w:rsidP="00C31EED">
            <w:pPr>
              <w:cnfStyle w:val="100000000000" w:firstRow="1" w:lastRow="0" w:firstColumn="0" w:lastColumn="0" w:oddVBand="0" w:evenVBand="0" w:oddHBand="0" w:evenHBand="0" w:firstRowFirstColumn="0" w:firstRowLastColumn="0" w:lastRowFirstColumn="0" w:lastRowLastColumn="0"/>
            </w:pPr>
            <w:r>
              <w:t xml:space="preserve">No </w:t>
            </w:r>
            <w:r>
              <w:sym w:font="Wingdings" w:char="F06F"/>
            </w:r>
          </w:p>
        </w:tc>
      </w:tr>
      <w:tr w:rsidR="00D42C3B" w:rsidTr="00045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tcPr>
          <w:p w:rsidR="00D42C3B" w:rsidRDefault="00D42C3B" w:rsidP="00D42C3B">
            <w:r>
              <w:t>Can you clearly describe the components of the change package that you have implemented?</w:t>
            </w:r>
            <w:r>
              <w:br/>
            </w:r>
          </w:p>
        </w:tc>
        <w:tc>
          <w:tcPr>
            <w:tcW w:w="851" w:type="dxa"/>
          </w:tcPr>
          <w:p w:rsidR="00D42C3B" w:rsidRDefault="00D42C3B" w:rsidP="00507E98">
            <w:pPr>
              <w:cnfStyle w:val="000000100000" w:firstRow="0" w:lastRow="0" w:firstColumn="0" w:lastColumn="0" w:oddVBand="0" w:evenVBand="0" w:oddHBand="1" w:evenHBand="0" w:firstRowFirstColumn="0" w:firstRowLastColumn="0" w:lastRowFirstColumn="0" w:lastRowLastColumn="0"/>
            </w:pPr>
            <w:r>
              <w:t xml:space="preserve">Yes </w:t>
            </w:r>
            <w:r>
              <w:sym w:font="Wingdings" w:char="F06F"/>
            </w:r>
          </w:p>
        </w:tc>
        <w:tc>
          <w:tcPr>
            <w:tcW w:w="770" w:type="dxa"/>
          </w:tcPr>
          <w:p w:rsidR="00D42C3B" w:rsidRDefault="00D42C3B" w:rsidP="00507E98">
            <w:pPr>
              <w:cnfStyle w:val="000000100000" w:firstRow="0" w:lastRow="0" w:firstColumn="0" w:lastColumn="0" w:oddVBand="0" w:evenVBand="0" w:oddHBand="1" w:evenHBand="0" w:firstRowFirstColumn="0" w:firstRowLastColumn="0" w:lastRowFirstColumn="0" w:lastRowLastColumn="0"/>
            </w:pPr>
            <w:r>
              <w:t xml:space="preserve">No </w:t>
            </w:r>
            <w:r>
              <w:sym w:font="Wingdings" w:char="F06F"/>
            </w:r>
          </w:p>
        </w:tc>
      </w:tr>
      <w:tr w:rsidR="002A64D6" w:rsidTr="0004510F">
        <w:tc>
          <w:tcPr>
            <w:cnfStyle w:val="001000000000" w:firstRow="0" w:lastRow="0" w:firstColumn="1" w:lastColumn="0" w:oddVBand="0" w:evenVBand="0" w:oddHBand="0" w:evenHBand="0" w:firstRowFirstColumn="0" w:firstRowLastColumn="0" w:lastRowFirstColumn="0" w:lastRowLastColumn="0"/>
            <w:tcW w:w="7621" w:type="dxa"/>
          </w:tcPr>
          <w:p w:rsidR="002A64D6" w:rsidRDefault="002A64D6" w:rsidP="00C31EED">
            <w:r>
              <w:t xml:space="preserve">Does the change represent doing something </w:t>
            </w:r>
            <w:r w:rsidRPr="002A64D6">
              <w:rPr>
                <w:i/>
              </w:rPr>
              <w:t>differently</w:t>
            </w:r>
            <w:r>
              <w:t xml:space="preserve">, rather than just doing something </w:t>
            </w:r>
            <w:r w:rsidRPr="002A64D6">
              <w:rPr>
                <w:i/>
              </w:rPr>
              <w:t>better</w:t>
            </w:r>
            <w:r>
              <w:t>?</w:t>
            </w:r>
            <w:r>
              <w:br/>
            </w:r>
          </w:p>
        </w:tc>
        <w:tc>
          <w:tcPr>
            <w:tcW w:w="851" w:type="dxa"/>
          </w:tcPr>
          <w:p w:rsidR="002A64D6" w:rsidRDefault="002A64D6" w:rsidP="00507E98">
            <w:pPr>
              <w:cnfStyle w:val="000000000000" w:firstRow="0" w:lastRow="0" w:firstColumn="0" w:lastColumn="0" w:oddVBand="0" w:evenVBand="0" w:oddHBand="0" w:evenHBand="0" w:firstRowFirstColumn="0" w:firstRowLastColumn="0" w:lastRowFirstColumn="0" w:lastRowLastColumn="0"/>
            </w:pPr>
            <w:r>
              <w:t xml:space="preserve">Yes </w:t>
            </w:r>
            <w:r>
              <w:sym w:font="Wingdings" w:char="F06F"/>
            </w:r>
          </w:p>
        </w:tc>
        <w:tc>
          <w:tcPr>
            <w:tcW w:w="770" w:type="dxa"/>
          </w:tcPr>
          <w:p w:rsidR="002A64D6" w:rsidRDefault="002A64D6" w:rsidP="00507E98">
            <w:pPr>
              <w:cnfStyle w:val="000000000000" w:firstRow="0" w:lastRow="0" w:firstColumn="0" w:lastColumn="0" w:oddVBand="0" w:evenVBand="0" w:oddHBand="0" w:evenHBand="0" w:firstRowFirstColumn="0" w:firstRowLastColumn="0" w:lastRowFirstColumn="0" w:lastRowLastColumn="0"/>
            </w:pPr>
            <w:r>
              <w:t xml:space="preserve">No </w:t>
            </w:r>
            <w:r>
              <w:sym w:font="Wingdings" w:char="F06F"/>
            </w:r>
          </w:p>
        </w:tc>
      </w:tr>
      <w:tr w:rsidR="002A64D6" w:rsidTr="00045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tcPr>
          <w:p w:rsidR="002A64D6" w:rsidRDefault="002A64D6" w:rsidP="00C31EED">
            <w:r>
              <w:t>Can the changes be packaged in a way that can be easily understood and tested by adopters?</w:t>
            </w:r>
            <w:r>
              <w:br/>
            </w:r>
          </w:p>
        </w:tc>
        <w:tc>
          <w:tcPr>
            <w:tcW w:w="851" w:type="dxa"/>
          </w:tcPr>
          <w:p w:rsidR="002A64D6" w:rsidRDefault="002A64D6" w:rsidP="00507E98">
            <w:pPr>
              <w:cnfStyle w:val="000000100000" w:firstRow="0" w:lastRow="0" w:firstColumn="0" w:lastColumn="0" w:oddVBand="0" w:evenVBand="0" w:oddHBand="1" w:evenHBand="0" w:firstRowFirstColumn="0" w:firstRowLastColumn="0" w:lastRowFirstColumn="0" w:lastRowLastColumn="0"/>
            </w:pPr>
            <w:r>
              <w:t xml:space="preserve">Yes </w:t>
            </w:r>
            <w:r>
              <w:sym w:font="Wingdings" w:char="F06F"/>
            </w:r>
          </w:p>
        </w:tc>
        <w:tc>
          <w:tcPr>
            <w:tcW w:w="770" w:type="dxa"/>
          </w:tcPr>
          <w:p w:rsidR="002A64D6" w:rsidRDefault="002A64D6" w:rsidP="00507E98">
            <w:pPr>
              <w:cnfStyle w:val="000000100000" w:firstRow="0" w:lastRow="0" w:firstColumn="0" w:lastColumn="0" w:oddVBand="0" w:evenVBand="0" w:oddHBand="1" w:evenHBand="0" w:firstRowFirstColumn="0" w:firstRowLastColumn="0" w:lastRowFirstColumn="0" w:lastRowLastColumn="0"/>
            </w:pPr>
            <w:r>
              <w:t xml:space="preserve">No </w:t>
            </w:r>
            <w:r>
              <w:sym w:font="Wingdings" w:char="F06F"/>
            </w:r>
          </w:p>
        </w:tc>
      </w:tr>
      <w:tr w:rsidR="002A64D6" w:rsidTr="0004510F">
        <w:tc>
          <w:tcPr>
            <w:cnfStyle w:val="001000000000" w:firstRow="0" w:lastRow="0" w:firstColumn="1" w:lastColumn="0" w:oddVBand="0" w:evenVBand="0" w:oddHBand="0" w:evenHBand="0" w:firstRowFirstColumn="0" w:firstRowLastColumn="0" w:lastRowFirstColumn="0" w:lastRowLastColumn="0"/>
            <w:tcW w:w="7621" w:type="dxa"/>
          </w:tcPr>
          <w:p w:rsidR="002A64D6" w:rsidRDefault="002A64D6" w:rsidP="00C31EED">
            <w:r>
              <w:t>Do you have the relevant documentation to support the work undertaken?</w:t>
            </w:r>
          </w:p>
          <w:p w:rsidR="002A64D6" w:rsidRDefault="002A64D6" w:rsidP="00C31EED"/>
          <w:p w:rsidR="002A64D6" w:rsidRPr="00D42C3B" w:rsidRDefault="002A64D6" w:rsidP="00C31EED">
            <w:pPr>
              <w:rPr>
                <w:sz w:val="18"/>
              </w:rPr>
            </w:pPr>
            <w:r>
              <w:rPr>
                <w:sz w:val="18"/>
              </w:rPr>
              <w:t>(</w:t>
            </w:r>
            <w:proofErr w:type="gramStart"/>
            <w:r>
              <w:rPr>
                <w:sz w:val="18"/>
              </w:rPr>
              <w:t>driver</w:t>
            </w:r>
            <w:proofErr w:type="gramEnd"/>
            <w:r>
              <w:rPr>
                <w:sz w:val="18"/>
              </w:rPr>
              <w:t xml:space="preserve"> diagram, measures and data as time series analysis, PDSA documentation, flow charts, policies and procedures to support implementation etc.)</w:t>
            </w:r>
            <w:r>
              <w:rPr>
                <w:sz w:val="18"/>
              </w:rPr>
              <w:br/>
            </w:r>
          </w:p>
        </w:tc>
        <w:tc>
          <w:tcPr>
            <w:tcW w:w="851" w:type="dxa"/>
          </w:tcPr>
          <w:p w:rsidR="002A64D6" w:rsidRDefault="002A64D6" w:rsidP="00507E98">
            <w:pPr>
              <w:cnfStyle w:val="000000000000" w:firstRow="0" w:lastRow="0" w:firstColumn="0" w:lastColumn="0" w:oddVBand="0" w:evenVBand="0" w:oddHBand="0" w:evenHBand="0" w:firstRowFirstColumn="0" w:firstRowLastColumn="0" w:lastRowFirstColumn="0" w:lastRowLastColumn="0"/>
            </w:pPr>
            <w:r>
              <w:t xml:space="preserve">Yes </w:t>
            </w:r>
            <w:r>
              <w:sym w:font="Wingdings" w:char="F06F"/>
            </w:r>
          </w:p>
        </w:tc>
        <w:tc>
          <w:tcPr>
            <w:tcW w:w="770" w:type="dxa"/>
          </w:tcPr>
          <w:p w:rsidR="002A64D6" w:rsidRDefault="002A64D6" w:rsidP="00507E98">
            <w:pPr>
              <w:cnfStyle w:val="000000000000" w:firstRow="0" w:lastRow="0" w:firstColumn="0" w:lastColumn="0" w:oddVBand="0" w:evenVBand="0" w:oddHBand="0" w:evenHBand="0" w:firstRowFirstColumn="0" w:firstRowLastColumn="0" w:lastRowFirstColumn="0" w:lastRowLastColumn="0"/>
            </w:pPr>
            <w:r>
              <w:t xml:space="preserve">No </w:t>
            </w:r>
            <w:r>
              <w:sym w:font="Wingdings" w:char="F06F"/>
            </w:r>
          </w:p>
        </w:tc>
      </w:tr>
    </w:tbl>
    <w:p w:rsidR="00C31EED" w:rsidRDefault="00C31EED"/>
    <w:p w:rsidR="00C31EED" w:rsidRDefault="00754FBB">
      <w:r>
        <w:t xml:space="preserve">If you can answer yes to all of the above, then your project may be ready to </w:t>
      </w:r>
      <w:proofErr w:type="gramStart"/>
      <w:r>
        <w:t>considered</w:t>
      </w:r>
      <w:proofErr w:type="gramEnd"/>
      <w:r>
        <w:t xml:space="preserve"> for </w:t>
      </w:r>
      <w:r w:rsidR="0004510F">
        <w:t>s</w:t>
      </w:r>
      <w:r>
        <w:t>pread.</w:t>
      </w:r>
    </w:p>
    <w:p w:rsidR="00754FBB" w:rsidRPr="00754FBB" w:rsidRDefault="00754FBB">
      <w:pPr>
        <w:rPr>
          <w:sz w:val="24"/>
        </w:rPr>
      </w:pPr>
      <w:r w:rsidRPr="00754FBB">
        <w:rPr>
          <w:sz w:val="24"/>
        </w:rPr>
        <w:t xml:space="preserve">Please </w:t>
      </w:r>
      <w:r w:rsidR="0004510F">
        <w:rPr>
          <w:sz w:val="24"/>
        </w:rPr>
        <w:t xml:space="preserve">download </w:t>
      </w:r>
      <w:r w:rsidRPr="00754FBB">
        <w:rPr>
          <w:sz w:val="24"/>
        </w:rPr>
        <w:t xml:space="preserve">the </w:t>
      </w:r>
      <w:r w:rsidRPr="00754FBB">
        <w:rPr>
          <w:b/>
          <w:i/>
          <w:sz w:val="24"/>
        </w:rPr>
        <w:t xml:space="preserve">ELFT </w:t>
      </w:r>
      <w:r w:rsidR="0004510F">
        <w:rPr>
          <w:b/>
          <w:i/>
          <w:sz w:val="24"/>
        </w:rPr>
        <w:t xml:space="preserve">QI </w:t>
      </w:r>
      <w:r w:rsidRPr="00754FBB">
        <w:rPr>
          <w:b/>
          <w:i/>
          <w:sz w:val="24"/>
        </w:rPr>
        <w:t>Spread Planner</w:t>
      </w:r>
      <w:r w:rsidRPr="00754FBB">
        <w:rPr>
          <w:sz w:val="24"/>
        </w:rPr>
        <w:t xml:space="preserve"> and </w:t>
      </w:r>
      <w:r w:rsidRPr="00754FBB">
        <w:rPr>
          <w:b/>
          <w:i/>
          <w:sz w:val="24"/>
        </w:rPr>
        <w:t xml:space="preserve">Seven </w:t>
      </w:r>
      <w:proofErr w:type="spellStart"/>
      <w:r w:rsidRPr="00754FBB">
        <w:rPr>
          <w:b/>
          <w:i/>
          <w:sz w:val="24"/>
        </w:rPr>
        <w:t>Spreadly</w:t>
      </w:r>
      <w:proofErr w:type="spellEnd"/>
      <w:r w:rsidRPr="00754FBB">
        <w:rPr>
          <w:b/>
          <w:i/>
          <w:sz w:val="24"/>
        </w:rPr>
        <w:t xml:space="preserve"> Sins</w:t>
      </w:r>
      <w:r w:rsidRPr="00754FBB">
        <w:rPr>
          <w:i/>
          <w:sz w:val="24"/>
        </w:rPr>
        <w:t xml:space="preserve"> </w:t>
      </w:r>
      <w:r w:rsidRPr="00754FBB">
        <w:rPr>
          <w:sz w:val="24"/>
        </w:rPr>
        <w:t>to help you plan how to spread your project to other settings.</w:t>
      </w:r>
    </w:p>
    <w:p w:rsidR="005F6DBF" w:rsidRPr="00906DB9" w:rsidRDefault="00754FBB">
      <w:pPr>
        <w:rPr>
          <w:sz w:val="20"/>
        </w:rPr>
      </w:pPr>
      <w:r w:rsidRPr="00754FBB">
        <w:rPr>
          <w:sz w:val="20"/>
        </w:rPr>
        <w:t>NOTE: Any spread effort needs leadership approval (spread within a directorate needs DMT sign-off, spread across directorates need executive sign-off) as part of the Spread plan.</w:t>
      </w:r>
    </w:p>
    <w:sectPr w:rsidR="005F6DBF" w:rsidRPr="00906D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T Walsheim Bold">
    <w:altName w:val="GT Walsheim Bold"/>
    <w:panose1 w:val="00000000000000000000"/>
    <w:charset w:val="00"/>
    <w:family w:val="swiss"/>
    <w:notTrueType/>
    <w:pitch w:val="default"/>
    <w:sig w:usb0="00000003" w:usb1="00000000" w:usb2="00000000" w:usb3="00000000" w:csb0="00000001" w:csb1="00000000"/>
  </w:font>
  <w:font w:name="GT Walsheim Regular">
    <w:altName w:val="GT Walsheim Regular"/>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55E"/>
    <w:rsid w:val="0004510F"/>
    <w:rsid w:val="000B5E2B"/>
    <w:rsid w:val="001362A7"/>
    <w:rsid w:val="002A64D6"/>
    <w:rsid w:val="0052390E"/>
    <w:rsid w:val="005F6DBF"/>
    <w:rsid w:val="00754FBB"/>
    <w:rsid w:val="0075655E"/>
    <w:rsid w:val="008E3566"/>
    <w:rsid w:val="00906DB9"/>
    <w:rsid w:val="00A22315"/>
    <w:rsid w:val="00C31EED"/>
    <w:rsid w:val="00D42C3B"/>
    <w:rsid w:val="00D46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55E"/>
    <w:rPr>
      <w:rFonts w:ascii="Tahoma" w:hAnsi="Tahoma" w:cs="Tahoma"/>
      <w:sz w:val="16"/>
      <w:szCs w:val="16"/>
    </w:rPr>
  </w:style>
  <w:style w:type="table" w:styleId="TableGrid">
    <w:name w:val="Table Grid"/>
    <w:basedOn w:val="TableNormal"/>
    <w:uiPriority w:val="59"/>
    <w:rsid w:val="005F6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
    <w:name w:val="Medium Grid 1"/>
    <w:basedOn w:val="TableNormal"/>
    <w:uiPriority w:val="67"/>
    <w:rsid w:val="000451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55E"/>
    <w:rPr>
      <w:rFonts w:ascii="Tahoma" w:hAnsi="Tahoma" w:cs="Tahoma"/>
      <w:sz w:val="16"/>
      <w:szCs w:val="16"/>
    </w:rPr>
  </w:style>
  <w:style w:type="table" w:styleId="TableGrid">
    <w:name w:val="Table Grid"/>
    <w:basedOn w:val="TableNormal"/>
    <w:uiPriority w:val="59"/>
    <w:rsid w:val="005F6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
    <w:name w:val="Medium Grid 1"/>
    <w:basedOn w:val="TableNormal"/>
    <w:uiPriority w:val="67"/>
    <w:rsid w:val="000451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48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 Shah</dc:creator>
  <cp:lastModifiedBy>Tim Gill</cp:lastModifiedBy>
  <cp:revision>2</cp:revision>
  <dcterms:created xsi:type="dcterms:W3CDTF">2015-11-20T15:36:00Z</dcterms:created>
  <dcterms:modified xsi:type="dcterms:W3CDTF">2015-11-20T15:36:00Z</dcterms:modified>
</cp:coreProperties>
</file>